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5" w:type="dxa"/>
        <w:tblLayout w:type="fixed"/>
        <w:tblCellMar>
          <w:left w:w="70" w:type="dxa"/>
          <w:right w:w="70" w:type="dxa"/>
        </w:tblCellMar>
        <w:tblLook w:val="0000" w:firstRow="0" w:lastRow="0" w:firstColumn="0" w:lastColumn="0" w:noHBand="0" w:noVBand="0"/>
      </w:tblPr>
      <w:tblGrid>
        <w:gridCol w:w="1036"/>
        <w:gridCol w:w="69"/>
        <w:gridCol w:w="510"/>
        <w:gridCol w:w="1585"/>
        <w:gridCol w:w="1826"/>
        <w:gridCol w:w="2064"/>
        <w:gridCol w:w="2415"/>
      </w:tblGrid>
      <w:tr w:rsidR="00121A72" w14:paraId="1A789B7F" w14:textId="77777777">
        <w:trPr>
          <w:trHeight w:val="360"/>
        </w:trPr>
        <w:tc>
          <w:tcPr>
            <w:tcW w:w="7090" w:type="dxa"/>
            <w:gridSpan w:val="6"/>
          </w:tcPr>
          <w:p w14:paraId="1FAB7650" w14:textId="1A87CAED" w:rsidR="00121A72" w:rsidRPr="000531FB" w:rsidRDefault="000531FB" w:rsidP="000531FB">
            <w:pPr>
              <w:pStyle w:val="zSoquijdatRepertorie"/>
              <w:rPr>
                <w:rFonts w:cs="Arial"/>
              </w:rPr>
            </w:pPr>
            <w:r>
              <w:rPr>
                <w:rFonts w:cs="Arial"/>
              </w:rPr>
              <w:t>Service Sauvetage Animal c. Ville de Longueuil</w:t>
            </w:r>
          </w:p>
        </w:tc>
        <w:tc>
          <w:tcPr>
            <w:tcW w:w="2415" w:type="dxa"/>
          </w:tcPr>
          <w:p w14:paraId="0FE68B3F" w14:textId="46810CEB" w:rsidR="00121A72" w:rsidRPr="00F9377E" w:rsidRDefault="00F9377E" w:rsidP="00F9377E">
            <w:pPr>
              <w:pStyle w:val="zSoquijdatRefNeutre"/>
              <w:jc w:val="right"/>
              <w:rPr>
                <w:rFonts w:cs="Arial"/>
              </w:rPr>
            </w:pPr>
            <w:r w:rsidRPr="00F9377E">
              <w:rPr>
                <w:rFonts w:cs="Arial"/>
              </w:rPr>
              <w:t>2023 QCCS 3354</w:t>
            </w:r>
          </w:p>
        </w:tc>
      </w:tr>
      <w:tr w:rsidR="00121A72" w14:paraId="27AA0B60" w14:textId="77777777">
        <w:trPr>
          <w:trHeight w:val="900"/>
        </w:trPr>
        <w:tc>
          <w:tcPr>
            <w:tcW w:w="9505" w:type="dxa"/>
            <w:gridSpan w:val="7"/>
            <w:vAlign w:val="bottom"/>
          </w:tcPr>
          <w:p w14:paraId="1FF2260A" w14:textId="77777777" w:rsidR="00121A72" w:rsidRDefault="00121A72" w:rsidP="00D26929">
            <w:pPr>
              <w:pStyle w:val="zSoquijlblCour"/>
            </w:pPr>
            <w:r>
              <w:t>COUR SUPÉRIEURE</w:t>
            </w:r>
          </w:p>
        </w:tc>
      </w:tr>
      <w:tr w:rsidR="00121A72" w14:paraId="60B3C2E1" w14:textId="77777777">
        <w:trPr>
          <w:trHeight w:val="540"/>
        </w:trPr>
        <w:tc>
          <w:tcPr>
            <w:tcW w:w="9505" w:type="dxa"/>
            <w:gridSpan w:val="7"/>
          </w:tcPr>
          <w:p w14:paraId="41832F20" w14:textId="36E2160A" w:rsidR="00121A72" w:rsidRPr="00F1184C" w:rsidRDefault="0039384A" w:rsidP="00D26929">
            <w:pPr>
              <w:pStyle w:val="zSoquijdatDivision"/>
              <w:rPr>
                <w:sz w:val="24"/>
                <w:szCs w:val="24"/>
              </w:rPr>
            </w:pPr>
            <w:r w:rsidRPr="00F1184C">
              <w:rPr>
                <w:sz w:val="24"/>
                <w:szCs w:val="24"/>
              </w:rPr>
              <w:t>(Chambre civile)</w:t>
            </w:r>
          </w:p>
        </w:tc>
      </w:tr>
      <w:tr w:rsidR="00121A72" w14:paraId="4624BC1C" w14:textId="77777777">
        <w:tc>
          <w:tcPr>
            <w:tcW w:w="9505" w:type="dxa"/>
            <w:gridSpan w:val="7"/>
          </w:tcPr>
          <w:p w14:paraId="6B480CEC" w14:textId="77777777" w:rsidR="00121A72" w:rsidRPr="00C025FC" w:rsidRDefault="00121A72" w:rsidP="00D26929">
            <w:pPr>
              <w:pStyle w:val="zSoquijlblPays"/>
            </w:pPr>
            <w:r w:rsidRPr="00C025FC">
              <w:t>CANADA</w:t>
            </w:r>
          </w:p>
        </w:tc>
      </w:tr>
      <w:tr w:rsidR="00121A72" w14:paraId="6DFAB923" w14:textId="77777777">
        <w:tc>
          <w:tcPr>
            <w:tcW w:w="9505" w:type="dxa"/>
            <w:gridSpan w:val="7"/>
          </w:tcPr>
          <w:p w14:paraId="0A515A1D" w14:textId="77777777" w:rsidR="00121A72" w:rsidRDefault="00121A72" w:rsidP="00D26929">
            <w:pPr>
              <w:pStyle w:val="zSoquijlblProvince"/>
            </w:pPr>
            <w:r>
              <w:t>PROVINCE DE QUÉBEC</w:t>
            </w:r>
          </w:p>
        </w:tc>
      </w:tr>
      <w:tr w:rsidR="00121A72" w14:paraId="4AA0CC59" w14:textId="77777777">
        <w:tblPrEx>
          <w:tblCellMar>
            <w:left w:w="0" w:type="dxa"/>
            <w:right w:w="0" w:type="dxa"/>
          </w:tblCellMar>
        </w:tblPrEx>
        <w:trPr>
          <w:cantSplit/>
        </w:trPr>
        <w:tc>
          <w:tcPr>
            <w:tcW w:w="1615" w:type="dxa"/>
            <w:gridSpan w:val="3"/>
          </w:tcPr>
          <w:p w14:paraId="469D732B" w14:textId="77777777" w:rsidR="00121A72" w:rsidRDefault="00121A72" w:rsidP="00D26929">
            <w:pPr>
              <w:pStyle w:val="zSoquijlblGreffe"/>
            </w:pPr>
            <w:r>
              <w:t>DISTRICT DE</w:t>
            </w:r>
          </w:p>
        </w:tc>
        <w:tc>
          <w:tcPr>
            <w:tcW w:w="7890" w:type="dxa"/>
            <w:gridSpan w:val="4"/>
          </w:tcPr>
          <w:p w14:paraId="2158116A" w14:textId="7B2B6DC6" w:rsidR="00121A72" w:rsidRDefault="0039384A" w:rsidP="00D26929">
            <w:pPr>
              <w:pStyle w:val="zSoquijdatGreffe"/>
            </w:pPr>
            <w:r>
              <w:t>LONGUEUIL</w:t>
            </w:r>
          </w:p>
        </w:tc>
      </w:tr>
      <w:tr w:rsidR="00121A72" w14:paraId="5C676511" w14:textId="77777777">
        <w:trPr>
          <w:trHeight w:val="540"/>
        </w:trPr>
        <w:tc>
          <w:tcPr>
            <w:tcW w:w="9505" w:type="dxa"/>
            <w:gridSpan w:val="7"/>
          </w:tcPr>
          <w:p w14:paraId="15CC5F0E" w14:textId="77777777" w:rsidR="00121A72" w:rsidRDefault="00121A72" w:rsidP="00D26929">
            <w:pPr>
              <w:pStyle w:val="zSoquijlblNomChambre"/>
            </w:pPr>
          </w:p>
        </w:tc>
      </w:tr>
      <w:tr w:rsidR="00121A72" w14:paraId="6098339B" w14:textId="77777777">
        <w:tc>
          <w:tcPr>
            <w:tcW w:w="1105" w:type="dxa"/>
            <w:gridSpan w:val="2"/>
          </w:tcPr>
          <w:p w14:paraId="059D13DF" w14:textId="77777777" w:rsidR="00121A72" w:rsidRDefault="00772542" w:rsidP="00D26929">
            <w:pPr>
              <w:pStyle w:val="zSoquijlblNoDossier"/>
            </w:pPr>
            <w:r>
              <w:t>N</w:t>
            </w:r>
            <w:r w:rsidR="008A7DDE">
              <w:rPr>
                <w:vertAlign w:val="superscript"/>
              </w:rPr>
              <w:t>o</w:t>
            </w:r>
            <w:r w:rsidR="00121A72">
              <w:t> :</w:t>
            </w:r>
          </w:p>
        </w:tc>
        <w:tc>
          <w:tcPr>
            <w:tcW w:w="8400" w:type="dxa"/>
            <w:gridSpan w:val="5"/>
          </w:tcPr>
          <w:p w14:paraId="76100B8E" w14:textId="21C1457C" w:rsidR="00121A72" w:rsidRDefault="0039384A" w:rsidP="009E7E11">
            <w:pPr>
              <w:pStyle w:val="zSoquijdatNoDossier"/>
              <w:ind w:left="-69"/>
            </w:pPr>
            <w:r>
              <w:t>505-17-013241-221</w:t>
            </w:r>
          </w:p>
        </w:tc>
      </w:tr>
      <w:tr w:rsidR="00121A72" w14:paraId="25FBC556" w14:textId="77777777">
        <w:trPr>
          <w:cantSplit/>
          <w:trHeight w:val="235"/>
        </w:trPr>
        <w:tc>
          <w:tcPr>
            <w:tcW w:w="9505" w:type="dxa"/>
            <w:gridSpan w:val="7"/>
          </w:tcPr>
          <w:p w14:paraId="51D6515A" w14:textId="77777777" w:rsidR="00121A72" w:rsidRDefault="00121A72" w:rsidP="00D26929"/>
        </w:tc>
      </w:tr>
      <w:tr w:rsidR="00121A72" w14:paraId="29ED9A25" w14:textId="77777777">
        <w:tc>
          <w:tcPr>
            <w:tcW w:w="1036" w:type="dxa"/>
          </w:tcPr>
          <w:p w14:paraId="46CE2D56" w14:textId="77777777" w:rsidR="00121A72" w:rsidRDefault="00121A72" w:rsidP="00D26929">
            <w:pPr>
              <w:pStyle w:val="zSoquijlblDateJugement"/>
            </w:pPr>
            <w:r>
              <w:t>DATE :</w:t>
            </w:r>
          </w:p>
        </w:tc>
        <w:tc>
          <w:tcPr>
            <w:tcW w:w="8469" w:type="dxa"/>
            <w:gridSpan w:val="6"/>
          </w:tcPr>
          <w:p w14:paraId="6EAE25D0" w14:textId="11779957" w:rsidR="00121A72" w:rsidRDefault="00844251" w:rsidP="00D26929">
            <w:pPr>
              <w:pStyle w:val="zSoquijdatDateJugement"/>
            </w:pPr>
            <w:r>
              <w:rPr>
                <w:rFonts w:cs="Arial"/>
              </w:rPr>
              <w:t>3</w:t>
            </w:r>
            <w:r w:rsidR="006473E4">
              <w:rPr>
                <w:rFonts w:cs="Arial"/>
              </w:rPr>
              <w:t>1</w:t>
            </w:r>
            <w:r>
              <w:rPr>
                <w:rFonts w:cs="Arial"/>
              </w:rPr>
              <w:t xml:space="preserve"> août 2023</w:t>
            </w:r>
          </w:p>
        </w:tc>
      </w:tr>
      <w:tr w:rsidR="00121A72" w14:paraId="64BCDC97" w14:textId="77777777">
        <w:tc>
          <w:tcPr>
            <w:tcW w:w="9505" w:type="dxa"/>
            <w:gridSpan w:val="7"/>
          </w:tcPr>
          <w:p w14:paraId="1B3F4167" w14:textId="77777777" w:rsidR="00121A72" w:rsidRDefault="00121A72" w:rsidP="00D26929">
            <w:pPr>
              <w:ind w:left="14" w:right="-67"/>
            </w:pPr>
            <w:r>
              <w:t>______________________________________________________________________</w:t>
            </w:r>
          </w:p>
        </w:tc>
      </w:tr>
      <w:tr w:rsidR="00121A72" w14:paraId="67E6B4CC" w14:textId="77777777">
        <w:tc>
          <w:tcPr>
            <w:tcW w:w="9505" w:type="dxa"/>
            <w:gridSpan w:val="7"/>
          </w:tcPr>
          <w:p w14:paraId="3C677455" w14:textId="77777777" w:rsidR="00121A72" w:rsidRDefault="00121A72" w:rsidP="00D26929"/>
        </w:tc>
      </w:tr>
      <w:tr w:rsidR="00121A72" w14:paraId="303050C4" w14:textId="77777777">
        <w:tblPrEx>
          <w:tblCellMar>
            <w:left w:w="0" w:type="dxa"/>
            <w:right w:w="0" w:type="dxa"/>
          </w:tblCellMar>
        </w:tblPrEx>
        <w:tc>
          <w:tcPr>
            <w:tcW w:w="3200" w:type="dxa"/>
            <w:gridSpan w:val="4"/>
          </w:tcPr>
          <w:p w14:paraId="18B2E0BC" w14:textId="77777777" w:rsidR="00121A72" w:rsidRDefault="00121A72" w:rsidP="00D26929">
            <w:pPr>
              <w:pStyle w:val="zSoquijlblJuge"/>
            </w:pPr>
            <w:r>
              <w:t>SOUS LA PRÉSIDENCE DE</w:t>
            </w:r>
          </w:p>
        </w:tc>
        <w:tc>
          <w:tcPr>
            <w:tcW w:w="1826" w:type="dxa"/>
          </w:tcPr>
          <w:p w14:paraId="216451FB" w14:textId="77777777" w:rsidR="00121A72" w:rsidRDefault="00121A72" w:rsidP="00D26929">
            <w:pPr>
              <w:pStyle w:val="zSoquijdatQteJuge"/>
            </w:pPr>
            <w:r>
              <w:t>L’HONORABLE</w:t>
            </w:r>
          </w:p>
        </w:tc>
        <w:tc>
          <w:tcPr>
            <w:tcW w:w="4479" w:type="dxa"/>
            <w:gridSpan w:val="2"/>
          </w:tcPr>
          <w:p w14:paraId="20A9E12D" w14:textId="436452D7" w:rsidR="00121A72" w:rsidRDefault="0039384A" w:rsidP="00D26929">
            <w:pPr>
              <w:pStyle w:val="zSoquijdatJuge"/>
            </w:pPr>
            <w:r>
              <w:t>BERNARD JOLIN</w:t>
            </w:r>
            <w:r w:rsidR="008A4532">
              <w:t>, J.C.S.</w:t>
            </w:r>
          </w:p>
        </w:tc>
      </w:tr>
      <w:tr w:rsidR="00121A72" w14:paraId="6F417802" w14:textId="77777777">
        <w:tc>
          <w:tcPr>
            <w:tcW w:w="9505" w:type="dxa"/>
            <w:gridSpan w:val="7"/>
          </w:tcPr>
          <w:p w14:paraId="48974BBD" w14:textId="77777777" w:rsidR="00121A72" w:rsidRDefault="00121A72" w:rsidP="00D26929">
            <w:pPr>
              <w:ind w:left="14" w:right="-67"/>
            </w:pPr>
            <w:r>
              <w:t>______________________________________________________________________</w:t>
            </w:r>
          </w:p>
        </w:tc>
      </w:tr>
      <w:tr w:rsidR="00121A72" w14:paraId="20FE8831" w14:textId="77777777">
        <w:tc>
          <w:tcPr>
            <w:tcW w:w="9505" w:type="dxa"/>
            <w:gridSpan w:val="7"/>
          </w:tcPr>
          <w:p w14:paraId="3DA5E993" w14:textId="77777777" w:rsidR="00121A72" w:rsidRDefault="00121A72" w:rsidP="00D26929">
            <w:pPr>
              <w:pStyle w:val="zSoquijlblTitrePartie"/>
            </w:pPr>
          </w:p>
        </w:tc>
      </w:tr>
      <w:tr w:rsidR="0039384A" w14:paraId="0A801B29" w14:textId="77777777" w:rsidTr="000B26DA">
        <w:tc>
          <w:tcPr>
            <w:tcW w:w="9505" w:type="dxa"/>
            <w:gridSpan w:val="7"/>
          </w:tcPr>
          <w:p w14:paraId="253C045D" w14:textId="77777777" w:rsidR="0039384A" w:rsidRDefault="0039384A" w:rsidP="000B26DA">
            <w:pPr>
              <w:pStyle w:val="zSoquijdatNomPartieDem"/>
            </w:pPr>
            <w:r>
              <w:t>SERVICE SAUVETAGE ANIMAL</w:t>
            </w:r>
          </w:p>
        </w:tc>
      </w:tr>
      <w:tr w:rsidR="0039384A" w14:paraId="35DDC9CB" w14:textId="77777777" w:rsidTr="000B26DA">
        <w:tc>
          <w:tcPr>
            <w:tcW w:w="9505" w:type="dxa"/>
            <w:gridSpan w:val="7"/>
          </w:tcPr>
          <w:p w14:paraId="6F9EB049" w14:textId="77777777" w:rsidR="0039384A" w:rsidRDefault="0039384A" w:rsidP="000B26DA">
            <w:pPr>
              <w:pStyle w:val="zSoquijlblLienParties"/>
            </w:pPr>
            <w:r>
              <w:t>et</w:t>
            </w:r>
          </w:p>
        </w:tc>
      </w:tr>
      <w:tr w:rsidR="0039384A" w:rsidRPr="006D5BCE" w14:paraId="66D1E074" w14:textId="77777777" w:rsidTr="000B26DA">
        <w:tc>
          <w:tcPr>
            <w:tcW w:w="9505" w:type="dxa"/>
            <w:gridSpan w:val="7"/>
          </w:tcPr>
          <w:p w14:paraId="18935288" w14:textId="77777777" w:rsidR="0039384A" w:rsidRPr="006D5BCE" w:rsidRDefault="0039384A" w:rsidP="000B26DA">
            <w:pPr>
              <w:pStyle w:val="zSoquijlblLienParties"/>
              <w:rPr>
                <w:b/>
                <w:bCs/>
              </w:rPr>
            </w:pPr>
            <w:r w:rsidRPr="006D5BCE">
              <w:rPr>
                <w:b/>
                <w:bCs/>
              </w:rPr>
              <w:t>FLORENCE MENEY</w:t>
            </w:r>
          </w:p>
        </w:tc>
      </w:tr>
      <w:tr w:rsidR="0039384A" w14:paraId="428E1606" w14:textId="77777777" w:rsidTr="000B26DA">
        <w:tc>
          <w:tcPr>
            <w:tcW w:w="9505" w:type="dxa"/>
            <w:gridSpan w:val="7"/>
          </w:tcPr>
          <w:p w14:paraId="1C9CB30F" w14:textId="77777777" w:rsidR="0039384A" w:rsidRDefault="0039384A" w:rsidP="000B26DA">
            <w:pPr>
              <w:pStyle w:val="zSoquijdatQtePartieDem"/>
            </w:pPr>
            <w:r>
              <w:t>Demandeurs</w:t>
            </w:r>
          </w:p>
        </w:tc>
      </w:tr>
      <w:tr w:rsidR="0039384A" w14:paraId="0AC9DDF5" w14:textId="77777777" w:rsidTr="000B26DA">
        <w:tc>
          <w:tcPr>
            <w:tcW w:w="9505" w:type="dxa"/>
            <w:gridSpan w:val="7"/>
          </w:tcPr>
          <w:p w14:paraId="5FEFBA45" w14:textId="77777777" w:rsidR="0039384A" w:rsidRDefault="0039384A" w:rsidP="000B26DA">
            <w:pPr>
              <w:pStyle w:val="zSoquijlblLienParties"/>
            </w:pPr>
            <w:r>
              <w:t>c.</w:t>
            </w:r>
          </w:p>
        </w:tc>
      </w:tr>
      <w:tr w:rsidR="0039384A" w14:paraId="37872F8F" w14:textId="77777777" w:rsidTr="000B26DA">
        <w:tc>
          <w:tcPr>
            <w:tcW w:w="9505" w:type="dxa"/>
            <w:gridSpan w:val="7"/>
          </w:tcPr>
          <w:p w14:paraId="7D54C143" w14:textId="77777777" w:rsidR="0039384A" w:rsidRDefault="0039384A" w:rsidP="000B26DA">
            <w:pPr>
              <w:pStyle w:val="zSoquijdatNomPartieDef"/>
            </w:pPr>
            <w:r>
              <w:t>VILLE DE LONGUEUIL</w:t>
            </w:r>
          </w:p>
        </w:tc>
      </w:tr>
      <w:tr w:rsidR="0039384A" w14:paraId="064D3A0F" w14:textId="77777777" w:rsidTr="000B26DA">
        <w:tc>
          <w:tcPr>
            <w:tcW w:w="9505" w:type="dxa"/>
            <w:gridSpan w:val="7"/>
          </w:tcPr>
          <w:p w14:paraId="5838637B" w14:textId="77777777" w:rsidR="0039384A" w:rsidRDefault="0039384A" w:rsidP="000B26DA">
            <w:pPr>
              <w:pStyle w:val="zSoquijlblLienParties"/>
            </w:pPr>
            <w:r>
              <w:t>et</w:t>
            </w:r>
          </w:p>
        </w:tc>
      </w:tr>
      <w:tr w:rsidR="0039384A" w14:paraId="61472911" w14:textId="77777777" w:rsidTr="000B26DA">
        <w:tc>
          <w:tcPr>
            <w:tcW w:w="9505" w:type="dxa"/>
            <w:gridSpan w:val="7"/>
          </w:tcPr>
          <w:p w14:paraId="5BB8F2CA" w14:textId="77777777" w:rsidR="0039384A" w:rsidRDefault="0039384A" w:rsidP="000B26DA">
            <w:pPr>
              <w:pStyle w:val="zSoquijdatNomPartieDef"/>
            </w:pPr>
            <w:r>
              <w:t>PROCUREUR GÉNÉRAL DU QUÉBEC</w:t>
            </w:r>
          </w:p>
        </w:tc>
      </w:tr>
      <w:tr w:rsidR="0039384A" w14:paraId="39D6AB29" w14:textId="77777777" w:rsidTr="000B26DA">
        <w:tc>
          <w:tcPr>
            <w:tcW w:w="9505" w:type="dxa"/>
            <w:gridSpan w:val="7"/>
          </w:tcPr>
          <w:p w14:paraId="01FF4A6B" w14:textId="77777777" w:rsidR="0039384A" w:rsidRDefault="0039384A" w:rsidP="000B26DA">
            <w:pPr>
              <w:pStyle w:val="zSoquijdatQtePartieDef"/>
            </w:pPr>
            <w:r>
              <w:t>Défendeurs</w:t>
            </w:r>
          </w:p>
        </w:tc>
      </w:tr>
      <w:tr w:rsidR="0039384A" w14:paraId="3CAE680F" w14:textId="77777777" w:rsidTr="000B26DA">
        <w:tc>
          <w:tcPr>
            <w:tcW w:w="9505" w:type="dxa"/>
            <w:gridSpan w:val="7"/>
          </w:tcPr>
          <w:p w14:paraId="7B7117E3" w14:textId="77777777" w:rsidR="0039384A" w:rsidRDefault="0039384A" w:rsidP="000B26DA">
            <w:pPr>
              <w:ind w:left="14" w:right="-95"/>
            </w:pPr>
            <w:r>
              <w:t>et</w:t>
            </w:r>
          </w:p>
        </w:tc>
      </w:tr>
      <w:tr w:rsidR="0039384A" w:rsidRPr="006D5BCE" w14:paraId="2DC51CC3" w14:textId="77777777" w:rsidTr="000B26DA">
        <w:tc>
          <w:tcPr>
            <w:tcW w:w="9505" w:type="dxa"/>
            <w:gridSpan w:val="7"/>
          </w:tcPr>
          <w:p w14:paraId="09DAE663" w14:textId="77777777" w:rsidR="0039384A" w:rsidRPr="006D5BCE" w:rsidRDefault="0039384A" w:rsidP="000B26DA">
            <w:pPr>
              <w:ind w:left="14" w:right="-95"/>
              <w:rPr>
                <w:b/>
                <w:bCs/>
              </w:rPr>
            </w:pPr>
            <w:r w:rsidRPr="006D5BCE">
              <w:rPr>
                <w:b/>
                <w:bCs/>
              </w:rPr>
              <w:t>SOCIÉTÉ CANADIENNE POUR LA PRÉVENTION DE LA CRUAUTÉ ENVERS LES ANIMAUX</w:t>
            </w:r>
          </w:p>
        </w:tc>
      </w:tr>
      <w:tr w:rsidR="0039384A" w14:paraId="0FB8BFD6" w14:textId="77777777" w:rsidTr="000B26DA">
        <w:tc>
          <w:tcPr>
            <w:tcW w:w="9505" w:type="dxa"/>
            <w:gridSpan w:val="7"/>
          </w:tcPr>
          <w:p w14:paraId="7DED3289" w14:textId="77777777" w:rsidR="0039384A" w:rsidRDefault="0039384A" w:rsidP="000B26DA">
            <w:pPr>
              <w:pStyle w:val="zSoquijdatQtePartieDef"/>
            </w:pPr>
            <w:r>
              <w:t>Tierce intervenante</w:t>
            </w:r>
          </w:p>
        </w:tc>
      </w:tr>
      <w:tr w:rsidR="00121A72" w14:paraId="59AFC60B" w14:textId="77777777">
        <w:tc>
          <w:tcPr>
            <w:tcW w:w="9505" w:type="dxa"/>
            <w:gridSpan w:val="7"/>
          </w:tcPr>
          <w:p w14:paraId="6351F1A2" w14:textId="77777777" w:rsidR="00121A72" w:rsidRDefault="00121A72" w:rsidP="00D26929">
            <w:pPr>
              <w:ind w:left="14" w:right="-95"/>
            </w:pPr>
          </w:p>
        </w:tc>
      </w:tr>
      <w:tr w:rsidR="00121A72" w14:paraId="7F73084F" w14:textId="77777777">
        <w:tc>
          <w:tcPr>
            <w:tcW w:w="9505" w:type="dxa"/>
            <w:gridSpan w:val="7"/>
          </w:tcPr>
          <w:p w14:paraId="474D66F1" w14:textId="77777777" w:rsidR="00121A72" w:rsidRDefault="00121A72" w:rsidP="00D26929">
            <w:pPr>
              <w:ind w:left="14" w:right="-95"/>
            </w:pPr>
            <w:r>
              <w:t>______________________________________________________________________</w:t>
            </w:r>
          </w:p>
        </w:tc>
      </w:tr>
      <w:tr w:rsidR="00121A72" w14:paraId="1874BE34" w14:textId="77777777">
        <w:tc>
          <w:tcPr>
            <w:tcW w:w="9505" w:type="dxa"/>
            <w:gridSpan w:val="7"/>
          </w:tcPr>
          <w:p w14:paraId="7B12B9F4" w14:textId="77777777" w:rsidR="00121A72" w:rsidRDefault="00121A72" w:rsidP="00D26929">
            <w:pPr>
              <w:jc w:val="center"/>
            </w:pPr>
          </w:p>
        </w:tc>
      </w:tr>
      <w:tr w:rsidR="00121A72" w14:paraId="23B10A7E" w14:textId="77777777">
        <w:tc>
          <w:tcPr>
            <w:tcW w:w="9505" w:type="dxa"/>
            <w:gridSpan w:val="7"/>
          </w:tcPr>
          <w:p w14:paraId="37435289" w14:textId="77777777" w:rsidR="00121A72" w:rsidRDefault="00121A72" w:rsidP="00D26929">
            <w:pPr>
              <w:pStyle w:val="zSoquijlblTypeDocument"/>
              <w:rPr>
                <w:b/>
                <w:bCs/>
              </w:rPr>
            </w:pPr>
            <w:r w:rsidRPr="0039384A">
              <w:rPr>
                <w:b/>
                <w:bCs/>
              </w:rPr>
              <w:t>JUGEMENT</w:t>
            </w:r>
          </w:p>
          <w:p w14:paraId="51B18E68" w14:textId="7F960DBA" w:rsidR="00DA5AEE" w:rsidRPr="0039384A" w:rsidRDefault="00DA5AEE" w:rsidP="00D26929">
            <w:pPr>
              <w:pStyle w:val="zSoquijlblTypeDocument"/>
              <w:rPr>
                <w:b/>
                <w:bCs/>
              </w:rPr>
            </w:pPr>
            <w:r>
              <w:rPr>
                <w:b/>
                <w:bCs/>
              </w:rPr>
              <w:t>(</w:t>
            </w:r>
            <w:r w:rsidR="003F75D2">
              <w:rPr>
                <w:b/>
                <w:bCs/>
                <w:caps w:val="0"/>
              </w:rPr>
              <w:t>SUR POURVOI EN CONTRÔLE JUDICIAIRE</w:t>
            </w:r>
            <w:r>
              <w:rPr>
                <w:b/>
                <w:bCs/>
                <w:caps w:val="0"/>
              </w:rPr>
              <w:t>)</w:t>
            </w:r>
          </w:p>
        </w:tc>
      </w:tr>
      <w:tr w:rsidR="00121A72" w14:paraId="597A3C9B" w14:textId="77777777">
        <w:tc>
          <w:tcPr>
            <w:tcW w:w="9505" w:type="dxa"/>
            <w:gridSpan w:val="7"/>
          </w:tcPr>
          <w:p w14:paraId="59EC4E07" w14:textId="77777777" w:rsidR="00121A72" w:rsidRDefault="00121A72" w:rsidP="00D26929">
            <w:pPr>
              <w:ind w:left="14" w:right="-70"/>
            </w:pPr>
            <w:r>
              <w:t>______________________________________________________________________</w:t>
            </w:r>
          </w:p>
        </w:tc>
      </w:tr>
    </w:tbl>
    <w:p w14:paraId="565D66C4" w14:textId="40E42E8F" w:rsidR="00AB4000" w:rsidRDefault="00AB4000">
      <w:r>
        <w:br w:type="page"/>
      </w:r>
    </w:p>
    <w:p w14:paraId="3B9E7B76" w14:textId="77777777" w:rsidR="00147C63" w:rsidRPr="00411C8F" w:rsidRDefault="00147C63" w:rsidP="00147C63">
      <w:pPr>
        <w:spacing w:after="120"/>
        <w:jc w:val="center"/>
        <w:rPr>
          <w:b/>
          <w:bCs/>
          <w:szCs w:val="24"/>
        </w:rPr>
      </w:pPr>
      <w:bookmarkStart w:id="0" w:name="_Toc45807135"/>
      <w:bookmarkStart w:id="1" w:name="_Toc143524139"/>
      <w:bookmarkStart w:id="2" w:name="_Toc144193779"/>
      <w:bookmarkStart w:id="3" w:name="_Toc430945543"/>
      <w:r w:rsidRPr="00411C8F">
        <w:rPr>
          <w:b/>
          <w:bCs/>
          <w:szCs w:val="24"/>
        </w:rPr>
        <w:lastRenderedPageBreak/>
        <w:t>Table des matières</w:t>
      </w:r>
    </w:p>
    <w:p w14:paraId="49F33D1A" w14:textId="77777777" w:rsidR="00147C63" w:rsidRPr="00E51AE5" w:rsidRDefault="00147C63" w:rsidP="00147C63">
      <w:pPr>
        <w:pStyle w:val="TM1"/>
        <w:tabs>
          <w:tab w:val="left" w:pos="709"/>
          <w:tab w:val="right" w:leader="dot" w:pos="9539"/>
        </w:tabs>
        <w:rPr>
          <w:rFonts w:asciiTheme="minorHAnsi" w:eastAsiaTheme="minorEastAsia" w:hAnsiTheme="minorHAnsi" w:cstheme="minorBidi"/>
          <w:noProof/>
          <w:sz w:val="23"/>
          <w:szCs w:val="23"/>
          <w:lang w:eastAsia="fr-CA"/>
        </w:rPr>
      </w:pPr>
      <w:r w:rsidRPr="00D94852">
        <w:rPr>
          <w:sz w:val="22"/>
          <w:szCs w:val="22"/>
        </w:rPr>
        <w:fldChar w:fldCharType="begin"/>
      </w:r>
      <w:r w:rsidRPr="00D94852">
        <w:rPr>
          <w:sz w:val="22"/>
          <w:szCs w:val="22"/>
        </w:rPr>
        <w:instrText xml:space="preserve"> TOC \o "1-6" \h \z \u </w:instrText>
      </w:r>
      <w:r w:rsidRPr="00D94852">
        <w:rPr>
          <w:sz w:val="22"/>
          <w:szCs w:val="22"/>
        </w:rPr>
        <w:fldChar w:fldCharType="separate"/>
      </w:r>
      <w:hyperlink w:anchor="_Toc144367220" w:history="1">
        <w:r w:rsidRPr="00E51AE5">
          <w:rPr>
            <w:rStyle w:val="Hyperlien"/>
            <w:noProof/>
            <w:sz w:val="23"/>
            <w:szCs w:val="23"/>
          </w:rPr>
          <w:t>I.</w:t>
        </w:r>
        <w:r w:rsidRPr="00E51AE5">
          <w:rPr>
            <w:rFonts w:asciiTheme="minorHAnsi" w:eastAsiaTheme="minorEastAsia" w:hAnsiTheme="minorHAnsi" w:cstheme="minorBidi"/>
            <w:noProof/>
            <w:sz w:val="23"/>
            <w:szCs w:val="23"/>
            <w:lang w:eastAsia="fr-CA"/>
          </w:rPr>
          <w:tab/>
        </w:r>
        <w:r w:rsidRPr="00E51AE5">
          <w:rPr>
            <w:rStyle w:val="Hyperlien"/>
            <w:noProof/>
            <w:sz w:val="23"/>
            <w:szCs w:val="23"/>
          </w:rPr>
          <w:t>APERÇU</w:t>
        </w:r>
        <w:r w:rsidRPr="00E51AE5">
          <w:rPr>
            <w:noProof/>
            <w:webHidden/>
            <w:sz w:val="23"/>
            <w:szCs w:val="23"/>
          </w:rPr>
          <w:tab/>
        </w:r>
        <w:r w:rsidRPr="00E51AE5">
          <w:rPr>
            <w:noProof/>
            <w:webHidden/>
            <w:sz w:val="23"/>
            <w:szCs w:val="23"/>
          </w:rPr>
          <w:fldChar w:fldCharType="begin"/>
        </w:r>
        <w:r w:rsidRPr="00E51AE5">
          <w:rPr>
            <w:noProof/>
            <w:webHidden/>
            <w:sz w:val="23"/>
            <w:szCs w:val="23"/>
          </w:rPr>
          <w:instrText xml:space="preserve"> PAGEREF _Toc144367220 \h </w:instrText>
        </w:r>
        <w:r w:rsidRPr="00E51AE5">
          <w:rPr>
            <w:noProof/>
            <w:webHidden/>
            <w:sz w:val="23"/>
            <w:szCs w:val="23"/>
          </w:rPr>
        </w:r>
        <w:r w:rsidRPr="00E51AE5">
          <w:rPr>
            <w:noProof/>
            <w:webHidden/>
            <w:sz w:val="23"/>
            <w:szCs w:val="23"/>
          </w:rPr>
          <w:fldChar w:fldCharType="separate"/>
        </w:r>
        <w:r>
          <w:rPr>
            <w:noProof/>
            <w:webHidden/>
            <w:sz w:val="23"/>
            <w:szCs w:val="23"/>
          </w:rPr>
          <w:t>3</w:t>
        </w:r>
        <w:r w:rsidRPr="00E51AE5">
          <w:rPr>
            <w:noProof/>
            <w:webHidden/>
            <w:sz w:val="23"/>
            <w:szCs w:val="23"/>
          </w:rPr>
          <w:fldChar w:fldCharType="end"/>
        </w:r>
      </w:hyperlink>
    </w:p>
    <w:p w14:paraId="137BE31E" w14:textId="77777777" w:rsidR="00147C63" w:rsidRPr="00E51AE5" w:rsidRDefault="00F9377E" w:rsidP="00147C63">
      <w:pPr>
        <w:pStyle w:val="TM1"/>
        <w:tabs>
          <w:tab w:val="left" w:pos="709"/>
          <w:tab w:val="right" w:leader="dot" w:pos="9539"/>
        </w:tabs>
        <w:rPr>
          <w:rFonts w:asciiTheme="minorHAnsi" w:eastAsiaTheme="minorEastAsia" w:hAnsiTheme="minorHAnsi" w:cstheme="minorBidi"/>
          <w:noProof/>
          <w:sz w:val="23"/>
          <w:szCs w:val="23"/>
          <w:lang w:eastAsia="fr-CA"/>
        </w:rPr>
      </w:pPr>
      <w:hyperlink w:anchor="_Toc144367221" w:history="1">
        <w:r w:rsidR="00147C63" w:rsidRPr="00E51AE5">
          <w:rPr>
            <w:rStyle w:val="Hyperlien"/>
            <w:noProof/>
            <w:sz w:val="23"/>
            <w:szCs w:val="23"/>
          </w:rPr>
          <w:t>II.</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QUESTIONS EN LITIGE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_Toc144367221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w:t>
        </w:r>
        <w:r w:rsidR="00147C63" w:rsidRPr="00E51AE5">
          <w:rPr>
            <w:noProof/>
            <w:webHidden/>
            <w:sz w:val="23"/>
            <w:szCs w:val="23"/>
          </w:rPr>
          <w:fldChar w:fldCharType="end"/>
        </w:r>
      </w:hyperlink>
    </w:p>
    <w:p w14:paraId="12C4B31E" w14:textId="77777777" w:rsidR="00147C63" w:rsidRPr="00E51AE5" w:rsidRDefault="00F9377E" w:rsidP="00147C63">
      <w:pPr>
        <w:pStyle w:val="TM1"/>
        <w:tabs>
          <w:tab w:val="left" w:pos="709"/>
          <w:tab w:val="right" w:leader="dot" w:pos="9539"/>
        </w:tabs>
        <w:rPr>
          <w:rFonts w:asciiTheme="minorHAnsi" w:eastAsiaTheme="minorEastAsia" w:hAnsiTheme="minorHAnsi" w:cstheme="minorBidi"/>
          <w:noProof/>
          <w:sz w:val="23"/>
          <w:szCs w:val="23"/>
          <w:lang w:eastAsia="fr-CA"/>
        </w:rPr>
      </w:pPr>
      <w:hyperlink w:anchor="_Toc144367222" w:history="1">
        <w:r w:rsidR="00147C63" w:rsidRPr="00E51AE5">
          <w:rPr>
            <w:rStyle w:val="Hyperlien"/>
            <w:noProof/>
            <w:sz w:val="23"/>
            <w:szCs w:val="23"/>
          </w:rPr>
          <w:t>III.</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 CONTEXTE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_Toc144367222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5</w:t>
        </w:r>
        <w:r w:rsidR="00147C63" w:rsidRPr="00E51AE5">
          <w:rPr>
            <w:noProof/>
            <w:webHidden/>
            <w:sz w:val="23"/>
            <w:szCs w:val="23"/>
          </w:rPr>
          <w:fldChar w:fldCharType="end"/>
        </w:r>
      </w:hyperlink>
    </w:p>
    <w:p w14:paraId="1F1848BD" w14:textId="77777777" w:rsidR="00147C63" w:rsidRPr="00E51AE5" w:rsidRDefault="00F9377E" w:rsidP="00147C63">
      <w:pPr>
        <w:pStyle w:val="TM2"/>
        <w:rPr>
          <w:rFonts w:asciiTheme="minorHAnsi" w:eastAsiaTheme="minorEastAsia" w:hAnsiTheme="minorHAnsi" w:cstheme="minorBidi"/>
          <w:lang w:eastAsia="fr-CA"/>
        </w:rPr>
      </w:pPr>
      <w:hyperlink w:anchor="_Toc144367223" w:history="1">
        <w:r w:rsidR="00147C63" w:rsidRPr="00E51AE5">
          <w:rPr>
            <w:rStyle w:val="Hyperlien"/>
          </w:rPr>
          <w:t>1.</w:t>
        </w:r>
        <w:r w:rsidR="00147C63" w:rsidRPr="00E51AE5">
          <w:rPr>
            <w:rFonts w:asciiTheme="minorHAnsi" w:eastAsiaTheme="minorEastAsia" w:hAnsiTheme="minorHAnsi" w:cstheme="minorBidi"/>
            <w:lang w:eastAsia="fr-CA"/>
          </w:rPr>
          <w:tab/>
        </w:r>
        <w:r w:rsidR="00147C63" w:rsidRPr="00E51AE5">
          <w:rPr>
            <w:rStyle w:val="Hyperlien"/>
            <w:b/>
            <w:bCs/>
          </w:rPr>
          <w:t>Question 1 :</w:t>
        </w:r>
        <w:r w:rsidR="00147C63" w:rsidRPr="00E51AE5">
          <w:rPr>
            <w:rStyle w:val="Hyperlien"/>
          </w:rPr>
          <w:t xml:space="preserve"> La Ville et le MFFP ont-ils une obligation d’équité procédurale envers les demandeurs, la SPCA ou les cerfs et, le cas échéant, ont-ils manqué à cette obligation?</w:t>
        </w:r>
        <w:r w:rsidR="00147C63" w:rsidRPr="00E51AE5">
          <w:rPr>
            <w:webHidden/>
          </w:rPr>
          <w:tab/>
        </w:r>
        <w:r w:rsidR="00147C63">
          <w:rPr>
            <w:webHidden/>
          </w:rPr>
          <w:t xml:space="preserve">  </w:t>
        </w:r>
        <w:r w:rsidR="00147C63" w:rsidRPr="00E51AE5">
          <w:rPr>
            <w:webHidden/>
          </w:rPr>
          <w:fldChar w:fldCharType="begin"/>
        </w:r>
        <w:r w:rsidR="00147C63" w:rsidRPr="00E51AE5">
          <w:rPr>
            <w:webHidden/>
          </w:rPr>
          <w:instrText xml:space="preserve"> PAGEREF _Toc144367223 \h </w:instrText>
        </w:r>
        <w:r w:rsidR="00147C63" w:rsidRPr="00E51AE5">
          <w:rPr>
            <w:webHidden/>
          </w:rPr>
        </w:r>
        <w:r w:rsidR="00147C63" w:rsidRPr="00E51AE5">
          <w:rPr>
            <w:webHidden/>
          </w:rPr>
          <w:fldChar w:fldCharType="separate"/>
        </w:r>
        <w:r w:rsidR="00147C63">
          <w:rPr>
            <w:webHidden/>
          </w:rPr>
          <w:t>7</w:t>
        </w:r>
        <w:r w:rsidR="00147C63" w:rsidRPr="00E51AE5">
          <w:rPr>
            <w:webHidden/>
          </w:rPr>
          <w:fldChar w:fldCharType="end"/>
        </w:r>
      </w:hyperlink>
    </w:p>
    <w:p w14:paraId="01AB2F0A" w14:textId="77777777" w:rsidR="00147C63" w:rsidRPr="00E51AE5" w:rsidRDefault="00F9377E" w:rsidP="00147C63">
      <w:pPr>
        <w:pStyle w:val="TM3"/>
        <w:tabs>
          <w:tab w:val="left" w:pos="1200"/>
          <w:tab w:val="right" w:leader="dot" w:pos="9539"/>
        </w:tabs>
        <w:rPr>
          <w:rFonts w:asciiTheme="minorHAnsi" w:eastAsiaTheme="minorEastAsia" w:hAnsiTheme="minorHAnsi" w:cstheme="minorBidi"/>
          <w:noProof/>
          <w:sz w:val="23"/>
          <w:szCs w:val="23"/>
          <w:lang w:eastAsia="fr-CA"/>
        </w:rPr>
      </w:pPr>
      <w:hyperlink w:anchor="_Toc144367224" w:history="1">
        <w:r w:rsidR="00147C63" w:rsidRPr="00E51AE5">
          <w:rPr>
            <w:rStyle w:val="Hyperlien"/>
            <w:noProof/>
            <w:sz w:val="23"/>
            <w:szCs w:val="23"/>
          </w:rPr>
          <w:t>1.1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Principes juridiques applicables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_Toc144367224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8</w:t>
        </w:r>
        <w:r w:rsidR="00147C63" w:rsidRPr="00E51AE5">
          <w:rPr>
            <w:noProof/>
            <w:webHidden/>
            <w:sz w:val="23"/>
            <w:szCs w:val="23"/>
          </w:rPr>
          <w:fldChar w:fldCharType="end"/>
        </w:r>
      </w:hyperlink>
    </w:p>
    <w:p w14:paraId="1F3844D6" w14:textId="77777777" w:rsidR="00147C63" w:rsidRPr="00E51AE5" w:rsidRDefault="00F9377E" w:rsidP="00147C63">
      <w:pPr>
        <w:pStyle w:val="TM3"/>
        <w:tabs>
          <w:tab w:val="left" w:pos="1200"/>
          <w:tab w:val="right" w:leader="dot" w:pos="9539"/>
        </w:tabs>
        <w:rPr>
          <w:rFonts w:asciiTheme="minorHAnsi" w:eastAsiaTheme="minorEastAsia" w:hAnsiTheme="minorHAnsi" w:cstheme="minorBidi"/>
          <w:noProof/>
          <w:sz w:val="23"/>
          <w:szCs w:val="23"/>
          <w:lang w:eastAsia="fr-CA"/>
        </w:rPr>
      </w:pPr>
      <w:hyperlink w:anchor="_Toc144367225" w:history="1">
        <w:r w:rsidR="00147C63" w:rsidRPr="00E51AE5">
          <w:rPr>
            <w:rStyle w:val="Hyperlien"/>
            <w:bCs/>
            <w:noProof/>
            <w:sz w:val="23"/>
            <w:szCs w:val="23"/>
          </w:rPr>
          <w:t>1.2</w:t>
        </w:r>
        <w:r w:rsidR="00147C63" w:rsidRPr="00E51AE5">
          <w:rPr>
            <w:rFonts w:asciiTheme="minorHAnsi" w:eastAsiaTheme="minorEastAsia" w:hAnsiTheme="minorHAnsi" w:cstheme="minorBidi"/>
            <w:noProof/>
            <w:sz w:val="23"/>
            <w:szCs w:val="23"/>
            <w:lang w:eastAsia="fr-CA"/>
          </w:rPr>
          <w:tab/>
        </w:r>
        <w:r w:rsidR="00147C63" w:rsidRPr="00E51AE5">
          <w:rPr>
            <w:rStyle w:val="Hyperlien"/>
            <w:bCs/>
            <w:noProof/>
            <w:sz w:val="23"/>
            <w:szCs w:val="23"/>
          </w:rPr>
          <w:t>Discussion</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_Toc144367225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11</w:t>
        </w:r>
        <w:r w:rsidR="00147C63" w:rsidRPr="00E51AE5">
          <w:rPr>
            <w:noProof/>
            <w:webHidden/>
            <w:sz w:val="23"/>
            <w:szCs w:val="23"/>
          </w:rPr>
          <w:fldChar w:fldCharType="end"/>
        </w:r>
      </w:hyperlink>
    </w:p>
    <w:p w14:paraId="4CB5940B"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26" w:history="1">
        <w:r w:rsidR="00147C63" w:rsidRPr="00E51AE5">
          <w:rPr>
            <w:rStyle w:val="Hyperlien"/>
            <w:noProof/>
            <w:sz w:val="23"/>
            <w:szCs w:val="23"/>
          </w:rPr>
          <w:t>1.2.1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Meney, SSA, la SPCA</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_Toc144367226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11</w:t>
        </w:r>
        <w:r w:rsidR="00147C63" w:rsidRPr="00E51AE5">
          <w:rPr>
            <w:noProof/>
            <w:webHidden/>
            <w:sz w:val="23"/>
            <w:szCs w:val="23"/>
          </w:rPr>
          <w:fldChar w:fldCharType="end"/>
        </w:r>
      </w:hyperlink>
    </w:p>
    <w:p w14:paraId="6CFD53B8"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27" w:history="1">
        <w:r w:rsidR="00147C63" w:rsidRPr="00E51AE5">
          <w:rPr>
            <w:rStyle w:val="Hyperlien"/>
            <w:noProof/>
            <w:sz w:val="23"/>
            <w:szCs w:val="23"/>
          </w:rPr>
          <w:t>1.2.2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cerfs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_Toc144367227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15</w:t>
        </w:r>
        <w:r w:rsidR="00147C63" w:rsidRPr="00E51AE5">
          <w:rPr>
            <w:noProof/>
            <w:webHidden/>
            <w:sz w:val="23"/>
            <w:szCs w:val="23"/>
          </w:rPr>
          <w:fldChar w:fldCharType="end"/>
        </w:r>
      </w:hyperlink>
    </w:p>
    <w:p w14:paraId="4D819EFF"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28" w:history="1">
        <w:r w:rsidR="00147C63" w:rsidRPr="00E51AE5">
          <w:rPr>
            <w:rStyle w:val="Hyperlien"/>
            <w:noProof/>
            <w:sz w:val="23"/>
            <w:szCs w:val="23"/>
          </w:rPr>
          <w:t>1.2.3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Meney, SSA et la SPCA ont fait valoir leur point de vue.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_Toc144367228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16</w:t>
        </w:r>
        <w:r w:rsidR="00147C63" w:rsidRPr="00E51AE5">
          <w:rPr>
            <w:noProof/>
            <w:webHidden/>
            <w:sz w:val="23"/>
            <w:szCs w:val="23"/>
          </w:rPr>
          <w:fldChar w:fldCharType="end"/>
        </w:r>
      </w:hyperlink>
    </w:p>
    <w:p w14:paraId="00BD7EDF" w14:textId="77777777" w:rsidR="00147C63" w:rsidRPr="00E51AE5" w:rsidRDefault="00F9377E" w:rsidP="00147C63">
      <w:pPr>
        <w:pStyle w:val="TM2"/>
        <w:rPr>
          <w:rFonts w:asciiTheme="minorHAnsi" w:eastAsiaTheme="minorEastAsia" w:hAnsiTheme="minorHAnsi" w:cstheme="minorBidi"/>
          <w:lang w:eastAsia="fr-CA"/>
        </w:rPr>
      </w:pPr>
      <w:hyperlink w:anchor="_Toc144367229" w:history="1">
        <w:r w:rsidR="00147C63" w:rsidRPr="00E51AE5">
          <w:rPr>
            <w:rStyle w:val="Hyperlien"/>
            <w:sz w:val="23"/>
            <w:szCs w:val="23"/>
          </w:rPr>
          <w:t>2.</w:t>
        </w:r>
        <w:r w:rsidR="00147C63" w:rsidRPr="00E51AE5">
          <w:rPr>
            <w:rFonts w:asciiTheme="minorHAnsi" w:eastAsiaTheme="minorEastAsia" w:hAnsiTheme="minorHAnsi" w:cstheme="minorBidi"/>
            <w:lang w:eastAsia="fr-CA"/>
          </w:rPr>
          <w:tab/>
        </w:r>
        <w:r w:rsidR="00147C63" w:rsidRPr="00E51AE5">
          <w:rPr>
            <w:rStyle w:val="Hyperlien"/>
            <w:b/>
            <w:bCs/>
          </w:rPr>
          <w:t>Question 2 :</w:t>
        </w:r>
        <w:r w:rsidR="00147C63" w:rsidRPr="00E51AE5">
          <w:rPr>
            <w:rStyle w:val="Hyperlien"/>
          </w:rPr>
          <w:t xml:space="preserve"> Quelle norme de contrôle le Tribunal doit-il appliquer à la  Résolution et à la délivrance du Permis SEG?</w:t>
        </w:r>
        <w:r w:rsidR="00147C63" w:rsidRPr="00E51AE5">
          <w:rPr>
            <w:webHidden/>
          </w:rPr>
          <w:tab/>
        </w:r>
        <w:r w:rsidR="00147C63">
          <w:rPr>
            <w:webHidden/>
          </w:rPr>
          <w:t xml:space="preserve">  </w:t>
        </w:r>
        <w:r w:rsidR="00147C63" w:rsidRPr="00E51AE5">
          <w:rPr>
            <w:webHidden/>
            <w:sz w:val="23"/>
            <w:szCs w:val="23"/>
          </w:rPr>
          <w:fldChar w:fldCharType="begin"/>
        </w:r>
        <w:r w:rsidR="00147C63" w:rsidRPr="00E51AE5">
          <w:rPr>
            <w:webHidden/>
            <w:sz w:val="23"/>
            <w:szCs w:val="23"/>
          </w:rPr>
          <w:instrText xml:space="preserve"> PAGEREF _Toc144367229 \h </w:instrText>
        </w:r>
        <w:r w:rsidR="00147C63" w:rsidRPr="00E51AE5">
          <w:rPr>
            <w:webHidden/>
            <w:sz w:val="23"/>
            <w:szCs w:val="23"/>
          </w:rPr>
        </w:r>
        <w:r w:rsidR="00147C63" w:rsidRPr="00E51AE5">
          <w:rPr>
            <w:webHidden/>
            <w:sz w:val="23"/>
            <w:szCs w:val="23"/>
          </w:rPr>
          <w:fldChar w:fldCharType="separate"/>
        </w:r>
        <w:r w:rsidR="00147C63">
          <w:rPr>
            <w:webHidden/>
            <w:sz w:val="23"/>
            <w:szCs w:val="23"/>
          </w:rPr>
          <w:t>18</w:t>
        </w:r>
        <w:r w:rsidR="00147C63" w:rsidRPr="00E51AE5">
          <w:rPr>
            <w:webHidden/>
            <w:sz w:val="23"/>
            <w:szCs w:val="23"/>
          </w:rPr>
          <w:fldChar w:fldCharType="end"/>
        </w:r>
      </w:hyperlink>
    </w:p>
    <w:p w14:paraId="00B8E983" w14:textId="77777777" w:rsidR="00147C63" w:rsidRPr="00E51AE5" w:rsidRDefault="00F9377E" w:rsidP="00147C63">
      <w:pPr>
        <w:pStyle w:val="TM2"/>
        <w:rPr>
          <w:rFonts w:asciiTheme="minorHAnsi" w:eastAsiaTheme="minorEastAsia" w:hAnsiTheme="minorHAnsi" w:cstheme="minorBidi"/>
          <w:lang w:eastAsia="fr-CA"/>
        </w:rPr>
      </w:pPr>
      <w:hyperlink w:anchor="_Toc144367230" w:history="1">
        <w:r w:rsidR="00147C63" w:rsidRPr="00E51AE5">
          <w:rPr>
            <w:rStyle w:val="Hyperlien"/>
          </w:rPr>
          <w:t>3.</w:t>
        </w:r>
        <w:r w:rsidR="00147C63" w:rsidRPr="00E51AE5">
          <w:rPr>
            <w:rFonts w:asciiTheme="minorHAnsi" w:eastAsiaTheme="minorEastAsia" w:hAnsiTheme="minorHAnsi" w:cstheme="minorBidi"/>
            <w:lang w:eastAsia="fr-CA"/>
          </w:rPr>
          <w:tab/>
        </w:r>
        <w:r w:rsidR="00147C63" w:rsidRPr="00E51AE5">
          <w:rPr>
            <w:rStyle w:val="Hyperlien"/>
            <w:b/>
            <w:bCs/>
          </w:rPr>
          <w:t>Question 3 :</w:t>
        </w:r>
        <w:r w:rsidR="00147C63" w:rsidRPr="00E51AE5">
          <w:rPr>
            <w:rStyle w:val="Hyperlien"/>
          </w:rPr>
          <w:t xml:space="preserve"> La Résolution et la délivrance du Permis SEG sont-elles déraisonnables?</w:t>
        </w:r>
        <w:r w:rsidR="00147C63" w:rsidRPr="00E51AE5">
          <w:rPr>
            <w:webHidden/>
          </w:rPr>
          <w:tab/>
        </w:r>
        <w:r w:rsidR="00147C63">
          <w:rPr>
            <w:webHidden/>
          </w:rPr>
          <w:t xml:space="preserve"> </w:t>
        </w:r>
        <w:r w:rsidR="00147C63" w:rsidRPr="00E51AE5">
          <w:rPr>
            <w:webHidden/>
          </w:rPr>
          <w:fldChar w:fldCharType="begin"/>
        </w:r>
        <w:r w:rsidR="00147C63" w:rsidRPr="00E51AE5">
          <w:rPr>
            <w:webHidden/>
          </w:rPr>
          <w:instrText xml:space="preserve"> PAGEREF _Toc144367230 \h </w:instrText>
        </w:r>
        <w:r w:rsidR="00147C63" w:rsidRPr="00E51AE5">
          <w:rPr>
            <w:webHidden/>
          </w:rPr>
        </w:r>
        <w:r w:rsidR="00147C63" w:rsidRPr="00E51AE5">
          <w:rPr>
            <w:webHidden/>
          </w:rPr>
          <w:fldChar w:fldCharType="separate"/>
        </w:r>
        <w:r w:rsidR="00147C63">
          <w:rPr>
            <w:webHidden/>
          </w:rPr>
          <w:t>20</w:t>
        </w:r>
        <w:r w:rsidR="00147C63" w:rsidRPr="00E51AE5">
          <w:rPr>
            <w:webHidden/>
          </w:rPr>
          <w:fldChar w:fldCharType="end"/>
        </w:r>
      </w:hyperlink>
    </w:p>
    <w:p w14:paraId="50E2F86B" w14:textId="77777777" w:rsidR="00147C63" w:rsidRPr="00E51AE5" w:rsidRDefault="00F9377E" w:rsidP="00147C63">
      <w:pPr>
        <w:pStyle w:val="TM3"/>
        <w:tabs>
          <w:tab w:val="left" w:pos="1200"/>
          <w:tab w:val="right" w:leader="dot" w:pos="9539"/>
        </w:tabs>
        <w:rPr>
          <w:rFonts w:asciiTheme="minorHAnsi" w:eastAsiaTheme="minorEastAsia" w:hAnsiTheme="minorHAnsi" w:cstheme="minorBidi"/>
          <w:noProof/>
          <w:sz w:val="23"/>
          <w:szCs w:val="23"/>
          <w:lang w:eastAsia="fr-CA"/>
        </w:rPr>
      </w:pPr>
      <w:hyperlink w:anchor="_Toc144367231" w:history="1">
        <w:r w:rsidR="00147C63" w:rsidRPr="00E51AE5">
          <w:rPr>
            <w:rStyle w:val="Hyperlien"/>
            <w:noProof/>
            <w:sz w:val="23"/>
            <w:szCs w:val="23"/>
          </w:rPr>
          <w:t>3.1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La recevabilité et la valeur probante de certains éléments de preuve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_Toc144367231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20</w:t>
        </w:r>
        <w:r w:rsidR="00147C63" w:rsidRPr="00E51AE5">
          <w:rPr>
            <w:noProof/>
            <w:webHidden/>
            <w:sz w:val="23"/>
            <w:szCs w:val="23"/>
          </w:rPr>
          <w:fldChar w:fldCharType="end"/>
        </w:r>
      </w:hyperlink>
    </w:p>
    <w:p w14:paraId="2E60FE31"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32" w:history="1">
        <w:r w:rsidR="00147C63" w:rsidRPr="00E51AE5">
          <w:rPr>
            <w:rStyle w:val="Hyperlien"/>
            <w:noProof/>
            <w:sz w:val="23"/>
            <w:szCs w:val="23"/>
          </w:rPr>
          <w:t>3.1.1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objections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_Toc144367232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20</w:t>
        </w:r>
        <w:r w:rsidR="00147C63" w:rsidRPr="00E51AE5">
          <w:rPr>
            <w:noProof/>
            <w:webHidden/>
            <w:sz w:val="23"/>
            <w:szCs w:val="23"/>
          </w:rPr>
          <w:fldChar w:fldCharType="end"/>
        </w:r>
      </w:hyperlink>
    </w:p>
    <w:p w14:paraId="5A047CCF"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33" w:history="1">
        <w:r w:rsidR="00147C63" w:rsidRPr="00E51AE5">
          <w:rPr>
            <w:rStyle w:val="Hyperlien"/>
            <w:noProof/>
            <w:sz w:val="23"/>
            <w:szCs w:val="23"/>
          </w:rPr>
          <w:t>3.1.1.1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articles de journaux et les vidéos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_Toc144367233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20</w:t>
        </w:r>
        <w:r w:rsidR="00147C63" w:rsidRPr="00E51AE5">
          <w:rPr>
            <w:noProof/>
            <w:webHidden/>
            <w:sz w:val="23"/>
            <w:szCs w:val="23"/>
          </w:rPr>
          <w:fldChar w:fldCharType="end"/>
        </w:r>
      </w:hyperlink>
    </w:p>
    <w:p w14:paraId="7934F753"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34" w:history="1">
        <w:r w:rsidR="00147C63" w:rsidRPr="00E51AE5">
          <w:rPr>
            <w:rStyle w:val="Hyperlien"/>
            <w:noProof/>
            <w:sz w:val="23"/>
            <w:szCs w:val="23"/>
          </w:rPr>
          <w:t>3.1.1.2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articles de revues scientifiques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_Toc144367234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21</w:t>
        </w:r>
        <w:r w:rsidR="00147C63" w:rsidRPr="00E51AE5">
          <w:rPr>
            <w:noProof/>
            <w:webHidden/>
            <w:sz w:val="23"/>
            <w:szCs w:val="23"/>
          </w:rPr>
          <w:fldChar w:fldCharType="end"/>
        </w:r>
      </w:hyperlink>
    </w:p>
    <w:p w14:paraId="00011B19"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35" w:history="1">
        <w:r w:rsidR="00147C63" w:rsidRPr="00E51AE5">
          <w:rPr>
            <w:rStyle w:val="Hyperlien"/>
            <w:noProof/>
            <w:sz w:val="23"/>
            <w:szCs w:val="23"/>
            <w:lang w:eastAsia="fr-CA"/>
          </w:rPr>
          <w:t>3.1.1.3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lang w:eastAsia="fr-CA"/>
          </w:rPr>
          <w:t>Les déclarations sous serment</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_Toc144367235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22</w:t>
        </w:r>
        <w:r w:rsidR="00147C63" w:rsidRPr="00E51AE5">
          <w:rPr>
            <w:noProof/>
            <w:webHidden/>
            <w:sz w:val="23"/>
            <w:szCs w:val="23"/>
          </w:rPr>
          <w:fldChar w:fldCharType="end"/>
        </w:r>
      </w:hyperlink>
    </w:p>
    <w:p w14:paraId="45794FF2"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36" w:history="1">
        <w:r w:rsidR="00147C63" w:rsidRPr="00E51AE5">
          <w:rPr>
            <w:rStyle w:val="Hyperlien"/>
            <w:noProof/>
            <w:sz w:val="23"/>
            <w:szCs w:val="23"/>
          </w:rPr>
          <w:t>3.1.2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expertises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_Toc144367236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22</w:t>
        </w:r>
        <w:r w:rsidR="00147C63" w:rsidRPr="00E51AE5">
          <w:rPr>
            <w:noProof/>
            <w:webHidden/>
            <w:sz w:val="23"/>
            <w:szCs w:val="23"/>
          </w:rPr>
          <w:fldChar w:fldCharType="end"/>
        </w:r>
      </w:hyperlink>
    </w:p>
    <w:p w14:paraId="59FCC3CA"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37" w:history="1">
        <w:r w:rsidR="00147C63" w:rsidRPr="00E51AE5">
          <w:rPr>
            <w:rStyle w:val="Hyperlien"/>
            <w:noProof/>
            <w:sz w:val="23"/>
            <w:szCs w:val="23"/>
            <w:lang w:eastAsia="fr-CA"/>
          </w:rPr>
          <w:t>3.1.2.1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lang w:eastAsia="fr-CA"/>
          </w:rPr>
          <w:t>Le Rapport Stand</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_Toc144367237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23</w:t>
        </w:r>
        <w:r w:rsidR="00147C63" w:rsidRPr="00E51AE5">
          <w:rPr>
            <w:noProof/>
            <w:webHidden/>
            <w:sz w:val="23"/>
            <w:szCs w:val="23"/>
          </w:rPr>
          <w:fldChar w:fldCharType="end"/>
        </w:r>
      </w:hyperlink>
    </w:p>
    <w:p w14:paraId="50F01205"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38" w:history="1">
        <w:r w:rsidR="00147C63" w:rsidRPr="00E51AE5">
          <w:rPr>
            <w:rStyle w:val="Hyperlien"/>
            <w:noProof/>
            <w:sz w:val="23"/>
            <w:szCs w:val="23"/>
          </w:rPr>
          <w:t>3.1.2.2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 Rapport Autenne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_Toc144367238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24</w:t>
        </w:r>
        <w:r w:rsidR="00147C63" w:rsidRPr="00E51AE5">
          <w:rPr>
            <w:noProof/>
            <w:webHidden/>
            <w:sz w:val="23"/>
            <w:szCs w:val="23"/>
          </w:rPr>
          <w:fldChar w:fldCharType="end"/>
        </w:r>
      </w:hyperlink>
    </w:p>
    <w:p w14:paraId="24F02A67"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39" w:history="1">
        <w:r w:rsidR="00147C63" w:rsidRPr="00E51AE5">
          <w:rPr>
            <w:rStyle w:val="Hyperlien"/>
            <w:noProof/>
            <w:sz w:val="23"/>
            <w:szCs w:val="23"/>
            <w:lang w:eastAsia="fr-CA"/>
          </w:rPr>
          <w:t>3.1.2.3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w:t>
        </w:r>
        <w:r w:rsidR="00147C63" w:rsidRPr="00E51AE5">
          <w:rPr>
            <w:rStyle w:val="Hyperlien"/>
            <w:noProof/>
            <w:sz w:val="23"/>
            <w:szCs w:val="23"/>
            <w:lang w:eastAsia="fr-CA"/>
          </w:rPr>
          <w:t xml:space="preserve"> Rapport Giroux</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_Toc144367239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25</w:t>
        </w:r>
        <w:r w:rsidR="00147C63" w:rsidRPr="00E51AE5">
          <w:rPr>
            <w:noProof/>
            <w:webHidden/>
            <w:sz w:val="23"/>
            <w:szCs w:val="23"/>
          </w:rPr>
          <w:fldChar w:fldCharType="end"/>
        </w:r>
      </w:hyperlink>
    </w:p>
    <w:p w14:paraId="2C976A11"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40" w:history="1">
        <w:r w:rsidR="00147C63" w:rsidRPr="00E51AE5">
          <w:rPr>
            <w:rStyle w:val="Hyperlien"/>
            <w:noProof/>
            <w:sz w:val="23"/>
            <w:szCs w:val="23"/>
            <w:lang w:eastAsia="fr-CA"/>
          </w:rPr>
          <w:t>3.1.2.4</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lang w:eastAsia="fr-CA"/>
          </w:rPr>
          <w:t>Le Rapport Cadieux-de Bellefeuille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_Toc144367240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27</w:t>
        </w:r>
        <w:r w:rsidR="00147C63" w:rsidRPr="00E51AE5">
          <w:rPr>
            <w:noProof/>
            <w:webHidden/>
            <w:sz w:val="23"/>
            <w:szCs w:val="23"/>
          </w:rPr>
          <w:fldChar w:fldCharType="end"/>
        </w:r>
      </w:hyperlink>
    </w:p>
    <w:p w14:paraId="47CCCDF1" w14:textId="77777777" w:rsidR="00147C63" w:rsidRPr="00E51AE5" w:rsidRDefault="00F9377E" w:rsidP="00147C63">
      <w:pPr>
        <w:pStyle w:val="TM3"/>
        <w:tabs>
          <w:tab w:val="left" w:pos="1200"/>
          <w:tab w:val="right" w:leader="dot" w:pos="9539"/>
        </w:tabs>
        <w:rPr>
          <w:rFonts w:asciiTheme="minorHAnsi" w:eastAsiaTheme="minorEastAsia" w:hAnsiTheme="minorHAnsi" w:cstheme="minorBidi"/>
          <w:noProof/>
          <w:sz w:val="23"/>
          <w:szCs w:val="23"/>
          <w:lang w:eastAsia="fr-CA"/>
        </w:rPr>
      </w:pPr>
      <w:hyperlink w:anchor="_Toc144367241" w:history="1">
        <w:r w:rsidR="00147C63" w:rsidRPr="00E51AE5">
          <w:rPr>
            <w:rStyle w:val="Hyperlien"/>
            <w:noProof/>
            <w:sz w:val="23"/>
            <w:szCs w:val="23"/>
            <w:lang w:eastAsia="fr-CA"/>
          </w:rPr>
          <w:t>3.2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lang w:eastAsia="fr-CA"/>
          </w:rPr>
          <w:t>Le cadre juridique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_Toc144367241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30</w:t>
        </w:r>
        <w:r w:rsidR="00147C63" w:rsidRPr="00E51AE5">
          <w:rPr>
            <w:noProof/>
            <w:webHidden/>
            <w:sz w:val="23"/>
            <w:szCs w:val="23"/>
          </w:rPr>
          <w:fldChar w:fldCharType="end"/>
        </w:r>
      </w:hyperlink>
    </w:p>
    <w:p w14:paraId="17056022"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42" w:history="1">
        <w:r w:rsidR="00147C63" w:rsidRPr="00E51AE5">
          <w:rPr>
            <w:rStyle w:val="Hyperlien"/>
            <w:noProof/>
            <w:sz w:val="23"/>
            <w:szCs w:val="23"/>
            <w:lang w:eastAsia="fr-CA"/>
          </w:rPr>
          <w:t>3.2.1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lang w:eastAsia="fr-CA"/>
          </w:rPr>
          <w:t>La Ville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_Toc144367242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30</w:t>
        </w:r>
        <w:r w:rsidR="00147C63" w:rsidRPr="00E51AE5">
          <w:rPr>
            <w:noProof/>
            <w:webHidden/>
            <w:sz w:val="23"/>
            <w:szCs w:val="23"/>
          </w:rPr>
          <w:fldChar w:fldCharType="end"/>
        </w:r>
      </w:hyperlink>
    </w:p>
    <w:p w14:paraId="4445BA10"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43" w:history="1">
        <w:r w:rsidR="00147C63" w:rsidRPr="00E51AE5">
          <w:rPr>
            <w:rStyle w:val="Hyperlien"/>
            <w:noProof/>
            <w:sz w:val="23"/>
            <w:szCs w:val="23"/>
          </w:rPr>
          <w:t>3.2.2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 MFFP</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_Toc144367243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31</w:t>
        </w:r>
        <w:r w:rsidR="00147C63" w:rsidRPr="00E51AE5">
          <w:rPr>
            <w:noProof/>
            <w:webHidden/>
            <w:sz w:val="23"/>
            <w:szCs w:val="23"/>
          </w:rPr>
          <w:fldChar w:fldCharType="end"/>
        </w:r>
      </w:hyperlink>
    </w:p>
    <w:p w14:paraId="41FFDD1E"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44" w:history="1">
        <w:r w:rsidR="00147C63" w:rsidRPr="00E51AE5">
          <w:rPr>
            <w:rStyle w:val="Hyperlien"/>
            <w:noProof/>
            <w:sz w:val="23"/>
            <w:szCs w:val="23"/>
          </w:rPr>
          <w:t>3.2.3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 xml:space="preserve">L'article 898.1 du </w:t>
        </w:r>
        <w:r w:rsidR="00147C63" w:rsidRPr="00E51AE5">
          <w:rPr>
            <w:rStyle w:val="Hyperlien"/>
            <w:i/>
            <w:iCs/>
            <w:noProof/>
            <w:sz w:val="23"/>
            <w:szCs w:val="23"/>
          </w:rPr>
          <w:t xml:space="preserve">Code civil du Québec </w:t>
        </w:r>
        <w:r w:rsidR="00147C63" w:rsidRPr="00E51AE5">
          <w:rPr>
            <w:rStyle w:val="Hyperlien"/>
            <w:noProof/>
            <w:sz w:val="23"/>
            <w:szCs w:val="23"/>
          </w:rPr>
          <w:t>(C.c.Q.)</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_Toc144367244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32</w:t>
        </w:r>
        <w:r w:rsidR="00147C63" w:rsidRPr="00E51AE5">
          <w:rPr>
            <w:noProof/>
            <w:webHidden/>
            <w:sz w:val="23"/>
            <w:szCs w:val="23"/>
          </w:rPr>
          <w:fldChar w:fldCharType="end"/>
        </w:r>
      </w:hyperlink>
    </w:p>
    <w:p w14:paraId="0FD2918E" w14:textId="77777777" w:rsidR="00147C63" w:rsidRPr="00E51AE5" w:rsidRDefault="00F9377E" w:rsidP="00147C63">
      <w:pPr>
        <w:pStyle w:val="TM3"/>
        <w:tabs>
          <w:tab w:val="left" w:pos="1200"/>
          <w:tab w:val="right" w:leader="dot" w:pos="9539"/>
        </w:tabs>
        <w:rPr>
          <w:rFonts w:asciiTheme="minorHAnsi" w:eastAsiaTheme="minorEastAsia" w:hAnsiTheme="minorHAnsi" w:cstheme="minorBidi"/>
          <w:noProof/>
          <w:sz w:val="23"/>
          <w:szCs w:val="23"/>
          <w:lang w:eastAsia="fr-CA"/>
        </w:rPr>
      </w:pPr>
      <w:hyperlink w:anchor="_Toc144367245" w:history="1">
        <w:r w:rsidR="00147C63" w:rsidRPr="00E51AE5">
          <w:rPr>
            <w:rStyle w:val="Hyperlien"/>
            <w:noProof/>
            <w:sz w:val="23"/>
            <w:szCs w:val="23"/>
          </w:rPr>
          <w:t>3.3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La raisonnabilité de la Résolution et de la délivrance du Permis SEG</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_Toc144367245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36</w:t>
        </w:r>
        <w:r w:rsidR="00147C63" w:rsidRPr="00E51AE5">
          <w:rPr>
            <w:noProof/>
            <w:webHidden/>
            <w:sz w:val="23"/>
            <w:szCs w:val="23"/>
          </w:rPr>
          <w:fldChar w:fldCharType="end"/>
        </w:r>
      </w:hyperlink>
    </w:p>
    <w:p w14:paraId="1C26BD45"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46" w:history="1">
        <w:r w:rsidR="00147C63" w:rsidRPr="00E51AE5">
          <w:rPr>
            <w:rStyle w:val="Hyperlien"/>
            <w:noProof/>
            <w:sz w:val="23"/>
            <w:szCs w:val="23"/>
          </w:rPr>
          <w:t>3.3.1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La Résolution</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_Toc144367246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36</w:t>
        </w:r>
        <w:r w:rsidR="00147C63" w:rsidRPr="00E51AE5">
          <w:rPr>
            <w:noProof/>
            <w:webHidden/>
            <w:sz w:val="23"/>
            <w:szCs w:val="23"/>
          </w:rPr>
          <w:fldChar w:fldCharType="end"/>
        </w:r>
      </w:hyperlink>
    </w:p>
    <w:p w14:paraId="1537BAE3"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47" w:history="1">
        <w:r w:rsidR="00147C63" w:rsidRPr="00E51AE5">
          <w:rPr>
            <w:rStyle w:val="Hyperlien"/>
            <w:noProof/>
            <w:sz w:val="23"/>
            <w:szCs w:val="23"/>
          </w:rPr>
          <w:t>3.3.1.1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Historique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_Toc144367247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36</w:t>
        </w:r>
        <w:r w:rsidR="00147C63" w:rsidRPr="00E51AE5">
          <w:rPr>
            <w:noProof/>
            <w:webHidden/>
            <w:sz w:val="23"/>
            <w:szCs w:val="23"/>
          </w:rPr>
          <w:fldChar w:fldCharType="end"/>
        </w:r>
      </w:hyperlink>
    </w:p>
    <w:p w14:paraId="1609607F"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48" w:history="1">
        <w:r w:rsidR="00147C63" w:rsidRPr="00E51AE5">
          <w:rPr>
            <w:rStyle w:val="Hyperlien"/>
            <w:noProof/>
            <w:sz w:val="23"/>
            <w:szCs w:val="23"/>
          </w:rPr>
          <w:t>3.3.1.2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enjeux posés par la surpopulation de cerfs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_Toc144367248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37</w:t>
        </w:r>
        <w:r w:rsidR="00147C63" w:rsidRPr="00E51AE5">
          <w:rPr>
            <w:noProof/>
            <w:webHidden/>
            <w:sz w:val="23"/>
            <w:szCs w:val="23"/>
          </w:rPr>
          <w:fldChar w:fldCharType="end"/>
        </w:r>
      </w:hyperlink>
    </w:p>
    <w:p w14:paraId="00C7AD4D"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49" w:history="1">
        <w:r w:rsidR="00147C63" w:rsidRPr="00E51AE5">
          <w:rPr>
            <w:rStyle w:val="Hyperlien"/>
            <w:noProof/>
            <w:sz w:val="23"/>
            <w:szCs w:val="23"/>
          </w:rPr>
          <w:t>3.3.1.3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Les solutions envisagées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_Toc144367249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38</w:t>
        </w:r>
        <w:r w:rsidR="00147C63" w:rsidRPr="00E51AE5">
          <w:rPr>
            <w:noProof/>
            <w:webHidden/>
            <w:sz w:val="23"/>
            <w:szCs w:val="23"/>
          </w:rPr>
          <w:fldChar w:fldCharType="end"/>
        </w:r>
      </w:hyperlink>
    </w:p>
    <w:p w14:paraId="07500931"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50" w:history="1">
        <w:r w:rsidR="00147C63" w:rsidRPr="00E51AE5">
          <w:rPr>
            <w:rStyle w:val="Hyperlien"/>
            <w:noProof/>
            <w:sz w:val="23"/>
            <w:szCs w:val="23"/>
          </w:rPr>
          <w:t>3.3.2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La délivrance du Permis SEG</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_Toc144367250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43</w:t>
        </w:r>
        <w:r w:rsidR="00147C63" w:rsidRPr="00E51AE5">
          <w:rPr>
            <w:noProof/>
            <w:webHidden/>
            <w:sz w:val="23"/>
            <w:szCs w:val="23"/>
          </w:rPr>
          <w:fldChar w:fldCharType="end"/>
        </w:r>
      </w:hyperlink>
    </w:p>
    <w:p w14:paraId="247D4258"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51" w:history="1">
        <w:r w:rsidR="00147C63" w:rsidRPr="00E51AE5">
          <w:rPr>
            <w:rStyle w:val="Hyperlien"/>
            <w:noProof/>
            <w:sz w:val="23"/>
            <w:szCs w:val="23"/>
          </w:rPr>
          <w:t>3.3.2.1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L’efficacité de la méthode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_Toc144367251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44</w:t>
        </w:r>
        <w:r w:rsidR="00147C63" w:rsidRPr="00E51AE5">
          <w:rPr>
            <w:noProof/>
            <w:webHidden/>
            <w:sz w:val="23"/>
            <w:szCs w:val="23"/>
          </w:rPr>
          <w:fldChar w:fldCharType="end"/>
        </w:r>
      </w:hyperlink>
    </w:p>
    <w:p w14:paraId="7466E905"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52" w:history="1">
        <w:r w:rsidR="00147C63" w:rsidRPr="00E51AE5">
          <w:rPr>
            <w:rStyle w:val="Hyperlien"/>
            <w:noProof/>
            <w:sz w:val="23"/>
            <w:szCs w:val="23"/>
          </w:rPr>
          <w:t>3.3.2.2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La validation de la taille de l’échantillonnage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_Toc144367252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45</w:t>
        </w:r>
        <w:r w:rsidR="00147C63" w:rsidRPr="00E51AE5">
          <w:rPr>
            <w:noProof/>
            <w:webHidden/>
            <w:sz w:val="23"/>
            <w:szCs w:val="23"/>
          </w:rPr>
          <w:fldChar w:fldCharType="end"/>
        </w:r>
      </w:hyperlink>
    </w:p>
    <w:p w14:paraId="2B064C1B"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53" w:history="1">
        <w:r w:rsidR="00147C63" w:rsidRPr="00E51AE5">
          <w:rPr>
            <w:rStyle w:val="Hyperlien"/>
            <w:noProof/>
            <w:sz w:val="23"/>
            <w:szCs w:val="23"/>
          </w:rPr>
          <w:t>3.3.2.3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La vérification des mesures préventives ou correctrices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_Toc144367253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46</w:t>
        </w:r>
        <w:r w:rsidR="00147C63" w:rsidRPr="00E51AE5">
          <w:rPr>
            <w:noProof/>
            <w:webHidden/>
            <w:sz w:val="23"/>
            <w:szCs w:val="23"/>
          </w:rPr>
          <w:fldChar w:fldCharType="end"/>
        </w:r>
      </w:hyperlink>
    </w:p>
    <w:p w14:paraId="2BA27D9A"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54" w:history="1">
        <w:r w:rsidR="00147C63" w:rsidRPr="00E51AE5">
          <w:rPr>
            <w:rStyle w:val="Hyperlien"/>
            <w:noProof/>
            <w:sz w:val="23"/>
            <w:szCs w:val="23"/>
          </w:rPr>
          <w:t>3.3.2.4</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L’éthique et le bien-être animal</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_Toc144367254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47</w:t>
        </w:r>
        <w:r w:rsidR="00147C63" w:rsidRPr="00E51AE5">
          <w:rPr>
            <w:noProof/>
            <w:webHidden/>
            <w:sz w:val="23"/>
            <w:szCs w:val="23"/>
          </w:rPr>
          <w:fldChar w:fldCharType="end"/>
        </w:r>
      </w:hyperlink>
    </w:p>
    <w:p w14:paraId="13B955F7" w14:textId="77777777" w:rsidR="00147C63" w:rsidRPr="00E51AE5" w:rsidRDefault="00F9377E" w:rsidP="00147C63">
      <w:pPr>
        <w:pStyle w:val="TM4"/>
        <w:tabs>
          <w:tab w:val="left" w:pos="1540"/>
          <w:tab w:val="right" w:leader="dot" w:pos="9539"/>
        </w:tabs>
        <w:spacing w:after="0"/>
        <w:rPr>
          <w:rFonts w:asciiTheme="minorHAnsi" w:eastAsiaTheme="minorEastAsia" w:hAnsiTheme="minorHAnsi" w:cstheme="minorBidi"/>
          <w:noProof/>
          <w:sz w:val="23"/>
          <w:szCs w:val="23"/>
          <w:lang w:eastAsia="fr-CA"/>
        </w:rPr>
      </w:pPr>
      <w:hyperlink w:anchor="_Toc144367255" w:history="1">
        <w:r w:rsidR="00147C63" w:rsidRPr="00E51AE5">
          <w:rPr>
            <w:rStyle w:val="Hyperlien"/>
            <w:noProof/>
            <w:sz w:val="23"/>
            <w:szCs w:val="23"/>
          </w:rPr>
          <w:t>3.3.3</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Discussion</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_Toc144367255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48</w:t>
        </w:r>
        <w:r w:rsidR="00147C63" w:rsidRPr="00E51AE5">
          <w:rPr>
            <w:noProof/>
            <w:webHidden/>
            <w:sz w:val="23"/>
            <w:szCs w:val="23"/>
          </w:rPr>
          <w:fldChar w:fldCharType="end"/>
        </w:r>
      </w:hyperlink>
    </w:p>
    <w:p w14:paraId="4823901D"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56" w:history="1">
        <w:r w:rsidR="00147C63" w:rsidRPr="00E51AE5">
          <w:rPr>
            <w:rStyle w:val="Hyperlien"/>
            <w:noProof/>
            <w:sz w:val="23"/>
            <w:szCs w:val="23"/>
          </w:rPr>
          <w:t>3.3.3.1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Incohérence du raisonnement</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_Toc144367256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49</w:t>
        </w:r>
        <w:r w:rsidR="00147C63" w:rsidRPr="00E51AE5">
          <w:rPr>
            <w:noProof/>
            <w:webHidden/>
            <w:sz w:val="23"/>
            <w:szCs w:val="23"/>
          </w:rPr>
          <w:fldChar w:fldCharType="end"/>
        </w:r>
      </w:hyperlink>
    </w:p>
    <w:p w14:paraId="175C88E5" w14:textId="77777777" w:rsidR="00147C63" w:rsidRPr="00E51AE5" w:rsidRDefault="00F9377E" w:rsidP="00147C63">
      <w:pPr>
        <w:pStyle w:val="TM5"/>
        <w:tabs>
          <w:tab w:val="left" w:pos="1914"/>
          <w:tab w:val="right" w:leader="dot" w:pos="9539"/>
        </w:tabs>
        <w:spacing w:after="0"/>
        <w:rPr>
          <w:rFonts w:asciiTheme="minorHAnsi" w:eastAsiaTheme="minorEastAsia" w:hAnsiTheme="minorHAnsi" w:cstheme="minorBidi"/>
          <w:noProof/>
          <w:sz w:val="23"/>
          <w:szCs w:val="23"/>
          <w:lang w:eastAsia="fr-CA"/>
        </w:rPr>
      </w:pPr>
      <w:hyperlink w:anchor="_Toc144367257" w:history="1">
        <w:r w:rsidR="00147C63" w:rsidRPr="00E51AE5">
          <w:rPr>
            <w:rStyle w:val="Hyperlien"/>
            <w:noProof/>
            <w:sz w:val="23"/>
            <w:szCs w:val="23"/>
          </w:rPr>
          <w:t>3.3.3.2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Le choix de la méthode de la chasse contrôlée à l’arbalète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_Toc144367257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50</w:t>
        </w:r>
        <w:r w:rsidR="00147C63" w:rsidRPr="00E51AE5">
          <w:rPr>
            <w:noProof/>
            <w:webHidden/>
            <w:sz w:val="23"/>
            <w:szCs w:val="23"/>
          </w:rPr>
          <w:fldChar w:fldCharType="end"/>
        </w:r>
      </w:hyperlink>
    </w:p>
    <w:p w14:paraId="53FC834B" w14:textId="77777777" w:rsidR="00147C63" w:rsidRPr="00E51AE5" w:rsidRDefault="00F9377E" w:rsidP="00147C63">
      <w:pPr>
        <w:pStyle w:val="TM6"/>
        <w:rPr>
          <w:rFonts w:asciiTheme="minorHAnsi" w:eastAsiaTheme="minorEastAsia" w:hAnsiTheme="minorHAnsi" w:cstheme="minorBidi"/>
          <w:noProof/>
          <w:sz w:val="23"/>
          <w:szCs w:val="23"/>
          <w:lang w:eastAsia="fr-CA"/>
        </w:rPr>
      </w:pPr>
      <w:hyperlink w:anchor="_Toc144367258" w:history="1">
        <w:r w:rsidR="00147C63" w:rsidRPr="00E51AE5">
          <w:rPr>
            <w:rStyle w:val="Hyperlien"/>
            <w:noProof/>
            <w:sz w:val="23"/>
            <w:szCs w:val="23"/>
          </w:rPr>
          <w:t>3.3.3.2.1</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Méthodes alternatives</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_Toc144367258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50</w:t>
        </w:r>
        <w:r w:rsidR="00147C63" w:rsidRPr="00E51AE5">
          <w:rPr>
            <w:noProof/>
            <w:webHidden/>
            <w:sz w:val="23"/>
            <w:szCs w:val="23"/>
          </w:rPr>
          <w:fldChar w:fldCharType="end"/>
        </w:r>
      </w:hyperlink>
    </w:p>
    <w:p w14:paraId="1945C6BD" w14:textId="77777777" w:rsidR="00147C63" w:rsidRPr="00E51AE5" w:rsidRDefault="00F9377E" w:rsidP="00147C63">
      <w:pPr>
        <w:pStyle w:val="TM6"/>
        <w:rPr>
          <w:rFonts w:asciiTheme="minorHAnsi" w:eastAsiaTheme="minorEastAsia" w:hAnsiTheme="minorHAnsi" w:cstheme="minorBidi"/>
          <w:noProof/>
          <w:sz w:val="23"/>
          <w:szCs w:val="23"/>
          <w:lang w:eastAsia="fr-CA"/>
        </w:rPr>
      </w:pPr>
      <w:hyperlink w:anchor="_Toc144367259" w:history="1">
        <w:r w:rsidR="00147C63" w:rsidRPr="00E51AE5">
          <w:rPr>
            <w:rStyle w:val="Hyperlien"/>
            <w:noProof/>
            <w:sz w:val="23"/>
            <w:szCs w:val="23"/>
          </w:rPr>
          <w:t>3.3.3.2.2</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Une décision raisonnable</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_Toc144367259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52</w:t>
        </w:r>
        <w:r w:rsidR="00147C63" w:rsidRPr="00E51AE5">
          <w:rPr>
            <w:noProof/>
            <w:webHidden/>
            <w:sz w:val="23"/>
            <w:szCs w:val="23"/>
          </w:rPr>
          <w:fldChar w:fldCharType="end"/>
        </w:r>
      </w:hyperlink>
    </w:p>
    <w:p w14:paraId="24E6091E" w14:textId="77777777" w:rsidR="00147C63" w:rsidRDefault="00F9377E" w:rsidP="00147C63">
      <w:pPr>
        <w:pStyle w:val="TM1"/>
        <w:tabs>
          <w:tab w:val="left" w:pos="709"/>
          <w:tab w:val="right" w:leader="dot" w:pos="9539"/>
        </w:tabs>
        <w:rPr>
          <w:rFonts w:asciiTheme="minorHAnsi" w:eastAsiaTheme="minorEastAsia" w:hAnsiTheme="minorHAnsi" w:cstheme="minorBidi"/>
          <w:noProof/>
          <w:sz w:val="22"/>
          <w:szCs w:val="22"/>
          <w:lang w:eastAsia="fr-CA"/>
        </w:rPr>
      </w:pPr>
      <w:hyperlink w:anchor="_Toc144367260" w:history="1">
        <w:r w:rsidR="00147C63" w:rsidRPr="00E51AE5">
          <w:rPr>
            <w:rStyle w:val="Hyperlien"/>
            <w:noProof/>
            <w:sz w:val="23"/>
            <w:szCs w:val="23"/>
          </w:rPr>
          <w:t>IV.</w:t>
        </w:r>
        <w:r w:rsidR="00147C63" w:rsidRPr="00E51AE5">
          <w:rPr>
            <w:rFonts w:asciiTheme="minorHAnsi" w:eastAsiaTheme="minorEastAsia" w:hAnsiTheme="minorHAnsi" w:cstheme="minorBidi"/>
            <w:noProof/>
            <w:sz w:val="23"/>
            <w:szCs w:val="23"/>
            <w:lang w:eastAsia="fr-CA"/>
          </w:rPr>
          <w:tab/>
        </w:r>
        <w:r w:rsidR="00147C63" w:rsidRPr="00E51AE5">
          <w:rPr>
            <w:rStyle w:val="Hyperlien"/>
            <w:noProof/>
            <w:sz w:val="23"/>
            <w:szCs w:val="23"/>
          </w:rPr>
          <w:t>CONCLUSION</w:t>
        </w:r>
        <w:r w:rsidR="00147C63" w:rsidRPr="00E51AE5">
          <w:rPr>
            <w:noProof/>
            <w:webHidden/>
            <w:sz w:val="23"/>
            <w:szCs w:val="23"/>
          </w:rPr>
          <w:tab/>
        </w:r>
        <w:r w:rsidR="00147C63" w:rsidRPr="00E51AE5">
          <w:rPr>
            <w:noProof/>
            <w:webHidden/>
            <w:sz w:val="23"/>
            <w:szCs w:val="23"/>
          </w:rPr>
          <w:fldChar w:fldCharType="begin"/>
        </w:r>
        <w:r w:rsidR="00147C63" w:rsidRPr="00E51AE5">
          <w:rPr>
            <w:noProof/>
            <w:webHidden/>
            <w:sz w:val="23"/>
            <w:szCs w:val="23"/>
          </w:rPr>
          <w:instrText xml:space="preserve"> PAGEREF _Toc144367260 \h </w:instrText>
        </w:r>
        <w:r w:rsidR="00147C63" w:rsidRPr="00E51AE5">
          <w:rPr>
            <w:noProof/>
            <w:webHidden/>
            <w:sz w:val="23"/>
            <w:szCs w:val="23"/>
          </w:rPr>
        </w:r>
        <w:r w:rsidR="00147C63" w:rsidRPr="00E51AE5">
          <w:rPr>
            <w:noProof/>
            <w:webHidden/>
            <w:sz w:val="23"/>
            <w:szCs w:val="23"/>
          </w:rPr>
          <w:fldChar w:fldCharType="separate"/>
        </w:r>
        <w:r w:rsidR="00147C63">
          <w:rPr>
            <w:noProof/>
            <w:webHidden/>
            <w:sz w:val="23"/>
            <w:szCs w:val="23"/>
          </w:rPr>
          <w:t>56</w:t>
        </w:r>
        <w:r w:rsidR="00147C63" w:rsidRPr="00E51AE5">
          <w:rPr>
            <w:noProof/>
            <w:webHidden/>
            <w:sz w:val="23"/>
            <w:szCs w:val="23"/>
          </w:rPr>
          <w:fldChar w:fldCharType="end"/>
        </w:r>
      </w:hyperlink>
    </w:p>
    <w:p w14:paraId="659546E5" w14:textId="27F8902D" w:rsidR="00D94852" w:rsidRDefault="00147C63" w:rsidP="00147C63">
      <w:pPr>
        <w:rPr>
          <w:sz w:val="22"/>
          <w:szCs w:val="22"/>
        </w:rPr>
      </w:pPr>
      <w:r w:rsidRPr="00D94852">
        <w:rPr>
          <w:sz w:val="22"/>
          <w:szCs w:val="22"/>
        </w:rPr>
        <w:fldChar w:fldCharType="end"/>
      </w:r>
    </w:p>
    <w:p w14:paraId="70A46E3F" w14:textId="77777777" w:rsidR="00E51AE5" w:rsidRPr="00B36C05" w:rsidRDefault="00E51AE5" w:rsidP="00D94852">
      <w:pPr>
        <w:rPr>
          <w:sz w:val="22"/>
          <w:szCs w:val="22"/>
        </w:rPr>
      </w:pPr>
    </w:p>
    <w:p w14:paraId="6BCCA6B6" w14:textId="14C14CED" w:rsidR="00772542" w:rsidRPr="00914E07" w:rsidRDefault="00772542" w:rsidP="007C5E13">
      <w:pPr>
        <w:pStyle w:val="Titre"/>
        <w:widowControl w:val="0"/>
        <w:numPr>
          <w:ilvl w:val="0"/>
          <w:numId w:val="23"/>
        </w:numPr>
        <w:spacing w:before="120" w:after="120" w:line="360" w:lineRule="auto"/>
        <w:jc w:val="left"/>
        <w:rPr>
          <w:sz w:val="24"/>
          <w:szCs w:val="24"/>
        </w:rPr>
      </w:pPr>
      <w:bookmarkStart w:id="4" w:name="_Toc144367220"/>
      <w:bookmarkStart w:id="5" w:name="_Hlk144285633"/>
      <w:r w:rsidRPr="00914E07">
        <w:rPr>
          <w:sz w:val="24"/>
          <w:szCs w:val="24"/>
        </w:rPr>
        <w:lastRenderedPageBreak/>
        <w:t>APERÇU</w:t>
      </w:r>
      <w:bookmarkEnd w:id="0"/>
      <w:bookmarkEnd w:id="1"/>
      <w:bookmarkEnd w:id="2"/>
      <w:bookmarkEnd w:id="4"/>
    </w:p>
    <w:bookmarkEnd w:id="5"/>
    <w:p w14:paraId="74E6D378" w14:textId="3C3EF3F5" w:rsidR="001B17C9" w:rsidRDefault="00CF3093" w:rsidP="00031308">
      <w:pPr>
        <w:widowControl w:val="0"/>
        <w:numPr>
          <w:ilvl w:val="0"/>
          <w:numId w:val="1"/>
        </w:numPr>
        <w:tabs>
          <w:tab w:val="clear" w:pos="360"/>
        </w:tabs>
        <w:spacing w:before="120" w:after="120"/>
        <w:jc w:val="both"/>
        <w:rPr>
          <w:kern w:val="28"/>
        </w:rPr>
      </w:pPr>
      <w:r>
        <w:rPr>
          <w:kern w:val="28"/>
        </w:rPr>
        <w:t xml:space="preserve">Pour le bonheur des uns et au grand dam des autres, un cheptel de cerfs de Virginie </w:t>
      </w:r>
      <w:r w:rsidR="00545198">
        <w:rPr>
          <w:kern w:val="28"/>
        </w:rPr>
        <w:t>occupe</w:t>
      </w:r>
      <w:r>
        <w:rPr>
          <w:kern w:val="28"/>
        </w:rPr>
        <w:t xml:space="preserve"> le Parc Michel-Chartrand, un milieu naturel situé dans une zone largement urbanisée de la Ville de Longueuil (la </w:t>
      </w:r>
      <w:r w:rsidRPr="00CF3093">
        <w:rPr>
          <w:b/>
          <w:bCs/>
          <w:kern w:val="28"/>
        </w:rPr>
        <w:t>Ville</w:t>
      </w:r>
      <w:r>
        <w:rPr>
          <w:kern w:val="28"/>
        </w:rPr>
        <w:t>).</w:t>
      </w:r>
    </w:p>
    <w:p w14:paraId="3D1E10B3" w14:textId="534ABCB6" w:rsidR="001B17C9" w:rsidRDefault="00CF3093" w:rsidP="00031308">
      <w:pPr>
        <w:widowControl w:val="0"/>
        <w:numPr>
          <w:ilvl w:val="0"/>
          <w:numId w:val="1"/>
        </w:numPr>
        <w:tabs>
          <w:tab w:val="clear" w:pos="360"/>
        </w:tabs>
        <w:spacing w:before="120" w:after="120"/>
        <w:jc w:val="both"/>
        <w:rPr>
          <w:kern w:val="28"/>
        </w:rPr>
      </w:pPr>
      <w:r>
        <w:rPr>
          <w:kern w:val="28"/>
        </w:rPr>
        <w:t>Le 13 juillet 202</w:t>
      </w:r>
      <w:r w:rsidR="00B93ECF">
        <w:rPr>
          <w:kern w:val="28"/>
        </w:rPr>
        <w:t>2</w:t>
      </w:r>
      <w:r>
        <w:rPr>
          <w:kern w:val="28"/>
        </w:rPr>
        <w:t xml:space="preserve">, estimant que la population de cerfs du Parc dépasse largement sa capacité d’accueil, le comité exécutif de la Ville adopte une résolution instruisant un représentant de la Direction du génie de déposer auprès du ministère des Forêts, de la Faune et des </w:t>
      </w:r>
      <w:r w:rsidR="00210C21">
        <w:rPr>
          <w:kern w:val="28"/>
        </w:rPr>
        <w:t>P</w:t>
      </w:r>
      <w:r>
        <w:rPr>
          <w:kern w:val="28"/>
        </w:rPr>
        <w:t xml:space="preserve">arcs (le </w:t>
      </w:r>
      <w:r w:rsidRPr="00CF3093">
        <w:rPr>
          <w:b/>
          <w:bCs/>
          <w:kern w:val="28"/>
        </w:rPr>
        <w:t>MFFP</w:t>
      </w:r>
      <w:r>
        <w:rPr>
          <w:kern w:val="28"/>
        </w:rPr>
        <w:t>)</w:t>
      </w:r>
      <w:r>
        <w:rPr>
          <w:rStyle w:val="Appelnotedebasdep"/>
          <w:kern w:val="28"/>
        </w:rPr>
        <w:footnoteReference w:id="1"/>
      </w:r>
      <w:r>
        <w:rPr>
          <w:kern w:val="28"/>
        </w:rPr>
        <w:t xml:space="preserve"> une demande de permis l’autorisant à effectuer une chasse contrôlée des cerfs</w:t>
      </w:r>
      <w:r>
        <w:rPr>
          <w:rStyle w:val="Appelnotedebasdep"/>
          <w:kern w:val="28"/>
        </w:rPr>
        <w:footnoteReference w:id="2"/>
      </w:r>
      <w:r>
        <w:rPr>
          <w:kern w:val="28"/>
        </w:rPr>
        <w:t xml:space="preserve"> (la </w:t>
      </w:r>
      <w:r w:rsidRPr="00CF3093">
        <w:rPr>
          <w:b/>
          <w:bCs/>
          <w:kern w:val="28"/>
        </w:rPr>
        <w:t>Résolution</w:t>
      </w:r>
      <w:r>
        <w:rPr>
          <w:kern w:val="28"/>
        </w:rPr>
        <w:t>)</w:t>
      </w:r>
      <w:r w:rsidR="001B17C9">
        <w:rPr>
          <w:kern w:val="28"/>
        </w:rPr>
        <w:t>.</w:t>
      </w:r>
    </w:p>
    <w:p w14:paraId="40B92479" w14:textId="6B5117D9" w:rsidR="00CF3093" w:rsidRDefault="00CF3093" w:rsidP="00031308">
      <w:pPr>
        <w:widowControl w:val="0"/>
        <w:numPr>
          <w:ilvl w:val="0"/>
          <w:numId w:val="1"/>
        </w:numPr>
        <w:tabs>
          <w:tab w:val="clear" w:pos="360"/>
        </w:tabs>
        <w:spacing w:before="120" w:after="120"/>
        <w:jc w:val="both"/>
        <w:rPr>
          <w:kern w:val="28"/>
        </w:rPr>
      </w:pPr>
      <w:r>
        <w:rPr>
          <w:kern w:val="28"/>
        </w:rPr>
        <w:t xml:space="preserve">Le 12 août 2022, le MFFP délivre à la Ville un permis l’autorisant à procéder à une chasse contrôlée à l’arbalète d’un maximum de 100 cerfs (le </w:t>
      </w:r>
      <w:r w:rsidRPr="001638EE">
        <w:rPr>
          <w:b/>
          <w:bCs/>
          <w:kern w:val="28"/>
        </w:rPr>
        <w:t>Permis SEG</w:t>
      </w:r>
      <w:r>
        <w:rPr>
          <w:kern w:val="28"/>
        </w:rPr>
        <w:t>)</w:t>
      </w:r>
      <w:r>
        <w:rPr>
          <w:rStyle w:val="Appelnotedebasdep"/>
          <w:kern w:val="28"/>
        </w:rPr>
        <w:footnoteReference w:id="3"/>
      </w:r>
      <w:r w:rsidR="001638EE">
        <w:rPr>
          <w:kern w:val="28"/>
        </w:rPr>
        <w:t>.</w:t>
      </w:r>
    </w:p>
    <w:p w14:paraId="210CC48A" w14:textId="7E2E6279" w:rsidR="001638EE" w:rsidRDefault="001638EE" w:rsidP="00031308">
      <w:pPr>
        <w:widowControl w:val="0"/>
        <w:numPr>
          <w:ilvl w:val="0"/>
          <w:numId w:val="1"/>
        </w:numPr>
        <w:tabs>
          <w:tab w:val="clear" w:pos="360"/>
        </w:tabs>
        <w:spacing w:before="120" w:after="120"/>
        <w:jc w:val="both"/>
        <w:rPr>
          <w:kern w:val="28"/>
        </w:rPr>
      </w:pPr>
      <w:r>
        <w:rPr>
          <w:kern w:val="28"/>
        </w:rPr>
        <w:t>Service Sauvetage Animal</w:t>
      </w:r>
      <w:r w:rsidR="0002076F">
        <w:rPr>
          <w:kern w:val="28"/>
        </w:rPr>
        <w:t xml:space="preserve"> (</w:t>
      </w:r>
      <w:r w:rsidR="0002076F" w:rsidRPr="0002076F">
        <w:rPr>
          <w:b/>
          <w:bCs/>
          <w:kern w:val="28"/>
        </w:rPr>
        <w:t>SSA</w:t>
      </w:r>
      <w:r w:rsidR="0002076F">
        <w:rPr>
          <w:kern w:val="28"/>
        </w:rPr>
        <w:t>)</w:t>
      </w:r>
      <w:r>
        <w:rPr>
          <w:kern w:val="28"/>
        </w:rPr>
        <w:t xml:space="preserve"> et Florence Meney </w:t>
      </w:r>
      <w:r w:rsidR="0002076F">
        <w:rPr>
          <w:kern w:val="28"/>
        </w:rPr>
        <w:t>(</w:t>
      </w:r>
      <w:r w:rsidR="0002076F" w:rsidRPr="0002076F">
        <w:rPr>
          <w:b/>
          <w:bCs/>
          <w:kern w:val="28"/>
        </w:rPr>
        <w:t>Meney</w:t>
      </w:r>
      <w:r w:rsidR="0002076F">
        <w:rPr>
          <w:kern w:val="28"/>
        </w:rPr>
        <w:t>)</w:t>
      </w:r>
      <w:r w:rsidR="0002076F">
        <w:rPr>
          <w:rStyle w:val="Appelnotedebasdep"/>
          <w:kern w:val="28"/>
        </w:rPr>
        <w:footnoteReference w:id="4"/>
      </w:r>
      <w:r w:rsidR="0002076F">
        <w:rPr>
          <w:kern w:val="28"/>
        </w:rPr>
        <w:t xml:space="preserve"> </w:t>
      </w:r>
      <w:r>
        <w:rPr>
          <w:kern w:val="28"/>
        </w:rPr>
        <w:t xml:space="preserve">demandent l’annulation de la Résolution et du Permis SEG. La Société canadienne pour la prévention </w:t>
      </w:r>
      <w:r w:rsidR="005F0993">
        <w:rPr>
          <w:kern w:val="28"/>
        </w:rPr>
        <w:t>d</w:t>
      </w:r>
      <w:r>
        <w:rPr>
          <w:kern w:val="28"/>
        </w:rPr>
        <w:t xml:space="preserve">e la cruauté envers les animaux </w:t>
      </w:r>
      <w:r w:rsidR="00567B68">
        <w:rPr>
          <w:kern w:val="28"/>
        </w:rPr>
        <w:t>(</w:t>
      </w:r>
      <w:r w:rsidR="00CC3FCD" w:rsidRPr="00CC3FCD">
        <w:rPr>
          <w:kern w:val="28"/>
        </w:rPr>
        <w:t>la</w:t>
      </w:r>
      <w:r w:rsidR="00CC3FCD">
        <w:rPr>
          <w:b/>
          <w:bCs/>
          <w:kern w:val="28"/>
        </w:rPr>
        <w:t xml:space="preserve"> SPCA</w:t>
      </w:r>
      <w:r w:rsidR="00567B68">
        <w:rPr>
          <w:kern w:val="28"/>
        </w:rPr>
        <w:t xml:space="preserve">) </w:t>
      </w:r>
      <w:r>
        <w:rPr>
          <w:kern w:val="28"/>
        </w:rPr>
        <w:t>intervient au déb</w:t>
      </w:r>
      <w:r w:rsidR="00545198">
        <w:rPr>
          <w:kern w:val="28"/>
        </w:rPr>
        <w:t>a</w:t>
      </w:r>
      <w:r>
        <w:rPr>
          <w:kern w:val="28"/>
        </w:rPr>
        <w:t>t pour appuyer leurs prétentions. Ensemble, ils soulèvent plusieurs griefs qui, pour l’essentiel, se déploient en trois axes :</w:t>
      </w:r>
    </w:p>
    <w:p w14:paraId="0515521E" w14:textId="7AFC46C4" w:rsidR="001638EE" w:rsidRDefault="001638EE" w:rsidP="00031308">
      <w:pPr>
        <w:pStyle w:val="Paragraphedeliste"/>
        <w:widowControl w:val="0"/>
        <w:numPr>
          <w:ilvl w:val="0"/>
          <w:numId w:val="6"/>
        </w:numPr>
        <w:spacing w:after="240"/>
        <w:ind w:left="1151" w:hanging="357"/>
        <w:contextualSpacing w:val="0"/>
        <w:jc w:val="both"/>
        <w:rPr>
          <w:kern w:val="28"/>
        </w:rPr>
      </w:pPr>
      <w:r>
        <w:rPr>
          <w:kern w:val="28"/>
        </w:rPr>
        <w:t xml:space="preserve">La Ville et le MFFP </w:t>
      </w:r>
      <w:r w:rsidR="00F54ECE">
        <w:rPr>
          <w:kern w:val="28"/>
        </w:rPr>
        <w:t>adoptent la</w:t>
      </w:r>
      <w:r w:rsidR="00FF2ACC">
        <w:rPr>
          <w:kern w:val="28"/>
        </w:rPr>
        <w:t xml:space="preserve"> méthode de chasse contrôlée à l’arbalète</w:t>
      </w:r>
      <w:r w:rsidR="00567B68">
        <w:rPr>
          <w:kern w:val="28"/>
        </w:rPr>
        <w:t xml:space="preserve"> sans véritable consultation des citoyens et sans obtenir l’avis d’expert en bien</w:t>
      </w:r>
      <w:r w:rsidR="00FF2ACC">
        <w:rPr>
          <w:kern w:val="28"/>
        </w:rPr>
        <w:noBreakHyphen/>
      </w:r>
      <w:r w:rsidR="00567B68">
        <w:rPr>
          <w:kern w:val="28"/>
        </w:rPr>
        <w:t>être animal</w:t>
      </w:r>
      <w:r>
        <w:rPr>
          <w:kern w:val="28"/>
        </w:rPr>
        <w:t>.</w:t>
      </w:r>
    </w:p>
    <w:p w14:paraId="2FEBA23D" w14:textId="47C026D2" w:rsidR="001638EE" w:rsidRDefault="001638EE" w:rsidP="00031308">
      <w:pPr>
        <w:pStyle w:val="Paragraphedeliste"/>
        <w:widowControl w:val="0"/>
        <w:numPr>
          <w:ilvl w:val="0"/>
          <w:numId w:val="6"/>
        </w:numPr>
        <w:spacing w:after="240"/>
        <w:ind w:left="1151" w:hanging="357"/>
        <w:contextualSpacing w:val="0"/>
        <w:jc w:val="both"/>
        <w:rPr>
          <w:kern w:val="28"/>
        </w:rPr>
      </w:pPr>
      <w:r>
        <w:rPr>
          <w:kern w:val="28"/>
        </w:rPr>
        <w:t>Le choix de la méthode de chasse contrôlée à l’arbalète est arbitraire, sans fondement raisonnable et manque gravement de transparence.</w:t>
      </w:r>
    </w:p>
    <w:p w14:paraId="319E1A82" w14:textId="13BE35D4" w:rsidR="00FF2ACC" w:rsidRDefault="00FF2ACC" w:rsidP="00031308">
      <w:pPr>
        <w:pStyle w:val="Paragraphedeliste"/>
        <w:widowControl w:val="0"/>
        <w:numPr>
          <w:ilvl w:val="0"/>
          <w:numId w:val="6"/>
        </w:numPr>
        <w:spacing w:after="240"/>
        <w:ind w:left="1151" w:hanging="357"/>
        <w:contextualSpacing w:val="0"/>
        <w:jc w:val="both"/>
        <w:rPr>
          <w:kern w:val="28"/>
        </w:rPr>
      </w:pPr>
      <w:r>
        <w:rPr>
          <w:kern w:val="28"/>
        </w:rPr>
        <w:t>Leur évaluation des options possibles pour gérer la population de cerfs est incohérente et ne tient pas compte de l’intérêt des cerfs à vivre.</w:t>
      </w:r>
    </w:p>
    <w:p w14:paraId="1AF0389C" w14:textId="574069B2" w:rsidR="008F5C5E" w:rsidRDefault="008F5C5E" w:rsidP="00031308">
      <w:pPr>
        <w:widowControl w:val="0"/>
        <w:numPr>
          <w:ilvl w:val="0"/>
          <w:numId w:val="1"/>
        </w:numPr>
        <w:tabs>
          <w:tab w:val="clear" w:pos="360"/>
        </w:tabs>
        <w:spacing w:before="120" w:after="120"/>
        <w:jc w:val="both"/>
        <w:rPr>
          <w:kern w:val="28"/>
        </w:rPr>
      </w:pPr>
      <w:r>
        <w:rPr>
          <w:kern w:val="28"/>
        </w:rPr>
        <w:t xml:space="preserve">Pour les motifs qui suivent, le Tribunal conclut </w:t>
      </w:r>
      <w:r w:rsidR="00A25BFE">
        <w:rPr>
          <w:kern w:val="28"/>
        </w:rPr>
        <w:t>au rejet de la demande et de l’intervention</w:t>
      </w:r>
      <w:r>
        <w:rPr>
          <w:kern w:val="28"/>
        </w:rPr>
        <w:t>.</w:t>
      </w:r>
    </w:p>
    <w:p w14:paraId="5D23B70A" w14:textId="2A233999" w:rsidR="00A25BFE" w:rsidRDefault="00E10C8B" w:rsidP="00031308">
      <w:pPr>
        <w:keepNext/>
        <w:numPr>
          <w:ilvl w:val="0"/>
          <w:numId w:val="1"/>
        </w:numPr>
        <w:tabs>
          <w:tab w:val="clear" w:pos="360"/>
        </w:tabs>
        <w:spacing w:before="120" w:after="120"/>
        <w:jc w:val="both"/>
        <w:rPr>
          <w:kern w:val="28"/>
        </w:rPr>
      </w:pPr>
      <w:r>
        <w:rPr>
          <w:kern w:val="28"/>
        </w:rPr>
        <w:t>L’art</w:t>
      </w:r>
      <w:r w:rsidR="005C069B">
        <w:rPr>
          <w:kern w:val="28"/>
        </w:rPr>
        <w:t>icle</w:t>
      </w:r>
      <w:r>
        <w:rPr>
          <w:kern w:val="28"/>
        </w:rPr>
        <w:t xml:space="preserve"> 898.1 C.c.Q. prévoit que les animaux ne sont pas des biens. Ils sont des êtres doués de sensibilité et ils ont des impératifs biologiques. Toutefois, cela n’empêche pas qu’ils puissent constituer une nuisance ou un danger et faire l’objet de mesures </w:t>
      </w:r>
      <w:r>
        <w:rPr>
          <w:kern w:val="28"/>
        </w:rPr>
        <w:lastRenderedPageBreak/>
        <w:t>destinées à contrer l’une ou l’autre ou à y remédier de façon temporaire ou définitive. L’abattage fait partie de ces mesures.</w:t>
      </w:r>
    </w:p>
    <w:p w14:paraId="113CF0E1" w14:textId="1984DE84" w:rsidR="00E10C8B" w:rsidRDefault="00E10C8B" w:rsidP="00031308">
      <w:pPr>
        <w:widowControl w:val="0"/>
        <w:numPr>
          <w:ilvl w:val="0"/>
          <w:numId w:val="1"/>
        </w:numPr>
        <w:tabs>
          <w:tab w:val="clear" w:pos="360"/>
        </w:tabs>
        <w:spacing w:before="120" w:after="120"/>
        <w:jc w:val="both"/>
        <w:rPr>
          <w:kern w:val="28"/>
        </w:rPr>
      </w:pPr>
      <w:r>
        <w:rPr>
          <w:kern w:val="28"/>
        </w:rPr>
        <w:t xml:space="preserve">De plus, si l’exercice peut </w:t>
      </w:r>
      <w:r w:rsidR="00C56256">
        <w:rPr>
          <w:kern w:val="28"/>
        </w:rPr>
        <w:t xml:space="preserve">apparaître </w:t>
      </w:r>
      <w:r>
        <w:rPr>
          <w:kern w:val="28"/>
        </w:rPr>
        <w:t xml:space="preserve">utile ou souhaitable, la Ville et le MFFP n’avaient pas l’obligation </w:t>
      </w:r>
      <w:r w:rsidR="005C069B">
        <w:rPr>
          <w:kern w:val="28"/>
        </w:rPr>
        <w:t xml:space="preserve">formelle </w:t>
      </w:r>
      <w:r>
        <w:rPr>
          <w:kern w:val="28"/>
        </w:rPr>
        <w:t xml:space="preserve">de consulter </w:t>
      </w:r>
      <w:r w:rsidR="0099764D">
        <w:rPr>
          <w:kern w:val="28"/>
        </w:rPr>
        <w:t xml:space="preserve">la population ou </w:t>
      </w:r>
      <w:r>
        <w:rPr>
          <w:kern w:val="28"/>
        </w:rPr>
        <w:t xml:space="preserve">des experts </w:t>
      </w:r>
      <w:r w:rsidR="005C069B">
        <w:rPr>
          <w:kern w:val="28"/>
        </w:rPr>
        <w:t xml:space="preserve">indépendants </w:t>
      </w:r>
      <w:r>
        <w:rPr>
          <w:kern w:val="28"/>
        </w:rPr>
        <w:t>en bien-être animal avant d’adopter la méthode de chasse contrôlée à l’arbalète comme mesure</w:t>
      </w:r>
      <w:r w:rsidR="0099764D">
        <w:rPr>
          <w:kern w:val="28"/>
        </w:rPr>
        <w:t xml:space="preserve"> de contrôle</w:t>
      </w:r>
      <w:r>
        <w:rPr>
          <w:kern w:val="28"/>
        </w:rPr>
        <w:t xml:space="preserve"> du cheptel de cerf</w:t>
      </w:r>
      <w:r w:rsidR="0099764D">
        <w:rPr>
          <w:kern w:val="28"/>
        </w:rPr>
        <w:t>s</w:t>
      </w:r>
      <w:r>
        <w:rPr>
          <w:kern w:val="28"/>
        </w:rPr>
        <w:t>.</w:t>
      </w:r>
    </w:p>
    <w:p w14:paraId="6D60B5BE" w14:textId="241E2434" w:rsidR="00E10C8B" w:rsidRDefault="00E10C8B" w:rsidP="00031308">
      <w:pPr>
        <w:widowControl w:val="0"/>
        <w:numPr>
          <w:ilvl w:val="0"/>
          <w:numId w:val="1"/>
        </w:numPr>
        <w:tabs>
          <w:tab w:val="clear" w:pos="360"/>
        </w:tabs>
        <w:spacing w:before="120" w:after="120"/>
        <w:jc w:val="both"/>
        <w:rPr>
          <w:kern w:val="28"/>
        </w:rPr>
      </w:pPr>
      <w:r>
        <w:rPr>
          <w:kern w:val="28"/>
        </w:rPr>
        <w:t xml:space="preserve">Cela dit, dans les faits, la Ville a mis sur pied une Table de concertation lui </w:t>
      </w:r>
      <w:r w:rsidR="00C56256">
        <w:rPr>
          <w:kern w:val="28"/>
        </w:rPr>
        <w:t>permett</w:t>
      </w:r>
      <w:r w:rsidR="005C069B">
        <w:rPr>
          <w:kern w:val="28"/>
        </w:rPr>
        <w:t>a</w:t>
      </w:r>
      <w:r w:rsidR="00C56256">
        <w:rPr>
          <w:kern w:val="28"/>
        </w:rPr>
        <w:t xml:space="preserve">nt </w:t>
      </w:r>
      <w:r>
        <w:rPr>
          <w:kern w:val="28"/>
        </w:rPr>
        <w:t xml:space="preserve">d’obtenir le point de vue de citoyens et de membres de la communauté scientifique. Également, les demandeurs et </w:t>
      </w:r>
      <w:r w:rsidR="00CC3FCD">
        <w:rPr>
          <w:kern w:val="28"/>
        </w:rPr>
        <w:t>la SPCA</w:t>
      </w:r>
      <w:r>
        <w:rPr>
          <w:kern w:val="28"/>
        </w:rPr>
        <w:t xml:space="preserve"> ont exprimé leur position à la Ville avant qu’elle adopte la Résolution.</w:t>
      </w:r>
    </w:p>
    <w:p w14:paraId="357E2E5B" w14:textId="459F9AEB" w:rsidR="00E10C8B" w:rsidRDefault="00246100" w:rsidP="00031308">
      <w:pPr>
        <w:widowControl w:val="0"/>
        <w:numPr>
          <w:ilvl w:val="0"/>
          <w:numId w:val="1"/>
        </w:numPr>
        <w:tabs>
          <w:tab w:val="clear" w:pos="360"/>
        </w:tabs>
        <w:spacing w:before="120" w:after="120"/>
        <w:jc w:val="both"/>
        <w:rPr>
          <w:kern w:val="28"/>
        </w:rPr>
      </w:pPr>
      <w:r>
        <w:rPr>
          <w:kern w:val="28"/>
        </w:rPr>
        <w:t xml:space="preserve">Enfin, ni les demandeurs ni l’intervenante </w:t>
      </w:r>
      <w:r w:rsidR="00C56256">
        <w:rPr>
          <w:kern w:val="28"/>
        </w:rPr>
        <w:t xml:space="preserve">ne </w:t>
      </w:r>
      <w:r>
        <w:rPr>
          <w:kern w:val="28"/>
        </w:rPr>
        <w:t>démontr</w:t>
      </w:r>
      <w:r w:rsidR="00C56256">
        <w:rPr>
          <w:kern w:val="28"/>
        </w:rPr>
        <w:t>ent</w:t>
      </w:r>
      <w:r>
        <w:rPr>
          <w:kern w:val="28"/>
        </w:rPr>
        <w:t xml:space="preserve"> le caractère déraisonnable des décisions de procéder à la chasse contrôlée des cerfs à l’arbalète.</w:t>
      </w:r>
    </w:p>
    <w:p w14:paraId="63CE5058" w14:textId="4F20B8BD" w:rsidR="00246100" w:rsidRDefault="00246100" w:rsidP="00031308">
      <w:pPr>
        <w:widowControl w:val="0"/>
        <w:numPr>
          <w:ilvl w:val="0"/>
          <w:numId w:val="1"/>
        </w:numPr>
        <w:tabs>
          <w:tab w:val="clear" w:pos="360"/>
        </w:tabs>
        <w:spacing w:before="120" w:after="120"/>
        <w:jc w:val="both"/>
        <w:rPr>
          <w:kern w:val="28"/>
        </w:rPr>
      </w:pPr>
      <w:r>
        <w:rPr>
          <w:kern w:val="28"/>
        </w:rPr>
        <w:t>D’abord, il ne fait aucun doute que l</w:t>
      </w:r>
      <w:r w:rsidR="00CE62E8">
        <w:rPr>
          <w:kern w:val="28"/>
        </w:rPr>
        <w:t>a</w:t>
      </w:r>
      <w:r>
        <w:rPr>
          <w:kern w:val="28"/>
        </w:rPr>
        <w:t xml:space="preserve"> </w:t>
      </w:r>
      <w:r w:rsidR="00CE62E8">
        <w:rPr>
          <w:kern w:val="28"/>
        </w:rPr>
        <w:t>taille du cheptel excède de manière importante la capacité de support du Parc. Cette situation pose des risques pour la santé et la sécurité des personnes et affecte négativement l’écosystème du Parc entraînant la dégradation de ses milieux naturels et l’incapacité de l’habitat d’assurer le bien-être de la population de cervidés qui s’y trouve.</w:t>
      </w:r>
    </w:p>
    <w:p w14:paraId="355C0C11" w14:textId="335FA6F9" w:rsidR="00CE62E8" w:rsidRDefault="000E4DE1" w:rsidP="00031308">
      <w:pPr>
        <w:widowControl w:val="0"/>
        <w:numPr>
          <w:ilvl w:val="0"/>
          <w:numId w:val="1"/>
        </w:numPr>
        <w:tabs>
          <w:tab w:val="clear" w:pos="360"/>
        </w:tabs>
        <w:spacing w:before="120" w:after="120"/>
        <w:jc w:val="both"/>
        <w:rPr>
          <w:kern w:val="28"/>
        </w:rPr>
      </w:pPr>
      <w:r>
        <w:rPr>
          <w:kern w:val="28"/>
        </w:rPr>
        <w:t>Ensuite, la Ville, de concert avec le MFFP, a exploré différentes avenues pour contrôler le cheptel par des méthodes létales, comme la capture-euthanasie</w:t>
      </w:r>
      <w:r w:rsidR="005C069B">
        <w:rPr>
          <w:kern w:val="28"/>
        </w:rPr>
        <w:t>,</w:t>
      </w:r>
      <w:r>
        <w:rPr>
          <w:kern w:val="28"/>
        </w:rPr>
        <w:t xml:space="preserve"> ou non létales, comme la relocalisation. Toutefois, en raison de l’inefficacité de ces méthodes et vu l’urgence d’intervenir, elle a opté pour la chasse contrôlée à l’arbalète.</w:t>
      </w:r>
    </w:p>
    <w:p w14:paraId="6E95311D" w14:textId="2975BF0B" w:rsidR="000E4DE1" w:rsidRDefault="000E4DE1" w:rsidP="00534D12">
      <w:pPr>
        <w:widowControl w:val="0"/>
        <w:numPr>
          <w:ilvl w:val="0"/>
          <w:numId w:val="1"/>
        </w:numPr>
        <w:tabs>
          <w:tab w:val="clear" w:pos="360"/>
        </w:tabs>
        <w:spacing w:before="120" w:after="120"/>
        <w:jc w:val="both"/>
        <w:rPr>
          <w:kern w:val="28"/>
        </w:rPr>
      </w:pPr>
      <w:r>
        <w:rPr>
          <w:kern w:val="28"/>
        </w:rPr>
        <w:t xml:space="preserve">Enfin, rien ne permet de conclure que cette méthode se veut la plus cruelle et la plus douloureuse de mettre ces cerfs à mort. Au contraire, la Ville et le MFFP </w:t>
      </w:r>
      <w:r w:rsidR="00A52A65">
        <w:rPr>
          <w:kern w:val="28"/>
        </w:rPr>
        <w:t xml:space="preserve">ont élaboré des conditions de mise en œuvre de l’opération pour s’assurer qu’elle se déroule avec rapidité, efficacité et dans le respect de </w:t>
      </w:r>
      <w:r w:rsidR="00057BB5">
        <w:rPr>
          <w:kern w:val="28"/>
        </w:rPr>
        <w:t>l’art</w:t>
      </w:r>
      <w:r w:rsidR="004D7FDA">
        <w:rPr>
          <w:kern w:val="28"/>
        </w:rPr>
        <w:t>icle</w:t>
      </w:r>
      <w:r w:rsidR="00057BB5">
        <w:rPr>
          <w:kern w:val="28"/>
        </w:rPr>
        <w:t xml:space="preserve"> 898.1 </w:t>
      </w:r>
      <w:r w:rsidR="00F54ECE">
        <w:rPr>
          <w:kern w:val="28"/>
        </w:rPr>
        <w:t>C.c.Q.</w:t>
      </w:r>
    </w:p>
    <w:p w14:paraId="252EC7F0" w14:textId="59649116" w:rsidR="00572476" w:rsidRPr="00572476" w:rsidRDefault="00572476" w:rsidP="007C5E13">
      <w:pPr>
        <w:pStyle w:val="Titre"/>
        <w:widowControl w:val="0"/>
        <w:numPr>
          <w:ilvl w:val="0"/>
          <w:numId w:val="23"/>
        </w:numPr>
        <w:spacing w:before="120" w:line="360" w:lineRule="auto"/>
        <w:ind w:left="714" w:hanging="357"/>
        <w:jc w:val="left"/>
        <w:rPr>
          <w:sz w:val="24"/>
          <w:szCs w:val="24"/>
        </w:rPr>
      </w:pPr>
      <w:bookmarkStart w:id="6" w:name="_Toc144367221"/>
      <w:r>
        <w:rPr>
          <w:sz w:val="24"/>
          <w:szCs w:val="24"/>
        </w:rPr>
        <w:t>LES QUESTIONS EN LITIGE</w:t>
      </w:r>
      <w:bookmarkEnd w:id="6"/>
    </w:p>
    <w:p w14:paraId="655AC44A" w14:textId="13B49871" w:rsidR="00A52A65" w:rsidRDefault="00A86CF4" w:rsidP="00E55585">
      <w:pPr>
        <w:widowControl w:val="0"/>
        <w:numPr>
          <w:ilvl w:val="0"/>
          <w:numId w:val="1"/>
        </w:numPr>
        <w:tabs>
          <w:tab w:val="clear" w:pos="360"/>
        </w:tabs>
        <w:spacing w:before="120" w:after="120"/>
        <w:jc w:val="both"/>
        <w:rPr>
          <w:kern w:val="28"/>
        </w:rPr>
      </w:pPr>
      <w:r>
        <w:rPr>
          <w:kern w:val="28"/>
        </w:rPr>
        <w:t>La présente affaire soulève</w:t>
      </w:r>
      <w:r w:rsidR="00A52A65">
        <w:rPr>
          <w:kern w:val="28"/>
        </w:rPr>
        <w:t xml:space="preserve"> trois questions, soit :</w:t>
      </w:r>
    </w:p>
    <w:p w14:paraId="01695158" w14:textId="058BE349" w:rsidR="00E027EA" w:rsidRDefault="00E027EA" w:rsidP="00572476">
      <w:pPr>
        <w:pStyle w:val="Paragraphedeliste"/>
        <w:widowControl w:val="0"/>
        <w:numPr>
          <w:ilvl w:val="0"/>
          <w:numId w:val="7"/>
        </w:numPr>
        <w:spacing w:before="120" w:after="120"/>
        <w:ind w:left="1134" w:hanging="357"/>
        <w:contextualSpacing w:val="0"/>
        <w:jc w:val="both"/>
        <w:rPr>
          <w:b/>
          <w:bCs/>
          <w:kern w:val="28"/>
        </w:rPr>
      </w:pPr>
      <w:r w:rsidRPr="00F96097">
        <w:rPr>
          <w:b/>
          <w:bCs/>
          <w:kern w:val="28"/>
        </w:rPr>
        <w:t>La Ville et le MFFP ont-ils une obligation d’équité procédurale envers les demandeurs, la SPCA ou les cerfs et, le cas échéant, ont-ils manqué à cette obligation?</w:t>
      </w:r>
    </w:p>
    <w:p w14:paraId="406259F6" w14:textId="75FC9C90" w:rsidR="00E027EA" w:rsidRDefault="00E027EA" w:rsidP="00572476">
      <w:pPr>
        <w:pStyle w:val="Paragraphedeliste"/>
        <w:widowControl w:val="0"/>
        <w:numPr>
          <w:ilvl w:val="0"/>
          <w:numId w:val="7"/>
        </w:numPr>
        <w:spacing w:before="120" w:after="120"/>
        <w:ind w:left="1134" w:hanging="357"/>
        <w:contextualSpacing w:val="0"/>
        <w:jc w:val="both"/>
        <w:rPr>
          <w:b/>
          <w:bCs/>
          <w:kern w:val="28"/>
        </w:rPr>
      </w:pPr>
      <w:r w:rsidRPr="00F96097">
        <w:rPr>
          <w:b/>
          <w:bCs/>
          <w:kern w:val="28"/>
        </w:rPr>
        <w:t>Quelle norme de contrôle le Tribunal doit-il appliquer à la Résolution et à la délivrance du Permis SEG?</w:t>
      </w:r>
    </w:p>
    <w:p w14:paraId="182206AA" w14:textId="77777777" w:rsidR="00E027EA" w:rsidRPr="00F96097" w:rsidRDefault="00E027EA" w:rsidP="00572476">
      <w:pPr>
        <w:pStyle w:val="Paragraphedeliste"/>
        <w:widowControl w:val="0"/>
        <w:numPr>
          <w:ilvl w:val="0"/>
          <w:numId w:val="7"/>
        </w:numPr>
        <w:spacing w:before="120" w:after="120" w:line="360" w:lineRule="auto"/>
        <w:ind w:left="1134"/>
        <w:contextualSpacing w:val="0"/>
        <w:jc w:val="both"/>
        <w:rPr>
          <w:b/>
          <w:bCs/>
          <w:kern w:val="28"/>
        </w:rPr>
      </w:pPr>
      <w:r w:rsidRPr="00F96097">
        <w:rPr>
          <w:b/>
          <w:bCs/>
          <w:kern w:val="28"/>
        </w:rPr>
        <w:t>La Résolution et la délivrance du Permis SEG sont-elles déraisonnables?</w:t>
      </w:r>
    </w:p>
    <w:p w14:paraId="4F8FAEDB" w14:textId="356AC030" w:rsidR="00A52A65" w:rsidRPr="00627964" w:rsidRDefault="00A52A65" w:rsidP="00477D5C">
      <w:pPr>
        <w:widowControl w:val="0"/>
        <w:numPr>
          <w:ilvl w:val="0"/>
          <w:numId w:val="1"/>
        </w:numPr>
        <w:tabs>
          <w:tab w:val="clear" w:pos="360"/>
        </w:tabs>
        <w:spacing w:before="120" w:after="120" w:line="360" w:lineRule="auto"/>
        <w:jc w:val="both"/>
        <w:rPr>
          <w:b/>
          <w:bCs/>
          <w:kern w:val="28"/>
        </w:rPr>
      </w:pPr>
      <w:r>
        <w:rPr>
          <w:kern w:val="28"/>
        </w:rPr>
        <w:lastRenderedPageBreak/>
        <w:t>Avant d’aborder chacune d’elles, un retour sur le contexte s’impose.</w:t>
      </w:r>
    </w:p>
    <w:p w14:paraId="3CC1082A" w14:textId="643356EC" w:rsidR="00BF6A51" w:rsidRPr="00964C58" w:rsidRDefault="00BF6A51" w:rsidP="007C5E13">
      <w:pPr>
        <w:pStyle w:val="Titre1"/>
        <w:keepNext w:val="0"/>
        <w:widowControl w:val="0"/>
        <w:numPr>
          <w:ilvl w:val="0"/>
          <w:numId w:val="23"/>
        </w:numPr>
        <w:spacing w:before="120" w:after="120" w:line="360" w:lineRule="auto"/>
        <w:rPr>
          <w:u w:val="none"/>
        </w:rPr>
      </w:pPr>
      <w:bookmarkStart w:id="7" w:name="_Toc143524140"/>
      <w:bookmarkStart w:id="8" w:name="_Toc144193780"/>
      <w:bookmarkStart w:id="9" w:name="_Toc144367222"/>
      <w:r w:rsidRPr="00964C58">
        <w:rPr>
          <w:u w:val="none"/>
        </w:rPr>
        <w:t>LE CONTEXTE</w:t>
      </w:r>
      <w:bookmarkEnd w:id="7"/>
      <w:bookmarkEnd w:id="8"/>
      <w:bookmarkEnd w:id="9"/>
    </w:p>
    <w:p w14:paraId="54630F45" w14:textId="77956E41" w:rsidR="00BF6A51" w:rsidRDefault="00BF6A51" w:rsidP="00515F54">
      <w:pPr>
        <w:widowControl w:val="0"/>
        <w:numPr>
          <w:ilvl w:val="0"/>
          <w:numId w:val="1"/>
        </w:numPr>
        <w:tabs>
          <w:tab w:val="clear" w:pos="360"/>
        </w:tabs>
        <w:spacing w:before="120" w:after="120"/>
        <w:jc w:val="both"/>
        <w:rPr>
          <w:kern w:val="28"/>
        </w:rPr>
      </w:pPr>
      <w:r>
        <w:rPr>
          <w:kern w:val="28"/>
        </w:rPr>
        <w:t xml:space="preserve">Les cerfs occupent le Parc depuis de nombreuses années. Toutefois, au fil du temps, leur nombre </w:t>
      </w:r>
      <w:r w:rsidR="00057BB5">
        <w:rPr>
          <w:kern w:val="28"/>
        </w:rPr>
        <w:t>s’accroît et</w:t>
      </w:r>
      <w:r w:rsidR="005C069B">
        <w:rPr>
          <w:kern w:val="28"/>
        </w:rPr>
        <w:t>,</w:t>
      </w:r>
      <w:r w:rsidR="00057BB5">
        <w:rPr>
          <w:kern w:val="28"/>
        </w:rPr>
        <w:t xml:space="preserve"> conséquemment,</w:t>
      </w:r>
      <w:r>
        <w:rPr>
          <w:kern w:val="28"/>
        </w:rPr>
        <w:t xml:space="preserve"> la Ville </w:t>
      </w:r>
      <w:r w:rsidR="00057BB5">
        <w:rPr>
          <w:kern w:val="28"/>
        </w:rPr>
        <w:t>met</w:t>
      </w:r>
      <w:r>
        <w:rPr>
          <w:kern w:val="28"/>
        </w:rPr>
        <w:t xml:space="preserve"> en place différentes mesures de mitigation afin d</w:t>
      </w:r>
      <w:r w:rsidR="00A86CF4">
        <w:rPr>
          <w:kern w:val="28"/>
        </w:rPr>
        <w:t xml:space="preserve">’atténuer </w:t>
      </w:r>
      <w:r>
        <w:rPr>
          <w:kern w:val="28"/>
        </w:rPr>
        <w:t>les impacts de leur présence. Sans succès.</w:t>
      </w:r>
    </w:p>
    <w:p w14:paraId="774DA600" w14:textId="07784C61" w:rsidR="00BF6A51" w:rsidRDefault="00BF6A51" w:rsidP="00515F54">
      <w:pPr>
        <w:widowControl w:val="0"/>
        <w:numPr>
          <w:ilvl w:val="0"/>
          <w:numId w:val="1"/>
        </w:numPr>
        <w:tabs>
          <w:tab w:val="clear" w:pos="360"/>
        </w:tabs>
        <w:spacing w:before="120" w:after="120"/>
        <w:jc w:val="both"/>
        <w:rPr>
          <w:kern w:val="28"/>
        </w:rPr>
      </w:pPr>
      <w:r>
        <w:rPr>
          <w:kern w:val="28"/>
        </w:rPr>
        <w:t xml:space="preserve">En 2020, en raison de l’inefficacité de ces mesures, la Ville élabore un </w:t>
      </w:r>
      <w:r w:rsidRPr="00FC7027">
        <w:rPr>
          <w:i/>
          <w:iCs/>
          <w:kern w:val="28"/>
        </w:rPr>
        <w:t>Plan de gestion du cerf de Virginie à Longueuil</w:t>
      </w:r>
      <w:r>
        <w:rPr>
          <w:kern w:val="28"/>
        </w:rPr>
        <w:t xml:space="preserve"> (le </w:t>
      </w:r>
      <w:r w:rsidRPr="00FC7027">
        <w:rPr>
          <w:b/>
          <w:bCs/>
          <w:kern w:val="28"/>
        </w:rPr>
        <w:t>Plan</w:t>
      </w:r>
      <w:r>
        <w:rPr>
          <w:kern w:val="28"/>
        </w:rPr>
        <w:t>)</w:t>
      </w:r>
      <w:r>
        <w:rPr>
          <w:rStyle w:val="Appelnotedebasdep"/>
          <w:kern w:val="28"/>
        </w:rPr>
        <w:footnoteReference w:id="5"/>
      </w:r>
      <w:r>
        <w:rPr>
          <w:kern w:val="28"/>
        </w:rPr>
        <w:t xml:space="preserve"> qui </w:t>
      </w:r>
      <w:r w:rsidR="0099764D">
        <w:rPr>
          <w:kern w:val="28"/>
        </w:rPr>
        <w:t>comporte</w:t>
      </w:r>
      <w:r>
        <w:rPr>
          <w:kern w:val="28"/>
        </w:rPr>
        <w:t xml:space="preserve"> deux </w:t>
      </w:r>
      <w:r w:rsidR="0099764D">
        <w:rPr>
          <w:kern w:val="28"/>
        </w:rPr>
        <w:t>volets</w:t>
      </w:r>
      <w:r>
        <w:rPr>
          <w:kern w:val="28"/>
        </w:rPr>
        <w:t xml:space="preserve">. D’abord, il prévoit la capture et l’euthanasie d’un maximum de 15 cerfs dans le Parc. Ensuite, il vise l’intensification et l’encadrement de la chasse aux cerfs au </w:t>
      </w:r>
      <w:r w:rsidR="00D53A23">
        <w:rPr>
          <w:kern w:val="28"/>
        </w:rPr>
        <w:t>boisé Du Tremblay</w:t>
      </w:r>
      <w:r>
        <w:rPr>
          <w:kern w:val="28"/>
        </w:rPr>
        <w:t>, un autre parc-nature situé à proximité du Parc. Le 17 novembre, le conseil de la Ville adopte une résolution permettant l’abattage des cerfs</w:t>
      </w:r>
      <w:r>
        <w:rPr>
          <w:rStyle w:val="Appelnotedebasdep"/>
          <w:kern w:val="28"/>
        </w:rPr>
        <w:footnoteReference w:id="6"/>
      </w:r>
      <w:r>
        <w:rPr>
          <w:kern w:val="28"/>
        </w:rPr>
        <w:t>.</w:t>
      </w:r>
    </w:p>
    <w:p w14:paraId="78E64954" w14:textId="3CC08767" w:rsidR="00BF6A51" w:rsidRDefault="00BF6A51" w:rsidP="00515F54">
      <w:pPr>
        <w:widowControl w:val="0"/>
        <w:numPr>
          <w:ilvl w:val="0"/>
          <w:numId w:val="1"/>
        </w:numPr>
        <w:tabs>
          <w:tab w:val="clear" w:pos="360"/>
        </w:tabs>
        <w:spacing w:before="120" w:after="120"/>
        <w:jc w:val="both"/>
        <w:rPr>
          <w:kern w:val="28"/>
        </w:rPr>
      </w:pPr>
      <w:r>
        <w:rPr>
          <w:kern w:val="28"/>
        </w:rPr>
        <w:t>Une fois rendu public, le Plan suscite la mobilisation de citoyens et d’organismes voués à la protection des animaux qui s’opposent à l’abattage des cerfs. Le 18 novembre, l’un d’eux, SSA, transmet à la Ville une « Proposition pour la situation des cerfs du Parc Michel-Chartrand »</w:t>
      </w:r>
      <w:r>
        <w:rPr>
          <w:rStyle w:val="Appelnotedebasdep"/>
          <w:kern w:val="28"/>
        </w:rPr>
        <w:footnoteReference w:id="7"/>
      </w:r>
      <w:r>
        <w:rPr>
          <w:kern w:val="28"/>
        </w:rPr>
        <w:t xml:space="preserve">. Reconnaissant les conséquences négatives résultant de la croissance du cheptel, </w:t>
      </w:r>
      <w:r w:rsidR="0099764D">
        <w:rPr>
          <w:kern w:val="28"/>
        </w:rPr>
        <w:t>il</w:t>
      </w:r>
      <w:r>
        <w:rPr>
          <w:kern w:val="28"/>
        </w:rPr>
        <w:t xml:space="preserve"> propose une solution alternative à l’abattage de 15 cerfs : en relocaliser le même nombre vers des refuges prêts à les accueillir.</w:t>
      </w:r>
    </w:p>
    <w:p w14:paraId="35981B1F" w14:textId="7A4EA26B" w:rsidR="00BF6A51" w:rsidRDefault="00BF6A51" w:rsidP="00515F54">
      <w:pPr>
        <w:widowControl w:val="0"/>
        <w:numPr>
          <w:ilvl w:val="0"/>
          <w:numId w:val="1"/>
        </w:numPr>
        <w:tabs>
          <w:tab w:val="clear" w:pos="360"/>
        </w:tabs>
        <w:spacing w:before="120" w:after="120"/>
        <w:jc w:val="both"/>
        <w:rPr>
          <w:kern w:val="28"/>
        </w:rPr>
      </w:pPr>
      <w:r>
        <w:rPr>
          <w:kern w:val="28"/>
        </w:rPr>
        <w:t xml:space="preserve">La Ville reçoit la proposition favorablement et accepte que SSA </w:t>
      </w:r>
      <w:r w:rsidR="00A86CF4">
        <w:rPr>
          <w:kern w:val="28"/>
        </w:rPr>
        <w:t xml:space="preserve">la </w:t>
      </w:r>
      <w:r w:rsidR="008F6DF9">
        <w:rPr>
          <w:kern w:val="28"/>
        </w:rPr>
        <w:t>mette en œuvre</w:t>
      </w:r>
      <w:r>
        <w:rPr>
          <w:rStyle w:val="Appelnotedebasdep"/>
          <w:kern w:val="28"/>
        </w:rPr>
        <w:footnoteReference w:id="8"/>
      </w:r>
      <w:r>
        <w:rPr>
          <w:kern w:val="28"/>
        </w:rPr>
        <w:t>. À cette fin, le 2 décembre, celui-ci sollicite du MFFP la délivrance d’un permis SEG</w:t>
      </w:r>
      <w:r>
        <w:rPr>
          <w:rStyle w:val="Appelnotedebasdep"/>
          <w:kern w:val="28"/>
        </w:rPr>
        <w:footnoteReference w:id="9"/>
      </w:r>
      <w:r>
        <w:rPr>
          <w:kern w:val="28"/>
        </w:rPr>
        <w:t xml:space="preserve">, elle-même assujettie à l’émission d’un certificat d’éthique par le Comité d’éthique de l’utilisation des animaux de l’Université de Montréal (le </w:t>
      </w:r>
      <w:r w:rsidRPr="00B858B0">
        <w:rPr>
          <w:b/>
          <w:bCs/>
          <w:kern w:val="28"/>
        </w:rPr>
        <w:t>CÉUA</w:t>
      </w:r>
      <w:r>
        <w:rPr>
          <w:kern w:val="28"/>
        </w:rPr>
        <w:t>).</w:t>
      </w:r>
    </w:p>
    <w:p w14:paraId="275534A1" w14:textId="085D9A79" w:rsidR="00BF6A51" w:rsidRDefault="00BF6A51" w:rsidP="00515F54">
      <w:pPr>
        <w:widowControl w:val="0"/>
        <w:numPr>
          <w:ilvl w:val="0"/>
          <w:numId w:val="1"/>
        </w:numPr>
        <w:tabs>
          <w:tab w:val="clear" w:pos="360"/>
        </w:tabs>
        <w:spacing w:before="120" w:after="120"/>
        <w:jc w:val="both"/>
        <w:rPr>
          <w:kern w:val="28"/>
        </w:rPr>
      </w:pPr>
      <w:r>
        <w:rPr>
          <w:kern w:val="28"/>
        </w:rPr>
        <w:t xml:space="preserve">Or, dans son évaluation du 18 février 2021, le CÉUA se dit d’avis que le protocole proposé par SSA présente des risques élevés de blessures et de morbidité parmi les cerfs. Ayant évalué le bien-être animal et la sécurité du projet, il conclut que le protocole ne répond pas aux normes du Conseil canadien de protection des animaux (le </w:t>
      </w:r>
      <w:r w:rsidRPr="00B858B0">
        <w:rPr>
          <w:b/>
          <w:bCs/>
          <w:kern w:val="28"/>
        </w:rPr>
        <w:t>CCPA</w:t>
      </w:r>
      <w:r>
        <w:rPr>
          <w:kern w:val="28"/>
        </w:rPr>
        <w:t>). Partant, il refuse d’émettre un certificat d’éthique</w:t>
      </w:r>
      <w:r>
        <w:rPr>
          <w:rStyle w:val="Appelnotedebasdep"/>
          <w:kern w:val="28"/>
        </w:rPr>
        <w:footnoteReference w:id="10"/>
      </w:r>
      <w:r>
        <w:rPr>
          <w:kern w:val="28"/>
        </w:rPr>
        <w:t>. En conséquence, le MFFP ferme le dossier de la demande de permis de SSA</w:t>
      </w:r>
      <w:r>
        <w:rPr>
          <w:rStyle w:val="Appelnotedebasdep"/>
          <w:kern w:val="28"/>
        </w:rPr>
        <w:footnoteReference w:id="11"/>
      </w:r>
      <w:r>
        <w:rPr>
          <w:kern w:val="28"/>
        </w:rPr>
        <w:t>.</w:t>
      </w:r>
    </w:p>
    <w:p w14:paraId="0AD0B917" w14:textId="6005F0CE" w:rsidR="00BF6A51" w:rsidRDefault="00BF6A51" w:rsidP="00702FBF">
      <w:pPr>
        <w:keepNext/>
        <w:numPr>
          <w:ilvl w:val="0"/>
          <w:numId w:val="1"/>
        </w:numPr>
        <w:tabs>
          <w:tab w:val="clear" w:pos="360"/>
        </w:tabs>
        <w:spacing w:before="120" w:after="120"/>
        <w:jc w:val="both"/>
        <w:rPr>
          <w:kern w:val="28"/>
        </w:rPr>
      </w:pPr>
      <w:r>
        <w:rPr>
          <w:kern w:val="28"/>
        </w:rPr>
        <w:t xml:space="preserve">Le 23 mars, la Ville annonce la création d’une table de concertation sur l’équilibre écologique et la préservation du Parc (la </w:t>
      </w:r>
      <w:r w:rsidRPr="00B858B0">
        <w:rPr>
          <w:b/>
          <w:bCs/>
          <w:kern w:val="28"/>
        </w:rPr>
        <w:t>Table</w:t>
      </w:r>
      <w:r>
        <w:rPr>
          <w:kern w:val="28"/>
        </w:rPr>
        <w:t>) composée de 12 membres issus de milieux divers</w:t>
      </w:r>
      <w:r w:rsidR="000F2491">
        <w:rPr>
          <w:kern w:val="28"/>
        </w:rPr>
        <w:t>,</w:t>
      </w:r>
      <w:r>
        <w:rPr>
          <w:kern w:val="28"/>
        </w:rPr>
        <w:t xml:space="preserve"> dont des représentants de la Ville et du </w:t>
      </w:r>
      <w:r w:rsidR="00F71E75">
        <w:rPr>
          <w:kern w:val="28"/>
        </w:rPr>
        <w:t>MFFP</w:t>
      </w:r>
      <w:r>
        <w:rPr>
          <w:rStyle w:val="Appelnotedebasdep"/>
          <w:kern w:val="28"/>
        </w:rPr>
        <w:footnoteReference w:id="12"/>
      </w:r>
      <w:r>
        <w:rPr>
          <w:kern w:val="28"/>
        </w:rPr>
        <w:t xml:space="preserve">. Dans le cadre de leurs travaux, ils </w:t>
      </w:r>
      <w:r>
        <w:rPr>
          <w:kern w:val="28"/>
        </w:rPr>
        <w:lastRenderedPageBreak/>
        <w:t>invitent plusieurs intervenants du domaine animal dont Eric Dussault (</w:t>
      </w:r>
      <w:r w:rsidRPr="00B858B0">
        <w:rPr>
          <w:b/>
          <w:bCs/>
          <w:kern w:val="28"/>
        </w:rPr>
        <w:t>Dussault</w:t>
      </w:r>
      <w:r>
        <w:rPr>
          <w:kern w:val="28"/>
        </w:rPr>
        <w:t>), directeur général de SSA et de nombreux experts en biologie et en médecine vétérinaire.</w:t>
      </w:r>
    </w:p>
    <w:p w14:paraId="04596E77" w14:textId="27656113" w:rsidR="00BF6A51" w:rsidRDefault="00BF6A51" w:rsidP="00515F54">
      <w:pPr>
        <w:widowControl w:val="0"/>
        <w:numPr>
          <w:ilvl w:val="0"/>
          <w:numId w:val="1"/>
        </w:numPr>
        <w:tabs>
          <w:tab w:val="clear" w:pos="360"/>
        </w:tabs>
        <w:spacing w:before="120" w:after="120"/>
        <w:jc w:val="both"/>
        <w:rPr>
          <w:kern w:val="28"/>
        </w:rPr>
      </w:pPr>
      <w:r>
        <w:rPr>
          <w:kern w:val="28"/>
        </w:rPr>
        <w:t>Le 22 novembre, la Table dépose son Rapport de recommandations</w:t>
      </w:r>
      <w:r>
        <w:rPr>
          <w:rStyle w:val="Appelnotedebasdep"/>
          <w:kern w:val="28"/>
        </w:rPr>
        <w:footnoteReference w:id="13"/>
      </w:r>
      <w:r>
        <w:rPr>
          <w:kern w:val="28"/>
        </w:rPr>
        <w:t xml:space="preserve"> </w:t>
      </w:r>
      <w:r w:rsidR="00057BB5">
        <w:rPr>
          <w:kern w:val="28"/>
        </w:rPr>
        <w:t>où</w:t>
      </w:r>
      <w:r>
        <w:rPr>
          <w:kern w:val="28"/>
        </w:rPr>
        <w:t xml:space="preserve"> les membres examinent différents scénarios afin de réduire le nombre de cerfs dans le Parc</w:t>
      </w:r>
      <w:r>
        <w:rPr>
          <w:rStyle w:val="Appelnotedebasdep"/>
          <w:kern w:val="28"/>
        </w:rPr>
        <w:footnoteReference w:id="14"/>
      </w:r>
      <w:r>
        <w:rPr>
          <w:kern w:val="28"/>
        </w:rPr>
        <w:t xml:space="preserve">. </w:t>
      </w:r>
      <w:r w:rsidR="00057BB5">
        <w:rPr>
          <w:kern w:val="28"/>
        </w:rPr>
        <w:t>Ils écartent</w:t>
      </w:r>
      <w:r>
        <w:rPr>
          <w:kern w:val="28"/>
        </w:rPr>
        <w:t xml:space="preserve"> la relocalisation</w:t>
      </w:r>
      <w:r w:rsidR="00F54ECE">
        <w:rPr>
          <w:kern w:val="28"/>
        </w:rPr>
        <w:t xml:space="preserve"> </w:t>
      </w:r>
      <w:r>
        <w:rPr>
          <w:kern w:val="28"/>
        </w:rPr>
        <w:t xml:space="preserve">en raison du taux de mortalité </w:t>
      </w:r>
      <w:r w:rsidR="00301B20">
        <w:rPr>
          <w:kern w:val="28"/>
        </w:rPr>
        <w:t xml:space="preserve">important </w:t>
      </w:r>
      <w:r>
        <w:rPr>
          <w:kern w:val="28"/>
        </w:rPr>
        <w:t>des cerfs relocalisés, des risques élevés de blessures, du manque de disponibilités des sites d’accueil et du potentiel de transmission de maladies dans les sites d’accueil</w:t>
      </w:r>
      <w:r>
        <w:rPr>
          <w:rStyle w:val="Appelnotedebasdep"/>
          <w:kern w:val="28"/>
        </w:rPr>
        <w:footnoteReference w:id="15"/>
      </w:r>
      <w:r>
        <w:rPr>
          <w:kern w:val="28"/>
        </w:rPr>
        <w:t>.</w:t>
      </w:r>
    </w:p>
    <w:p w14:paraId="75EF8D2A" w14:textId="77777777" w:rsidR="00BF6A51" w:rsidRDefault="00BF6A51" w:rsidP="00515F54">
      <w:pPr>
        <w:widowControl w:val="0"/>
        <w:numPr>
          <w:ilvl w:val="0"/>
          <w:numId w:val="1"/>
        </w:numPr>
        <w:tabs>
          <w:tab w:val="clear" w:pos="360"/>
        </w:tabs>
        <w:spacing w:before="120" w:after="120"/>
        <w:jc w:val="both"/>
        <w:rPr>
          <w:kern w:val="28"/>
        </w:rPr>
      </w:pPr>
      <w:r>
        <w:rPr>
          <w:kern w:val="28"/>
        </w:rPr>
        <w:t>Après avoir examiné toutes les possibilités, « les membres concluent que la seule option viable à court terme pour obtenir des résultats durables est de procéder dès 2022 à la réduction de la taille du cheptel par une méthode de capture et d’euthanasie afin d’atteindre la capacité de support du parc »</w:t>
      </w:r>
      <w:r>
        <w:rPr>
          <w:rStyle w:val="Appelnotedebasdep"/>
          <w:kern w:val="28"/>
        </w:rPr>
        <w:footnoteReference w:id="16"/>
      </w:r>
      <w:r>
        <w:rPr>
          <w:kern w:val="28"/>
        </w:rPr>
        <w:t>.</w:t>
      </w:r>
    </w:p>
    <w:p w14:paraId="02077E78" w14:textId="352C4AB9" w:rsidR="0094230B" w:rsidRDefault="00BF6A51" w:rsidP="00515F54">
      <w:pPr>
        <w:widowControl w:val="0"/>
        <w:numPr>
          <w:ilvl w:val="0"/>
          <w:numId w:val="1"/>
        </w:numPr>
        <w:tabs>
          <w:tab w:val="clear" w:pos="360"/>
        </w:tabs>
        <w:spacing w:before="120" w:after="120"/>
        <w:jc w:val="both"/>
        <w:rPr>
          <w:kern w:val="28"/>
        </w:rPr>
      </w:pPr>
      <w:r>
        <w:rPr>
          <w:kern w:val="28"/>
        </w:rPr>
        <w:t>En conséquence, le 23 décembre 2021, la Ville autorise son directeur général à octroyer à une firme spécialisée un contrat pour la capture et l’euthanasie de cerfs du Parc</w:t>
      </w:r>
      <w:r>
        <w:rPr>
          <w:rStyle w:val="Appelnotedebasdep"/>
          <w:kern w:val="28"/>
        </w:rPr>
        <w:footnoteReference w:id="17"/>
      </w:r>
      <w:r>
        <w:rPr>
          <w:kern w:val="28"/>
        </w:rPr>
        <w:t>. Elle demande et obtient également du MFFP la délivrance d’un permis SEG</w:t>
      </w:r>
      <w:r>
        <w:rPr>
          <w:rStyle w:val="Appelnotedebasdep"/>
          <w:kern w:val="28"/>
        </w:rPr>
        <w:footnoteReference w:id="18"/>
      </w:r>
      <w:r>
        <w:rPr>
          <w:kern w:val="28"/>
        </w:rPr>
        <w:t>. De là, elle annonce que l’opération se déroulera à l’automne 2022</w:t>
      </w:r>
      <w:r>
        <w:rPr>
          <w:rStyle w:val="Appelnotedebasdep"/>
          <w:kern w:val="28"/>
        </w:rPr>
        <w:footnoteReference w:id="19"/>
      </w:r>
      <w:r>
        <w:rPr>
          <w:kern w:val="28"/>
        </w:rPr>
        <w:t>.</w:t>
      </w:r>
    </w:p>
    <w:p w14:paraId="78E7ECD4" w14:textId="34DC409B" w:rsidR="00FF2ACC" w:rsidRDefault="00FF2ACC" w:rsidP="00515F54">
      <w:pPr>
        <w:widowControl w:val="0"/>
        <w:numPr>
          <w:ilvl w:val="0"/>
          <w:numId w:val="1"/>
        </w:numPr>
        <w:tabs>
          <w:tab w:val="clear" w:pos="360"/>
        </w:tabs>
        <w:spacing w:before="120" w:after="120"/>
        <w:jc w:val="both"/>
        <w:rPr>
          <w:kern w:val="28"/>
        </w:rPr>
      </w:pPr>
      <w:r>
        <w:rPr>
          <w:kern w:val="28"/>
        </w:rPr>
        <w:t xml:space="preserve">Le 18 janvier 2022, </w:t>
      </w:r>
      <w:r w:rsidR="00CC3FCD">
        <w:rPr>
          <w:kern w:val="28"/>
        </w:rPr>
        <w:t>la SPCA</w:t>
      </w:r>
      <w:r w:rsidR="00814477">
        <w:rPr>
          <w:kern w:val="28"/>
        </w:rPr>
        <w:t xml:space="preserve"> </w:t>
      </w:r>
      <w:r>
        <w:rPr>
          <w:kern w:val="28"/>
        </w:rPr>
        <w:t>écrit à la Ville pour lui faire part de son désaccord et de ses préoccupations à l’égard du processus décisionnel et de la solution retenue par la Ville</w:t>
      </w:r>
      <w:r>
        <w:rPr>
          <w:rStyle w:val="Appelnotedebasdep"/>
          <w:kern w:val="28"/>
        </w:rPr>
        <w:footnoteReference w:id="20"/>
      </w:r>
      <w:r>
        <w:rPr>
          <w:kern w:val="28"/>
        </w:rPr>
        <w:t xml:space="preserve">. Deux jours plus tard, SSA met la Ville en demeure et l’avise avoir la ferme intention de contester devant les tribunaux toute </w:t>
      </w:r>
      <w:r w:rsidR="00301B20">
        <w:rPr>
          <w:kern w:val="28"/>
        </w:rPr>
        <w:t>décision</w:t>
      </w:r>
      <w:r w:rsidR="00D536BE">
        <w:rPr>
          <w:kern w:val="28"/>
        </w:rPr>
        <w:t xml:space="preserve"> </w:t>
      </w:r>
      <w:r>
        <w:rPr>
          <w:kern w:val="28"/>
        </w:rPr>
        <w:t>favorable à l’abattage des cerfs</w:t>
      </w:r>
      <w:r>
        <w:rPr>
          <w:rStyle w:val="Appelnotedebasdep"/>
          <w:kern w:val="28"/>
        </w:rPr>
        <w:footnoteReference w:id="21"/>
      </w:r>
      <w:r w:rsidR="000F2491">
        <w:rPr>
          <w:kern w:val="28"/>
        </w:rPr>
        <w:t>.</w:t>
      </w:r>
    </w:p>
    <w:p w14:paraId="748B7EF5" w14:textId="6E971C89" w:rsidR="00BF6A51" w:rsidRDefault="00BF6A51" w:rsidP="00515F54">
      <w:pPr>
        <w:numPr>
          <w:ilvl w:val="0"/>
          <w:numId w:val="1"/>
        </w:numPr>
        <w:tabs>
          <w:tab w:val="clear" w:pos="360"/>
        </w:tabs>
        <w:spacing w:before="120" w:after="120"/>
        <w:jc w:val="both"/>
        <w:rPr>
          <w:kern w:val="28"/>
        </w:rPr>
      </w:pPr>
      <w:r>
        <w:rPr>
          <w:kern w:val="28"/>
        </w:rPr>
        <w:t>Toutefois, le 24 février 2022, la Ville apprend qu’à la suite d’un inventaire aérien réalisé par le MFFP, on dénombre désormais 108 cerfs dans le Parc comparativement à 72 cerfs recensés lors de l’inventaire réalisé le 10 mars 2021</w:t>
      </w:r>
      <w:r>
        <w:rPr>
          <w:rStyle w:val="Appelnotedebasdep"/>
          <w:kern w:val="28"/>
        </w:rPr>
        <w:footnoteReference w:id="22"/>
      </w:r>
      <w:r>
        <w:rPr>
          <w:kern w:val="28"/>
        </w:rPr>
        <w:t>. La Ville se voit alors contrainte de revoir son objectif de réduction du nombre de cerfs à court terme et</w:t>
      </w:r>
      <w:r w:rsidR="0013297F">
        <w:rPr>
          <w:kern w:val="28"/>
        </w:rPr>
        <w:t>,</w:t>
      </w:r>
      <w:r>
        <w:rPr>
          <w:kern w:val="28"/>
        </w:rPr>
        <w:t xml:space="preserve"> partant, </w:t>
      </w:r>
      <w:r w:rsidR="005F0993">
        <w:rPr>
          <w:kern w:val="28"/>
        </w:rPr>
        <w:t xml:space="preserve">de </w:t>
      </w:r>
      <w:r>
        <w:rPr>
          <w:kern w:val="28"/>
        </w:rPr>
        <w:t xml:space="preserve">reconsidérer les moyens appropriés </w:t>
      </w:r>
      <w:r w:rsidR="00301B20">
        <w:rPr>
          <w:kern w:val="28"/>
        </w:rPr>
        <w:t>pour y parvenir</w:t>
      </w:r>
      <w:r>
        <w:rPr>
          <w:rStyle w:val="Appelnotedebasdep"/>
          <w:kern w:val="28"/>
        </w:rPr>
        <w:footnoteReference w:id="23"/>
      </w:r>
      <w:r>
        <w:rPr>
          <w:kern w:val="28"/>
        </w:rPr>
        <w:t>.</w:t>
      </w:r>
    </w:p>
    <w:p w14:paraId="26927425" w14:textId="2105E4D5" w:rsidR="00BF6A51" w:rsidRDefault="00BF6A51" w:rsidP="00515F54">
      <w:pPr>
        <w:keepNext/>
        <w:numPr>
          <w:ilvl w:val="0"/>
          <w:numId w:val="1"/>
        </w:numPr>
        <w:tabs>
          <w:tab w:val="clear" w:pos="360"/>
        </w:tabs>
        <w:spacing w:before="120" w:after="120"/>
        <w:jc w:val="both"/>
        <w:rPr>
          <w:kern w:val="28"/>
        </w:rPr>
      </w:pPr>
      <w:r>
        <w:rPr>
          <w:kern w:val="28"/>
        </w:rPr>
        <w:lastRenderedPageBreak/>
        <w:t>Compte tenu de ce qui précède, Christine Provost (</w:t>
      </w:r>
      <w:r w:rsidRPr="00C329FA">
        <w:rPr>
          <w:b/>
          <w:bCs/>
          <w:kern w:val="28"/>
        </w:rPr>
        <w:t>Provost</w:t>
      </w:r>
      <w:r>
        <w:rPr>
          <w:kern w:val="28"/>
        </w:rPr>
        <w:t>), alors chef de division Milieux naturels et hydriques pour le service de l’environnement de la Direction du génie de la Ville et directement impliquée au dossier, parvient à la conclusion suivante :</w:t>
      </w:r>
    </w:p>
    <w:p w14:paraId="5B7E72A7" w14:textId="7E109BC6" w:rsidR="00BF6A51" w:rsidRDefault="00BF6A51" w:rsidP="00800B2B">
      <w:pPr>
        <w:pStyle w:val="Citationenretrait"/>
      </w:pPr>
      <w:r>
        <w:t>«</w:t>
      </w:r>
      <w:r w:rsidR="008F6DF9">
        <w:t xml:space="preserve"> </w:t>
      </w:r>
      <w:r w:rsidRPr="00B56682">
        <w:t>À la lumière des consultations d’experts dans le domaine, dont ceux ayant été</w:t>
      </w:r>
      <w:r w:rsidR="00800B2B">
        <w:t xml:space="preserve"> </w:t>
      </w:r>
      <w:r w:rsidRPr="00B56682">
        <w:t xml:space="preserve">consultés le 19 </w:t>
      </w:r>
      <w:r w:rsidRPr="00C42095">
        <w:t>août</w:t>
      </w:r>
      <w:r w:rsidRPr="00B56682">
        <w:t xml:space="preserve"> 2021 par la Table, des résultats d’inventaires aériens et suite à la coupe de milliers d’arbres dans le Parc, j’ai conclu qu’une opération de </w:t>
      </w:r>
      <w:r w:rsidRPr="00627964">
        <w:t>chasse contrôlée devenait la seule façon d’agir dans les circonstances et recommandé de planifier cette opération, plutôt qu’une opération de capture et euthanasie, puisqu’il s’agissait dorénavant de la seule solution réaliste qui</w:t>
      </w:r>
      <w:r w:rsidRPr="00B56682">
        <w:t xml:space="preserve"> permettait de diminuer la population d’un aussi grand nombre de cerfs efficacement et à court terme;</w:t>
      </w:r>
      <w:r>
        <w:t> »</w:t>
      </w:r>
      <w:r w:rsidR="008F6DF9">
        <w:rPr>
          <w:rStyle w:val="Appelnotedebasdep"/>
        </w:rPr>
        <w:footnoteReference w:id="24"/>
      </w:r>
      <w:r w:rsidR="004D7FDA">
        <w:t>.</w:t>
      </w:r>
    </w:p>
    <w:p w14:paraId="1D0147E3" w14:textId="38DB0F04" w:rsidR="00BF6A51" w:rsidRDefault="00BF6A51" w:rsidP="00515F54">
      <w:pPr>
        <w:widowControl w:val="0"/>
        <w:numPr>
          <w:ilvl w:val="0"/>
          <w:numId w:val="1"/>
        </w:numPr>
        <w:tabs>
          <w:tab w:val="clear" w:pos="360"/>
        </w:tabs>
        <w:spacing w:before="120" w:after="120"/>
        <w:jc w:val="both"/>
      </w:pPr>
      <w:r>
        <w:t>Le 12 mai, SSA et Meney introduisent le Pourvoi</w:t>
      </w:r>
      <w:r w:rsidR="005F0993">
        <w:t xml:space="preserve"> en contrôle judiciaire (le </w:t>
      </w:r>
      <w:r w:rsidR="005F0993" w:rsidRPr="005F0993">
        <w:rPr>
          <w:b/>
          <w:bCs/>
        </w:rPr>
        <w:t>Pourvoi</w:t>
      </w:r>
      <w:r w:rsidR="005F0993">
        <w:t>)</w:t>
      </w:r>
      <w:r>
        <w:t xml:space="preserve">. Ils recherchent alors notamment l’annulation de la </w:t>
      </w:r>
      <w:r w:rsidR="00301B20">
        <w:t>r</w:t>
      </w:r>
      <w:r w:rsidR="00D536BE">
        <w:t xml:space="preserve">ésolution </w:t>
      </w:r>
      <w:r>
        <w:t xml:space="preserve">de la Ville, si elle existe, d’abattre les cerfs du Parc et </w:t>
      </w:r>
      <w:r w:rsidR="008F6DF9">
        <w:t>l’émission d’</w:t>
      </w:r>
      <w:r>
        <w:t xml:space="preserve">une ordonnance lui enjoignant de les relocaliser. Ils sollicitent également une ordonnance enjoignant </w:t>
      </w:r>
      <w:r w:rsidR="005D73D0">
        <w:t>au</w:t>
      </w:r>
      <w:r>
        <w:t xml:space="preserve"> MFFP de délivrer tout permis requis pour permettre cette relocalisation. Quelques jours plus tard, </w:t>
      </w:r>
      <w:r w:rsidR="00CC3FCD">
        <w:t>la SPCA</w:t>
      </w:r>
      <w:r w:rsidR="00814477">
        <w:t xml:space="preserve"> </w:t>
      </w:r>
      <w:r>
        <w:t>intervient au dossier pour appuyer les demandeurs</w:t>
      </w:r>
      <w:r w:rsidR="00301B20">
        <w:t xml:space="preserve"> (</w:t>
      </w:r>
      <w:r w:rsidR="00301B20" w:rsidRPr="00301B20">
        <w:rPr>
          <w:b/>
          <w:bCs/>
        </w:rPr>
        <w:t>l’Intervention</w:t>
      </w:r>
      <w:r w:rsidR="00301B20">
        <w:t>)</w:t>
      </w:r>
      <w:r>
        <w:t>.</w:t>
      </w:r>
    </w:p>
    <w:p w14:paraId="552F936D" w14:textId="35B9E4DF" w:rsidR="00BF6A51" w:rsidRDefault="00BF6A51" w:rsidP="00515F54">
      <w:pPr>
        <w:widowControl w:val="0"/>
        <w:numPr>
          <w:ilvl w:val="0"/>
          <w:numId w:val="1"/>
        </w:numPr>
        <w:tabs>
          <w:tab w:val="clear" w:pos="360"/>
        </w:tabs>
        <w:spacing w:before="120" w:after="120"/>
        <w:jc w:val="both"/>
      </w:pPr>
      <w:r>
        <w:t>Le 13 juillet, la Ville adopte la Résolution</w:t>
      </w:r>
      <w:r>
        <w:rPr>
          <w:rStyle w:val="Appelnotedebasdep"/>
        </w:rPr>
        <w:footnoteReference w:id="25"/>
      </w:r>
      <w:r>
        <w:t>. Puis, le 22 juillet, elle dépose auprès du MFFP une demande de permis l’autorisant à mettre en œuvre une opération de chasse contrôlée à l’arbalète</w:t>
      </w:r>
      <w:r>
        <w:rPr>
          <w:rStyle w:val="Appelnotedebasdep"/>
        </w:rPr>
        <w:footnoteReference w:id="26"/>
      </w:r>
      <w:r>
        <w:t>. Le 23 août, le MFFP fait droit à sa demande et lui délivre le Permis SEG.</w:t>
      </w:r>
    </w:p>
    <w:p w14:paraId="1D378CC6" w14:textId="514AC0CE" w:rsidR="00BF6A51" w:rsidRDefault="00BF6A51" w:rsidP="0046666A">
      <w:pPr>
        <w:numPr>
          <w:ilvl w:val="0"/>
          <w:numId w:val="1"/>
        </w:numPr>
        <w:tabs>
          <w:tab w:val="clear" w:pos="360"/>
        </w:tabs>
        <w:spacing w:before="120" w:after="120"/>
        <w:jc w:val="both"/>
      </w:pPr>
      <w:r>
        <w:t xml:space="preserve">SSA et Meney modifient alors le Pourvoi. Ils attaquent désormais la </w:t>
      </w:r>
      <w:r w:rsidR="00D536BE">
        <w:t xml:space="preserve">Résolution </w:t>
      </w:r>
      <w:r>
        <w:t>et le Permis SEG.</w:t>
      </w:r>
    </w:p>
    <w:p w14:paraId="2449EADE" w14:textId="379036A8" w:rsidR="009B2C2C" w:rsidRPr="00E55585" w:rsidRDefault="00E55585" w:rsidP="0046666A">
      <w:pPr>
        <w:pStyle w:val="Titre2"/>
        <w:spacing w:after="120"/>
        <w:rPr>
          <w:u w:val="none"/>
        </w:rPr>
      </w:pPr>
      <w:bookmarkStart w:id="10" w:name="_Toc143524141"/>
      <w:bookmarkStart w:id="11" w:name="_Toc144193781"/>
      <w:bookmarkStart w:id="12" w:name="_Toc144367223"/>
      <w:r w:rsidRPr="00E55585">
        <w:rPr>
          <w:caps w:val="0"/>
        </w:rPr>
        <w:t xml:space="preserve">Question </w:t>
      </w:r>
      <w:r w:rsidR="00FF2ACC" w:rsidRPr="00E55585">
        <w:t>1</w:t>
      </w:r>
      <w:r w:rsidR="009D6832" w:rsidRPr="00085713">
        <w:rPr>
          <w:u w:val="none"/>
        </w:rPr>
        <w:t> :</w:t>
      </w:r>
      <w:r w:rsidRPr="00E55585">
        <w:rPr>
          <w:caps w:val="0"/>
          <w:u w:val="none"/>
        </w:rPr>
        <w:tab/>
      </w:r>
      <w:r w:rsidR="0013297F">
        <w:rPr>
          <w:caps w:val="0"/>
          <w:u w:val="none"/>
        </w:rPr>
        <w:t>L</w:t>
      </w:r>
      <w:r w:rsidRPr="00E55585">
        <w:rPr>
          <w:caps w:val="0"/>
          <w:u w:val="none"/>
        </w:rPr>
        <w:t xml:space="preserve">a </w:t>
      </w:r>
      <w:r>
        <w:rPr>
          <w:caps w:val="0"/>
          <w:u w:val="none"/>
        </w:rPr>
        <w:t>V</w:t>
      </w:r>
      <w:r w:rsidRPr="00E55585">
        <w:rPr>
          <w:caps w:val="0"/>
          <w:u w:val="none"/>
        </w:rPr>
        <w:t>ille et le MFFP ont-ils une obligation d’équité procédurale envers les demandeurs, la SPCA</w:t>
      </w:r>
      <w:r w:rsidR="00814477" w:rsidRPr="00E55585">
        <w:rPr>
          <w:u w:val="none"/>
        </w:rPr>
        <w:t xml:space="preserve"> </w:t>
      </w:r>
      <w:r w:rsidRPr="00E55585">
        <w:rPr>
          <w:caps w:val="0"/>
          <w:u w:val="none"/>
        </w:rPr>
        <w:t>ou les cerfs et, le cas échéant, ont-ils manqué à cette obligation?</w:t>
      </w:r>
      <w:bookmarkEnd w:id="10"/>
      <w:bookmarkEnd w:id="11"/>
      <w:bookmarkEnd w:id="12"/>
    </w:p>
    <w:p w14:paraId="76BEB88D" w14:textId="76EAEB27" w:rsidR="00627964" w:rsidRDefault="00E17B2F" w:rsidP="00515F54">
      <w:pPr>
        <w:widowControl w:val="0"/>
        <w:numPr>
          <w:ilvl w:val="0"/>
          <w:numId w:val="1"/>
        </w:numPr>
        <w:tabs>
          <w:tab w:val="clear" w:pos="360"/>
        </w:tabs>
        <w:spacing w:before="120" w:after="120"/>
        <w:jc w:val="both"/>
      </w:pPr>
      <w:r>
        <w:t xml:space="preserve">Les demandeurs et </w:t>
      </w:r>
      <w:r w:rsidR="00CC3FCD">
        <w:t>la SPCA</w:t>
      </w:r>
      <w:r w:rsidR="00814477">
        <w:t xml:space="preserve"> </w:t>
      </w:r>
      <w:r>
        <w:t xml:space="preserve">font valoir que la Résolution et la délivrance du Permis SEG affectent directement les cerfs du Parc. Conséquemment, la Ville et le MFFP </w:t>
      </w:r>
      <w:r w:rsidR="00542426">
        <w:t>s</w:t>
      </w:r>
      <w:r>
        <w:t xml:space="preserve">e devaient de suivre un processus équitable et transparent menant tour à tour à l’adoption de la Résolution puis à la délivrance du </w:t>
      </w:r>
      <w:r w:rsidR="00301B20">
        <w:t>P</w:t>
      </w:r>
      <w:r>
        <w:t>ermis</w:t>
      </w:r>
      <w:r w:rsidR="00301B20">
        <w:t xml:space="preserve"> SEG</w:t>
      </w:r>
      <w:r>
        <w:t>.</w:t>
      </w:r>
    </w:p>
    <w:p w14:paraId="085893D4" w14:textId="03C6EECA" w:rsidR="00E17B2F" w:rsidRDefault="00E17B2F" w:rsidP="00515F54">
      <w:pPr>
        <w:keepNext/>
        <w:numPr>
          <w:ilvl w:val="0"/>
          <w:numId w:val="1"/>
        </w:numPr>
        <w:tabs>
          <w:tab w:val="clear" w:pos="360"/>
        </w:tabs>
        <w:spacing w:before="120" w:after="120"/>
        <w:jc w:val="both"/>
      </w:pPr>
      <w:r>
        <w:t xml:space="preserve">Plus particulièrement, le nouveau statut juridique </w:t>
      </w:r>
      <w:r w:rsidR="00373D79">
        <w:t xml:space="preserve">des animaux </w:t>
      </w:r>
      <w:r>
        <w:t xml:space="preserve">enchâssé dans le </w:t>
      </w:r>
      <w:r w:rsidRPr="005E016A">
        <w:rPr>
          <w:i/>
          <w:iCs/>
        </w:rPr>
        <w:t xml:space="preserve">Code civil </w:t>
      </w:r>
      <w:r w:rsidR="005E016A" w:rsidRPr="005E016A">
        <w:rPr>
          <w:i/>
          <w:iCs/>
        </w:rPr>
        <w:t>du Québec</w:t>
      </w:r>
      <w:r w:rsidR="005E016A">
        <w:t xml:space="preserve"> </w:t>
      </w:r>
      <w:r>
        <w:t xml:space="preserve">commande qu’un organisme public prenant une </w:t>
      </w:r>
      <w:r w:rsidR="005E016A">
        <w:t>décision</w:t>
      </w:r>
      <w:r w:rsidR="00D536BE">
        <w:t xml:space="preserve"> </w:t>
      </w:r>
      <w:r>
        <w:t>qui touche leurs intérêts mette en place un processus permettant la présentation de faits et d’arguments</w:t>
      </w:r>
      <w:r w:rsidR="00373D79">
        <w:t>,</w:t>
      </w:r>
      <w:r>
        <w:t xml:space="preserve"> incluant une démarche de consultation auprès du public et d’experts sur le </w:t>
      </w:r>
      <w:r>
        <w:lastRenderedPageBreak/>
        <w:t xml:space="preserve">bien-être animal. Or, la Ville et le MFFP auraient agi unilatéralement </w:t>
      </w:r>
      <w:r w:rsidR="003C777F">
        <w:t xml:space="preserve">et sans considération pour les avis scientifiques </w:t>
      </w:r>
      <w:r w:rsidR="00373D79">
        <w:t>contraires</w:t>
      </w:r>
      <w:r w:rsidR="003C777F">
        <w:t>.</w:t>
      </w:r>
    </w:p>
    <w:p w14:paraId="00436EE8" w14:textId="71F85462" w:rsidR="003C777F" w:rsidRDefault="00982C96" w:rsidP="00515F54">
      <w:pPr>
        <w:widowControl w:val="0"/>
        <w:numPr>
          <w:ilvl w:val="0"/>
          <w:numId w:val="1"/>
        </w:numPr>
        <w:tabs>
          <w:tab w:val="clear" w:pos="360"/>
        </w:tabs>
        <w:spacing w:before="120" w:after="120"/>
        <w:jc w:val="both"/>
      </w:pPr>
      <w:r>
        <w:t xml:space="preserve">De plus, ils reprochent à la Ville son processus décisionnel opaque qui les aurait </w:t>
      </w:r>
      <w:r w:rsidR="004D7FDA">
        <w:t>privés</w:t>
      </w:r>
      <w:r>
        <w:t xml:space="preserve"> de faire valoir leur point de vue. L’exercice mené par la Table, ajoutent-ils, ne saurait combler cette lacune. Selon eux, ses travaux sont incomplets notamment en raison de l’absence de mécanisme d’information et de consultation du public. Enfin, les membres de la Table n’ont aucune expérience de gestion d’un cheptel de cerfs alors que sa composition exclut les citoyens préoccupés par la protection des cerfs, dont Meney, et tout groupe voué </w:t>
      </w:r>
      <w:r w:rsidR="00466025">
        <w:t>à</w:t>
      </w:r>
      <w:r>
        <w:t xml:space="preserve"> la protection animale.</w:t>
      </w:r>
    </w:p>
    <w:p w14:paraId="4A81701F" w14:textId="2BE645B8" w:rsidR="00982C96" w:rsidRDefault="00982C96" w:rsidP="0013297F">
      <w:pPr>
        <w:widowControl w:val="0"/>
        <w:numPr>
          <w:ilvl w:val="0"/>
          <w:numId w:val="1"/>
        </w:numPr>
        <w:tabs>
          <w:tab w:val="clear" w:pos="360"/>
        </w:tabs>
        <w:spacing w:before="120" w:after="120"/>
        <w:jc w:val="both"/>
      </w:pPr>
      <w:r>
        <w:t>Ils ont tort.</w:t>
      </w:r>
    </w:p>
    <w:p w14:paraId="3C0D5DC4" w14:textId="7952E995" w:rsidR="00982C96" w:rsidRPr="00982C96" w:rsidRDefault="00982C96" w:rsidP="0066154F">
      <w:pPr>
        <w:pStyle w:val="Titre3"/>
      </w:pPr>
      <w:bookmarkStart w:id="13" w:name="_Toc143524142"/>
      <w:bookmarkStart w:id="14" w:name="_Toc144193782"/>
      <w:bookmarkStart w:id="15" w:name="_Toc144367224"/>
      <w:r w:rsidRPr="00982C96">
        <w:t>Principes juridiques applicables</w:t>
      </w:r>
      <w:bookmarkEnd w:id="13"/>
      <w:bookmarkEnd w:id="14"/>
      <w:bookmarkEnd w:id="15"/>
    </w:p>
    <w:p w14:paraId="2B7B219F" w14:textId="1174EC13" w:rsidR="00982C96" w:rsidRDefault="00982C96" w:rsidP="00515F54">
      <w:pPr>
        <w:widowControl w:val="0"/>
        <w:numPr>
          <w:ilvl w:val="0"/>
          <w:numId w:val="1"/>
        </w:numPr>
        <w:tabs>
          <w:tab w:val="clear" w:pos="360"/>
        </w:tabs>
        <w:spacing w:before="120" w:after="120"/>
        <w:jc w:val="both"/>
      </w:pPr>
      <w:r>
        <w:t xml:space="preserve">L’équité procédurale </w:t>
      </w:r>
      <w:r w:rsidR="0014514F">
        <w:t xml:space="preserve">est un principe fondamental du droit administratif canadien dont l’objectif primordial se conçoit aisément : dans l’exercice de ses pouvoirs publics, le décideur administratif doit agir avec équité lorsqu’il rend une </w:t>
      </w:r>
      <w:r w:rsidR="00AD42E0">
        <w:t>décision</w:t>
      </w:r>
      <w:r w:rsidR="00D536BE">
        <w:t xml:space="preserve"> </w:t>
      </w:r>
      <w:r w:rsidR="0014514F">
        <w:t>touchant les droits, les privilèges ou les biens d’un administré</w:t>
      </w:r>
      <w:r w:rsidR="00365444">
        <w:rPr>
          <w:rStyle w:val="Appelnotedebasdep"/>
        </w:rPr>
        <w:footnoteReference w:id="27"/>
      </w:r>
      <w:r w:rsidR="00365444">
        <w:t>.</w:t>
      </w:r>
    </w:p>
    <w:p w14:paraId="5F0FD83F" w14:textId="1AB60A3A" w:rsidR="00365444" w:rsidRDefault="00365444" w:rsidP="00515F54">
      <w:pPr>
        <w:widowControl w:val="0"/>
        <w:numPr>
          <w:ilvl w:val="0"/>
          <w:numId w:val="1"/>
        </w:numPr>
        <w:tabs>
          <w:tab w:val="clear" w:pos="360"/>
        </w:tabs>
        <w:spacing w:before="120" w:after="120"/>
        <w:jc w:val="both"/>
      </w:pPr>
      <w:r>
        <w:t>Toutefois, l’existence de l’obligation d’équité procédurale ne détermine pas quelles exigences s’appliqueront dans des circonstances données. En effet, la notion d’équité procédurale est éminemment variable et son contenu est tributaire du contexte particulier de chaque cas</w:t>
      </w:r>
      <w:r w:rsidR="00582263">
        <w:rPr>
          <w:rStyle w:val="Appelnotedebasdep"/>
        </w:rPr>
        <w:footnoteReference w:id="28"/>
      </w:r>
      <w:r w:rsidR="00582263">
        <w:t>.</w:t>
      </w:r>
    </w:p>
    <w:p w14:paraId="54B31335" w14:textId="0E7DF021" w:rsidR="00582263" w:rsidRDefault="00582263" w:rsidP="00515F54">
      <w:pPr>
        <w:widowControl w:val="0"/>
        <w:numPr>
          <w:ilvl w:val="0"/>
          <w:numId w:val="1"/>
        </w:numPr>
        <w:tabs>
          <w:tab w:val="clear" w:pos="360"/>
        </w:tabs>
        <w:spacing w:before="120" w:after="120"/>
        <w:jc w:val="both"/>
      </w:pPr>
      <w:r>
        <w:t>Les critères permettant de cerner la portée de l’obligation d’équité procédurale sont bien connus et, de manière non exhaustive, se résument comme suit :</w:t>
      </w:r>
    </w:p>
    <w:p w14:paraId="681A3B7C" w14:textId="3930B8B9" w:rsidR="00D64839" w:rsidRDefault="00D64839" w:rsidP="00477D5C">
      <w:pPr>
        <w:pStyle w:val="Citationenretrait"/>
        <w:widowControl w:val="0"/>
      </w:pPr>
      <w:r w:rsidRPr="00D64839">
        <w:t xml:space="preserve">1) </w:t>
      </w:r>
      <w:r w:rsidRPr="008F6DF9">
        <w:rPr>
          <w:b/>
          <w:bCs/>
        </w:rPr>
        <w:t xml:space="preserve">Nature de la </w:t>
      </w:r>
      <w:r w:rsidR="00301B20" w:rsidRPr="008F6DF9">
        <w:rPr>
          <w:b/>
          <w:bCs/>
        </w:rPr>
        <w:t>décision</w:t>
      </w:r>
      <w:r w:rsidR="00D536BE" w:rsidRPr="008F6DF9">
        <w:rPr>
          <w:b/>
          <w:bCs/>
        </w:rPr>
        <w:t xml:space="preserve"> </w:t>
      </w:r>
      <w:r w:rsidRPr="008F6DF9">
        <w:rPr>
          <w:b/>
          <w:bCs/>
        </w:rPr>
        <w:t>ainsi que du processus suivi pour y parvenir</w:t>
      </w:r>
      <w:r w:rsidR="00AD42E0" w:rsidRPr="008F6DF9">
        <w:rPr>
          <w:b/>
          <w:bCs/>
        </w:rPr>
        <w:t>.</w:t>
      </w:r>
      <w:r>
        <w:t xml:space="preserve"> Plus le processus </w:t>
      </w:r>
      <w:r w:rsidRPr="00C42095">
        <w:t>prévu</w:t>
      </w:r>
      <w:r>
        <w:t xml:space="preserve">, la fonction du tribunal, la nature de l’organisme rendant la </w:t>
      </w:r>
      <w:r w:rsidR="00301B20">
        <w:t>décision</w:t>
      </w:r>
      <w:r w:rsidR="00D536BE">
        <w:t xml:space="preserve"> </w:t>
      </w:r>
      <w:r>
        <w:t xml:space="preserve">et la démarche à suivre pour parvenir à la </w:t>
      </w:r>
      <w:r w:rsidR="0073315A">
        <w:t>décision</w:t>
      </w:r>
      <w:r w:rsidR="00D536BE">
        <w:t xml:space="preserve"> </w:t>
      </w:r>
      <w:r>
        <w:t xml:space="preserve">ressemblent à une prise de </w:t>
      </w:r>
      <w:r w:rsidR="00301B20">
        <w:t>décision</w:t>
      </w:r>
      <w:r w:rsidR="00D536BE">
        <w:t xml:space="preserve"> </w:t>
      </w:r>
      <w:r>
        <w:t>judiciaire, plus il est probable que l’obligation d’agir équitablement exigera des protections procédurales proches du modèle du procès.</w:t>
      </w:r>
    </w:p>
    <w:p w14:paraId="5168E12F" w14:textId="79809077" w:rsidR="00D64839" w:rsidRDefault="00D64839" w:rsidP="00477D5C">
      <w:pPr>
        <w:pStyle w:val="Citationenretrait"/>
        <w:widowControl w:val="0"/>
      </w:pPr>
      <w:r w:rsidRPr="00D64839">
        <w:t xml:space="preserve">2) </w:t>
      </w:r>
      <w:r w:rsidRPr="008F6DF9">
        <w:rPr>
          <w:b/>
          <w:bCs/>
        </w:rPr>
        <w:t>Nature du régime législatif et des dispositions en vertu desquelles l’organisme administratif agit</w:t>
      </w:r>
      <w:r w:rsidR="00AD42E0" w:rsidRPr="008F6DF9">
        <w:rPr>
          <w:b/>
          <w:bCs/>
        </w:rPr>
        <w:t>.</w:t>
      </w:r>
      <w:r>
        <w:t xml:space="preserve"> L’absence de procédure de contestation ou d’appel d’une </w:t>
      </w:r>
      <w:r w:rsidR="00301B20">
        <w:t>décision</w:t>
      </w:r>
      <w:r w:rsidR="00D536BE">
        <w:t xml:space="preserve"> </w:t>
      </w:r>
      <w:r>
        <w:t>et l’impossibilité pour l’administré de pouvoir présenter une nouvelle demande militent en faveur de l’application de garanties procédurales plus étendues.</w:t>
      </w:r>
    </w:p>
    <w:p w14:paraId="300578F5" w14:textId="166AB838" w:rsidR="00A54677" w:rsidRDefault="00A54677" w:rsidP="0046666A">
      <w:pPr>
        <w:pStyle w:val="Citationenretrait"/>
        <w:keepNext/>
      </w:pPr>
      <w:r w:rsidRPr="00A54677">
        <w:t>3)</w:t>
      </w:r>
      <w:r>
        <w:t xml:space="preserve"> </w:t>
      </w:r>
      <w:r w:rsidRPr="008F6DF9">
        <w:rPr>
          <w:b/>
          <w:bCs/>
        </w:rPr>
        <w:t xml:space="preserve">L’importance de la </w:t>
      </w:r>
      <w:r w:rsidR="00301B20" w:rsidRPr="008F6DF9">
        <w:rPr>
          <w:b/>
          <w:bCs/>
        </w:rPr>
        <w:t>décision</w:t>
      </w:r>
      <w:r w:rsidR="00D536BE" w:rsidRPr="008F6DF9">
        <w:rPr>
          <w:b/>
          <w:bCs/>
        </w:rPr>
        <w:t xml:space="preserve"> </w:t>
      </w:r>
      <w:r w:rsidRPr="008F6DF9">
        <w:rPr>
          <w:b/>
          <w:bCs/>
        </w:rPr>
        <w:t>pour la personne visée</w:t>
      </w:r>
      <w:r w:rsidR="00AD42E0" w:rsidRPr="008F6DF9">
        <w:rPr>
          <w:b/>
          <w:bCs/>
        </w:rPr>
        <w:t>.</w:t>
      </w:r>
      <w:r>
        <w:t xml:space="preserve"> Ce facteur a une incidence significative sur la détermination de l’étendue des garanties procédurales. </w:t>
      </w:r>
      <w:r>
        <w:lastRenderedPageBreak/>
        <w:t xml:space="preserve">Plus la </w:t>
      </w:r>
      <w:r w:rsidR="00301B20">
        <w:t>décision</w:t>
      </w:r>
      <w:r w:rsidR="00D536BE">
        <w:t xml:space="preserve"> </w:t>
      </w:r>
      <w:r>
        <w:t>est importante pour la vie des personnes visées et plus ses répercussions grandes pour ces personnes, plus les protections procédurales requises seront rigoureuses.</w:t>
      </w:r>
    </w:p>
    <w:p w14:paraId="1C728E4C" w14:textId="66105F82" w:rsidR="00D64839" w:rsidRPr="00C42095" w:rsidRDefault="00D64839" w:rsidP="00477D5C">
      <w:pPr>
        <w:pStyle w:val="Citationenretrait"/>
        <w:widowControl w:val="0"/>
      </w:pPr>
      <w:r w:rsidRPr="00C42095">
        <w:t xml:space="preserve">4) </w:t>
      </w:r>
      <w:r w:rsidRPr="008F6DF9">
        <w:rPr>
          <w:b/>
          <w:bCs/>
        </w:rPr>
        <w:t>Attentes légitimes d’une personne</w:t>
      </w:r>
      <w:r w:rsidR="00AD42E0" w:rsidRPr="008F6DF9">
        <w:rPr>
          <w:b/>
          <w:bCs/>
        </w:rPr>
        <w:t>.</w:t>
      </w:r>
      <w:r w:rsidRPr="00C42095">
        <w:t xml:space="preserve"> Si le demandeur s’attend légitimement à ce qu’une certaine procédure soit suivie, l’obligation d’équité exigera cette procédure. En d’autres termes, un administré est en droit de s’attendre à ce qu’un organisme suive les règles de procédure que lui a imposé le législateur ou encore celles qu’il s’est lui-même imposées.</w:t>
      </w:r>
    </w:p>
    <w:p w14:paraId="71C9B1F4" w14:textId="6EC5F9E9" w:rsidR="00D64839" w:rsidRDefault="00D64839" w:rsidP="00477D5C">
      <w:pPr>
        <w:pStyle w:val="Citationenretrait"/>
        <w:widowControl w:val="0"/>
      </w:pPr>
      <w:r w:rsidRPr="00C42095">
        <w:t xml:space="preserve">5) </w:t>
      </w:r>
      <w:r w:rsidRPr="008F6DF9">
        <w:rPr>
          <w:b/>
          <w:bCs/>
        </w:rPr>
        <w:t>Choix de procédures que l’organisme fait lui-même</w:t>
      </w:r>
      <w:r w:rsidR="00AD42E0" w:rsidRPr="008F6DF9">
        <w:rPr>
          <w:b/>
          <w:bCs/>
        </w:rPr>
        <w:t>.</w:t>
      </w:r>
      <w:r w:rsidRPr="00C42095">
        <w:t xml:space="preserve"> Ce facteur est particulièrement à considérer quand la loi laisse au décideur la possibilité de choisir ses propres procédures ou quand l’organisme a une expertise dans le choix des procédures</w:t>
      </w:r>
      <w:r>
        <w:t xml:space="preserve"> </w:t>
      </w:r>
      <w:r w:rsidR="005C069B">
        <w:t>appropriées.</w:t>
      </w:r>
      <w:r>
        <w:rPr>
          <w:rStyle w:val="Appelnotedebasdep"/>
        </w:rPr>
        <w:footnoteReference w:id="29"/>
      </w:r>
    </w:p>
    <w:p w14:paraId="61BCCE42" w14:textId="77777777" w:rsidR="00D64839" w:rsidRPr="008037AE" w:rsidRDefault="00D64839" w:rsidP="00477D5C">
      <w:pPr>
        <w:pStyle w:val="Paragrdouble"/>
        <w:widowControl w:val="0"/>
        <w:numPr>
          <w:ilvl w:val="0"/>
          <w:numId w:val="0"/>
        </w:numPr>
        <w:spacing w:line="360" w:lineRule="auto"/>
        <w:ind w:right="573"/>
        <w:jc w:val="right"/>
      </w:pPr>
      <w:r w:rsidRPr="008037AE">
        <w:t>[Références omises]</w:t>
      </w:r>
    </w:p>
    <w:p w14:paraId="1071CD3A" w14:textId="152B0CCC" w:rsidR="00582263" w:rsidRDefault="005A2B4D" w:rsidP="00515F54">
      <w:pPr>
        <w:widowControl w:val="0"/>
        <w:numPr>
          <w:ilvl w:val="0"/>
          <w:numId w:val="1"/>
        </w:numPr>
        <w:tabs>
          <w:tab w:val="clear" w:pos="360"/>
        </w:tabs>
        <w:spacing w:before="120" w:after="120"/>
        <w:jc w:val="both"/>
      </w:pPr>
      <w:r>
        <w:t xml:space="preserve">Cela dit, il importe de qualifier la nature de la </w:t>
      </w:r>
      <w:r w:rsidR="00AD42E0">
        <w:t>décision</w:t>
      </w:r>
      <w:r w:rsidR="00D536BE">
        <w:t xml:space="preserve"> </w:t>
      </w:r>
      <w:r>
        <w:t xml:space="preserve">attaquée à savoir s’il s’agit d’un acte administratif ou normatif. En effet, </w:t>
      </w:r>
      <w:r w:rsidR="005C069B">
        <w:t xml:space="preserve">l’existence ou non d’une </w:t>
      </w:r>
      <w:r>
        <w:t xml:space="preserve">obligation d’équité procédurale </w:t>
      </w:r>
      <w:r w:rsidR="00F71E75">
        <w:t>dépend</w:t>
      </w:r>
      <w:r>
        <w:t xml:space="preserve"> de cette qualification.</w:t>
      </w:r>
    </w:p>
    <w:p w14:paraId="2B2CF712" w14:textId="5F081418" w:rsidR="005A2B4D" w:rsidRDefault="005A2B4D" w:rsidP="00515F54">
      <w:pPr>
        <w:widowControl w:val="0"/>
        <w:numPr>
          <w:ilvl w:val="0"/>
          <w:numId w:val="1"/>
        </w:numPr>
        <w:tabs>
          <w:tab w:val="clear" w:pos="360"/>
        </w:tabs>
        <w:spacing w:before="120" w:after="120"/>
        <w:jc w:val="both"/>
      </w:pPr>
      <w:r>
        <w:t xml:space="preserve">Dans </w:t>
      </w:r>
      <w:r w:rsidRPr="005A2B4D">
        <w:rPr>
          <w:i/>
          <w:iCs/>
        </w:rPr>
        <w:t>Ville de Québec</w:t>
      </w:r>
      <w:r>
        <w:t xml:space="preserve"> c. </w:t>
      </w:r>
      <w:r w:rsidRPr="005A2B4D">
        <w:rPr>
          <w:i/>
          <w:iCs/>
        </w:rPr>
        <w:t>Rivard</w:t>
      </w:r>
      <w:r>
        <w:rPr>
          <w:rStyle w:val="Appelnotedebasdep"/>
        </w:rPr>
        <w:footnoteReference w:id="30"/>
      </w:r>
      <w:r>
        <w:t xml:space="preserve">, la Cour d’appel </w:t>
      </w:r>
      <w:r w:rsidR="00304D55">
        <w:t xml:space="preserve">exprime en ces termes les </w:t>
      </w:r>
      <w:r w:rsidR="009B2C2C">
        <w:t>effets</w:t>
      </w:r>
      <w:r w:rsidR="00304D55">
        <w:t xml:space="preserve"> de cette qualification :</w:t>
      </w:r>
    </w:p>
    <w:p w14:paraId="30ADAD6E" w14:textId="58B09B76" w:rsidR="00A66BAC" w:rsidRPr="00C42095" w:rsidRDefault="00A66BAC" w:rsidP="00477D5C">
      <w:pPr>
        <w:pStyle w:val="Citationenretrait"/>
        <w:widowControl w:val="0"/>
      </w:pPr>
      <w:r w:rsidRPr="00A66BAC">
        <w:rPr>
          <w:lang w:eastAsia="fr-CA"/>
        </w:rPr>
        <w:t>[47]</w:t>
      </w:r>
      <w:r w:rsidRPr="00A66BAC">
        <w:rPr>
          <w:rFonts w:ascii="Times New Roman" w:hAnsi="Times New Roman"/>
          <w:sz w:val="14"/>
          <w:szCs w:val="14"/>
          <w:lang w:eastAsia="fr-CA"/>
        </w:rPr>
        <w:t xml:space="preserve">        </w:t>
      </w:r>
      <w:r w:rsidRPr="00A66BAC">
        <w:rPr>
          <w:lang w:eastAsia="fr-CA"/>
        </w:rPr>
        <w:t xml:space="preserve">La </w:t>
      </w:r>
      <w:r w:rsidRPr="00C42095">
        <w:t>juge fait grand reproche à la Ville d’avoir enfreint les règles d’équité procédurale. Pour l’affirmer, elle se base sur l’affaire Congrégation des témoins de Jéhovah de St-Jérôme-Lafontaine c. Lafontaine (Village)</w:t>
      </w:r>
      <w:bookmarkStart w:id="16" w:name="_ftnref24"/>
      <w:r w:rsidRPr="00A52A65">
        <w:rPr>
          <w:vertAlign w:val="superscript"/>
        </w:rPr>
        <w:fldChar w:fldCharType="begin"/>
      </w:r>
      <w:r w:rsidRPr="00A52A65">
        <w:rPr>
          <w:vertAlign w:val="superscript"/>
        </w:rPr>
        <w:instrText xml:space="preserve"> HYPERLINK "about:blank" \l "_ftn24" \o "" </w:instrText>
      </w:r>
      <w:r w:rsidRPr="00A52A65">
        <w:rPr>
          <w:vertAlign w:val="superscript"/>
        </w:rPr>
      </w:r>
      <w:r w:rsidRPr="00A52A65">
        <w:rPr>
          <w:vertAlign w:val="superscript"/>
        </w:rPr>
        <w:fldChar w:fldCharType="separate"/>
      </w:r>
      <w:r w:rsidR="0034614B">
        <w:rPr>
          <w:vertAlign w:val="superscript"/>
        </w:rPr>
        <w:t>[24]</w:t>
      </w:r>
      <w:r w:rsidRPr="00A52A65">
        <w:rPr>
          <w:vertAlign w:val="superscript"/>
        </w:rPr>
        <w:fldChar w:fldCharType="end"/>
      </w:r>
      <w:bookmarkEnd w:id="16"/>
      <w:r w:rsidRPr="00A52A65">
        <w:rPr>
          <w:vertAlign w:val="superscript"/>
        </w:rPr>
        <w:t xml:space="preserve"> </w:t>
      </w:r>
      <w:r w:rsidRPr="00C42095">
        <w:t>et retient que les municipalités sont tenues de respecter les règles d’équité procédurale lorsque leurs décisions affectent la propriété d’une personne. Or, cette proposition mérite d’être nuancée.</w:t>
      </w:r>
    </w:p>
    <w:p w14:paraId="11E33326" w14:textId="78383DCD" w:rsidR="00A66BAC" w:rsidRPr="00A66BAC" w:rsidRDefault="00A66BAC" w:rsidP="00477D5C">
      <w:pPr>
        <w:pStyle w:val="Citationenretrait"/>
        <w:widowControl w:val="0"/>
        <w:rPr>
          <w:lang w:eastAsia="fr-CA"/>
        </w:rPr>
      </w:pPr>
      <w:r w:rsidRPr="00C42095">
        <w:t xml:space="preserve">[48]     L’obligation d’équité procédurale s’applique en présence d’une </w:t>
      </w:r>
      <w:r w:rsidR="00301B20" w:rsidRPr="00C42095">
        <w:t>décision</w:t>
      </w:r>
      <w:r w:rsidR="00D536BE" w:rsidRPr="00C42095">
        <w:t xml:space="preserve"> </w:t>
      </w:r>
      <w:r w:rsidRPr="00C42095">
        <w:t>administrative, tel le refus de modifier un règlement municipal à la demande d’un citoyen</w:t>
      </w:r>
      <w:bookmarkStart w:id="17" w:name="_ftnref25"/>
      <w:r w:rsidRPr="00C42095">
        <w:fldChar w:fldCharType="begin"/>
      </w:r>
      <w:r w:rsidRPr="00C42095">
        <w:instrText xml:space="preserve"> HYPERLINK "about:blank" \l "_ftn25" \o "" </w:instrText>
      </w:r>
      <w:r w:rsidRPr="00C42095">
        <w:fldChar w:fldCharType="separate"/>
      </w:r>
      <w:r w:rsidR="0034614B">
        <w:t>[25]</w:t>
      </w:r>
      <w:r w:rsidRPr="00C42095">
        <w:fldChar w:fldCharType="end"/>
      </w:r>
      <w:bookmarkEnd w:id="17"/>
      <w:r w:rsidRPr="00C42095">
        <w:t>. Dans ces cas, l’obligation d’équité procédurale est balisée selon les cinq critères établis par la Cour suprême da</w:t>
      </w:r>
      <w:r w:rsidRPr="00A66BAC">
        <w:rPr>
          <w:lang w:eastAsia="fr-CA"/>
        </w:rPr>
        <w:t xml:space="preserve">ns l’arrêt </w:t>
      </w:r>
      <w:r w:rsidRPr="00A66BAC">
        <w:rPr>
          <w:i/>
          <w:iCs/>
          <w:lang w:eastAsia="fr-CA"/>
        </w:rPr>
        <w:t>Baker</w:t>
      </w:r>
      <w:bookmarkStart w:id="18" w:name="_ftnref26"/>
      <w:r w:rsidRPr="00A66BAC">
        <w:rPr>
          <w:vertAlign w:val="superscript"/>
          <w:lang w:eastAsia="fr-CA"/>
        </w:rPr>
        <w:fldChar w:fldCharType="begin"/>
      </w:r>
      <w:r w:rsidRPr="00A66BAC">
        <w:rPr>
          <w:vertAlign w:val="superscript"/>
          <w:lang w:eastAsia="fr-CA"/>
        </w:rPr>
        <w:instrText xml:space="preserve"> HYPERLINK "about:blank" \l "_ftn26" \o "" </w:instrText>
      </w:r>
      <w:r w:rsidRPr="00A66BAC">
        <w:rPr>
          <w:vertAlign w:val="superscript"/>
          <w:lang w:eastAsia="fr-CA"/>
        </w:rPr>
      </w:r>
      <w:r w:rsidRPr="00A66BAC">
        <w:rPr>
          <w:vertAlign w:val="superscript"/>
          <w:lang w:eastAsia="fr-CA"/>
        </w:rPr>
        <w:fldChar w:fldCharType="separate"/>
      </w:r>
      <w:r w:rsidR="0034614B">
        <w:rPr>
          <w:color w:val="0000FF"/>
          <w:u w:val="single"/>
          <w:vertAlign w:val="superscript"/>
          <w:lang w:eastAsia="fr-CA"/>
        </w:rPr>
        <w:t>[26]</w:t>
      </w:r>
      <w:r w:rsidRPr="00A66BAC">
        <w:rPr>
          <w:vertAlign w:val="superscript"/>
          <w:lang w:eastAsia="fr-CA"/>
        </w:rPr>
        <w:fldChar w:fldCharType="end"/>
      </w:r>
      <w:bookmarkEnd w:id="18"/>
      <w:r w:rsidRPr="00A66BAC">
        <w:rPr>
          <w:lang w:eastAsia="fr-CA"/>
        </w:rPr>
        <w:t xml:space="preserve">. </w:t>
      </w:r>
    </w:p>
    <w:p w14:paraId="542DF8A5" w14:textId="5458FBAA" w:rsidR="00A66BAC" w:rsidRDefault="00A66BAC" w:rsidP="00477D5C">
      <w:pPr>
        <w:pStyle w:val="Citationenretrait"/>
        <w:widowControl w:val="0"/>
        <w:rPr>
          <w:lang w:eastAsia="fr-CA"/>
        </w:rPr>
      </w:pPr>
      <w:r w:rsidRPr="00A66BAC">
        <w:rPr>
          <w:lang w:eastAsia="fr-CA"/>
        </w:rPr>
        <w:t>[49]</w:t>
      </w:r>
      <w:r w:rsidRPr="00A66BAC">
        <w:rPr>
          <w:rFonts w:ascii="Times New Roman" w:hAnsi="Times New Roman"/>
          <w:sz w:val="14"/>
          <w:szCs w:val="14"/>
          <w:lang w:eastAsia="fr-CA"/>
        </w:rPr>
        <w:t xml:space="preserve">        </w:t>
      </w:r>
      <w:r w:rsidRPr="00A66BAC">
        <w:rPr>
          <w:lang w:eastAsia="fr-CA"/>
        </w:rPr>
        <w:t xml:space="preserve">Il ne saurait être question d’imposer la même obligation d’équité procédurale à une </w:t>
      </w:r>
      <w:r w:rsidRPr="00C42095">
        <w:t>municipalité</w:t>
      </w:r>
      <w:r w:rsidRPr="00A66BAC">
        <w:rPr>
          <w:lang w:eastAsia="fr-CA"/>
        </w:rPr>
        <w:t xml:space="preserve"> qui adopte un règlement de zonage à son initiative, car les règles prévoyant la publicité précédant l’adoption des règlements municipaux sont bien connues et déterminées par le législateur. Lorsqu’une municipalité exerce une </w:t>
      </w:r>
      <w:r w:rsidRPr="00A66BAC">
        <w:rPr>
          <w:lang w:eastAsia="fr-CA"/>
        </w:rPr>
        <w:lastRenderedPageBreak/>
        <w:t xml:space="preserve">fonction uniquement législative, telle l’adoption d’un règlement de zonage à sa propre initiative, le processus décisionnel est soumis aux dispositions législatives habilitantes applicables. </w:t>
      </w:r>
    </w:p>
    <w:p w14:paraId="74BB93D4" w14:textId="4B16FBA0" w:rsidR="00373D79" w:rsidRPr="008037AE" w:rsidRDefault="00373D79" w:rsidP="00477D5C">
      <w:pPr>
        <w:pStyle w:val="Paragrdouble"/>
        <w:widowControl w:val="0"/>
        <w:numPr>
          <w:ilvl w:val="0"/>
          <w:numId w:val="0"/>
        </w:numPr>
        <w:spacing w:line="360" w:lineRule="auto"/>
        <w:ind w:right="715"/>
        <w:jc w:val="right"/>
      </w:pPr>
      <w:r w:rsidRPr="008037AE">
        <w:t>[Références omises]</w:t>
      </w:r>
    </w:p>
    <w:p w14:paraId="09036040" w14:textId="3B26BF1C" w:rsidR="00304D55" w:rsidRDefault="004A2C6A" w:rsidP="00515F54">
      <w:pPr>
        <w:widowControl w:val="0"/>
        <w:numPr>
          <w:ilvl w:val="0"/>
          <w:numId w:val="1"/>
        </w:numPr>
        <w:tabs>
          <w:tab w:val="clear" w:pos="360"/>
        </w:tabs>
        <w:spacing w:before="120" w:after="120"/>
        <w:jc w:val="both"/>
      </w:pPr>
      <w:r>
        <w:t xml:space="preserve">Aussi, généralement, on reconnaît que </w:t>
      </w:r>
      <w:r w:rsidR="00814477">
        <w:t>la</w:t>
      </w:r>
      <w:r>
        <w:t xml:space="preserve"> résolution adoptée par une municipalité constitue un acte administratif par sa portée particulière ou </w:t>
      </w:r>
      <w:r w:rsidR="00373D79">
        <w:t>ponctuelle</w:t>
      </w:r>
      <w:r>
        <w:t xml:space="preserve"> par opposition à</w:t>
      </w:r>
      <w:r w:rsidR="004D7FDA">
        <w:t> </w:t>
      </w:r>
      <w:r>
        <w:t>l’acte suivant lequel l’organisme crée ou modifie une règle de droit, par exemple, une loi, un règlement, un décret gouvernemental ou un arrêté ministériel</w:t>
      </w:r>
      <w:r w:rsidR="00B74030">
        <w:rPr>
          <w:rStyle w:val="Appelnotedebasdep"/>
        </w:rPr>
        <w:footnoteReference w:id="31"/>
      </w:r>
      <w:r w:rsidR="00111B5A">
        <w:t>.</w:t>
      </w:r>
    </w:p>
    <w:p w14:paraId="26870D07" w14:textId="293859AF" w:rsidR="00111B5A" w:rsidRDefault="00111B5A" w:rsidP="00515F54">
      <w:pPr>
        <w:widowControl w:val="0"/>
        <w:numPr>
          <w:ilvl w:val="0"/>
          <w:numId w:val="1"/>
        </w:numPr>
        <w:tabs>
          <w:tab w:val="clear" w:pos="360"/>
        </w:tabs>
        <w:spacing w:before="120" w:after="120"/>
        <w:jc w:val="both"/>
      </w:pPr>
      <w:r>
        <w:t xml:space="preserve">Par ailleurs, la </w:t>
      </w:r>
      <w:r w:rsidRPr="00111B5A">
        <w:rPr>
          <w:i/>
          <w:iCs/>
        </w:rPr>
        <w:t>Loi sur la justice administrative</w:t>
      </w:r>
      <w:r>
        <w:rPr>
          <w:rStyle w:val="Appelnotedebasdep"/>
        </w:rPr>
        <w:footnoteReference w:id="32"/>
      </w:r>
      <w:r>
        <w:t xml:space="preserve"> (</w:t>
      </w:r>
      <w:r w:rsidR="00C4250E">
        <w:t xml:space="preserve">la </w:t>
      </w:r>
      <w:r w:rsidRPr="00111B5A">
        <w:rPr>
          <w:b/>
          <w:bCs/>
        </w:rPr>
        <w:t>LJA</w:t>
      </w:r>
      <w:r>
        <w:t xml:space="preserve">) codifie les garanties d’équité procédurale dont jouit l’administré en regard d’une </w:t>
      </w:r>
      <w:r w:rsidR="00AD42E0">
        <w:t>décision</w:t>
      </w:r>
      <w:r w:rsidR="00D536BE">
        <w:t xml:space="preserve"> </w:t>
      </w:r>
      <w:r>
        <w:t>prise à son égard par l’Administration gouvernementale et qui relève de l’exercice d’une fonction administrative</w:t>
      </w:r>
      <w:r w:rsidR="00AD42E0">
        <w:t> :</w:t>
      </w:r>
    </w:p>
    <w:p w14:paraId="7DE1CC58" w14:textId="104DFCEF" w:rsidR="00373D79" w:rsidRDefault="00373D79" w:rsidP="00477D5C">
      <w:pPr>
        <w:pStyle w:val="Citationenretrait"/>
        <w:widowControl w:val="0"/>
        <w:rPr>
          <w:lang w:eastAsia="fr-CA"/>
        </w:rPr>
      </w:pPr>
      <w:r>
        <w:rPr>
          <w:rStyle w:val="subsection"/>
          <w:rFonts w:cs="Arial"/>
          <w:color w:val="000000"/>
          <w:szCs w:val="22"/>
        </w:rPr>
        <w:t>2.</w:t>
      </w:r>
      <w:r w:rsidR="00800B2B">
        <w:rPr>
          <w:rStyle w:val="subsection"/>
          <w:rFonts w:cs="Arial"/>
          <w:color w:val="000000"/>
          <w:szCs w:val="22"/>
        </w:rPr>
        <w:t> </w:t>
      </w:r>
      <w:r>
        <w:rPr>
          <w:rStyle w:val="subsection"/>
          <w:rFonts w:cs="Arial"/>
          <w:color w:val="000000"/>
          <w:szCs w:val="22"/>
        </w:rPr>
        <w:t xml:space="preserve">Les procédures menant à une </w:t>
      </w:r>
      <w:r w:rsidR="0073315A">
        <w:rPr>
          <w:rStyle w:val="subsection"/>
          <w:rFonts w:cs="Arial"/>
          <w:color w:val="000000"/>
          <w:szCs w:val="22"/>
        </w:rPr>
        <w:t>décision</w:t>
      </w:r>
      <w:r w:rsidR="00D536BE">
        <w:rPr>
          <w:rStyle w:val="subsection"/>
          <w:rFonts w:cs="Arial"/>
          <w:color w:val="000000"/>
          <w:szCs w:val="22"/>
        </w:rPr>
        <w:t xml:space="preserve"> </w:t>
      </w:r>
      <w:r>
        <w:rPr>
          <w:rStyle w:val="subsection"/>
          <w:rFonts w:cs="Arial"/>
          <w:color w:val="000000"/>
          <w:szCs w:val="22"/>
        </w:rPr>
        <w:t xml:space="preserve">individuelle prise à l’égard d’un administré par </w:t>
      </w:r>
      <w:r w:rsidRPr="00C42095">
        <w:rPr>
          <w:rStyle w:val="subsection"/>
        </w:rPr>
        <w:t>l’Administration</w:t>
      </w:r>
      <w:r>
        <w:rPr>
          <w:rStyle w:val="subsection"/>
          <w:rFonts w:cs="Arial"/>
          <w:color w:val="000000"/>
          <w:szCs w:val="22"/>
        </w:rPr>
        <w:t xml:space="preserve"> gouvernementale, en application des normes prescrites par la loi, sont conduites dans le respect du devoir d’agir équitablement.</w:t>
      </w:r>
    </w:p>
    <w:p w14:paraId="14E102A1" w14:textId="48F733CE" w:rsidR="00373D79" w:rsidRPr="00C42095" w:rsidRDefault="00814477" w:rsidP="00477D5C">
      <w:pPr>
        <w:pStyle w:val="Citationenretrait"/>
        <w:widowControl w:val="0"/>
      </w:pPr>
      <w:bookmarkStart w:id="19" w:name="art3"/>
      <w:bookmarkEnd w:id="19"/>
      <w:r w:rsidRPr="00C42095">
        <w:t>[…]</w:t>
      </w:r>
    </w:p>
    <w:p w14:paraId="3312956B" w14:textId="61FCCD71" w:rsidR="00111B5A" w:rsidRPr="00C42095" w:rsidRDefault="00F9377E" w:rsidP="00477D5C">
      <w:pPr>
        <w:pStyle w:val="Citationenretrait"/>
        <w:widowControl w:val="0"/>
      </w:pPr>
      <w:hyperlink r:id="rId11" w:anchor="se:4" w:history="1">
        <w:r w:rsidR="0034614B">
          <w:rPr>
            <w:rStyle w:val="canliisection"/>
          </w:rPr>
          <w:t>4.</w:t>
        </w:r>
      </w:hyperlink>
      <w:r w:rsidR="00111B5A" w:rsidRPr="00C42095">
        <w:t> </w:t>
      </w:r>
      <w:r w:rsidR="00111B5A" w:rsidRPr="00C42095">
        <w:rPr>
          <w:rStyle w:val="subsection"/>
        </w:rPr>
        <w:t>L’Administration gouvernementale prend les mesures appropriées pour s’assurer:</w:t>
      </w:r>
    </w:p>
    <w:p w14:paraId="6AFAEC41" w14:textId="77777777" w:rsidR="00111B5A" w:rsidRPr="00C42095" w:rsidRDefault="00111B5A" w:rsidP="00477D5C">
      <w:pPr>
        <w:pStyle w:val="Citationenretrait"/>
        <w:widowControl w:val="0"/>
      </w:pPr>
      <w:r w:rsidRPr="00C42095">
        <w:rPr>
          <w:rStyle w:val="label-z"/>
        </w:rPr>
        <w:t>1° </w:t>
      </w:r>
      <w:r w:rsidRPr="00C42095">
        <w:rPr>
          <w:rStyle w:val="widthfixforlabel"/>
        </w:rPr>
        <w:t> </w:t>
      </w:r>
      <w:r w:rsidRPr="00C42095">
        <w:t> </w:t>
      </w:r>
      <w:r w:rsidRPr="00C42095">
        <w:rPr>
          <w:rStyle w:val="paragraph"/>
        </w:rPr>
        <w:t>que les procédures sont conduites dans le respect des normes législatives et administratives, ainsi que des autres règles de droit applicables, suivant des règles simples, souples et sans formalisme et avec respect, prudence et célérité, conformément aux normes d’éthique et de discipline qui régissent ses agents, et selon les exigences de la bonne foi;</w:t>
      </w:r>
    </w:p>
    <w:p w14:paraId="37467745" w14:textId="2062FA57" w:rsidR="00111B5A" w:rsidRDefault="00111B5A" w:rsidP="00477D5C">
      <w:pPr>
        <w:pStyle w:val="Citationenretrait"/>
        <w:widowControl w:val="0"/>
      </w:pPr>
      <w:r>
        <w:rPr>
          <w:rStyle w:val="label-z"/>
          <w:rFonts w:cs="Arial"/>
          <w:color w:val="000000"/>
          <w:szCs w:val="22"/>
        </w:rPr>
        <w:t>2° </w:t>
      </w:r>
      <w:r>
        <w:rPr>
          <w:rStyle w:val="widthfixforlabel"/>
          <w:rFonts w:cs="Arial"/>
          <w:color w:val="000000"/>
          <w:szCs w:val="22"/>
        </w:rPr>
        <w:t> </w:t>
      </w:r>
      <w:r>
        <w:t> </w:t>
      </w:r>
      <w:r>
        <w:rPr>
          <w:rStyle w:val="paragraph"/>
          <w:rFonts w:cs="Arial"/>
          <w:color w:val="000000"/>
          <w:szCs w:val="22"/>
        </w:rPr>
        <w:t xml:space="preserve">que l’administré a eu </w:t>
      </w:r>
      <w:r w:rsidRPr="00C42095">
        <w:rPr>
          <w:rStyle w:val="paragraph"/>
        </w:rPr>
        <w:t>l’occasion</w:t>
      </w:r>
      <w:r>
        <w:rPr>
          <w:rStyle w:val="paragraph"/>
          <w:rFonts w:cs="Arial"/>
          <w:color w:val="000000"/>
          <w:szCs w:val="22"/>
        </w:rPr>
        <w:t xml:space="preserve"> de fournir les renseignements utiles à la prise de la </w:t>
      </w:r>
      <w:r w:rsidR="0073315A">
        <w:rPr>
          <w:rStyle w:val="paragraph"/>
          <w:rFonts w:cs="Arial"/>
          <w:color w:val="000000"/>
          <w:szCs w:val="22"/>
        </w:rPr>
        <w:t>décision</w:t>
      </w:r>
      <w:r w:rsidR="00D536BE">
        <w:rPr>
          <w:rStyle w:val="paragraph"/>
          <w:rFonts w:cs="Arial"/>
          <w:color w:val="000000"/>
          <w:szCs w:val="22"/>
        </w:rPr>
        <w:t xml:space="preserve"> </w:t>
      </w:r>
      <w:r>
        <w:rPr>
          <w:rStyle w:val="paragraph"/>
          <w:rFonts w:cs="Arial"/>
          <w:color w:val="000000"/>
          <w:szCs w:val="22"/>
        </w:rPr>
        <w:t>et, le cas échéant, de compléter son dossier;</w:t>
      </w:r>
    </w:p>
    <w:p w14:paraId="255A5D12" w14:textId="77777777" w:rsidR="00111B5A" w:rsidRDefault="00111B5A" w:rsidP="00477D5C">
      <w:pPr>
        <w:pStyle w:val="Citationenretrait"/>
        <w:widowControl w:val="0"/>
      </w:pPr>
      <w:r>
        <w:rPr>
          <w:rStyle w:val="label-z"/>
          <w:rFonts w:cs="Arial"/>
          <w:color w:val="000000"/>
          <w:szCs w:val="22"/>
        </w:rPr>
        <w:t>3° </w:t>
      </w:r>
      <w:r>
        <w:rPr>
          <w:rStyle w:val="widthfixforlabel"/>
          <w:rFonts w:cs="Arial"/>
          <w:color w:val="000000"/>
          <w:szCs w:val="22"/>
        </w:rPr>
        <w:t> </w:t>
      </w:r>
      <w:r>
        <w:t> </w:t>
      </w:r>
      <w:r>
        <w:rPr>
          <w:rStyle w:val="paragraph"/>
          <w:rFonts w:cs="Arial"/>
          <w:color w:val="000000"/>
          <w:szCs w:val="22"/>
        </w:rPr>
        <w:t xml:space="preserve">que les décisions sont prises </w:t>
      </w:r>
      <w:r w:rsidRPr="00C42095">
        <w:rPr>
          <w:rStyle w:val="paragraph"/>
        </w:rPr>
        <w:t>avec</w:t>
      </w:r>
      <w:r>
        <w:rPr>
          <w:rStyle w:val="paragraph"/>
          <w:rFonts w:cs="Arial"/>
          <w:color w:val="000000"/>
          <w:szCs w:val="22"/>
        </w:rPr>
        <w:t xml:space="preserve"> diligence, qu’elles sont communiquées à l’administré concerné en termes clairs et concis et que les renseignements pour communiquer avec elle lui sont fournis;</w:t>
      </w:r>
    </w:p>
    <w:p w14:paraId="16B14E90" w14:textId="57018050" w:rsidR="00111B5A" w:rsidRPr="00C42095" w:rsidRDefault="00111B5A" w:rsidP="00477D5C">
      <w:pPr>
        <w:pStyle w:val="Citationenretrait"/>
        <w:widowControl w:val="0"/>
      </w:pPr>
      <w:r w:rsidRPr="00C42095">
        <w:rPr>
          <w:rStyle w:val="label-z"/>
        </w:rPr>
        <w:t>4° </w:t>
      </w:r>
      <w:r w:rsidRPr="00C42095">
        <w:rPr>
          <w:rStyle w:val="widthfixforlabel"/>
        </w:rPr>
        <w:t> </w:t>
      </w:r>
      <w:r w:rsidRPr="00C42095">
        <w:t> </w:t>
      </w:r>
      <w:r w:rsidRPr="00C42095">
        <w:rPr>
          <w:rStyle w:val="paragraph"/>
        </w:rPr>
        <w:t xml:space="preserve">que les directives à l’endroit des agents chargés de prendre la </w:t>
      </w:r>
      <w:r w:rsidR="0073315A" w:rsidRPr="00C42095">
        <w:rPr>
          <w:rStyle w:val="paragraph"/>
        </w:rPr>
        <w:t>décision</w:t>
      </w:r>
      <w:r w:rsidR="00D536BE" w:rsidRPr="00C42095">
        <w:rPr>
          <w:rStyle w:val="paragraph"/>
        </w:rPr>
        <w:t xml:space="preserve"> </w:t>
      </w:r>
      <w:r w:rsidRPr="00C42095">
        <w:rPr>
          <w:rStyle w:val="paragraph"/>
        </w:rPr>
        <w:t>sont conformes aux principes et obligations prévus au présent chapitre et qu’elles peuvent être consultées par l’administré.</w:t>
      </w:r>
    </w:p>
    <w:bookmarkStart w:id="20" w:name="art5"/>
    <w:bookmarkEnd w:id="20"/>
    <w:p w14:paraId="78708EFB" w14:textId="667DF9E3" w:rsidR="00111B5A" w:rsidRPr="00C42095" w:rsidRDefault="00111B5A" w:rsidP="00477D5C">
      <w:pPr>
        <w:pStyle w:val="Citationenretrait"/>
        <w:widowControl w:val="0"/>
      </w:pPr>
      <w:r w:rsidRPr="00C42095">
        <w:lastRenderedPageBreak/>
        <w:fldChar w:fldCharType="begin"/>
      </w:r>
      <w:r w:rsidRPr="00C42095">
        <w:instrText xml:space="preserve"> HYPERLINK "https://www.canlii.org/fr/qc/legis/lois/rlrq-c-j-3/derniere/rlrq-c-j-3.html" \l "se:5" </w:instrText>
      </w:r>
      <w:r w:rsidRPr="00C42095">
        <w:fldChar w:fldCharType="separate"/>
      </w:r>
      <w:r w:rsidR="0034614B">
        <w:rPr>
          <w:rStyle w:val="canliisection"/>
        </w:rPr>
        <w:t>5.</w:t>
      </w:r>
      <w:r w:rsidRPr="00C42095">
        <w:fldChar w:fldCharType="end"/>
      </w:r>
      <w:r w:rsidRPr="00C42095">
        <w:t> </w:t>
      </w:r>
      <w:r w:rsidRPr="00C42095">
        <w:rPr>
          <w:rStyle w:val="subsection"/>
        </w:rPr>
        <w:t xml:space="preserve">L’autorité administrative ne peut prendre une ordonnance de faire ou de ne pas faire ou une </w:t>
      </w:r>
      <w:r w:rsidR="0073315A" w:rsidRPr="00C42095">
        <w:rPr>
          <w:rStyle w:val="subsection"/>
        </w:rPr>
        <w:t>décision</w:t>
      </w:r>
      <w:r w:rsidR="00D536BE" w:rsidRPr="00C42095">
        <w:rPr>
          <w:rStyle w:val="subsection"/>
        </w:rPr>
        <w:t xml:space="preserve"> </w:t>
      </w:r>
      <w:r w:rsidRPr="00C42095">
        <w:rPr>
          <w:rStyle w:val="subsection"/>
        </w:rPr>
        <w:t>défavorable portant sur un permis ou une autre autorisation de même nature, sans au préalable:</w:t>
      </w:r>
    </w:p>
    <w:p w14:paraId="112A2C0C" w14:textId="77777777" w:rsidR="00111B5A" w:rsidRPr="00C42095" w:rsidRDefault="00111B5A" w:rsidP="00477D5C">
      <w:pPr>
        <w:pStyle w:val="Citationenretrait"/>
        <w:widowControl w:val="0"/>
      </w:pPr>
      <w:r w:rsidRPr="00C42095">
        <w:rPr>
          <w:rStyle w:val="label-z"/>
        </w:rPr>
        <w:t>1° </w:t>
      </w:r>
      <w:r w:rsidRPr="00C42095">
        <w:rPr>
          <w:rStyle w:val="widthfixforlabel"/>
        </w:rPr>
        <w:t> </w:t>
      </w:r>
      <w:r w:rsidRPr="00C42095">
        <w:t> </w:t>
      </w:r>
      <w:r w:rsidRPr="00C42095">
        <w:rPr>
          <w:rStyle w:val="paragraph"/>
        </w:rPr>
        <w:t>avoir informé l’administré de son intention ainsi que des motifs sur lesquels celle-ci est fondée;</w:t>
      </w:r>
    </w:p>
    <w:p w14:paraId="19E87B63" w14:textId="77777777" w:rsidR="00111B5A" w:rsidRPr="00C42095" w:rsidRDefault="00111B5A" w:rsidP="00477D5C">
      <w:pPr>
        <w:pStyle w:val="Citationenretrait"/>
        <w:widowControl w:val="0"/>
      </w:pPr>
      <w:r w:rsidRPr="00C42095">
        <w:rPr>
          <w:rStyle w:val="label-z"/>
        </w:rPr>
        <w:t>2° </w:t>
      </w:r>
      <w:r w:rsidRPr="00C42095">
        <w:rPr>
          <w:rStyle w:val="widthfixforlabel"/>
        </w:rPr>
        <w:t> </w:t>
      </w:r>
      <w:r w:rsidRPr="00C42095">
        <w:t> </w:t>
      </w:r>
      <w:r w:rsidRPr="00C42095">
        <w:rPr>
          <w:rStyle w:val="paragraph"/>
        </w:rPr>
        <w:t>avoir informé celui-ci, le cas échéant, de la teneur des plaintes et oppositions qui le concernent;</w:t>
      </w:r>
    </w:p>
    <w:p w14:paraId="06D25332" w14:textId="77777777" w:rsidR="00111B5A" w:rsidRPr="00C42095" w:rsidRDefault="00111B5A" w:rsidP="00477D5C">
      <w:pPr>
        <w:pStyle w:val="Citationenretrait"/>
        <w:widowControl w:val="0"/>
      </w:pPr>
      <w:r w:rsidRPr="00C42095">
        <w:rPr>
          <w:rStyle w:val="label-z"/>
        </w:rPr>
        <w:t>3° </w:t>
      </w:r>
      <w:r w:rsidRPr="00C42095">
        <w:rPr>
          <w:rStyle w:val="widthfixforlabel"/>
        </w:rPr>
        <w:t> </w:t>
      </w:r>
      <w:r w:rsidRPr="00C42095">
        <w:t> </w:t>
      </w:r>
      <w:r w:rsidRPr="00C42095">
        <w:rPr>
          <w:rStyle w:val="paragraph"/>
        </w:rPr>
        <w:t>lui avoir donné l’occasion de présenter ses observations et, s’il y a lieu, de produire des documents pour compléter son dossier.</w:t>
      </w:r>
    </w:p>
    <w:p w14:paraId="4DCE4A8E" w14:textId="0649F13A" w:rsidR="00111B5A" w:rsidRDefault="00111B5A" w:rsidP="00477D5C">
      <w:pPr>
        <w:pStyle w:val="Citationenretrait"/>
        <w:widowControl w:val="0"/>
      </w:pPr>
      <w:r w:rsidRPr="00C42095">
        <w:rPr>
          <w:rStyle w:val="subsection"/>
        </w:rPr>
        <w:t>Il est fait exception à ces obligations</w:t>
      </w:r>
      <w:r>
        <w:rPr>
          <w:rStyle w:val="subsection"/>
          <w:rFonts w:cs="Arial"/>
          <w:color w:val="000000"/>
          <w:szCs w:val="22"/>
        </w:rPr>
        <w:t xml:space="preserve"> préalables lorsque l’ordonnance ou la </w:t>
      </w:r>
      <w:r w:rsidR="0073315A">
        <w:rPr>
          <w:rStyle w:val="subsection"/>
          <w:rFonts w:cs="Arial"/>
          <w:color w:val="000000"/>
          <w:szCs w:val="22"/>
        </w:rPr>
        <w:t>décision</w:t>
      </w:r>
      <w:r w:rsidR="00D536BE">
        <w:rPr>
          <w:rStyle w:val="subsection"/>
          <w:rFonts w:cs="Arial"/>
          <w:color w:val="000000"/>
          <w:szCs w:val="22"/>
        </w:rPr>
        <w:t xml:space="preserve"> </w:t>
      </w:r>
      <w:r>
        <w:rPr>
          <w:rStyle w:val="subsection"/>
          <w:rFonts w:cs="Arial"/>
          <w:color w:val="000000"/>
          <w:szCs w:val="22"/>
        </w:rPr>
        <w:t>est prise dans un contexte d’urgence ou en vue d’éviter qu’un préjudice irréparable ne soit causé aux personnes, à leurs biens ou à l’environnement et que, de plus, la loi autorise l’autorité à réexaminer la situation ou à réviser la décision.</w:t>
      </w:r>
    </w:p>
    <w:p w14:paraId="6CC588D8" w14:textId="36A9B8AD" w:rsidR="00111B5A" w:rsidRDefault="00C4250E" w:rsidP="00515F54">
      <w:pPr>
        <w:widowControl w:val="0"/>
        <w:numPr>
          <w:ilvl w:val="0"/>
          <w:numId w:val="1"/>
        </w:numPr>
        <w:tabs>
          <w:tab w:val="clear" w:pos="360"/>
        </w:tabs>
        <w:spacing w:before="120" w:after="120"/>
        <w:jc w:val="both"/>
      </w:pPr>
      <w:r>
        <w:t>Toutefois, ces dispositions n’</w:t>
      </w:r>
      <w:r w:rsidR="00B31E8B">
        <w:t xml:space="preserve">écartent pas </w:t>
      </w:r>
      <w:r>
        <w:t>l’application des règles de l’équité procédurale issue de la common law</w:t>
      </w:r>
      <w:r w:rsidR="00B31E8B">
        <w:t xml:space="preserve"> car</w:t>
      </w:r>
      <w:r w:rsidR="005C069B">
        <w:t>,</w:t>
      </w:r>
      <w:r>
        <w:t xml:space="preserve"> </w:t>
      </w:r>
      <w:r w:rsidR="00B31E8B">
        <w:t>c</w:t>
      </w:r>
      <w:r>
        <w:t>omme le suggère la formulation de l’art</w:t>
      </w:r>
      <w:r w:rsidR="003C2DD8">
        <w:t>icle</w:t>
      </w:r>
      <w:r>
        <w:t xml:space="preserve"> 2 LJA, ces règles continuent de s’appliquer de manière supplétive</w:t>
      </w:r>
      <w:r>
        <w:rPr>
          <w:rStyle w:val="Appelnotedebasdep"/>
        </w:rPr>
        <w:footnoteReference w:id="33"/>
      </w:r>
      <w:r>
        <w:t>.</w:t>
      </w:r>
    </w:p>
    <w:p w14:paraId="0CC6E178" w14:textId="328B1B5D" w:rsidR="00C4250E" w:rsidRPr="009B2C2C" w:rsidRDefault="00C4250E" w:rsidP="0066154F">
      <w:pPr>
        <w:pStyle w:val="Titre3"/>
        <w:ind w:left="1162"/>
        <w:rPr>
          <w:bCs/>
        </w:rPr>
      </w:pPr>
      <w:bookmarkStart w:id="21" w:name="_Toc143524143"/>
      <w:bookmarkStart w:id="22" w:name="_Toc144193783"/>
      <w:bookmarkStart w:id="23" w:name="_Toc144367225"/>
      <w:r w:rsidRPr="009B2C2C">
        <w:rPr>
          <w:bCs/>
        </w:rPr>
        <w:t>Discussion</w:t>
      </w:r>
      <w:bookmarkEnd w:id="21"/>
      <w:bookmarkEnd w:id="22"/>
      <w:bookmarkEnd w:id="23"/>
    </w:p>
    <w:p w14:paraId="21E88D94" w14:textId="5F8D8DEA" w:rsidR="00C4250E" w:rsidRDefault="00C4250E" w:rsidP="00515F54">
      <w:pPr>
        <w:widowControl w:val="0"/>
        <w:numPr>
          <w:ilvl w:val="0"/>
          <w:numId w:val="1"/>
        </w:numPr>
        <w:tabs>
          <w:tab w:val="clear" w:pos="360"/>
        </w:tabs>
        <w:spacing w:before="120" w:after="120"/>
        <w:jc w:val="both"/>
      </w:pPr>
      <w:r>
        <w:t xml:space="preserve">Le Tribunal conclut que Meney, </w:t>
      </w:r>
      <w:r w:rsidR="000948FA">
        <w:t xml:space="preserve">SSA, </w:t>
      </w:r>
      <w:r w:rsidR="00CC3FCD">
        <w:t>la SPCA</w:t>
      </w:r>
      <w:r w:rsidR="00814477">
        <w:t xml:space="preserve"> </w:t>
      </w:r>
      <w:r>
        <w:t>et les cerfs ne jouissent d’aucune garantie d’équité procédurale au regard du processus menant à l’adoption de la Résolution ou à la délivrance du Permis SEG.</w:t>
      </w:r>
    </w:p>
    <w:p w14:paraId="0B420545" w14:textId="4E162D29" w:rsidR="000948FA" w:rsidRDefault="000948FA" w:rsidP="00515F54">
      <w:pPr>
        <w:widowControl w:val="0"/>
        <w:numPr>
          <w:ilvl w:val="0"/>
          <w:numId w:val="1"/>
        </w:numPr>
        <w:tabs>
          <w:tab w:val="clear" w:pos="360"/>
        </w:tabs>
        <w:spacing w:before="120" w:after="120"/>
        <w:jc w:val="both"/>
      </w:pPr>
      <w:r>
        <w:t xml:space="preserve">De plus, </w:t>
      </w:r>
      <w:r w:rsidR="008F6DF9">
        <w:t>si tant est qu’il</w:t>
      </w:r>
      <w:r w:rsidR="009B2C2C">
        <w:t>s</w:t>
      </w:r>
      <w:r w:rsidR="008F6DF9">
        <w:t xml:space="preserve"> bénéficie</w:t>
      </w:r>
      <w:r w:rsidR="009B2C2C">
        <w:t>nt</w:t>
      </w:r>
      <w:r>
        <w:t xml:space="preserve"> d’une telle garantie, ils ont pu faire valoir leur point de vue avant </w:t>
      </w:r>
      <w:r w:rsidR="0073315A">
        <w:t>que ces décisions soient prises</w:t>
      </w:r>
      <w:r>
        <w:t>.</w:t>
      </w:r>
    </w:p>
    <w:p w14:paraId="2998B8F0" w14:textId="447A3C85" w:rsidR="000948FA" w:rsidRDefault="009B2C2C" w:rsidP="0066154F">
      <w:pPr>
        <w:pStyle w:val="Titre4"/>
      </w:pPr>
      <w:bookmarkStart w:id="24" w:name="_Toc144367226"/>
      <w:r>
        <w:t>M</w:t>
      </w:r>
      <w:r w:rsidR="000948FA" w:rsidRPr="000948FA">
        <w:t xml:space="preserve">eney, SSA, </w:t>
      </w:r>
      <w:r w:rsidR="00CC3FCD">
        <w:t>la SPCA</w:t>
      </w:r>
      <w:bookmarkEnd w:id="24"/>
    </w:p>
    <w:p w14:paraId="0B2AF7D6" w14:textId="0C1B8689" w:rsidR="000948FA" w:rsidRPr="006C7CAE" w:rsidRDefault="00BB167F" w:rsidP="00515F54">
      <w:pPr>
        <w:widowControl w:val="0"/>
        <w:numPr>
          <w:ilvl w:val="0"/>
          <w:numId w:val="1"/>
        </w:numPr>
        <w:tabs>
          <w:tab w:val="clear" w:pos="360"/>
        </w:tabs>
        <w:spacing w:before="120" w:after="120"/>
        <w:jc w:val="both"/>
        <w:rPr>
          <w:b/>
          <w:bCs/>
        </w:rPr>
      </w:pPr>
      <w:r>
        <w:t xml:space="preserve">Qu’il s’agisse de la </w:t>
      </w:r>
      <w:r w:rsidRPr="00BB167F">
        <w:rPr>
          <w:i/>
          <w:iCs/>
        </w:rPr>
        <w:t>Loi sur les cités et villes</w:t>
      </w:r>
      <w:r>
        <w:rPr>
          <w:rStyle w:val="Appelnotedebasdep"/>
        </w:rPr>
        <w:footnoteReference w:id="34"/>
      </w:r>
      <w:r>
        <w:t xml:space="preserve"> ou de la </w:t>
      </w:r>
      <w:r w:rsidRPr="00BB167F">
        <w:rPr>
          <w:i/>
          <w:iCs/>
        </w:rPr>
        <w:t>Loi sur les compétences municipales</w:t>
      </w:r>
      <w:r w:rsidR="00852101">
        <w:rPr>
          <w:i/>
          <w:iCs/>
        </w:rPr>
        <w:t xml:space="preserve"> </w:t>
      </w:r>
      <w:r w:rsidR="00852101" w:rsidRPr="00852101">
        <w:t>(</w:t>
      </w:r>
      <w:r w:rsidR="00852101" w:rsidRPr="00852101">
        <w:rPr>
          <w:b/>
          <w:bCs/>
        </w:rPr>
        <w:t>LCM</w:t>
      </w:r>
      <w:r w:rsidR="00852101" w:rsidRPr="00852101">
        <w:t>)</w:t>
      </w:r>
      <w:r w:rsidR="00852101">
        <w:rPr>
          <w:rStyle w:val="Appelnotedebasdep"/>
        </w:rPr>
        <w:footnoteReference w:id="35"/>
      </w:r>
      <w:r w:rsidRPr="00852101">
        <w:t xml:space="preserve">, </w:t>
      </w:r>
      <w:r>
        <w:t>le régime législatif en place ne prévoit aucune obligation de consultation préalablement à l’adoption d’une résolution par le conseil municipal</w:t>
      </w:r>
      <w:r w:rsidR="006C7CAE">
        <w:t>. Comme le souligne la Cour d’appel :</w:t>
      </w:r>
    </w:p>
    <w:p w14:paraId="64C2531C" w14:textId="1F707B94" w:rsidR="006C7CAE" w:rsidRPr="00C42095" w:rsidRDefault="006C7CAE" w:rsidP="00477D5C">
      <w:pPr>
        <w:pStyle w:val="Citationenretrait"/>
        <w:widowControl w:val="0"/>
      </w:pPr>
      <w:r w:rsidRPr="00C42095">
        <w:t>[16]           Le Code municipal</w:t>
      </w:r>
      <w:bookmarkStart w:id="25" w:name="_ftnref2"/>
      <w:r w:rsidRPr="00A52A65">
        <w:rPr>
          <w:vertAlign w:val="superscript"/>
        </w:rPr>
        <w:fldChar w:fldCharType="begin"/>
      </w:r>
      <w:r w:rsidRPr="00A52A65">
        <w:rPr>
          <w:vertAlign w:val="superscript"/>
        </w:rPr>
        <w:instrText xml:space="preserve"> HYPERLINK "about:blank" \l "_ftn2" \o "" </w:instrText>
      </w:r>
      <w:r w:rsidRPr="00A52A65">
        <w:rPr>
          <w:vertAlign w:val="superscript"/>
        </w:rPr>
      </w:r>
      <w:r w:rsidRPr="00A52A65">
        <w:rPr>
          <w:vertAlign w:val="superscript"/>
        </w:rPr>
        <w:fldChar w:fldCharType="separate"/>
      </w:r>
      <w:r w:rsidR="0034614B">
        <w:rPr>
          <w:vertAlign w:val="superscript"/>
        </w:rPr>
        <w:t>[2]</w:t>
      </w:r>
      <w:r w:rsidRPr="00A52A65">
        <w:rPr>
          <w:vertAlign w:val="superscript"/>
        </w:rPr>
        <w:fldChar w:fldCharType="end"/>
      </w:r>
      <w:bookmarkEnd w:id="25"/>
      <w:r w:rsidRPr="00C42095">
        <w:t>, la Loi des cités et villes</w:t>
      </w:r>
      <w:bookmarkStart w:id="26" w:name="_ftnref3"/>
      <w:r w:rsidRPr="00A52A65">
        <w:rPr>
          <w:vertAlign w:val="superscript"/>
        </w:rPr>
        <w:fldChar w:fldCharType="begin"/>
      </w:r>
      <w:r w:rsidRPr="00A52A65">
        <w:rPr>
          <w:vertAlign w:val="superscript"/>
        </w:rPr>
        <w:instrText xml:space="preserve"> HYPERLINK "about:blank" \l "_ftn3" \o "" </w:instrText>
      </w:r>
      <w:r w:rsidRPr="00A52A65">
        <w:rPr>
          <w:vertAlign w:val="superscript"/>
        </w:rPr>
      </w:r>
      <w:r w:rsidRPr="00A52A65">
        <w:rPr>
          <w:vertAlign w:val="superscript"/>
        </w:rPr>
        <w:fldChar w:fldCharType="separate"/>
      </w:r>
      <w:r w:rsidR="0034614B">
        <w:rPr>
          <w:vertAlign w:val="superscript"/>
        </w:rPr>
        <w:t>[3]</w:t>
      </w:r>
      <w:r w:rsidRPr="00A52A65">
        <w:rPr>
          <w:vertAlign w:val="superscript"/>
        </w:rPr>
        <w:fldChar w:fldCharType="end"/>
      </w:r>
      <w:bookmarkEnd w:id="26"/>
      <w:r w:rsidRPr="00C42095">
        <w:t>, la Loi sur l'aménagement et l'urbanisme</w:t>
      </w:r>
      <w:bookmarkStart w:id="27" w:name="_ftnref4"/>
      <w:r w:rsidRPr="00A52A65">
        <w:rPr>
          <w:vertAlign w:val="superscript"/>
        </w:rPr>
        <w:fldChar w:fldCharType="begin"/>
      </w:r>
      <w:r w:rsidRPr="00A52A65">
        <w:rPr>
          <w:vertAlign w:val="superscript"/>
        </w:rPr>
        <w:instrText xml:space="preserve"> HYPERLINK "about:blank" \l "_ftn4" \o "" </w:instrText>
      </w:r>
      <w:r w:rsidRPr="00A52A65">
        <w:rPr>
          <w:vertAlign w:val="superscript"/>
        </w:rPr>
      </w:r>
      <w:r w:rsidRPr="00A52A65">
        <w:rPr>
          <w:vertAlign w:val="superscript"/>
        </w:rPr>
        <w:fldChar w:fldCharType="separate"/>
      </w:r>
      <w:r w:rsidR="0034614B">
        <w:rPr>
          <w:vertAlign w:val="superscript"/>
        </w:rPr>
        <w:t>[4]</w:t>
      </w:r>
      <w:r w:rsidRPr="00A52A65">
        <w:rPr>
          <w:vertAlign w:val="superscript"/>
        </w:rPr>
        <w:fldChar w:fldCharType="end"/>
      </w:r>
      <w:bookmarkEnd w:id="27"/>
      <w:r w:rsidRPr="00C42095">
        <w:t>, la Loi sur les élections et référendums dans les municipalités</w:t>
      </w:r>
      <w:bookmarkStart w:id="28" w:name="_ftnref5"/>
      <w:r w:rsidRPr="00C42095">
        <w:fldChar w:fldCharType="begin"/>
      </w:r>
      <w:r w:rsidRPr="00C42095">
        <w:instrText xml:space="preserve"> HYPERLINK "about:blank" \l "_ftn5" \o "" </w:instrText>
      </w:r>
      <w:r w:rsidRPr="00C42095">
        <w:fldChar w:fldCharType="separate"/>
      </w:r>
      <w:r w:rsidR="0034614B">
        <w:t>[5]</w:t>
      </w:r>
      <w:r w:rsidRPr="00C42095">
        <w:fldChar w:fldCharType="end"/>
      </w:r>
      <w:bookmarkEnd w:id="28"/>
      <w:r w:rsidRPr="00C42095">
        <w:t xml:space="preserve"> (et peut-être d'autres lois) obligent les municipalités à consulter les citoyens dans certaines circonstances particulières, notamment en matière de zonage et </w:t>
      </w:r>
      <w:r w:rsidRPr="00C42095">
        <w:lastRenderedPageBreak/>
        <w:t>d'emprunt.</w:t>
      </w:r>
    </w:p>
    <w:p w14:paraId="0DFB35DD" w14:textId="1E8FA041" w:rsidR="006C7CAE" w:rsidRPr="00C42095" w:rsidRDefault="006C7CAE" w:rsidP="00477D5C">
      <w:pPr>
        <w:pStyle w:val="Citationenretrait"/>
        <w:widowControl w:val="0"/>
      </w:pPr>
      <w:r w:rsidRPr="00C42095">
        <w:t>[17]           Hors ces cas - bien que cela puisse être souhaitable dans un but de transparence - je vois difficilement comment on pourrait prétendre qu'une municipalité agit sans droit lorsqu'elle exerce son pouvoir réglementaire en l'absence de consultation préalable.</w:t>
      </w:r>
      <w:r w:rsidR="00EB3425" w:rsidRPr="00A52A65">
        <w:rPr>
          <w:rStyle w:val="Appelnotedebasdep"/>
        </w:rPr>
        <w:footnoteReference w:id="36"/>
      </w:r>
    </w:p>
    <w:p w14:paraId="62005CBB" w14:textId="1DD2AC35" w:rsidR="006C7CAE" w:rsidRPr="008037AE" w:rsidRDefault="006C7CAE" w:rsidP="00477D5C">
      <w:pPr>
        <w:widowControl w:val="0"/>
        <w:spacing w:before="120" w:after="120" w:line="360" w:lineRule="auto"/>
        <w:ind w:left="731" w:right="715"/>
        <w:jc w:val="right"/>
        <w:rPr>
          <w:sz w:val="22"/>
          <w:szCs w:val="18"/>
        </w:rPr>
      </w:pPr>
      <w:r w:rsidRPr="008037AE">
        <w:rPr>
          <w:sz w:val="22"/>
          <w:szCs w:val="18"/>
        </w:rPr>
        <w:t>[Références omises]</w:t>
      </w:r>
    </w:p>
    <w:p w14:paraId="4288A9DB" w14:textId="744A3146" w:rsidR="00EB3425" w:rsidRDefault="00EB3425" w:rsidP="00515F54">
      <w:pPr>
        <w:widowControl w:val="0"/>
        <w:numPr>
          <w:ilvl w:val="0"/>
          <w:numId w:val="1"/>
        </w:numPr>
        <w:tabs>
          <w:tab w:val="clear" w:pos="360"/>
        </w:tabs>
        <w:spacing w:before="120" w:after="120"/>
        <w:jc w:val="both"/>
      </w:pPr>
      <w:r>
        <w:t xml:space="preserve">Certes, cet arrêt s’inscrit dans le cadre de l’exercice d’un pouvoir </w:t>
      </w:r>
      <w:r w:rsidR="00062095">
        <w:t>réglementaire</w:t>
      </w:r>
      <w:r>
        <w:t xml:space="preserve"> de la municipalité. Toutefois, </w:t>
      </w:r>
      <w:r w:rsidR="008F6DF9">
        <w:t>le Tribunal est d’avis</w:t>
      </w:r>
      <w:r>
        <w:t xml:space="preserve"> que ces enseignements s’appliquent </w:t>
      </w:r>
      <w:r w:rsidR="00FE3155" w:rsidRPr="00FE3155">
        <w:rPr>
          <w:i/>
          <w:iCs/>
        </w:rPr>
        <w:t>mutatis</w:t>
      </w:r>
      <w:r>
        <w:t xml:space="preserve"> </w:t>
      </w:r>
      <w:r w:rsidRPr="00FE3155">
        <w:rPr>
          <w:i/>
          <w:iCs/>
        </w:rPr>
        <w:t>mutandis</w:t>
      </w:r>
      <w:r>
        <w:t xml:space="preserve"> à la présente affaire puisque, en adoptant la Résolution, la Ville </w:t>
      </w:r>
      <w:r w:rsidR="00184D64">
        <w:t>ne vise pas un particulier</w:t>
      </w:r>
      <w:r>
        <w:rPr>
          <w:rStyle w:val="Appelnotedebasdep"/>
        </w:rPr>
        <w:footnoteReference w:id="37"/>
      </w:r>
      <w:r>
        <w:t>.</w:t>
      </w:r>
    </w:p>
    <w:p w14:paraId="636BCDE6" w14:textId="63089EE2" w:rsidR="00EB3425" w:rsidRDefault="00EB3425" w:rsidP="00515F54">
      <w:pPr>
        <w:widowControl w:val="0"/>
        <w:numPr>
          <w:ilvl w:val="0"/>
          <w:numId w:val="1"/>
        </w:numPr>
        <w:tabs>
          <w:tab w:val="clear" w:pos="360"/>
        </w:tabs>
        <w:spacing w:before="120" w:after="120"/>
        <w:jc w:val="both"/>
      </w:pPr>
      <w:r>
        <w:t>C’est pourquoi, lorsqu’elle n’affecte pas les droits</w:t>
      </w:r>
      <w:r w:rsidR="00184D64">
        <w:t xml:space="preserve">, les privilèges ou les biens </w:t>
      </w:r>
      <w:r>
        <w:t xml:space="preserve">d’un administré, l’adoption d’une résolution municipale </w:t>
      </w:r>
      <w:r w:rsidR="00184D64">
        <w:t>n’</w:t>
      </w:r>
      <w:r>
        <w:t xml:space="preserve">impose généralement </w:t>
      </w:r>
      <w:r w:rsidR="00184D64">
        <w:t>aucune</w:t>
      </w:r>
      <w:r>
        <w:t xml:space="preserve"> obligation d’équité procédurale </w:t>
      </w:r>
      <w:r w:rsidR="00184D64">
        <w:t xml:space="preserve">et, si tant est qu’elle existe, elle est </w:t>
      </w:r>
      <w:r>
        <w:t>de faible intensité</w:t>
      </w:r>
      <w:r w:rsidR="00FB1C7E">
        <w:t xml:space="preserve">, comme le souligne la Cour dans </w:t>
      </w:r>
      <w:r w:rsidR="00FB1C7E" w:rsidRPr="00FB1C7E">
        <w:rPr>
          <w:i/>
          <w:iCs/>
        </w:rPr>
        <w:t>Ville de Vaudreuil-Dorion</w:t>
      </w:r>
      <w:r w:rsidR="00FB1C7E">
        <w:t xml:space="preserve"> c. </w:t>
      </w:r>
      <w:r w:rsidR="00FB1C7E" w:rsidRPr="00FB1C7E">
        <w:rPr>
          <w:i/>
          <w:iCs/>
        </w:rPr>
        <w:t>MRC de Vaudreuil-Soulanges</w:t>
      </w:r>
      <w:r w:rsidR="00FB1C7E">
        <w:t> :</w:t>
      </w:r>
    </w:p>
    <w:p w14:paraId="2BD39094" w14:textId="54E20912" w:rsidR="00EB3425" w:rsidRDefault="00EB3425" w:rsidP="00477D5C">
      <w:pPr>
        <w:pStyle w:val="Citationenretrait"/>
        <w:widowControl w:val="0"/>
        <w:rPr>
          <w:rFonts w:ascii="Times New Roman" w:hAnsi="Times New Roman"/>
          <w:lang w:eastAsia="fr-CA"/>
        </w:rPr>
      </w:pPr>
      <w:r>
        <w:t>[110]</w:t>
      </w:r>
      <w:r>
        <w:rPr>
          <w:sz w:val="14"/>
          <w:szCs w:val="14"/>
        </w:rPr>
        <w:t xml:space="preserve">      </w:t>
      </w:r>
      <w:r>
        <w:t xml:space="preserve">Signalons que la </w:t>
      </w:r>
      <w:r w:rsidRPr="00C42095">
        <w:t>Résolution</w:t>
      </w:r>
      <w:r>
        <w:t xml:space="preserve"> a abrogé la résolution de 2006, ce qu’une résolution peut faire</w:t>
      </w:r>
      <w:bookmarkStart w:id="29" w:name="_ftnref62"/>
      <w:bookmarkEnd w:id="29"/>
      <w:r>
        <w:fldChar w:fldCharType="begin"/>
      </w:r>
      <w:r>
        <w:instrText xml:space="preserve"> HYPERLINK "about:blank" \l "_ftn62" </w:instrText>
      </w:r>
      <w:r>
        <w:fldChar w:fldCharType="separate"/>
      </w:r>
      <w:r w:rsidR="0034614B">
        <w:rPr>
          <w:rStyle w:val="Hyperlien"/>
          <w:rFonts w:cs="Arial"/>
          <w:color w:val="000000"/>
          <w:sz w:val="16"/>
          <w:szCs w:val="16"/>
          <w:vertAlign w:val="superscript"/>
        </w:rPr>
        <w:t>[62]</w:t>
      </w:r>
      <w:r>
        <w:fldChar w:fldCharType="end"/>
      </w:r>
      <w:r>
        <w:t>. Aucune des parties n’a soulevé que la résolution n’était pas le mode approprié. Or, l’adoption d’une résolution n’est pas encadrée. Le professeur Gilles Rousseau de la faculté de droit de l'Université Laval a écrit au sujet de l’adoption des textes normatifs municipaux </w:t>
      </w:r>
      <w:bookmarkStart w:id="30" w:name="_ftnref63"/>
      <w:bookmarkEnd w:id="30"/>
      <w:r>
        <w:fldChar w:fldCharType="begin"/>
      </w:r>
      <w:r>
        <w:instrText xml:space="preserve"> HYPERLINK "about:blank" \l "_ftn63" </w:instrText>
      </w:r>
      <w:r>
        <w:fldChar w:fldCharType="separate"/>
      </w:r>
      <w:r w:rsidR="0034614B">
        <w:rPr>
          <w:rStyle w:val="Hyperlien"/>
          <w:rFonts w:cs="Arial"/>
          <w:color w:val="000000"/>
          <w:sz w:val="16"/>
          <w:szCs w:val="16"/>
          <w:vertAlign w:val="superscript"/>
        </w:rPr>
        <w:t>[63]</w:t>
      </w:r>
      <w:r>
        <w:fldChar w:fldCharType="end"/>
      </w:r>
      <w:r>
        <w:t>:</w:t>
      </w:r>
    </w:p>
    <w:p w14:paraId="6E5E4F96" w14:textId="77777777" w:rsidR="00EB3425" w:rsidRPr="00C42095" w:rsidRDefault="00EB3425" w:rsidP="00477D5C">
      <w:pPr>
        <w:pStyle w:val="Citationenretrait"/>
        <w:widowControl w:val="0"/>
      </w:pPr>
      <w:r>
        <w:t xml:space="preserve">Les termes « résolutions » et « règlements » servent à différencier les procédures types des décisions du conseil. L’on peut considérer la résolution comme la délibération simple ou ordinaire, puisqu’elle n’exige en principe que le vote de la </w:t>
      </w:r>
      <w:r w:rsidRPr="00C42095">
        <w:t>majorité des membres présents du conseil municipal. Le terme règlement connaît en droit municipal québécois une signification très particulière. Il ne se définit pas par son contenu, par exemple, comme un acte à portée générale qui s’opposerait à l’acte individuel, mais par sa forme. Le règlement est l’acte pris en respectant une procédure spéciale, dont est exempte la résolution : il doit être précédé d’un avis dit de motion, donné lors d’une séance antérieure du conseil, et faire ensuite l’objet d’une publicité.</w:t>
      </w:r>
    </w:p>
    <w:p w14:paraId="332014D2" w14:textId="7AE0F0D5" w:rsidR="00EB3425" w:rsidRPr="00C42095" w:rsidRDefault="00EB3425" w:rsidP="00477D5C">
      <w:pPr>
        <w:pStyle w:val="Citationenretrait"/>
        <w:widowControl w:val="0"/>
      </w:pPr>
      <w:r w:rsidRPr="00C42095">
        <w:t>[111]      Dans l’arrêt Air Canada</w:t>
      </w:r>
      <w:bookmarkStart w:id="31" w:name="_ftnref64"/>
      <w:bookmarkEnd w:id="31"/>
      <w:r w:rsidRPr="00C42095">
        <w:fldChar w:fldCharType="begin"/>
      </w:r>
      <w:r w:rsidRPr="00C42095">
        <w:instrText xml:space="preserve"> HYPERLINK "about:blank" \l "_ftn64" </w:instrText>
      </w:r>
      <w:r w:rsidRPr="00C42095">
        <w:fldChar w:fldCharType="separate"/>
      </w:r>
      <w:r w:rsidR="0034614B">
        <w:rPr>
          <w:rStyle w:val="Hyperlien"/>
          <w:color w:val="auto"/>
          <w:u w:val="none"/>
        </w:rPr>
        <w:t>[64]</w:t>
      </w:r>
      <w:r w:rsidRPr="00C42095">
        <w:fldChar w:fldCharType="end"/>
      </w:r>
      <w:r w:rsidRPr="00C42095">
        <w:t>, la Cour suprême a écrit :</w:t>
      </w:r>
    </w:p>
    <w:p w14:paraId="70CB8258" w14:textId="74F50A5F" w:rsidR="00EB3425" w:rsidRPr="00C42095" w:rsidRDefault="00EB3425" w:rsidP="0046666A">
      <w:pPr>
        <w:pStyle w:val="Citationenretrait"/>
        <w:keepNext/>
      </w:pPr>
      <w:bookmarkStart w:id="32" w:name="par24"/>
      <w:r w:rsidRPr="00C42095">
        <w:t>24</w:t>
      </w:r>
      <w:bookmarkEnd w:id="32"/>
      <w:r w:rsidRPr="00C42095">
        <w:t xml:space="preserve">.      D'une manière générale la résolution est utilisée pour les décisions administratives courantes. Elle est utilisée dans les cas où la loi le spécifie comme dans les articles mentionnés plus haut. Elle est également utilisée lorsque la loi est </w:t>
      </w:r>
      <w:r w:rsidRPr="00C42095">
        <w:lastRenderedPageBreak/>
        <w:t>muette sur la manière dont la municipalité peut exprimer sa décision. La résolution est dénuée de toute formalité.</w:t>
      </w:r>
    </w:p>
    <w:p w14:paraId="4A5463CD" w14:textId="77777777" w:rsidR="00EB3425" w:rsidRDefault="00EB3425" w:rsidP="00477D5C">
      <w:pPr>
        <w:pStyle w:val="Citationenretrait"/>
        <w:widowControl w:val="0"/>
        <w:rPr>
          <w:szCs w:val="24"/>
        </w:rPr>
      </w:pPr>
      <w:r w:rsidRPr="00C42095">
        <w:t>[112]      La loi offre donc peu de garanties procédurales quant à l’adoption de résolutions. En l’espèce, il apparaît qu’une résolution peut être présentée en tout temps, même séance tenante. Pour ne pas en débattre</w:t>
      </w:r>
      <w:r>
        <w:t xml:space="preserve">, un maire doit, comme l’a fait le maire Pilon, quitter la salle du conseil. </w:t>
      </w:r>
    </w:p>
    <w:p w14:paraId="228596CD" w14:textId="31A8B797" w:rsidR="00EB3425" w:rsidRDefault="00EB3425" w:rsidP="00477D5C">
      <w:pPr>
        <w:pStyle w:val="Citationenretrait"/>
        <w:widowControl w:val="0"/>
      </w:pPr>
      <w:r>
        <w:t>[113]</w:t>
      </w:r>
      <w:r>
        <w:rPr>
          <w:sz w:val="14"/>
          <w:szCs w:val="14"/>
        </w:rPr>
        <w:t xml:space="preserve">      </w:t>
      </w:r>
      <w:r>
        <w:t xml:space="preserve">Le </w:t>
      </w:r>
      <w:r w:rsidRPr="00C42095">
        <w:t>Tribunal</w:t>
      </w:r>
      <w:r>
        <w:t xml:space="preserve"> ne considère pas que la Résolution constitue un acte de nature quasi-judiciaire entrainant des obligations procédurales autres que de donner un avis suffisant, ce qui a été fait en l’espèce</w:t>
      </w:r>
      <w:r>
        <w:rPr>
          <w:rStyle w:val="Appelnotedebasdep"/>
        </w:rPr>
        <w:footnoteReference w:id="38"/>
      </w:r>
      <w:r w:rsidR="005760E8">
        <w:t>.</w:t>
      </w:r>
    </w:p>
    <w:p w14:paraId="577BEEAF" w14:textId="06EFDE65" w:rsidR="00EB3425" w:rsidRDefault="00B31E8B" w:rsidP="00515F54">
      <w:pPr>
        <w:widowControl w:val="0"/>
        <w:numPr>
          <w:ilvl w:val="0"/>
          <w:numId w:val="1"/>
        </w:numPr>
        <w:tabs>
          <w:tab w:val="clear" w:pos="360"/>
        </w:tabs>
        <w:spacing w:before="120" w:after="120"/>
        <w:jc w:val="both"/>
      </w:pPr>
      <w:r>
        <w:t>De plus,</w:t>
      </w:r>
      <w:r w:rsidR="00D229A5">
        <w:t xml:space="preserve"> Meney, SSA et </w:t>
      </w:r>
      <w:r w:rsidR="00CC3FCD">
        <w:t>la SPCA</w:t>
      </w:r>
      <w:r w:rsidR="00D229A5">
        <w:t xml:space="preserve"> sont des tiers </w:t>
      </w:r>
      <w:r>
        <w:t>que</w:t>
      </w:r>
      <w:r w:rsidR="00D229A5">
        <w:t xml:space="preserve"> la Résolution ou la demande de Permis SEG </w:t>
      </w:r>
      <w:r>
        <w:t>n’affecte</w:t>
      </w:r>
      <w:r w:rsidR="00030967">
        <w:t>nt pas directement</w:t>
      </w:r>
      <w:r>
        <w:t xml:space="preserve"> </w:t>
      </w:r>
      <w:r w:rsidR="00D229A5">
        <w:t xml:space="preserve">en ce </w:t>
      </w:r>
      <w:r w:rsidR="008F6DF9">
        <w:t>que ces décisions</w:t>
      </w:r>
      <w:r w:rsidR="00D229A5">
        <w:t xml:space="preserve"> </w:t>
      </w:r>
      <w:r w:rsidR="00030967">
        <w:t>n’entrainent aucune</w:t>
      </w:r>
      <w:r w:rsidR="00D229A5">
        <w:t xml:space="preserve"> conséquence sur leurs droits, privilèges ou leurs biens</w:t>
      </w:r>
      <w:r w:rsidR="00D229A5">
        <w:rPr>
          <w:rStyle w:val="Appelnotedebasdep"/>
        </w:rPr>
        <w:footnoteReference w:id="39"/>
      </w:r>
      <w:r w:rsidR="00D229A5">
        <w:t>.</w:t>
      </w:r>
    </w:p>
    <w:p w14:paraId="4E1F7E90" w14:textId="3AB8CF03" w:rsidR="00CC3113" w:rsidRDefault="00CC3113" w:rsidP="00515F54">
      <w:pPr>
        <w:widowControl w:val="0"/>
        <w:numPr>
          <w:ilvl w:val="0"/>
          <w:numId w:val="1"/>
        </w:numPr>
        <w:tabs>
          <w:tab w:val="clear" w:pos="360"/>
        </w:tabs>
        <w:spacing w:before="120" w:after="120"/>
        <w:jc w:val="both"/>
      </w:pPr>
      <w:r>
        <w:t xml:space="preserve">Dans </w:t>
      </w:r>
      <w:r>
        <w:rPr>
          <w:i/>
        </w:rPr>
        <w:t>Iredale</w:t>
      </w:r>
      <w:r>
        <w:t xml:space="preserve"> c. </w:t>
      </w:r>
      <w:r>
        <w:rPr>
          <w:i/>
        </w:rPr>
        <w:t>Mont-Tremblant (Ville de)</w:t>
      </w:r>
      <w:r>
        <w:rPr>
          <w:rStyle w:val="Appelnotedebasdep"/>
          <w:i/>
        </w:rPr>
        <w:footnoteReference w:id="40"/>
      </w:r>
      <w:r>
        <w:t xml:space="preserve">, </w:t>
      </w:r>
      <w:r w:rsidR="00030967">
        <w:t>un citoyen</w:t>
      </w:r>
      <w:r>
        <w:t xml:space="preserve"> recherchait la nullité d’un permis délivré à Circuit Mont-Tremblant inc. par le </w:t>
      </w:r>
      <w:r w:rsidR="008F6DF9">
        <w:t>m</w:t>
      </w:r>
      <w:r>
        <w:t xml:space="preserve">inistre en vertu de la </w:t>
      </w:r>
      <w:r w:rsidRPr="0097734A">
        <w:rPr>
          <w:i/>
          <w:iCs/>
        </w:rPr>
        <w:t>Loi sur la qualité de l’environnement</w:t>
      </w:r>
      <w:r>
        <w:t xml:space="preserve"> pour la construction d’une piste de karting. </w:t>
      </w:r>
      <w:r w:rsidR="00030967">
        <w:t>Il</w:t>
      </w:r>
      <w:r>
        <w:t xml:space="preserve"> estimait que le </w:t>
      </w:r>
      <w:r w:rsidR="008F6DF9">
        <w:t>m</w:t>
      </w:r>
      <w:r>
        <w:t>inistre aurait dû le consulter avant de délivrer le permis. Voici ce qu’en dit la Cour :</w:t>
      </w:r>
    </w:p>
    <w:p w14:paraId="29473AE6" w14:textId="3DB35C73" w:rsidR="00CC3113" w:rsidRPr="00C42095" w:rsidRDefault="00CC3113" w:rsidP="00477D5C">
      <w:pPr>
        <w:pStyle w:val="Citationenretrait"/>
        <w:widowControl w:val="0"/>
      </w:pPr>
      <w:r w:rsidRPr="00C42095">
        <w:t>[199]     Le Tribunal est d'avis que le droit du demandeur, s'il en est un, n'était pas celui d'être impliqué dans le processus décisionnel du ministre, mais plutôt de s'attendre à ce que le processus fixé par la Loi sur la qualité de l'environnement</w:t>
      </w:r>
      <w:bookmarkStart w:id="33" w:name="_ftnref101"/>
      <w:r w:rsidRPr="00931A9E">
        <w:rPr>
          <w:vertAlign w:val="superscript"/>
        </w:rPr>
        <w:fldChar w:fldCharType="begin"/>
      </w:r>
      <w:r w:rsidRPr="00931A9E">
        <w:rPr>
          <w:vertAlign w:val="superscript"/>
        </w:rPr>
        <w:instrText xml:space="preserve"> HYPERLINK "about:blank" \l "_ftn101" \o "" </w:instrText>
      </w:r>
      <w:r w:rsidRPr="00931A9E">
        <w:rPr>
          <w:vertAlign w:val="superscript"/>
        </w:rPr>
      </w:r>
      <w:r w:rsidRPr="00931A9E">
        <w:rPr>
          <w:vertAlign w:val="superscript"/>
        </w:rPr>
        <w:fldChar w:fldCharType="separate"/>
      </w:r>
      <w:r w:rsidR="0034614B">
        <w:rPr>
          <w:vertAlign w:val="superscript"/>
        </w:rPr>
        <w:t>[101]</w:t>
      </w:r>
      <w:r w:rsidRPr="00931A9E">
        <w:rPr>
          <w:vertAlign w:val="superscript"/>
        </w:rPr>
        <w:fldChar w:fldCharType="end"/>
      </w:r>
      <w:bookmarkEnd w:id="33"/>
      <w:r w:rsidRPr="00C42095">
        <w:t xml:space="preserve"> soit scrupuleusement respecté. Ce qui fut le cas.</w:t>
      </w:r>
    </w:p>
    <w:p w14:paraId="2CAB4234" w14:textId="6695C818" w:rsidR="00CC3113" w:rsidRPr="00C42095" w:rsidRDefault="00CC3113" w:rsidP="008F6DF9">
      <w:pPr>
        <w:pStyle w:val="Citationenretrait"/>
      </w:pPr>
      <w:r w:rsidRPr="00C42095">
        <w:t>[202]     Bref, le Tribunal est d'avis que le ministre n'avait aucune autre obligation d'équité procédurale que celle de s'en remettre rigoureusement aux dispositions de la Loi sur la qualité de l'environnement</w:t>
      </w:r>
      <w:bookmarkStart w:id="34" w:name="_ftnref103"/>
      <w:r w:rsidRPr="00C42095">
        <w:fldChar w:fldCharType="begin"/>
      </w:r>
      <w:r w:rsidRPr="00C42095">
        <w:instrText xml:space="preserve"> HYPERLINK "about:blank" \l "_ftn103" \o "" </w:instrText>
      </w:r>
      <w:r w:rsidRPr="00C42095">
        <w:fldChar w:fldCharType="separate"/>
      </w:r>
      <w:r w:rsidR="0034614B">
        <w:rPr>
          <w:vertAlign w:val="superscript"/>
        </w:rPr>
        <w:t>103</w:t>
      </w:r>
      <w:r w:rsidRPr="00C42095">
        <w:fldChar w:fldCharType="end"/>
      </w:r>
      <w:bookmarkEnd w:id="34"/>
      <w:r w:rsidRPr="00C42095">
        <w:t>, ce qu'il a fait, le rapport d'analyse en fait état</w:t>
      </w:r>
      <w:bookmarkStart w:id="35" w:name="_ftnref104"/>
      <w:r w:rsidRPr="00C42095">
        <w:fldChar w:fldCharType="begin"/>
      </w:r>
      <w:r w:rsidRPr="00C42095">
        <w:instrText xml:space="preserve"> HYPERLINK "about:blank" \l "_ftn104" \o "" </w:instrText>
      </w:r>
      <w:r w:rsidRPr="00C42095">
        <w:fldChar w:fldCharType="separate"/>
      </w:r>
      <w:r w:rsidR="0034614B">
        <w:rPr>
          <w:vertAlign w:val="superscript"/>
        </w:rPr>
        <w:t>104</w:t>
      </w:r>
      <w:r w:rsidRPr="00C42095">
        <w:fldChar w:fldCharType="end"/>
      </w:r>
      <w:bookmarkEnd w:id="35"/>
      <w:r w:rsidRPr="00C42095">
        <w:t>. À cette fin, le ministre a pris en ligne de compte la position du demandeur et des voisins immédiats du circuit, ce qui en soi faisait partie de l'exercice discrétionnaire que lui confère la loi.</w:t>
      </w:r>
    </w:p>
    <w:p w14:paraId="411784A8" w14:textId="77777777" w:rsidR="00CC3113" w:rsidRPr="008037AE" w:rsidRDefault="00CC3113" w:rsidP="00477D5C">
      <w:pPr>
        <w:pStyle w:val="Citationenretrait"/>
        <w:widowControl w:val="0"/>
        <w:spacing w:line="360" w:lineRule="auto"/>
        <w:jc w:val="right"/>
        <w:rPr>
          <w:lang w:eastAsia="fr-CA"/>
        </w:rPr>
      </w:pPr>
      <w:r w:rsidRPr="008037AE">
        <w:t>[Références omises]</w:t>
      </w:r>
    </w:p>
    <w:p w14:paraId="3E48EA9C" w14:textId="1280FF76" w:rsidR="00CC3113" w:rsidRDefault="00CC3113" w:rsidP="00515F54">
      <w:pPr>
        <w:widowControl w:val="0"/>
        <w:numPr>
          <w:ilvl w:val="0"/>
          <w:numId w:val="1"/>
        </w:numPr>
        <w:tabs>
          <w:tab w:val="clear" w:pos="360"/>
        </w:tabs>
        <w:spacing w:before="120" w:after="120"/>
        <w:jc w:val="both"/>
      </w:pPr>
      <w:r w:rsidRPr="00621E96">
        <w:t xml:space="preserve">L’affaire </w:t>
      </w:r>
      <w:r w:rsidRPr="00621E96">
        <w:rPr>
          <w:i/>
          <w:iCs/>
        </w:rPr>
        <w:t>Raymond</w:t>
      </w:r>
      <w:r w:rsidRPr="00621E96">
        <w:t xml:space="preserve"> c. </w:t>
      </w:r>
      <w:r w:rsidRPr="00621E96">
        <w:rPr>
          <w:i/>
          <w:iCs/>
        </w:rPr>
        <w:t>Golberg</w:t>
      </w:r>
      <w:r>
        <w:rPr>
          <w:rStyle w:val="Appelnotedebasdep"/>
        </w:rPr>
        <w:footnoteReference w:id="41"/>
      </w:r>
      <w:r w:rsidRPr="00621E96">
        <w:t xml:space="preserve"> présenta</w:t>
      </w:r>
      <w:r>
        <w:t>it une situation similaire</w:t>
      </w:r>
      <w:r w:rsidR="00030967">
        <w:t xml:space="preserve"> alors qu’un citoyen </w:t>
      </w:r>
      <w:r>
        <w:t xml:space="preserve">sollicitait l’annulation d’un permis de construction délivré par la Ville à </w:t>
      </w:r>
      <w:r w:rsidR="00477C5B">
        <w:t xml:space="preserve">un </w:t>
      </w:r>
      <w:r>
        <w:t xml:space="preserve">de ses voisins ainsi que des résolutions autorisant sa délivrance. Il alléguait que les travaux envisagés auraient un impact sur la valeur de sa propriété et sa qualité de vie. Partant, il faisait valoir que la Ville devait l’informer et lui permettre de faire valoir son point de vue. La Cour traite </w:t>
      </w:r>
      <w:r>
        <w:lastRenderedPageBreak/>
        <w:t>la question comme suit :</w:t>
      </w:r>
    </w:p>
    <w:p w14:paraId="0E5D4AC0" w14:textId="77777777" w:rsidR="00CC3113" w:rsidRPr="00C42095" w:rsidRDefault="00CC3113" w:rsidP="00477D5C">
      <w:pPr>
        <w:pStyle w:val="Citationenretrait"/>
        <w:widowControl w:val="0"/>
      </w:pPr>
      <w:r w:rsidRPr="00C42095">
        <w:t>[191]     Mais, de façon plus fondamentale à qui s'adresse l'obligation de la ville ou du CCU?  La ville et le CCU sont-ils tenus à l'obligation d'équité procédurale envers les tiers non directement affectés par la décision?</w:t>
      </w:r>
    </w:p>
    <w:p w14:paraId="2C0966B1" w14:textId="77777777" w:rsidR="00CC3113" w:rsidRPr="00C42095" w:rsidRDefault="00CC3113" w:rsidP="00477D5C">
      <w:pPr>
        <w:pStyle w:val="Citationenretrait"/>
        <w:widowControl w:val="0"/>
      </w:pPr>
      <w:r w:rsidRPr="00C42095">
        <w:t>[192]     En d'autres termes, une municipalité qui s'apprête à octroyer un permis de construction ou de modification d'un immeuble, a-t-elle l'obligation d'en informer toutes les personnes qui peuvent, à des degrés divers, être plus ou moins affectés par la construction ou la modification?</w:t>
      </w:r>
    </w:p>
    <w:p w14:paraId="7FB55DF4" w14:textId="77777777" w:rsidR="00CC3113" w:rsidRPr="00CC3B76" w:rsidRDefault="00CC3113" w:rsidP="00477D5C">
      <w:pPr>
        <w:pStyle w:val="Citationenretrait"/>
        <w:widowControl w:val="0"/>
        <w:rPr>
          <w:lang w:eastAsia="fr-CA"/>
        </w:rPr>
      </w:pPr>
      <w:r w:rsidRPr="00C42095">
        <w:t>[193]     A la connaissance du soussigné, il n'existe pas, sauf dans des cas spécifiques (tels les demandes de dérogations mineures à un règlement de zonage ou les demandes de démolition) d'obligation découlant d'une loi ou d'un règlement pour une municipalité de communiquer préalablement à des</w:t>
      </w:r>
      <w:r w:rsidRPr="00CC3B76">
        <w:rPr>
          <w:lang w:eastAsia="fr-CA"/>
        </w:rPr>
        <w:t xml:space="preserve"> propriétaires riverains ou adjacents la nature et l'étendue d'une demande de permis de construction ou de modification d'un bâtiment, et ce, même si la nouvelle construction ou la modification affecte l'environnement immédiat du propriétaire voisin.  Aucun des procureurs au dossier n'a d'ailleurs été en mesure de soumettre une quelconque autorité doctrinale ou jurisprudentielle sur la question.</w:t>
      </w:r>
    </w:p>
    <w:p w14:paraId="6BE248AF" w14:textId="39AE4D18" w:rsidR="00CC3113" w:rsidRPr="00C42095" w:rsidRDefault="00CC3113" w:rsidP="00477D5C">
      <w:pPr>
        <w:pStyle w:val="Citationenretrait"/>
        <w:widowControl w:val="0"/>
      </w:pPr>
      <w:r w:rsidRPr="00C42095">
        <w:t>[194]     Un propriétaire riverain, voisin ou adjacent ou même un contribuable de la municipalité (justifiant d'un intérêt suffisant et adéquat pour le faire) peut attaquer en nullité un permis émis en violation ou en contravention de ses droits.  C'est là le recours approprié et c'est là le recours exercé par la demanderesse.  En l'instance, la demanderesse a été adéquatement entendue, même si son recours judiciaire a été institué après la recommandation du CCU et l'approbation du projet par le Conseil.</w:t>
      </w:r>
      <w:bookmarkStart w:id="36" w:name="_ftnref51"/>
      <w:r w:rsidRPr="00A52A65">
        <w:rPr>
          <w:vertAlign w:val="superscript"/>
        </w:rPr>
        <w:fldChar w:fldCharType="begin"/>
      </w:r>
      <w:r w:rsidRPr="00A52A65">
        <w:rPr>
          <w:vertAlign w:val="superscript"/>
        </w:rPr>
        <w:instrText xml:space="preserve"> HYPERLINK "about:blank" \l "_ftn51" \o "" </w:instrText>
      </w:r>
      <w:r w:rsidRPr="00A52A65">
        <w:rPr>
          <w:vertAlign w:val="superscript"/>
        </w:rPr>
      </w:r>
      <w:r w:rsidRPr="00A52A65">
        <w:rPr>
          <w:vertAlign w:val="superscript"/>
        </w:rPr>
        <w:fldChar w:fldCharType="separate"/>
      </w:r>
      <w:r w:rsidR="0034614B">
        <w:rPr>
          <w:vertAlign w:val="superscript"/>
        </w:rPr>
        <w:t>[51]</w:t>
      </w:r>
      <w:r w:rsidRPr="00A52A65">
        <w:rPr>
          <w:vertAlign w:val="superscript"/>
        </w:rPr>
        <w:fldChar w:fldCharType="end"/>
      </w:r>
      <w:bookmarkEnd w:id="36"/>
    </w:p>
    <w:p w14:paraId="630B42E7" w14:textId="2DF32FE3" w:rsidR="00CC3113" w:rsidRDefault="00CC3113" w:rsidP="00477D5C">
      <w:pPr>
        <w:pStyle w:val="Citationenretrait"/>
        <w:widowControl w:val="0"/>
        <w:rPr>
          <w:lang w:eastAsia="fr-CA"/>
        </w:rPr>
      </w:pPr>
      <w:r w:rsidRPr="00C42095">
        <w:t xml:space="preserve">[195]     Nulle part la réglementation municipale, la Loi des cités et villes, la Loi sur l'aménagement et l'urbanisme ne prévoient-elles un mécanisme obligeant une municipalité à aviser préalablement les tiers ou </w:t>
      </w:r>
      <w:r w:rsidR="00184D64" w:rsidRPr="00C42095">
        <w:t>à</w:t>
      </w:r>
      <w:r w:rsidRPr="00C42095">
        <w:t xml:space="preserve"> recueillir leurs commentaires ou objections face à une telle demande de permis</w:t>
      </w:r>
      <w:r w:rsidRPr="00CC3B76">
        <w:rPr>
          <w:lang w:eastAsia="fr-CA"/>
        </w:rPr>
        <w:t>, avant de l'émettre.</w:t>
      </w:r>
    </w:p>
    <w:p w14:paraId="42129652" w14:textId="77777777" w:rsidR="00CC3113" w:rsidRPr="008037AE" w:rsidRDefault="00CC3113" w:rsidP="00477D5C">
      <w:pPr>
        <w:pStyle w:val="Citationenretrait"/>
        <w:widowControl w:val="0"/>
        <w:spacing w:line="360" w:lineRule="auto"/>
        <w:jc w:val="right"/>
        <w:rPr>
          <w:lang w:eastAsia="fr-CA"/>
        </w:rPr>
      </w:pPr>
      <w:r w:rsidRPr="008037AE">
        <w:t>[Références omises]</w:t>
      </w:r>
    </w:p>
    <w:p w14:paraId="5E1DB209" w14:textId="1BCE3210" w:rsidR="00CC3113" w:rsidRDefault="00564786" w:rsidP="00CB122A">
      <w:pPr>
        <w:widowControl w:val="0"/>
        <w:numPr>
          <w:ilvl w:val="0"/>
          <w:numId w:val="1"/>
        </w:numPr>
        <w:tabs>
          <w:tab w:val="clear" w:pos="360"/>
        </w:tabs>
        <w:spacing w:before="120" w:after="120"/>
        <w:jc w:val="both"/>
      </w:pPr>
      <w:r>
        <w:t>Enfin</w:t>
      </w:r>
      <w:r w:rsidR="00CC3113">
        <w:t>, quant au Permis SEG,</w:t>
      </w:r>
      <w:r w:rsidR="00030967">
        <w:t xml:space="preserve"> rappelons que</w:t>
      </w:r>
      <w:r w:rsidR="00CC3113">
        <w:t xml:space="preserve"> c’est la Ville qui en demande la délivrance. C’est donc elle</w:t>
      </w:r>
      <w:r w:rsidR="00477C5B">
        <w:t>,</w:t>
      </w:r>
      <w:r w:rsidR="00CC3113">
        <w:t xml:space="preserve"> et personne d’autre, qui bénéficie des garanties procédurales liées à l’exercice du pouvoir discrétionnaire du </w:t>
      </w:r>
      <w:r>
        <w:t>m</w:t>
      </w:r>
      <w:r w:rsidR="00CC3113">
        <w:t>inistre de le délivrer.</w:t>
      </w:r>
    </w:p>
    <w:p w14:paraId="6C05150E" w14:textId="366545E9" w:rsidR="00D229A5" w:rsidRDefault="00CC3113" w:rsidP="00CB122A">
      <w:pPr>
        <w:widowControl w:val="0"/>
        <w:numPr>
          <w:ilvl w:val="0"/>
          <w:numId w:val="1"/>
        </w:numPr>
        <w:tabs>
          <w:tab w:val="clear" w:pos="360"/>
        </w:tabs>
        <w:spacing w:before="120" w:after="120"/>
        <w:jc w:val="both"/>
      </w:pPr>
      <w:r>
        <w:t>S</w:t>
      </w:r>
      <w:r w:rsidR="00D229A5">
        <w:t xml:space="preserve">omme toute, la preuve ne permet pas de conclure que la Résolution et la délivrance du Permis SEG affectent les droits, privilèges ou les biens propres de Meney, </w:t>
      </w:r>
      <w:r w:rsidR="003C2DD8">
        <w:t xml:space="preserve">de </w:t>
      </w:r>
      <w:r w:rsidR="00D229A5">
        <w:t xml:space="preserve">SSA ou </w:t>
      </w:r>
      <w:r w:rsidR="0097734A">
        <w:t xml:space="preserve">de </w:t>
      </w:r>
      <w:r w:rsidR="00CC3FCD">
        <w:t>la SPCA</w:t>
      </w:r>
      <w:r w:rsidR="00D229A5">
        <w:t>. Tout au plus, ils se font les porte-voix de l’intérêt des cerfs et du public, ce qui ne leur permet pas de revendiquer de garanties procédurales</w:t>
      </w:r>
      <w:r w:rsidR="00D229A5">
        <w:rPr>
          <w:rStyle w:val="Appelnotedebasdep"/>
        </w:rPr>
        <w:footnoteReference w:id="42"/>
      </w:r>
      <w:r w:rsidR="00D229A5">
        <w:t>.</w:t>
      </w:r>
    </w:p>
    <w:p w14:paraId="6C469D15" w14:textId="6C8DC260" w:rsidR="00D229A5" w:rsidRPr="00B50294" w:rsidRDefault="00B50294" w:rsidP="0066154F">
      <w:pPr>
        <w:pStyle w:val="Titre4"/>
      </w:pPr>
      <w:bookmarkStart w:id="37" w:name="_Toc144367227"/>
      <w:r w:rsidRPr="00B50294">
        <w:lastRenderedPageBreak/>
        <w:t>Les cerfs</w:t>
      </w:r>
      <w:bookmarkEnd w:id="37"/>
    </w:p>
    <w:p w14:paraId="6DA6D2A0" w14:textId="2A01CA9E" w:rsidR="00247187" w:rsidRDefault="00814477" w:rsidP="00CB122A">
      <w:pPr>
        <w:widowControl w:val="0"/>
        <w:numPr>
          <w:ilvl w:val="0"/>
          <w:numId w:val="1"/>
        </w:numPr>
        <w:tabs>
          <w:tab w:val="clear" w:pos="360"/>
        </w:tabs>
        <w:spacing w:before="120" w:after="120"/>
        <w:jc w:val="both"/>
      </w:pPr>
      <w:r>
        <w:t>À</w:t>
      </w:r>
      <w:r w:rsidR="00247187">
        <w:t xml:space="preserve"> l’égard des cerfs, SSA et </w:t>
      </w:r>
      <w:r w:rsidR="00CC3FCD">
        <w:t>la SPCA</w:t>
      </w:r>
      <w:r>
        <w:t xml:space="preserve"> </w:t>
      </w:r>
      <w:r w:rsidR="00247187">
        <w:t>proposent une facette novatrice de l’obligation d’équité procédurale qui s’articule de la manière suivante.</w:t>
      </w:r>
    </w:p>
    <w:p w14:paraId="48E59B77" w14:textId="192FE140" w:rsidR="00247187" w:rsidRDefault="00247187" w:rsidP="00CB122A">
      <w:pPr>
        <w:widowControl w:val="0"/>
        <w:numPr>
          <w:ilvl w:val="0"/>
          <w:numId w:val="1"/>
        </w:numPr>
        <w:tabs>
          <w:tab w:val="clear" w:pos="360"/>
        </w:tabs>
        <w:spacing w:before="120" w:after="120"/>
        <w:jc w:val="both"/>
      </w:pPr>
      <w:r>
        <w:t>L’art</w:t>
      </w:r>
      <w:r w:rsidR="00184D64">
        <w:t>icle</w:t>
      </w:r>
      <w:r>
        <w:t xml:space="preserve"> 898.1 C.c.Q. prévoit que les animaux ne sont pas des biens, qu’ils sont des êtres doués de sensibilité et qu’ils ont des impératifs biologiques. Ce nouveau statut juridique appelle donc un processus décisionnel qui prend en compte leurs intérêts.</w:t>
      </w:r>
    </w:p>
    <w:p w14:paraId="44303DA7" w14:textId="6FDA95D9" w:rsidR="00247187" w:rsidRDefault="00247187" w:rsidP="00CB122A">
      <w:pPr>
        <w:widowControl w:val="0"/>
        <w:numPr>
          <w:ilvl w:val="0"/>
          <w:numId w:val="1"/>
        </w:numPr>
        <w:tabs>
          <w:tab w:val="clear" w:pos="360"/>
        </w:tabs>
        <w:spacing w:before="120" w:after="120"/>
        <w:jc w:val="both"/>
      </w:pPr>
      <w:r>
        <w:t xml:space="preserve">Ainsi, lorsqu’un organisme public envisage prendre une </w:t>
      </w:r>
      <w:r w:rsidR="00477C5B">
        <w:t>décision</w:t>
      </w:r>
      <w:r w:rsidR="00D536BE">
        <w:t xml:space="preserve"> </w:t>
      </w:r>
      <w:r>
        <w:t>qui touche les intérêts des animaux, la procédure qui y mène se doit d’être équitable et permettre la présentation de faits et d’arguments pertinents par des experts en bien-être animal.</w:t>
      </w:r>
    </w:p>
    <w:p w14:paraId="31B90DED" w14:textId="52064F78" w:rsidR="00247187" w:rsidRDefault="00CB7252" w:rsidP="00CB122A">
      <w:pPr>
        <w:widowControl w:val="0"/>
        <w:numPr>
          <w:ilvl w:val="0"/>
          <w:numId w:val="1"/>
        </w:numPr>
        <w:tabs>
          <w:tab w:val="clear" w:pos="360"/>
        </w:tabs>
        <w:spacing w:before="120" w:after="120"/>
        <w:jc w:val="both"/>
      </w:pPr>
      <w:r>
        <w:t>Séduisant</w:t>
      </w:r>
      <w:r w:rsidR="00247187">
        <w:t xml:space="preserve"> au premier regard, l’argument ne résiste pas à l’analyse.</w:t>
      </w:r>
    </w:p>
    <w:p w14:paraId="18967DDA" w14:textId="3638C081" w:rsidR="00247187" w:rsidRDefault="00247187" w:rsidP="00CB122A">
      <w:pPr>
        <w:widowControl w:val="0"/>
        <w:numPr>
          <w:ilvl w:val="0"/>
          <w:numId w:val="1"/>
        </w:numPr>
        <w:tabs>
          <w:tab w:val="clear" w:pos="360"/>
        </w:tabs>
        <w:spacing w:before="120" w:after="120"/>
        <w:jc w:val="both"/>
      </w:pPr>
      <w:r>
        <w:t xml:space="preserve">D’abord, l’obligation d’un organisme public d’agir équitablement existe en faveur de toute personne physique ou </w:t>
      </w:r>
      <w:r w:rsidR="00CB7252">
        <w:t>morale</w:t>
      </w:r>
      <w:r>
        <w:t xml:space="preserve"> sujette de droit</w:t>
      </w:r>
      <w:r>
        <w:rPr>
          <w:rStyle w:val="Appelnotedebasdep"/>
        </w:rPr>
        <w:footnoteReference w:id="43"/>
      </w:r>
      <w:r>
        <w:t>. Or, les animaux ne sont pas des personnes et leur octroyer le bénéfice de l’équité procédurale aurait pour effet de leur conférer ce statut.</w:t>
      </w:r>
    </w:p>
    <w:p w14:paraId="2626B4D3" w14:textId="681057D4" w:rsidR="00247187" w:rsidRDefault="00247187" w:rsidP="00CB122A">
      <w:pPr>
        <w:widowControl w:val="0"/>
        <w:numPr>
          <w:ilvl w:val="0"/>
          <w:numId w:val="1"/>
        </w:numPr>
        <w:tabs>
          <w:tab w:val="clear" w:pos="360"/>
        </w:tabs>
        <w:spacing w:before="120" w:after="120"/>
        <w:jc w:val="both"/>
      </w:pPr>
      <w:r>
        <w:t xml:space="preserve">Certes, ils ne sont plus des biens et </w:t>
      </w:r>
      <w:r w:rsidR="00814477">
        <w:t>o</w:t>
      </w:r>
      <w:r>
        <w:t>n reconnaît qu’ils sont doués de sensibilité et qu’ils possèdent des impératifs biologiques. Toutefois, ils demeurent assujettis au régime juridique des biens</w:t>
      </w:r>
      <w:r>
        <w:rPr>
          <w:rStyle w:val="Appelnotedebasdep"/>
        </w:rPr>
        <w:footnoteReference w:id="44"/>
      </w:r>
      <w:r>
        <w:t>. Ainsi, ils en conservent plusieurs attributs dans leurs rapports</w:t>
      </w:r>
      <w:r w:rsidR="00FE6219">
        <w:t xml:space="preserve"> avec les personnes. Par exemple, ils peuvent être hypothéqués</w:t>
      </w:r>
      <w:r w:rsidR="00FE6219">
        <w:rPr>
          <w:rStyle w:val="Appelnotedebasdep"/>
        </w:rPr>
        <w:footnoteReference w:id="45"/>
      </w:r>
      <w:r w:rsidR="00FE6219">
        <w:t xml:space="preserve"> et leurs propriétaires sont tenus de réparer le préjudice qu’ils causent</w:t>
      </w:r>
      <w:r w:rsidR="00FE6219">
        <w:rPr>
          <w:rStyle w:val="Appelnotedebasdep"/>
        </w:rPr>
        <w:footnoteReference w:id="46"/>
      </w:r>
      <w:r w:rsidR="00FE6219">
        <w:t>.</w:t>
      </w:r>
    </w:p>
    <w:p w14:paraId="02322E6D" w14:textId="4AC4D844" w:rsidR="00FE6219" w:rsidRDefault="00FE6219" w:rsidP="00CB122A">
      <w:pPr>
        <w:widowControl w:val="0"/>
        <w:numPr>
          <w:ilvl w:val="0"/>
          <w:numId w:val="1"/>
        </w:numPr>
        <w:tabs>
          <w:tab w:val="clear" w:pos="360"/>
        </w:tabs>
        <w:spacing w:before="120" w:after="120"/>
        <w:jc w:val="both"/>
      </w:pPr>
      <w:r>
        <w:t xml:space="preserve">C’est pourquoi les tribunaux </w:t>
      </w:r>
      <w:r w:rsidR="00030967">
        <w:t>concluent</w:t>
      </w:r>
      <w:r>
        <w:t xml:space="preserve"> que l’obligation d’agir équitablement s’impose à l’égard du propriétaire de l’animal</w:t>
      </w:r>
      <w:r>
        <w:rPr>
          <w:rStyle w:val="Appelnotedebasdep"/>
        </w:rPr>
        <w:footnoteReference w:id="47"/>
      </w:r>
      <w:r>
        <w:t xml:space="preserve"> par opposition à l’animal lui-même.</w:t>
      </w:r>
    </w:p>
    <w:p w14:paraId="009838F9" w14:textId="0901F963" w:rsidR="00FE6219" w:rsidRDefault="00FE6219" w:rsidP="00CB122A">
      <w:pPr>
        <w:widowControl w:val="0"/>
        <w:numPr>
          <w:ilvl w:val="0"/>
          <w:numId w:val="1"/>
        </w:numPr>
        <w:tabs>
          <w:tab w:val="clear" w:pos="360"/>
        </w:tabs>
        <w:spacing w:before="120" w:after="120"/>
        <w:jc w:val="both"/>
      </w:pPr>
      <w:r>
        <w:t>Or, les cerfs qui occupent le Parc sont des animaux sauvages auxquels on attribue généralement le statut de biens sans maître</w:t>
      </w:r>
      <w:r>
        <w:rPr>
          <w:rStyle w:val="Appelnotedebasdep"/>
        </w:rPr>
        <w:footnoteReference w:id="48"/>
      </w:r>
      <w:r>
        <w:t> :</w:t>
      </w:r>
    </w:p>
    <w:p w14:paraId="2BC8EF9B" w14:textId="4877F03C" w:rsidR="00FE6219" w:rsidRDefault="00FE6219" w:rsidP="00CB122A">
      <w:pPr>
        <w:pStyle w:val="Citationenretrait"/>
        <w:keepNext/>
      </w:pPr>
      <w:r>
        <w:t>« Les animaux sauvages en liberté et la faune aquatique sont réputés être des biens sans maître</w:t>
      </w:r>
      <w:r w:rsidR="00466025">
        <w:t xml:space="preserve"> (Art. 934 C.c.Q)</w:t>
      </w:r>
      <w:r>
        <w:t xml:space="preserve">. Ils sont néanmoins susceptibles d’appropriation et constituent </w:t>
      </w:r>
      <w:r w:rsidRPr="00CB7252">
        <w:rPr>
          <w:i/>
          <w:iCs/>
        </w:rPr>
        <w:t>des</w:t>
      </w:r>
      <w:r w:rsidR="00CB7252" w:rsidRPr="00CB7252">
        <w:rPr>
          <w:i/>
          <w:iCs/>
        </w:rPr>
        <w:t xml:space="preserve"> </w:t>
      </w:r>
      <w:r w:rsidRPr="00CB7252">
        <w:rPr>
          <w:i/>
          <w:iCs/>
        </w:rPr>
        <w:t>res nullius</w:t>
      </w:r>
      <w:r>
        <w:t xml:space="preserve">. Le droit québécois reconnaît tacitement la chasse et la pêche comme mode d’acquisition de la propriété. En principe, le gibier et le poisson appartient, par voie d’occupation, à celui qui l’attrape et le capture, même </w:t>
      </w:r>
      <w:r>
        <w:lastRenderedPageBreak/>
        <w:t>illégalement, et même si l’activité est pratiquée sans autorisation sur la propriété d’autrui. »</w:t>
      </w:r>
      <w:r>
        <w:rPr>
          <w:rStyle w:val="Appelnotedebasdep"/>
        </w:rPr>
        <w:footnoteReference w:id="49"/>
      </w:r>
    </w:p>
    <w:p w14:paraId="46B7FA21" w14:textId="25AACB96" w:rsidR="00292E2A" w:rsidRDefault="00221418" w:rsidP="00CB122A">
      <w:pPr>
        <w:widowControl w:val="0"/>
        <w:numPr>
          <w:ilvl w:val="0"/>
          <w:numId w:val="1"/>
        </w:numPr>
        <w:tabs>
          <w:tab w:val="clear" w:pos="360"/>
        </w:tabs>
        <w:spacing w:before="120" w:after="120"/>
        <w:jc w:val="both"/>
      </w:pPr>
      <w:r>
        <w:t>Par ailleurs, il est exact que l’art</w:t>
      </w:r>
      <w:r w:rsidR="00184D64">
        <w:t>icle</w:t>
      </w:r>
      <w:r>
        <w:t xml:space="preserve"> 898.1 C.c.Q. a valeur de norme comportementale qui s'applique à la manière dont l’organisme public met en œuvre une </w:t>
      </w:r>
      <w:r w:rsidR="0035241A">
        <w:t>décision</w:t>
      </w:r>
      <w:r w:rsidR="00D536BE">
        <w:t xml:space="preserve"> </w:t>
      </w:r>
      <w:r>
        <w:t>visant à gérer les nuisances animales</w:t>
      </w:r>
      <w:r>
        <w:rPr>
          <w:rStyle w:val="Appelnotedebasdep"/>
        </w:rPr>
        <w:footnoteReference w:id="50"/>
      </w:r>
      <w:r>
        <w:t xml:space="preserve">. </w:t>
      </w:r>
      <w:r w:rsidR="003C2DD8">
        <w:t>Cependant</w:t>
      </w:r>
      <w:r>
        <w:t>, cette disposition n’a pas pour effet de l</w:t>
      </w:r>
      <w:r w:rsidR="0035241A">
        <w:t>e</w:t>
      </w:r>
      <w:r>
        <w:t xml:space="preserve"> contraindre à consulter un expert en bien-être animal en amont de la décision. </w:t>
      </w:r>
      <w:r w:rsidR="004F2960">
        <w:t>L’astreindre à</w:t>
      </w:r>
      <w:r>
        <w:t xml:space="preserve"> une telle obligation constituerait une entrave à l’exercice de son pouvoir discrétionnaire</w:t>
      </w:r>
      <w:r w:rsidR="00564786">
        <w:t>, ce</w:t>
      </w:r>
      <w:r>
        <w:t xml:space="preserve"> que le législateur </w:t>
      </w:r>
      <w:r w:rsidR="00030967">
        <w:t>se garde</w:t>
      </w:r>
      <w:r w:rsidR="00564786">
        <w:t xml:space="preserve"> de </w:t>
      </w:r>
      <w:r>
        <w:t>lui impose</w:t>
      </w:r>
      <w:r w:rsidR="00564786">
        <w:t>r</w:t>
      </w:r>
      <w:r>
        <w:t>.</w:t>
      </w:r>
    </w:p>
    <w:p w14:paraId="7F9CD487" w14:textId="36089EAC" w:rsidR="00221418" w:rsidRDefault="00221418" w:rsidP="00CB122A">
      <w:pPr>
        <w:widowControl w:val="0"/>
        <w:numPr>
          <w:ilvl w:val="0"/>
          <w:numId w:val="1"/>
        </w:numPr>
        <w:tabs>
          <w:tab w:val="clear" w:pos="360"/>
        </w:tabs>
        <w:spacing w:before="120" w:after="120"/>
        <w:jc w:val="both"/>
      </w:pPr>
      <w:r>
        <w:t>De plus, la proposition de</w:t>
      </w:r>
      <w:r w:rsidR="0097734A">
        <w:t>s</w:t>
      </w:r>
      <w:r>
        <w:t xml:space="preserve"> </w:t>
      </w:r>
      <w:r w:rsidR="0097734A">
        <w:t xml:space="preserve">demandeurs </w:t>
      </w:r>
      <w:r>
        <w:t xml:space="preserve">et de </w:t>
      </w:r>
      <w:r w:rsidR="00CC3FCD">
        <w:t>la SPCA</w:t>
      </w:r>
      <w:r w:rsidR="00814477">
        <w:t xml:space="preserve"> </w:t>
      </w:r>
      <w:r>
        <w:t>introduirait des facteurs aléatoires au processus décisionnel d’un organisme public. Par exemple, quels sont les critères qui permettent d’établir qu’une personne ou un organisme possède une expertise en bien</w:t>
      </w:r>
      <w:r>
        <w:noBreakHyphen/>
        <w:t>être</w:t>
      </w:r>
      <w:r w:rsidR="0084390D">
        <w:t xml:space="preserve"> animal</w:t>
      </w:r>
      <w:r>
        <w:t xml:space="preserve">? Quel mandat l’organisme </w:t>
      </w:r>
      <w:r w:rsidR="00564786">
        <w:t xml:space="preserve">public </w:t>
      </w:r>
      <w:r>
        <w:t>doit-il lui confier? L’organisme</w:t>
      </w:r>
      <w:r w:rsidR="00564786">
        <w:t xml:space="preserve"> public</w:t>
      </w:r>
      <w:r>
        <w:t xml:space="preserve"> sera-t-il lié par les recommandations d’un expert?</w:t>
      </w:r>
    </w:p>
    <w:p w14:paraId="53595C1E" w14:textId="58F1B90D" w:rsidR="00221418" w:rsidRDefault="00221418" w:rsidP="00CB122A">
      <w:pPr>
        <w:widowControl w:val="0"/>
        <w:numPr>
          <w:ilvl w:val="0"/>
          <w:numId w:val="1"/>
        </w:numPr>
        <w:tabs>
          <w:tab w:val="clear" w:pos="360"/>
        </w:tabs>
        <w:spacing w:before="120" w:after="120"/>
        <w:jc w:val="both"/>
      </w:pPr>
      <w:r>
        <w:t>La présente affaire illustre parfaitement les difficultés qu</w:t>
      </w:r>
      <w:r w:rsidR="0097734A">
        <w:t>’elle</w:t>
      </w:r>
      <w:r>
        <w:t xml:space="preserve"> pose alors qu</w:t>
      </w:r>
      <w:r w:rsidR="0097734A">
        <w:t>e les demandeurs et la SPCA</w:t>
      </w:r>
      <w:r>
        <w:t xml:space="preserve"> remettent en question l’expertise des personnes impliquées </w:t>
      </w:r>
      <w:r w:rsidR="001E3E81">
        <w:t>pour</w:t>
      </w:r>
      <w:r>
        <w:t xml:space="preserve"> la Ville et </w:t>
      </w:r>
      <w:r w:rsidR="001E3E81">
        <w:t>le</w:t>
      </w:r>
      <w:r w:rsidR="00777032">
        <w:t xml:space="preserve"> MFFP</w:t>
      </w:r>
      <w:r w:rsidR="001E3E81">
        <w:t xml:space="preserve"> et</w:t>
      </w:r>
      <w:r w:rsidR="00777032">
        <w:t xml:space="preserve"> </w:t>
      </w:r>
      <w:r w:rsidR="009E6381">
        <w:t>de celle de certaines personnes consultées, la méthodologie suivie pour consulter ces personnes et la fiabilité de leurs recommandations.</w:t>
      </w:r>
    </w:p>
    <w:p w14:paraId="4F3A561F" w14:textId="14BE39DE" w:rsidR="006F4731" w:rsidRPr="009E6381" w:rsidRDefault="009E6381" w:rsidP="00CB122A">
      <w:pPr>
        <w:widowControl w:val="0"/>
        <w:numPr>
          <w:ilvl w:val="0"/>
          <w:numId w:val="1"/>
        </w:numPr>
        <w:tabs>
          <w:tab w:val="clear" w:pos="360"/>
        </w:tabs>
        <w:spacing w:before="120" w:after="120"/>
        <w:jc w:val="both"/>
        <w:rPr>
          <w:lang w:eastAsia="fr-CA"/>
        </w:rPr>
      </w:pPr>
      <w:r>
        <w:t xml:space="preserve">Somme toute, </w:t>
      </w:r>
      <w:r w:rsidR="004F2960">
        <w:t xml:space="preserve">en l’absence d’obligation d’équité procédurale, </w:t>
      </w:r>
      <w:r>
        <w:t xml:space="preserve">la Ville ou le MFFP n’avaient </w:t>
      </w:r>
      <w:r w:rsidR="0084390D">
        <w:t>pas</w:t>
      </w:r>
      <w:r>
        <w:t xml:space="preserve"> l’obligation de faire appel à un expert en bien-être animal </w:t>
      </w:r>
      <w:r w:rsidR="00564786">
        <w:t xml:space="preserve">ni de consulter la population </w:t>
      </w:r>
      <w:r>
        <w:t>avant de prendre leur décision.</w:t>
      </w:r>
    </w:p>
    <w:p w14:paraId="7A29DAB0" w14:textId="61DE7389" w:rsidR="00814477" w:rsidRPr="000948FA" w:rsidRDefault="000948FA" w:rsidP="0066154F">
      <w:pPr>
        <w:pStyle w:val="Titre4"/>
        <w:jc w:val="both"/>
      </w:pPr>
      <w:bookmarkStart w:id="38" w:name="_Toc144367228"/>
      <w:r w:rsidRPr="000948FA">
        <w:t xml:space="preserve">Meney, SSA </w:t>
      </w:r>
      <w:r w:rsidR="004F2960">
        <w:t xml:space="preserve">et </w:t>
      </w:r>
      <w:r w:rsidR="00CC3FCD">
        <w:t>la SPCA</w:t>
      </w:r>
      <w:r w:rsidRPr="000948FA">
        <w:t xml:space="preserve"> ont fait valoir leur point de vue.</w:t>
      </w:r>
      <w:bookmarkEnd w:id="38"/>
    </w:p>
    <w:p w14:paraId="6C26B70A" w14:textId="29A350D8" w:rsidR="009E6381" w:rsidRDefault="00DF40D4" w:rsidP="00CB122A">
      <w:pPr>
        <w:widowControl w:val="0"/>
        <w:numPr>
          <w:ilvl w:val="0"/>
          <w:numId w:val="1"/>
        </w:numPr>
        <w:tabs>
          <w:tab w:val="clear" w:pos="360"/>
        </w:tabs>
        <w:spacing w:before="120" w:after="120"/>
        <w:jc w:val="both"/>
      </w:pPr>
      <w:r>
        <w:t xml:space="preserve">En effet, contrairement à ce qu’ils prétendent, les demandeurs et </w:t>
      </w:r>
      <w:r w:rsidR="0097734A">
        <w:t>la SPCA</w:t>
      </w:r>
      <w:r>
        <w:t xml:space="preserve"> ont pu faire valoir leur point de vue</w:t>
      </w:r>
      <w:r w:rsidR="0035241A">
        <w:t xml:space="preserve">, </w:t>
      </w:r>
      <w:r w:rsidR="003C2DD8">
        <w:t xml:space="preserve">à la fois </w:t>
      </w:r>
      <w:r w:rsidR="004F2960">
        <w:t>pour leur compte et</w:t>
      </w:r>
      <w:r w:rsidR="0035241A">
        <w:t xml:space="preserve"> </w:t>
      </w:r>
      <w:r w:rsidR="003C2DD8">
        <w:t xml:space="preserve">pour </w:t>
      </w:r>
      <w:r w:rsidR="0035241A">
        <w:t>celui des cerfs,</w:t>
      </w:r>
      <w:r>
        <w:t xml:space="preserve"> avant l’adoption de la Résolution et la délivrance du Permis SEG.</w:t>
      </w:r>
    </w:p>
    <w:p w14:paraId="02B3E1C5" w14:textId="59674F2A" w:rsidR="00DF40D4" w:rsidRDefault="00DF40D4" w:rsidP="00CB122A">
      <w:pPr>
        <w:widowControl w:val="0"/>
        <w:numPr>
          <w:ilvl w:val="0"/>
          <w:numId w:val="1"/>
        </w:numPr>
        <w:tabs>
          <w:tab w:val="clear" w:pos="360"/>
        </w:tabs>
        <w:spacing w:before="120" w:after="120"/>
        <w:jc w:val="both"/>
      </w:pPr>
      <w:r>
        <w:t>Dans un jugement rendu en cours d’instance le 7 décembre 2022, la Cour s’exprime comme suit :</w:t>
      </w:r>
    </w:p>
    <w:p w14:paraId="6B54EA3A" w14:textId="0220A880" w:rsidR="00DF40D4" w:rsidRPr="009E27E5" w:rsidRDefault="005A4547" w:rsidP="00477D5C">
      <w:pPr>
        <w:pStyle w:val="Citationenretrait"/>
        <w:widowControl w:val="0"/>
      </w:pPr>
      <w:r w:rsidRPr="009E27E5">
        <w:t>[58]</w:t>
      </w:r>
      <w:r w:rsidRPr="009E27E5">
        <w:tab/>
        <w:t xml:space="preserve">Par cette déclaration sous serment Dr De Nicola affirme avoir besoin d’information supplémentaire avant de pouvoir donner son avis d’expert sur un plan visant à gérer la population de cerfs au Parc. Il ajoute avoir visiter le Parc le 18 août 2022 et il émet l’avis préliminaire que </w:t>
      </w:r>
      <w:r w:rsidR="006008BA" w:rsidRPr="009E27E5">
        <w:t>l’abattage des cerfs ne permettra pas de rétablir l’équilibre écologique dans le Parc à court terme et qu’il est hautement improbable que l’utilisation de l’arbalète permette de réduire le cheptel à 15 bêtes.</w:t>
      </w:r>
    </w:p>
    <w:p w14:paraId="39ECF1C5" w14:textId="563FAEEE" w:rsidR="006008BA" w:rsidRPr="009E27E5" w:rsidRDefault="006008BA" w:rsidP="00477D5C">
      <w:pPr>
        <w:pStyle w:val="Citationenretrait"/>
      </w:pPr>
      <w:r w:rsidRPr="009E27E5">
        <w:lastRenderedPageBreak/>
        <w:t>[59]</w:t>
      </w:r>
      <w:r w:rsidRPr="009E27E5">
        <w:tab/>
        <w:t>Le Tribunal considère, contrairement à ce que plaident les demandeurs, que ceux-ci n’ont pas été empêchés de soumettre cette preuve à la Ville avant juillet 2022 puisque la SSA a été invitée à la table de concertation et y ont été entendus le 19 août 2021</w:t>
      </w:r>
      <w:r w:rsidRPr="00463C14">
        <w:rPr>
          <w:vertAlign w:val="superscript"/>
        </w:rPr>
        <w:t>39</w:t>
      </w:r>
      <w:r w:rsidRPr="009E27E5">
        <w:t xml:space="preserve">. De plus, en mars 2022, SSA est informée que la Ville ira </w:t>
      </w:r>
      <w:r w:rsidR="00E961B3" w:rsidRPr="009E27E5">
        <w:t>de l’avant avec l’abattage des cerfs</w:t>
      </w:r>
      <w:r w:rsidR="00E961B3" w:rsidRPr="00AD0C8A">
        <w:rPr>
          <w:vertAlign w:val="superscript"/>
        </w:rPr>
        <w:t>40</w:t>
      </w:r>
      <w:r w:rsidR="00E961B3" w:rsidRPr="009E27E5">
        <w:t xml:space="preserve">. Qu’en juillet suivant la </w:t>
      </w:r>
      <w:r w:rsidR="00D536BE" w:rsidRPr="009E27E5">
        <w:t xml:space="preserve">Résolution </w:t>
      </w:r>
      <w:r w:rsidR="00E961B3" w:rsidRPr="009E27E5">
        <w:t>soit prise de modifier la méthode d’abattage ne change rien à la finalité laquelle est contestée par SSA depuis le début du dossier.</w:t>
      </w:r>
      <w:r w:rsidR="00E961B3" w:rsidRPr="00AD0C8A">
        <w:rPr>
          <w:rStyle w:val="Appelnotedebasdep"/>
        </w:rPr>
        <w:footnoteReference w:id="51"/>
      </w:r>
    </w:p>
    <w:p w14:paraId="21979937" w14:textId="54AE5AD7" w:rsidR="00E961B3" w:rsidRPr="008037AE" w:rsidRDefault="008037AE" w:rsidP="00477D5C">
      <w:pPr>
        <w:pStyle w:val="Citationenretrait"/>
        <w:widowControl w:val="0"/>
        <w:spacing w:line="360" w:lineRule="auto"/>
        <w:jc w:val="right"/>
      </w:pPr>
      <w:r>
        <w:rPr>
          <w:rFonts w:cs="Arial"/>
        </w:rPr>
        <w:t>[</w:t>
      </w:r>
      <w:r w:rsidR="00E961B3" w:rsidRPr="008037AE">
        <w:t>Références omises</w:t>
      </w:r>
      <w:r>
        <w:rPr>
          <w:rFonts w:cs="Arial"/>
        </w:rPr>
        <w:t>]</w:t>
      </w:r>
    </w:p>
    <w:p w14:paraId="78069934" w14:textId="2BF71E55" w:rsidR="00DF40D4" w:rsidRDefault="00C60817" w:rsidP="00CB122A">
      <w:pPr>
        <w:widowControl w:val="0"/>
        <w:numPr>
          <w:ilvl w:val="0"/>
          <w:numId w:val="1"/>
        </w:numPr>
        <w:tabs>
          <w:tab w:val="clear" w:pos="360"/>
        </w:tabs>
        <w:spacing w:before="120" w:after="120"/>
        <w:jc w:val="both"/>
      </w:pPr>
      <w:r>
        <w:t>De plus, par mise en demeure transmise à la Ville le 18 janvier 2022</w:t>
      </w:r>
      <w:r>
        <w:rPr>
          <w:rStyle w:val="Appelnotedebasdep"/>
        </w:rPr>
        <w:footnoteReference w:id="52"/>
      </w:r>
      <w:r>
        <w:t xml:space="preserve">, les procureurs de SSA </w:t>
      </w:r>
      <w:r w:rsidR="006F4731">
        <w:t>l’</w:t>
      </w:r>
      <w:r>
        <w:t>informe</w:t>
      </w:r>
      <w:r w:rsidR="006F4731">
        <w:t>nt</w:t>
      </w:r>
      <w:r>
        <w:t xml:space="preserve"> qu’ils ont le « mandat d’entreprendre toutes les démarches judiciaires nécessaires contre tout ordre d’euthanasie pouvant avoir été rendu à l’égard des cerfs de Virginie du Parc Michel-Chartrand ». </w:t>
      </w:r>
      <w:r w:rsidR="00F71E75">
        <w:t>Ainsi, q</w:t>
      </w:r>
      <w:r w:rsidR="00777032">
        <w:t xml:space="preserve">uelle que soit la position qu’adoptera la Ville, ils </w:t>
      </w:r>
      <w:r>
        <w:t xml:space="preserve">ont « la ferme intention de contester toute </w:t>
      </w:r>
      <w:r w:rsidR="00777032">
        <w:t>décision</w:t>
      </w:r>
      <w:r w:rsidR="00D536BE">
        <w:t xml:space="preserve"> </w:t>
      </w:r>
      <w:r>
        <w:t>favorable à l’abattage des cerfs ».</w:t>
      </w:r>
    </w:p>
    <w:p w14:paraId="33239E3D" w14:textId="278BB8E8" w:rsidR="00C60817" w:rsidRDefault="00C60817" w:rsidP="00CB122A">
      <w:pPr>
        <w:widowControl w:val="0"/>
        <w:numPr>
          <w:ilvl w:val="0"/>
          <w:numId w:val="1"/>
        </w:numPr>
        <w:tabs>
          <w:tab w:val="clear" w:pos="360"/>
        </w:tabs>
        <w:spacing w:before="120" w:after="120"/>
        <w:jc w:val="both"/>
      </w:pPr>
      <w:r>
        <w:t>Enfin, dans leur Pourvoi</w:t>
      </w:r>
      <w:r w:rsidR="00F1717C">
        <w:t xml:space="preserve">, introduit deux mois avant l’adoption de la Résolution, les demandeurs font valoir leur point de vue de manière détaillée, alléguant, entre autres, que la </w:t>
      </w:r>
      <w:r w:rsidR="00777032">
        <w:t>décision</w:t>
      </w:r>
      <w:r w:rsidR="00D536BE">
        <w:t xml:space="preserve"> </w:t>
      </w:r>
      <w:r w:rsidR="00F1717C">
        <w:t>annoncée par la Ville d’abattre les cerfs est déraisonnable parce qu’elle manque de transparence pour les citoyens concernés</w:t>
      </w:r>
      <w:r w:rsidR="00F1717C">
        <w:rPr>
          <w:rStyle w:val="Appelnotedebasdep"/>
        </w:rPr>
        <w:footnoteReference w:id="53"/>
      </w:r>
      <w:r w:rsidR="00F1717C">
        <w:t xml:space="preserve"> et que la Table n’avait pas réalisé ses travaux de manière indépendante de la Ville et du MFFP</w:t>
      </w:r>
      <w:r w:rsidR="00F1717C">
        <w:rPr>
          <w:rStyle w:val="Appelnotedebasdep"/>
        </w:rPr>
        <w:footnoteReference w:id="54"/>
      </w:r>
      <w:r w:rsidR="00450248">
        <w:t xml:space="preserve">. C’est pourquoi ils demandent au Tribunal d’« Annuler la </w:t>
      </w:r>
      <w:r w:rsidR="00777032">
        <w:t>décision</w:t>
      </w:r>
      <w:r w:rsidR="00D536BE">
        <w:t xml:space="preserve"> </w:t>
      </w:r>
      <w:r w:rsidR="00450248">
        <w:t>de la défenderesse Ville, si elle existe, d’abattre les cerfs de Virginie du parc Michel-Chartrand ».</w:t>
      </w:r>
    </w:p>
    <w:p w14:paraId="49C4ECE9" w14:textId="7138A937" w:rsidR="00450248" w:rsidRDefault="00450248" w:rsidP="00CB122A">
      <w:pPr>
        <w:widowControl w:val="0"/>
        <w:numPr>
          <w:ilvl w:val="0"/>
          <w:numId w:val="1"/>
        </w:numPr>
        <w:tabs>
          <w:tab w:val="clear" w:pos="360"/>
        </w:tabs>
        <w:spacing w:before="120" w:after="120"/>
        <w:jc w:val="both"/>
      </w:pPr>
      <w:r>
        <w:t>Pour sa part, dans sa mise en demeure transmise à la Ville le 18 janvier 2022</w:t>
      </w:r>
      <w:r>
        <w:rPr>
          <w:rStyle w:val="Appelnotedebasdep"/>
        </w:rPr>
        <w:footnoteReference w:id="55"/>
      </w:r>
      <w:r>
        <w:t xml:space="preserve">, </w:t>
      </w:r>
      <w:r w:rsidR="00CC3FCD">
        <w:t>la SPCA</w:t>
      </w:r>
      <w:r w:rsidR="00814477">
        <w:t xml:space="preserve"> </w:t>
      </w:r>
      <w:r>
        <w:t>l’informe qu’elle s’oppose à la mise à mort de 75 cerfs ainsi qu’à toutes méthodes létales de gestion du cheptel.</w:t>
      </w:r>
    </w:p>
    <w:p w14:paraId="62C07AFA" w14:textId="2EEA6A15" w:rsidR="00450248" w:rsidRDefault="00450248" w:rsidP="00CB122A">
      <w:pPr>
        <w:widowControl w:val="0"/>
        <w:numPr>
          <w:ilvl w:val="0"/>
          <w:numId w:val="1"/>
        </w:numPr>
        <w:tabs>
          <w:tab w:val="clear" w:pos="360"/>
        </w:tabs>
        <w:spacing w:before="120" w:after="120"/>
        <w:jc w:val="both"/>
      </w:pPr>
      <w:r>
        <w:t xml:space="preserve">Elle réitère </w:t>
      </w:r>
      <w:r w:rsidR="00C82359">
        <w:t>cette</w:t>
      </w:r>
      <w:r>
        <w:t xml:space="preserve"> position dans son Acte d’intervention </w:t>
      </w:r>
      <w:r w:rsidR="00C82359">
        <w:t>conservatoire</w:t>
      </w:r>
      <w:r>
        <w:t xml:space="preserve"> du 26 mai 2022. </w:t>
      </w:r>
      <w:r w:rsidR="004F240E">
        <w:t xml:space="preserve">Elle </w:t>
      </w:r>
      <w:r w:rsidR="00564786">
        <w:t xml:space="preserve">y </w:t>
      </w:r>
      <w:r w:rsidR="004F240E">
        <w:t xml:space="preserve">ajoute que la </w:t>
      </w:r>
      <w:r w:rsidR="00777032">
        <w:t>décision</w:t>
      </w:r>
      <w:r w:rsidR="00D536BE">
        <w:t xml:space="preserve"> </w:t>
      </w:r>
      <w:r w:rsidR="004F240E">
        <w:t xml:space="preserve">de la Ville de procéder par la méthode de capture-euthanasie ne respecte pas l’équité procédurale notamment parce que prise sans consultation préalable auprès d’un organisme de protection des animaux indépendant. C’est pourquoi elle demande au Tribunal d’annuler la </w:t>
      </w:r>
      <w:r w:rsidR="00777032">
        <w:t>décision</w:t>
      </w:r>
      <w:r w:rsidR="00D536BE">
        <w:t xml:space="preserve"> </w:t>
      </w:r>
      <w:r w:rsidR="004F240E">
        <w:t>d’abattre les cerfs.</w:t>
      </w:r>
    </w:p>
    <w:p w14:paraId="138320A2" w14:textId="1EED0970" w:rsidR="00C82359" w:rsidRDefault="00C82359" w:rsidP="00CB122A">
      <w:pPr>
        <w:widowControl w:val="0"/>
        <w:numPr>
          <w:ilvl w:val="0"/>
          <w:numId w:val="1"/>
        </w:numPr>
        <w:tabs>
          <w:tab w:val="clear" w:pos="360"/>
        </w:tabs>
        <w:spacing w:before="120" w:after="120"/>
        <w:jc w:val="both"/>
      </w:pPr>
      <w:r>
        <w:t xml:space="preserve">Somme toute, </w:t>
      </w:r>
      <w:r w:rsidR="0035241A">
        <w:t xml:space="preserve">pour leur compte et celui des cerfs, </w:t>
      </w:r>
      <w:r>
        <w:t xml:space="preserve">les demandeurs et l’intervenante ont eu l’occasion de faire valoir leur point de vue tout au long du processus suivi par la Ville et menant à l’adoption de la Résolution. Leur position est demeurée </w:t>
      </w:r>
      <w:r w:rsidR="003C2DD8">
        <w:t>inchangée</w:t>
      </w:r>
      <w:r>
        <w:t> : quels qu’en soient les motifs, toute solution létale sera considérée comme déraisonnable.</w:t>
      </w:r>
    </w:p>
    <w:p w14:paraId="610EF07F" w14:textId="4658A981" w:rsidR="00FF2ACC" w:rsidRPr="00085713" w:rsidRDefault="00085713" w:rsidP="00EC1309">
      <w:pPr>
        <w:pStyle w:val="Titre2"/>
        <w:rPr>
          <w:u w:val="none"/>
        </w:rPr>
      </w:pPr>
      <w:bookmarkStart w:id="39" w:name="_Toc143524144"/>
      <w:bookmarkStart w:id="40" w:name="_Toc144193784"/>
      <w:bookmarkStart w:id="41" w:name="_Toc144367229"/>
      <w:r w:rsidRPr="00085713">
        <w:rPr>
          <w:caps w:val="0"/>
        </w:rPr>
        <w:lastRenderedPageBreak/>
        <w:t>Question 2 :</w:t>
      </w:r>
      <w:r w:rsidRPr="00085713">
        <w:rPr>
          <w:caps w:val="0"/>
          <w:u w:val="none"/>
        </w:rPr>
        <w:tab/>
        <w:t xml:space="preserve">Quelle norme de contrôle le Tribunal doit-il appliquer à la </w:t>
      </w:r>
      <w:r w:rsidRPr="00085713">
        <w:rPr>
          <w:caps w:val="0"/>
          <w:u w:val="none"/>
        </w:rPr>
        <w:tab/>
        <w:t>Résolution et à la délivrance du Permis SEG?</w:t>
      </w:r>
      <w:bookmarkEnd w:id="39"/>
      <w:bookmarkEnd w:id="40"/>
      <w:bookmarkEnd w:id="41"/>
    </w:p>
    <w:p w14:paraId="152D1AF8" w14:textId="37D85746" w:rsidR="00FF2ACC" w:rsidRPr="00841E8B" w:rsidRDefault="00564786" w:rsidP="00CB122A">
      <w:pPr>
        <w:widowControl w:val="0"/>
        <w:numPr>
          <w:ilvl w:val="0"/>
          <w:numId w:val="1"/>
        </w:numPr>
        <w:tabs>
          <w:tab w:val="clear" w:pos="360"/>
        </w:tabs>
        <w:spacing w:before="120" w:after="120"/>
        <w:jc w:val="both"/>
        <w:rPr>
          <w:b/>
          <w:bCs/>
          <w:kern w:val="28"/>
        </w:rPr>
      </w:pPr>
      <w:r>
        <w:rPr>
          <w:kern w:val="28"/>
        </w:rPr>
        <w:t xml:space="preserve">D’une seule voix, </w:t>
      </w:r>
      <w:r w:rsidR="00FF2ACC">
        <w:rPr>
          <w:kern w:val="28"/>
        </w:rPr>
        <w:t>les</w:t>
      </w:r>
      <w:r w:rsidR="00FF2ACC" w:rsidRPr="00841E8B">
        <w:rPr>
          <w:kern w:val="28"/>
        </w:rPr>
        <w:t xml:space="preserve"> parti</w:t>
      </w:r>
      <w:r w:rsidR="00FF2ACC">
        <w:rPr>
          <w:kern w:val="28"/>
        </w:rPr>
        <w:t xml:space="preserve">es </w:t>
      </w:r>
      <w:r w:rsidR="00FF2ACC" w:rsidRPr="00841E8B">
        <w:rPr>
          <w:kern w:val="28"/>
        </w:rPr>
        <w:t>plaid</w:t>
      </w:r>
      <w:r w:rsidR="00FF2ACC">
        <w:rPr>
          <w:kern w:val="28"/>
        </w:rPr>
        <w:t>ent que</w:t>
      </w:r>
      <w:r w:rsidR="00FF2ACC" w:rsidRPr="00841E8B">
        <w:rPr>
          <w:kern w:val="28"/>
        </w:rPr>
        <w:t xml:space="preserve"> la norme de la </w:t>
      </w:r>
      <w:r w:rsidR="0035241A">
        <w:rPr>
          <w:kern w:val="28"/>
        </w:rPr>
        <w:t>décision</w:t>
      </w:r>
      <w:r w:rsidR="00D536BE">
        <w:rPr>
          <w:kern w:val="28"/>
        </w:rPr>
        <w:t xml:space="preserve"> </w:t>
      </w:r>
      <w:r w:rsidR="00FF2ACC" w:rsidRPr="00841E8B">
        <w:rPr>
          <w:kern w:val="28"/>
        </w:rPr>
        <w:t>raisonnable s'applique au contrôle des décision</w:t>
      </w:r>
      <w:r w:rsidR="00FF2ACC">
        <w:rPr>
          <w:kern w:val="28"/>
        </w:rPr>
        <w:t xml:space="preserve">s </w:t>
      </w:r>
      <w:r w:rsidR="00FF2ACC" w:rsidRPr="00841E8B">
        <w:rPr>
          <w:kern w:val="28"/>
        </w:rPr>
        <w:t>attaqu</w:t>
      </w:r>
      <w:r w:rsidR="00FF2ACC">
        <w:rPr>
          <w:kern w:val="28"/>
        </w:rPr>
        <w:t>ées. Le Tribunal se rallie à cette</w:t>
      </w:r>
      <w:r w:rsidR="00FF2ACC" w:rsidRPr="00841E8B">
        <w:rPr>
          <w:kern w:val="28"/>
        </w:rPr>
        <w:t xml:space="preserve"> proposition</w:t>
      </w:r>
      <w:r w:rsidR="00FF2ACC">
        <w:rPr>
          <w:kern w:val="28"/>
        </w:rPr>
        <w:t>. E</w:t>
      </w:r>
      <w:r w:rsidR="00FF2ACC" w:rsidRPr="00841E8B">
        <w:rPr>
          <w:kern w:val="28"/>
        </w:rPr>
        <w:t>n effet</w:t>
      </w:r>
      <w:r w:rsidR="00FF2ACC">
        <w:rPr>
          <w:kern w:val="28"/>
        </w:rPr>
        <w:t>,</w:t>
      </w:r>
      <w:r w:rsidR="00FF2ACC" w:rsidRPr="00841E8B">
        <w:rPr>
          <w:kern w:val="28"/>
        </w:rPr>
        <w:t xml:space="preserve"> rien ne permet de réfuter la présomption</w:t>
      </w:r>
      <w:r w:rsidR="00FF2ACC">
        <w:rPr>
          <w:kern w:val="28"/>
        </w:rPr>
        <w:t xml:space="preserve"> d</w:t>
      </w:r>
      <w:r w:rsidR="00FF2ACC" w:rsidRPr="00841E8B">
        <w:rPr>
          <w:kern w:val="28"/>
        </w:rPr>
        <w:t>'application de cette norme</w:t>
      </w:r>
      <w:r w:rsidR="00FF2ACC">
        <w:rPr>
          <w:rStyle w:val="Appelnotedebasdep"/>
          <w:kern w:val="28"/>
        </w:rPr>
        <w:footnoteReference w:id="56"/>
      </w:r>
      <w:r w:rsidR="00FF2ACC">
        <w:rPr>
          <w:kern w:val="28"/>
        </w:rPr>
        <w:t>.</w:t>
      </w:r>
    </w:p>
    <w:p w14:paraId="7E7065F8" w14:textId="15A65A50" w:rsidR="00FF2ACC" w:rsidRPr="00996969" w:rsidRDefault="00564786" w:rsidP="00CB122A">
      <w:pPr>
        <w:widowControl w:val="0"/>
        <w:numPr>
          <w:ilvl w:val="0"/>
          <w:numId w:val="1"/>
        </w:numPr>
        <w:tabs>
          <w:tab w:val="clear" w:pos="360"/>
        </w:tabs>
        <w:spacing w:before="120" w:after="120"/>
        <w:jc w:val="both"/>
        <w:rPr>
          <w:b/>
          <w:bCs/>
          <w:kern w:val="28"/>
        </w:rPr>
      </w:pPr>
      <w:r>
        <w:rPr>
          <w:kern w:val="28"/>
        </w:rPr>
        <w:t>Cela dit, l</w:t>
      </w:r>
      <w:r w:rsidR="00FF2ACC" w:rsidRPr="00841E8B">
        <w:rPr>
          <w:kern w:val="28"/>
        </w:rPr>
        <w:t>orsqu</w:t>
      </w:r>
      <w:r w:rsidR="00FF2ACC">
        <w:rPr>
          <w:kern w:val="28"/>
        </w:rPr>
        <w:t>’</w:t>
      </w:r>
      <w:r w:rsidR="00FF2ACC" w:rsidRPr="00841E8B">
        <w:rPr>
          <w:kern w:val="28"/>
        </w:rPr>
        <w:t>appel</w:t>
      </w:r>
      <w:r w:rsidR="00FF2ACC">
        <w:rPr>
          <w:kern w:val="28"/>
        </w:rPr>
        <w:t>é</w:t>
      </w:r>
      <w:r w:rsidR="00FF2ACC" w:rsidRPr="00841E8B">
        <w:rPr>
          <w:kern w:val="28"/>
        </w:rPr>
        <w:t xml:space="preserve"> à se prononcer </w:t>
      </w:r>
      <w:r w:rsidR="00FF2ACC">
        <w:rPr>
          <w:kern w:val="28"/>
        </w:rPr>
        <w:t xml:space="preserve">sur </w:t>
      </w:r>
      <w:r w:rsidR="003B2CF1">
        <w:rPr>
          <w:kern w:val="28"/>
        </w:rPr>
        <w:t xml:space="preserve">le </w:t>
      </w:r>
      <w:r w:rsidR="00030967">
        <w:rPr>
          <w:kern w:val="28"/>
        </w:rPr>
        <w:t>caractère raisonnable</w:t>
      </w:r>
      <w:r w:rsidR="00FF2ACC" w:rsidRPr="00841E8B">
        <w:rPr>
          <w:kern w:val="28"/>
        </w:rPr>
        <w:t xml:space="preserve"> </w:t>
      </w:r>
      <w:r w:rsidR="00FF2ACC">
        <w:rPr>
          <w:kern w:val="28"/>
        </w:rPr>
        <w:t>d’</w:t>
      </w:r>
      <w:r w:rsidR="00FF2ACC" w:rsidRPr="00841E8B">
        <w:rPr>
          <w:kern w:val="28"/>
        </w:rPr>
        <w:t xml:space="preserve">une </w:t>
      </w:r>
      <w:r w:rsidR="0035241A">
        <w:rPr>
          <w:kern w:val="28"/>
        </w:rPr>
        <w:t>décision</w:t>
      </w:r>
      <w:r w:rsidR="00D536BE">
        <w:rPr>
          <w:kern w:val="28"/>
        </w:rPr>
        <w:t xml:space="preserve"> </w:t>
      </w:r>
      <w:r w:rsidR="00FF2ACC" w:rsidRPr="00841E8B">
        <w:rPr>
          <w:kern w:val="28"/>
        </w:rPr>
        <w:t>administrative</w:t>
      </w:r>
      <w:r w:rsidR="00FF2ACC">
        <w:rPr>
          <w:kern w:val="28"/>
        </w:rPr>
        <w:t xml:space="preserve">, </w:t>
      </w:r>
      <w:r w:rsidR="00FF2ACC" w:rsidRPr="00841E8B">
        <w:rPr>
          <w:kern w:val="28"/>
        </w:rPr>
        <w:t xml:space="preserve">le </w:t>
      </w:r>
      <w:r w:rsidR="00FF2ACC">
        <w:rPr>
          <w:kern w:val="28"/>
        </w:rPr>
        <w:t>T</w:t>
      </w:r>
      <w:r w:rsidR="00FF2ACC" w:rsidRPr="00841E8B">
        <w:rPr>
          <w:kern w:val="28"/>
        </w:rPr>
        <w:t>ribunal doit se garder de substituer</w:t>
      </w:r>
      <w:r w:rsidR="00FF2ACC">
        <w:rPr>
          <w:kern w:val="28"/>
        </w:rPr>
        <w:t xml:space="preserve"> sa </w:t>
      </w:r>
      <w:r w:rsidR="0035241A">
        <w:rPr>
          <w:kern w:val="28"/>
        </w:rPr>
        <w:t>décision</w:t>
      </w:r>
      <w:r w:rsidR="00D536BE">
        <w:rPr>
          <w:kern w:val="28"/>
        </w:rPr>
        <w:t xml:space="preserve"> </w:t>
      </w:r>
      <w:r w:rsidR="00FF2ACC">
        <w:rPr>
          <w:kern w:val="28"/>
        </w:rPr>
        <w:t>à</w:t>
      </w:r>
      <w:r w:rsidR="00FF2ACC" w:rsidRPr="00841E8B">
        <w:rPr>
          <w:kern w:val="28"/>
        </w:rPr>
        <w:t xml:space="preserve"> celle du décid</w:t>
      </w:r>
      <w:r w:rsidR="00FF2ACC">
        <w:rPr>
          <w:kern w:val="28"/>
        </w:rPr>
        <w:t>eur</w:t>
      </w:r>
      <w:r w:rsidR="00FF2ACC" w:rsidRPr="00841E8B">
        <w:rPr>
          <w:kern w:val="28"/>
        </w:rPr>
        <w:t xml:space="preserve"> administratif</w:t>
      </w:r>
      <w:r w:rsidR="00FF2ACC">
        <w:rPr>
          <w:kern w:val="28"/>
        </w:rPr>
        <w:t xml:space="preserve">. </w:t>
      </w:r>
      <w:r w:rsidR="00FF2ACC" w:rsidRPr="00841E8B">
        <w:rPr>
          <w:kern w:val="28"/>
        </w:rPr>
        <w:t>Ainsi</w:t>
      </w:r>
      <w:r w:rsidR="00FF2ACC">
        <w:rPr>
          <w:kern w:val="28"/>
        </w:rPr>
        <w:t xml:space="preserve">, </w:t>
      </w:r>
      <w:r w:rsidR="00FF2ACC" w:rsidRPr="00841E8B">
        <w:rPr>
          <w:kern w:val="28"/>
        </w:rPr>
        <w:t xml:space="preserve">il ne doit pas tenter de prendre en compte l'éventail des conclusions qu'aurait </w:t>
      </w:r>
      <w:r w:rsidR="00FF2ACC">
        <w:rPr>
          <w:kern w:val="28"/>
        </w:rPr>
        <w:t xml:space="preserve">pu tirer </w:t>
      </w:r>
      <w:r w:rsidR="00FF2ACC" w:rsidRPr="00841E8B">
        <w:rPr>
          <w:kern w:val="28"/>
        </w:rPr>
        <w:t>le</w:t>
      </w:r>
      <w:r w:rsidR="00FF2ACC">
        <w:rPr>
          <w:kern w:val="28"/>
        </w:rPr>
        <w:t xml:space="preserve"> décideur. </w:t>
      </w:r>
      <w:r w:rsidR="00FF2ACC" w:rsidRPr="00841E8B">
        <w:rPr>
          <w:kern w:val="28"/>
        </w:rPr>
        <w:t xml:space="preserve">Il ne doit pas non plus se livrer </w:t>
      </w:r>
      <w:r w:rsidR="00FF2ACC" w:rsidRPr="00141017">
        <w:rPr>
          <w:kern w:val="28"/>
        </w:rPr>
        <w:t>à une</w:t>
      </w:r>
      <w:r w:rsidR="00FF2ACC">
        <w:rPr>
          <w:kern w:val="28"/>
        </w:rPr>
        <w:t xml:space="preserve"> </w:t>
      </w:r>
      <w:r w:rsidR="00FF2ACC" w:rsidRPr="00841E8B">
        <w:rPr>
          <w:kern w:val="28"/>
        </w:rPr>
        <w:t>analyse</w:t>
      </w:r>
      <w:r w:rsidR="00FF2ACC">
        <w:rPr>
          <w:kern w:val="28"/>
        </w:rPr>
        <w:t xml:space="preserve"> de</w:t>
      </w:r>
      <w:r w:rsidR="00FF2ACC" w:rsidRPr="00841E8B">
        <w:rPr>
          <w:kern w:val="28"/>
        </w:rPr>
        <w:t xml:space="preserve"> </w:t>
      </w:r>
      <w:r w:rsidR="00FF2ACC">
        <w:rPr>
          <w:kern w:val="28"/>
        </w:rPr>
        <w:t>novo ou</w:t>
      </w:r>
      <w:r w:rsidR="00FF2ACC" w:rsidRPr="00996969">
        <w:rPr>
          <w:kern w:val="28"/>
        </w:rPr>
        <w:t xml:space="preserve"> </w:t>
      </w:r>
      <w:r w:rsidR="00FF2ACC" w:rsidRPr="00841E8B">
        <w:rPr>
          <w:kern w:val="28"/>
        </w:rPr>
        <w:t>cherche</w:t>
      </w:r>
      <w:r w:rsidR="00FF2ACC">
        <w:rPr>
          <w:kern w:val="28"/>
        </w:rPr>
        <w:t>r à</w:t>
      </w:r>
      <w:r w:rsidR="00FF2ACC" w:rsidRPr="00841E8B">
        <w:rPr>
          <w:kern w:val="28"/>
        </w:rPr>
        <w:t xml:space="preserve"> </w:t>
      </w:r>
      <w:r w:rsidR="00FF2ACC">
        <w:rPr>
          <w:kern w:val="28"/>
        </w:rPr>
        <w:t>dé</w:t>
      </w:r>
      <w:r w:rsidR="00FF2ACC" w:rsidRPr="00841E8B">
        <w:rPr>
          <w:kern w:val="28"/>
        </w:rPr>
        <w:t xml:space="preserve">terminer la solution </w:t>
      </w:r>
      <w:r w:rsidR="00FF2ACC">
        <w:rPr>
          <w:kern w:val="28"/>
        </w:rPr>
        <w:t>correcte au</w:t>
      </w:r>
      <w:r w:rsidR="00FF2ACC" w:rsidRPr="00996969">
        <w:rPr>
          <w:kern w:val="28"/>
        </w:rPr>
        <w:t xml:space="preserve"> </w:t>
      </w:r>
      <w:r w:rsidR="00FF2ACC" w:rsidRPr="00841E8B">
        <w:rPr>
          <w:kern w:val="28"/>
        </w:rPr>
        <w:t>problème</w:t>
      </w:r>
      <w:r w:rsidR="00FF2ACC">
        <w:rPr>
          <w:rStyle w:val="Appelnotedebasdep"/>
          <w:kern w:val="28"/>
        </w:rPr>
        <w:footnoteReference w:id="57"/>
      </w:r>
      <w:r w:rsidR="00FF2ACC">
        <w:rPr>
          <w:kern w:val="28"/>
        </w:rPr>
        <w:t>.</w:t>
      </w:r>
    </w:p>
    <w:p w14:paraId="3904DF0B" w14:textId="619D5AFE" w:rsidR="00FF2ACC" w:rsidRPr="00996969" w:rsidRDefault="00FF2ACC" w:rsidP="00CB122A">
      <w:pPr>
        <w:widowControl w:val="0"/>
        <w:numPr>
          <w:ilvl w:val="0"/>
          <w:numId w:val="1"/>
        </w:numPr>
        <w:tabs>
          <w:tab w:val="clear" w:pos="360"/>
        </w:tabs>
        <w:spacing w:before="120" w:after="120"/>
        <w:jc w:val="both"/>
        <w:rPr>
          <w:b/>
          <w:bCs/>
          <w:kern w:val="28"/>
        </w:rPr>
      </w:pPr>
      <w:r>
        <w:rPr>
          <w:kern w:val="28"/>
        </w:rPr>
        <w:t>Le r</w:t>
      </w:r>
      <w:r w:rsidRPr="00996969">
        <w:rPr>
          <w:kern w:val="28"/>
        </w:rPr>
        <w:t>ôle d</w:t>
      </w:r>
      <w:r>
        <w:rPr>
          <w:kern w:val="28"/>
        </w:rPr>
        <w:t>u</w:t>
      </w:r>
      <w:r w:rsidRPr="00996969">
        <w:rPr>
          <w:kern w:val="28"/>
        </w:rPr>
        <w:t xml:space="preserve"> </w:t>
      </w:r>
      <w:r>
        <w:rPr>
          <w:kern w:val="28"/>
        </w:rPr>
        <w:t>T</w:t>
      </w:r>
      <w:r w:rsidRPr="00996969">
        <w:rPr>
          <w:kern w:val="28"/>
        </w:rPr>
        <w:t>ribunal consiste plutôt à déterminer</w:t>
      </w:r>
      <w:r>
        <w:rPr>
          <w:kern w:val="28"/>
        </w:rPr>
        <w:t xml:space="preserve"> s</w:t>
      </w:r>
      <w:r w:rsidRPr="00996969">
        <w:rPr>
          <w:kern w:val="28"/>
        </w:rPr>
        <w:t>i</w:t>
      </w:r>
      <w:r>
        <w:rPr>
          <w:kern w:val="28"/>
        </w:rPr>
        <w:t xml:space="preserve"> la</w:t>
      </w:r>
      <w:r w:rsidRPr="00996969">
        <w:rPr>
          <w:kern w:val="28"/>
        </w:rPr>
        <w:t xml:space="preserve"> </w:t>
      </w:r>
      <w:r w:rsidR="0035241A">
        <w:rPr>
          <w:kern w:val="28"/>
        </w:rPr>
        <w:t>décision</w:t>
      </w:r>
      <w:r w:rsidR="00D536BE">
        <w:rPr>
          <w:kern w:val="28"/>
        </w:rPr>
        <w:t xml:space="preserve"> </w:t>
      </w:r>
      <w:r w:rsidRPr="00996969">
        <w:rPr>
          <w:kern w:val="28"/>
        </w:rPr>
        <w:t>attaquée</w:t>
      </w:r>
      <w:r>
        <w:rPr>
          <w:kern w:val="28"/>
        </w:rPr>
        <w:t xml:space="preserve"> </w:t>
      </w:r>
      <w:r w:rsidRPr="00996969">
        <w:rPr>
          <w:kern w:val="28"/>
        </w:rPr>
        <w:t>e</w:t>
      </w:r>
      <w:r>
        <w:rPr>
          <w:kern w:val="28"/>
        </w:rPr>
        <w:t>s</w:t>
      </w:r>
      <w:r w:rsidRPr="00996969">
        <w:rPr>
          <w:kern w:val="28"/>
        </w:rPr>
        <w:t>t à la foi</w:t>
      </w:r>
      <w:r>
        <w:rPr>
          <w:kern w:val="28"/>
        </w:rPr>
        <w:t>s</w:t>
      </w:r>
      <w:r w:rsidRPr="00996969">
        <w:rPr>
          <w:kern w:val="28"/>
        </w:rPr>
        <w:t xml:space="preserve"> fondée sur un raisonnement</w:t>
      </w:r>
      <w:r>
        <w:rPr>
          <w:kern w:val="28"/>
        </w:rPr>
        <w:t xml:space="preserve"> in</w:t>
      </w:r>
      <w:r w:rsidRPr="00996969">
        <w:rPr>
          <w:kern w:val="28"/>
        </w:rPr>
        <w:t>t</w:t>
      </w:r>
      <w:r>
        <w:rPr>
          <w:kern w:val="28"/>
        </w:rPr>
        <w:t>rin</w:t>
      </w:r>
      <w:r w:rsidRPr="00996969">
        <w:rPr>
          <w:kern w:val="28"/>
        </w:rPr>
        <w:t>s</w:t>
      </w:r>
      <w:r>
        <w:rPr>
          <w:kern w:val="28"/>
        </w:rPr>
        <w:t>èquement</w:t>
      </w:r>
      <w:r w:rsidRPr="00996969">
        <w:rPr>
          <w:kern w:val="28"/>
        </w:rPr>
        <w:t xml:space="preserve"> cohérent</w:t>
      </w:r>
      <w:r>
        <w:rPr>
          <w:kern w:val="28"/>
        </w:rPr>
        <w:t xml:space="preserve"> </w:t>
      </w:r>
      <w:r w:rsidRPr="00996969">
        <w:rPr>
          <w:kern w:val="28"/>
        </w:rPr>
        <w:t>et justifi</w:t>
      </w:r>
      <w:r>
        <w:rPr>
          <w:kern w:val="28"/>
        </w:rPr>
        <w:t>é</w:t>
      </w:r>
      <w:r w:rsidRPr="00996969">
        <w:rPr>
          <w:kern w:val="28"/>
        </w:rPr>
        <w:t xml:space="preserve"> </w:t>
      </w:r>
      <w:r>
        <w:rPr>
          <w:kern w:val="28"/>
        </w:rPr>
        <w:t xml:space="preserve">à </w:t>
      </w:r>
      <w:r w:rsidRPr="00996969">
        <w:rPr>
          <w:kern w:val="28"/>
        </w:rPr>
        <w:t>la lumière des contraintes juridiques</w:t>
      </w:r>
      <w:r>
        <w:rPr>
          <w:kern w:val="28"/>
        </w:rPr>
        <w:t xml:space="preserve"> </w:t>
      </w:r>
      <w:r w:rsidRPr="00996969">
        <w:rPr>
          <w:kern w:val="28"/>
        </w:rPr>
        <w:t>et factuelles qui ont une incidence sur la décision</w:t>
      </w:r>
      <w:r>
        <w:rPr>
          <w:rStyle w:val="Appelnotedebasdep"/>
          <w:kern w:val="28"/>
        </w:rPr>
        <w:footnoteReference w:id="58"/>
      </w:r>
      <w:r>
        <w:rPr>
          <w:kern w:val="28"/>
        </w:rPr>
        <w:t>. Ces contraintes varient</w:t>
      </w:r>
      <w:r w:rsidRPr="00996969">
        <w:rPr>
          <w:kern w:val="28"/>
        </w:rPr>
        <w:t xml:space="preserve"> en nombre et en importance selon le contexte</w:t>
      </w:r>
      <w:r>
        <w:rPr>
          <w:kern w:val="28"/>
        </w:rPr>
        <w:t xml:space="preserve">. </w:t>
      </w:r>
      <w:r w:rsidRPr="00996969">
        <w:rPr>
          <w:kern w:val="28"/>
        </w:rPr>
        <w:t>Certaines</w:t>
      </w:r>
      <w:r>
        <w:rPr>
          <w:kern w:val="28"/>
        </w:rPr>
        <w:t xml:space="preserve"> </w:t>
      </w:r>
      <w:r w:rsidR="00564786">
        <w:rPr>
          <w:kern w:val="28"/>
        </w:rPr>
        <w:t>présentent</w:t>
      </w:r>
      <w:r w:rsidRPr="00996969">
        <w:rPr>
          <w:kern w:val="28"/>
        </w:rPr>
        <w:t xml:space="preserve"> un intérêt particulier pour décider de la présent</w:t>
      </w:r>
      <w:r>
        <w:rPr>
          <w:kern w:val="28"/>
        </w:rPr>
        <w:t xml:space="preserve">e </w:t>
      </w:r>
      <w:r w:rsidRPr="002B7105">
        <w:rPr>
          <w:kern w:val="28"/>
        </w:rPr>
        <w:t>affaire</w:t>
      </w:r>
      <w:r>
        <w:rPr>
          <w:kern w:val="28"/>
        </w:rPr>
        <w:t> :</w:t>
      </w:r>
    </w:p>
    <w:p w14:paraId="0AED7DE5" w14:textId="77777777" w:rsidR="00FF2ACC" w:rsidRDefault="00FF2ACC" w:rsidP="00085713">
      <w:pPr>
        <w:pStyle w:val="Paragraphedeliste"/>
        <w:widowControl w:val="0"/>
        <w:numPr>
          <w:ilvl w:val="0"/>
          <w:numId w:val="8"/>
        </w:numPr>
        <w:spacing w:before="120" w:after="120" w:line="360" w:lineRule="auto"/>
        <w:ind w:left="1276" w:hanging="567"/>
        <w:jc w:val="both"/>
        <w:rPr>
          <w:kern w:val="28"/>
        </w:rPr>
      </w:pPr>
      <w:r>
        <w:rPr>
          <w:kern w:val="28"/>
        </w:rPr>
        <w:t>Le régime législatif</w:t>
      </w:r>
      <w:r w:rsidRPr="00996969">
        <w:rPr>
          <w:kern w:val="28"/>
        </w:rPr>
        <w:t xml:space="preserve"> applicable</w:t>
      </w:r>
      <w:r>
        <w:rPr>
          <w:kern w:val="28"/>
        </w:rPr>
        <w:t>;</w:t>
      </w:r>
    </w:p>
    <w:p w14:paraId="540365F3" w14:textId="77777777" w:rsidR="00FF2ACC" w:rsidRDefault="00FF2ACC" w:rsidP="00085713">
      <w:pPr>
        <w:pStyle w:val="Paragraphedeliste"/>
        <w:widowControl w:val="0"/>
        <w:numPr>
          <w:ilvl w:val="0"/>
          <w:numId w:val="8"/>
        </w:numPr>
        <w:spacing w:before="120" w:after="120" w:line="360" w:lineRule="auto"/>
        <w:ind w:left="1276" w:hanging="567"/>
        <w:jc w:val="both"/>
        <w:rPr>
          <w:kern w:val="28"/>
        </w:rPr>
      </w:pPr>
      <w:r>
        <w:rPr>
          <w:kern w:val="28"/>
        </w:rPr>
        <w:t>L</w:t>
      </w:r>
      <w:r w:rsidRPr="00996969">
        <w:rPr>
          <w:kern w:val="28"/>
        </w:rPr>
        <w:t>e</w:t>
      </w:r>
      <w:r>
        <w:rPr>
          <w:kern w:val="28"/>
        </w:rPr>
        <w:t>s</w:t>
      </w:r>
      <w:r w:rsidRPr="00996969">
        <w:rPr>
          <w:kern w:val="28"/>
        </w:rPr>
        <w:t xml:space="preserve"> principes d'interprétation des lois</w:t>
      </w:r>
      <w:r>
        <w:rPr>
          <w:kern w:val="28"/>
        </w:rPr>
        <w:t>;</w:t>
      </w:r>
    </w:p>
    <w:p w14:paraId="216AF81E" w14:textId="77777777" w:rsidR="00FF2ACC" w:rsidRDefault="00FF2ACC" w:rsidP="00085713">
      <w:pPr>
        <w:pStyle w:val="Paragraphedeliste"/>
        <w:widowControl w:val="0"/>
        <w:numPr>
          <w:ilvl w:val="0"/>
          <w:numId w:val="8"/>
        </w:numPr>
        <w:spacing w:after="120"/>
        <w:ind w:left="1276" w:hanging="567"/>
        <w:contextualSpacing w:val="0"/>
        <w:jc w:val="both"/>
        <w:rPr>
          <w:kern w:val="28"/>
        </w:rPr>
      </w:pPr>
      <w:r>
        <w:rPr>
          <w:kern w:val="28"/>
        </w:rPr>
        <w:t>L</w:t>
      </w:r>
      <w:r w:rsidRPr="00996969">
        <w:rPr>
          <w:kern w:val="28"/>
        </w:rPr>
        <w:t>a preuve p</w:t>
      </w:r>
      <w:r>
        <w:rPr>
          <w:kern w:val="28"/>
        </w:rPr>
        <w:t>o</w:t>
      </w:r>
      <w:r w:rsidRPr="00996969">
        <w:rPr>
          <w:kern w:val="28"/>
        </w:rPr>
        <w:t>rt</w:t>
      </w:r>
      <w:r>
        <w:rPr>
          <w:kern w:val="28"/>
        </w:rPr>
        <w:t>é</w:t>
      </w:r>
      <w:r w:rsidRPr="00996969">
        <w:rPr>
          <w:kern w:val="28"/>
        </w:rPr>
        <w:t>e à la connaissance du décideur</w:t>
      </w:r>
      <w:r>
        <w:rPr>
          <w:kern w:val="28"/>
        </w:rPr>
        <w:t xml:space="preserve"> </w:t>
      </w:r>
      <w:r w:rsidRPr="00996969">
        <w:rPr>
          <w:kern w:val="28"/>
        </w:rPr>
        <w:t>et des faits dont il peut prendre connaissance d'office</w:t>
      </w:r>
      <w:r>
        <w:rPr>
          <w:kern w:val="28"/>
        </w:rPr>
        <w:t>;</w:t>
      </w:r>
    </w:p>
    <w:p w14:paraId="1FBD4C66" w14:textId="77777777" w:rsidR="00FF2ACC" w:rsidRDefault="00FF2ACC" w:rsidP="00085713">
      <w:pPr>
        <w:pStyle w:val="Paragraphedeliste"/>
        <w:widowControl w:val="0"/>
        <w:numPr>
          <w:ilvl w:val="0"/>
          <w:numId w:val="8"/>
        </w:numPr>
        <w:spacing w:before="120" w:after="120" w:line="360" w:lineRule="auto"/>
        <w:ind w:left="1276" w:hanging="567"/>
        <w:jc w:val="both"/>
        <w:rPr>
          <w:kern w:val="28"/>
        </w:rPr>
      </w:pPr>
      <w:r w:rsidRPr="00996969">
        <w:rPr>
          <w:kern w:val="28"/>
        </w:rPr>
        <w:t>Les</w:t>
      </w:r>
      <w:r>
        <w:rPr>
          <w:kern w:val="28"/>
        </w:rPr>
        <w:t xml:space="preserve"> </w:t>
      </w:r>
      <w:r w:rsidRPr="00996969">
        <w:rPr>
          <w:kern w:val="28"/>
        </w:rPr>
        <w:t>observation</w:t>
      </w:r>
      <w:r>
        <w:rPr>
          <w:kern w:val="28"/>
        </w:rPr>
        <w:t xml:space="preserve">s </w:t>
      </w:r>
      <w:r w:rsidRPr="00996969">
        <w:rPr>
          <w:kern w:val="28"/>
        </w:rPr>
        <w:t>des parties</w:t>
      </w:r>
      <w:r>
        <w:rPr>
          <w:kern w:val="28"/>
        </w:rPr>
        <w:t>;</w:t>
      </w:r>
    </w:p>
    <w:p w14:paraId="0069FD4D" w14:textId="2DBCA3C5" w:rsidR="00FF2ACC" w:rsidRDefault="00FF2ACC" w:rsidP="00085713">
      <w:pPr>
        <w:pStyle w:val="Paragraphedeliste"/>
        <w:widowControl w:val="0"/>
        <w:numPr>
          <w:ilvl w:val="0"/>
          <w:numId w:val="8"/>
        </w:numPr>
        <w:spacing w:before="120" w:after="120" w:line="360" w:lineRule="auto"/>
        <w:ind w:left="1276" w:hanging="567"/>
        <w:jc w:val="both"/>
        <w:rPr>
          <w:kern w:val="28"/>
        </w:rPr>
      </w:pPr>
      <w:r>
        <w:rPr>
          <w:kern w:val="28"/>
        </w:rPr>
        <w:t xml:space="preserve">L’impact </w:t>
      </w:r>
      <w:r w:rsidRPr="005707A1">
        <w:rPr>
          <w:kern w:val="28"/>
        </w:rPr>
        <w:t xml:space="preserve">potentiel de la </w:t>
      </w:r>
      <w:r w:rsidR="0035241A">
        <w:rPr>
          <w:kern w:val="28"/>
        </w:rPr>
        <w:t>décision</w:t>
      </w:r>
      <w:r w:rsidR="00D536BE">
        <w:rPr>
          <w:kern w:val="28"/>
        </w:rPr>
        <w:t xml:space="preserve"> </w:t>
      </w:r>
      <w:r w:rsidRPr="005707A1">
        <w:rPr>
          <w:kern w:val="28"/>
        </w:rPr>
        <w:t xml:space="preserve">sur l'individu qui </w:t>
      </w:r>
      <w:r>
        <w:rPr>
          <w:kern w:val="28"/>
        </w:rPr>
        <w:t>en</w:t>
      </w:r>
      <w:r w:rsidRPr="005707A1">
        <w:rPr>
          <w:kern w:val="28"/>
        </w:rPr>
        <w:t xml:space="preserve"> fait l'objet</w:t>
      </w:r>
      <w:r>
        <w:rPr>
          <w:rStyle w:val="Appelnotedebasdep"/>
          <w:kern w:val="28"/>
        </w:rPr>
        <w:footnoteReference w:id="59"/>
      </w:r>
      <w:r>
        <w:rPr>
          <w:kern w:val="28"/>
        </w:rPr>
        <w:t>.</w:t>
      </w:r>
    </w:p>
    <w:p w14:paraId="7D2724F2" w14:textId="531A3E93" w:rsidR="00FF2ACC" w:rsidRDefault="00FF2ACC" w:rsidP="00CB122A">
      <w:pPr>
        <w:widowControl w:val="0"/>
        <w:numPr>
          <w:ilvl w:val="0"/>
          <w:numId w:val="1"/>
        </w:numPr>
        <w:tabs>
          <w:tab w:val="clear" w:pos="360"/>
        </w:tabs>
        <w:spacing w:before="120" w:after="120"/>
        <w:jc w:val="both"/>
        <w:rPr>
          <w:kern w:val="28"/>
        </w:rPr>
      </w:pPr>
      <w:r>
        <w:rPr>
          <w:kern w:val="28"/>
        </w:rPr>
        <w:t xml:space="preserve">Il </w:t>
      </w:r>
      <w:r w:rsidRPr="005707A1">
        <w:rPr>
          <w:kern w:val="28"/>
        </w:rPr>
        <w:t>incombe à la partie qui conteste</w:t>
      </w:r>
      <w:r>
        <w:rPr>
          <w:kern w:val="28"/>
        </w:rPr>
        <w:t xml:space="preserve"> </w:t>
      </w:r>
      <w:r w:rsidRPr="005707A1">
        <w:rPr>
          <w:kern w:val="28"/>
        </w:rPr>
        <w:t xml:space="preserve">la </w:t>
      </w:r>
      <w:r w:rsidR="0035241A">
        <w:rPr>
          <w:kern w:val="28"/>
        </w:rPr>
        <w:t>décision</w:t>
      </w:r>
      <w:r w:rsidR="00D536BE">
        <w:rPr>
          <w:kern w:val="28"/>
        </w:rPr>
        <w:t xml:space="preserve"> </w:t>
      </w:r>
      <w:r w:rsidRPr="005707A1">
        <w:rPr>
          <w:kern w:val="28"/>
        </w:rPr>
        <w:t>d</w:t>
      </w:r>
      <w:r>
        <w:rPr>
          <w:kern w:val="28"/>
        </w:rPr>
        <w:t>’</w:t>
      </w:r>
      <w:r w:rsidRPr="005707A1">
        <w:rPr>
          <w:kern w:val="28"/>
        </w:rPr>
        <w:t>e</w:t>
      </w:r>
      <w:r>
        <w:rPr>
          <w:kern w:val="28"/>
        </w:rPr>
        <w:t>n</w:t>
      </w:r>
      <w:r w:rsidRPr="005707A1">
        <w:rPr>
          <w:kern w:val="28"/>
        </w:rPr>
        <w:t xml:space="preserve"> démontrer</w:t>
      </w:r>
      <w:r>
        <w:rPr>
          <w:kern w:val="28"/>
        </w:rPr>
        <w:t xml:space="preserve"> </w:t>
      </w:r>
      <w:r w:rsidRPr="005707A1">
        <w:rPr>
          <w:kern w:val="28"/>
        </w:rPr>
        <w:t>le caractère déraisonnable</w:t>
      </w:r>
      <w:r>
        <w:rPr>
          <w:kern w:val="28"/>
        </w:rPr>
        <w:t>. C</w:t>
      </w:r>
      <w:r w:rsidRPr="0014429A">
        <w:rPr>
          <w:kern w:val="28"/>
        </w:rPr>
        <w:t>e fardeau</w:t>
      </w:r>
      <w:r>
        <w:rPr>
          <w:kern w:val="28"/>
        </w:rPr>
        <w:t xml:space="preserve"> </w:t>
      </w:r>
      <w:r w:rsidRPr="0014429A">
        <w:rPr>
          <w:kern w:val="28"/>
        </w:rPr>
        <w:t>exige</w:t>
      </w:r>
      <w:r>
        <w:rPr>
          <w:kern w:val="28"/>
        </w:rPr>
        <w:t xml:space="preserve"> la </w:t>
      </w:r>
      <w:r w:rsidRPr="0014429A">
        <w:rPr>
          <w:kern w:val="28"/>
        </w:rPr>
        <w:t xml:space="preserve">démonstration que la </w:t>
      </w:r>
      <w:r w:rsidR="0035241A">
        <w:rPr>
          <w:kern w:val="28"/>
        </w:rPr>
        <w:t>décision</w:t>
      </w:r>
      <w:r w:rsidR="00D536BE">
        <w:rPr>
          <w:kern w:val="28"/>
        </w:rPr>
        <w:t xml:space="preserve"> </w:t>
      </w:r>
      <w:r w:rsidRPr="0014429A">
        <w:rPr>
          <w:kern w:val="28"/>
        </w:rPr>
        <w:t>souff</w:t>
      </w:r>
      <w:r>
        <w:rPr>
          <w:kern w:val="28"/>
        </w:rPr>
        <w:t>r</w:t>
      </w:r>
      <w:r w:rsidRPr="0014429A">
        <w:rPr>
          <w:kern w:val="28"/>
        </w:rPr>
        <w:t>e</w:t>
      </w:r>
      <w:r>
        <w:rPr>
          <w:kern w:val="28"/>
        </w:rPr>
        <w:t xml:space="preserve"> </w:t>
      </w:r>
      <w:r w:rsidRPr="0014429A">
        <w:rPr>
          <w:kern w:val="28"/>
        </w:rPr>
        <w:t>de lacune</w:t>
      </w:r>
      <w:r>
        <w:rPr>
          <w:kern w:val="28"/>
        </w:rPr>
        <w:t>s</w:t>
      </w:r>
      <w:r w:rsidRPr="0014429A">
        <w:rPr>
          <w:kern w:val="28"/>
        </w:rPr>
        <w:t xml:space="preserve"> grave</w:t>
      </w:r>
      <w:r>
        <w:rPr>
          <w:kern w:val="28"/>
        </w:rPr>
        <w:t>s</w:t>
      </w:r>
      <w:r w:rsidRPr="0014429A">
        <w:rPr>
          <w:kern w:val="28"/>
        </w:rPr>
        <w:t xml:space="preserve"> à un point tel qu'on ne peut pas dire qu'elle satisfait aux exigences de justification</w:t>
      </w:r>
      <w:r>
        <w:rPr>
          <w:kern w:val="28"/>
        </w:rPr>
        <w:t>,</w:t>
      </w:r>
      <w:r w:rsidRPr="0014429A">
        <w:rPr>
          <w:kern w:val="28"/>
        </w:rPr>
        <w:t xml:space="preserve"> d'intelligibilité et de transparence</w:t>
      </w:r>
      <w:r>
        <w:rPr>
          <w:kern w:val="28"/>
        </w:rPr>
        <w:t>. Seules</w:t>
      </w:r>
      <w:r w:rsidRPr="0014429A">
        <w:rPr>
          <w:kern w:val="28"/>
        </w:rPr>
        <w:t xml:space="preserve"> les lacunes suffisamment</w:t>
      </w:r>
      <w:r>
        <w:rPr>
          <w:kern w:val="28"/>
        </w:rPr>
        <w:t xml:space="preserve"> </w:t>
      </w:r>
      <w:r w:rsidRPr="0014429A">
        <w:rPr>
          <w:kern w:val="28"/>
        </w:rPr>
        <w:t>capitale</w:t>
      </w:r>
      <w:r>
        <w:rPr>
          <w:kern w:val="28"/>
        </w:rPr>
        <w:t>s</w:t>
      </w:r>
      <w:r w:rsidRPr="0014429A">
        <w:rPr>
          <w:kern w:val="28"/>
        </w:rPr>
        <w:t xml:space="preserve"> ou importante</w:t>
      </w:r>
      <w:r>
        <w:rPr>
          <w:kern w:val="28"/>
        </w:rPr>
        <w:t>s</w:t>
      </w:r>
      <w:r w:rsidRPr="0014429A">
        <w:rPr>
          <w:kern w:val="28"/>
        </w:rPr>
        <w:t xml:space="preserve"> permettent de conclure </w:t>
      </w:r>
      <w:r>
        <w:rPr>
          <w:kern w:val="28"/>
        </w:rPr>
        <w:t xml:space="preserve">à </w:t>
      </w:r>
      <w:r w:rsidRPr="0014429A">
        <w:rPr>
          <w:kern w:val="28"/>
        </w:rPr>
        <w:t xml:space="preserve">une </w:t>
      </w:r>
      <w:r w:rsidR="0035241A">
        <w:rPr>
          <w:kern w:val="28"/>
        </w:rPr>
        <w:t>décision</w:t>
      </w:r>
      <w:r w:rsidR="00D536BE">
        <w:rPr>
          <w:kern w:val="28"/>
        </w:rPr>
        <w:t xml:space="preserve"> </w:t>
      </w:r>
      <w:r w:rsidRPr="0014429A">
        <w:rPr>
          <w:kern w:val="28"/>
        </w:rPr>
        <w:t>déraisonnable</w:t>
      </w:r>
      <w:r>
        <w:rPr>
          <w:rStyle w:val="Appelnotedebasdep"/>
          <w:kern w:val="28"/>
        </w:rPr>
        <w:footnoteReference w:id="60"/>
      </w:r>
      <w:r>
        <w:rPr>
          <w:kern w:val="28"/>
        </w:rPr>
        <w:t>.</w:t>
      </w:r>
    </w:p>
    <w:p w14:paraId="61C15E09" w14:textId="452D3038" w:rsidR="00FF2ACC" w:rsidRDefault="00FF2ACC" w:rsidP="0046666A">
      <w:pPr>
        <w:keepNext/>
        <w:numPr>
          <w:ilvl w:val="0"/>
          <w:numId w:val="1"/>
        </w:numPr>
        <w:tabs>
          <w:tab w:val="clear" w:pos="360"/>
        </w:tabs>
        <w:spacing w:before="120" w:after="120"/>
        <w:jc w:val="both"/>
        <w:rPr>
          <w:kern w:val="28"/>
        </w:rPr>
      </w:pPr>
      <w:r w:rsidRPr="0014429A">
        <w:rPr>
          <w:kern w:val="28"/>
        </w:rPr>
        <w:t>Ces</w:t>
      </w:r>
      <w:r>
        <w:rPr>
          <w:kern w:val="28"/>
        </w:rPr>
        <w:t xml:space="preserve"> </w:t>
      </w:r>
      <w:r w:rsidRPr="0014429A">
        <w:rPr>
          <w:kern w:val="28"/>
        </w:rPr>
        <w:t xml:space="preserve">principes s'appliquent également </w:t>
      </w:r>
      <w:r>
        <w:rPr>
          <w:kern w:val="28"/>
        </w:rPr>
        <w:t>lorsque</w:t>
      </w:r>
      <w:r w:rsidRPr="0014429A">
        <w:rPr>
          <w:kern w:val="28"/>
        </w:rPr>
        <w:t xml:space="preserve"> la </w:t>
      </w:r>
      <w:r w:rsidR="0035241A">
        <w:rPr>
          <w:kern w:val="28"/>
        </w:rPr>
        <w:t>décision</w:t>
      </w:r>
      <w:r w:rsidR="00D536BE">
        <w:rPr>
          <w:kern w:val="28"/>
        </w:rPr>
        <w:t xml:space="preserve"> </w:t>
      </w:r>
      <w:r w:rsidRPr="0014429A">
        <w:rPr>
          <w:kern w:val="28"/>
        </w:rPr>
        <w:t xml:space="preserve">à contrôler </w:t>
      </w:r>
      <w:r>
        <w:rPr>
          <w:kern w:val="28"/>
        </w:rPr>
        <w:t xml:space="preserve">émane </w:t>
      </w:r>
      <w:r w:rsidRPr="0014429A">
        <w:rPr>
          <w:kern w:val="28"/>
        </w:rPr>
        <w:t>non pas d'un tribunal administratif</w:t>
      </w:r>
      <w:r>
        <w:rPr>
          <w:kern w:val="28"/>
        </w:rPr>
        <w:t>,</w:t>
      </w:r>
      <w:r w:rsidRPr="0014429A">
        <w:rPr>
          <w:kern w:val="28"/>
        </w:rPr>
        <w:t xml:space="preserve"> mais plutôt d'un organisme gouvernemental comme une ville o</w:t>
      </w:r>
      <w:r>
        <w:rPr>
          <w:kern w:val="28"/>
        </w:rPr>
        <w:t>u</w:t>
      </w:r>
      <w:r w:rsidRPr="0014429A">
        <w:rPr>
          <w:kern w:val="28"/>
        </w:rPr>
        <w:t xml:space="preserve"> un ministère</w:t>
      </w:r>
      <w:r>
        <w:rPr>
          <w:kern w:val="28"/>
        </w:rPr>
        <w:t xml:space="preserve">. </w:t>
      </w:r>
      <w:r w:rsidRPr="0014429A">
        <w:rPr>
          <w:kern w:val="28"/>
        </w:rPr>
        <w:t>Dans</w:t>
      </w:r>
      <w:r>
        <w:rPr>
          <w:kern w:val="28"/>
        </w:rPr>
        <w:t xml:space="preserve"> </w:t>
      </w:r>
      <w:r w:rsidRPr="0014429A">
        <w:rPr>
          <w:kern w:val="28"/>
        </w:rPr>
        <w:t>ces cas</w:t>
      </w:r>
      <w:r>
        <w:rPr>
          <w:kern w:val="28"/>
        </w:rPr>
        <w:t xml:space="preserve">, </w:t>
      </w:r>
      <w:r w:rsidRPr="0014429A">
        <w:rPr>
          <w:kern w:val="28"/>
        </w:rPr>
        <w:t xml:space="preserve">en l'absence de </w:t>
      </w:r>
      <w:r>
        <w:rPr>
          <w:kern w:val="28"/>
        </w:rPr>
        <w:t>motifs</w:t>
      </w:r>
      <w:r w:rsidRPr="0014429A">
        <w:rPr>
          <w:kern w:val="28"/>
        </w:rPr>
        <w:t xml:space="preserve"> accompagnant la décision</w:t>
      </w:r>
      <w:r>
        <w:rPr>
          <w:kern w:val="28"/>
        </w:rPr>
        <w:t>, s</w:t>
      </w:r>
      <w:r w:rsidRPr="0014429A">
        <w:rPr>
          <w:kern w:val="28"/>
        </w:rPr>
        <w:t xml:space="preserve">a </w:t>
      </w:r>
      <w:r w:rsidRPr="0014429A">
        <w:rPr>
          <w:kern w:val="28"/>
        </w:rPr>
        <w:lastRenderedPageBreak/>
        <w:t>raisonnabilité</w:t>
      </w:r>
      <w:r>
        <w:rPr>
          <w:kern w:val="28"/>
        </w:rPr>
        <w:t xml:space="preserve"> </w:t>
      </w:r>
      <w:r w:rsidRPr="0014429A">
        <w:rPr>
          <w:kern w:val="28"/>
        </w:rPr>
        <w:t>s'appréciera au regard</w:t>
      </w:r>
      <w:r>
        <w:rPr>
          <w:kern w:val="28"/>
        </w:rPr>
        <w:t xml:space="preserve"> </w:t>
      </w:r>
      <w:r w:rsidRPr="0014429A">
        <w:rPr>
          <w:kern w:val="28"/>
        </w:rPr>
        <w:t>du dossier dans son ensemble</w:t>
      </w:r>
      <w:r>
        <w:rPr>
          <w:rStyle w:val="Appelnotedebasdep"/>
          <w:kern w:val="28"/>
        </w:rPr>
        <w:footnoteReference w:id="61"/>
      </w:r>
      <w:r>
        <w:rPr>
          <w:kern w:val="28"/>
        </w:rPr>
        <w:t xml:space="preserve">. </w:t>
      </w:r>
      <w:r w:rsidRPr="0014429A">
        <w:rPr>
          <w:kern w:val="28"/>
        </w:rPr>
        <w:t>Le</w:t>
      </w:r>
      <w:r>
        <w:rPr>
          <w:kern w:val="28"/>
        </w:rPr>
        <w:t xml:space="preserve"> </w:t>
      </w:r>
      <w:r w:rsidRPr="0014429A">
        <w:rPr>
          <w:kern w:val="28"/>
        </w:rPr>
        <w:t>contexte législatif</w:t>
      </w:r>
      <w:r>
        <w:rPr>
          <w:kern w:val="28"/>
        </w:rPr>
        <w:t xml:space="preserve"> sera </w:t>
      </w:r>
      <w:r w:rsidRPr="0014429A">
        <w:rPr>
          <w:kern w:val="28"/>
        </w:rPr>
        <w:t>alors su</w:t>
      </w:r>
      <w:r>
        <w:rPr>
          <w:kern w:val="28"/>
        </w:rPr>
        <w:t>scept</w:t>
      </w:r>
      <w:r w:rsidRPr="0014429A">
        <w:rPr>
          <w:kern w:val="28"/>
        </w:rPr>
        <w:t>ible</w:t>
      </w:r>
      <w:r>
        <w:rPr>
          <w:kern w:val="28"/>
        </w:rPr>
        <w:t xml:space="preserve"> de</w:t>
      </w:r>
      <w:r w:rsidRPr="0054273B">
        <w:rPr>
          <w:kern w:val="28"/>
        </w:rPr>
        <w:t xml:space="preserve"> jouer un rôle déterminant</w:t>
      </w:r>
      <w:r>
        <w:rPr>
          <w:rStyle w:val="Appelnotedebasdep"/>
          <w:kern w:val="28"/>
        </w:rPr>
        <w:footnoteReference w:id="62"/>
      </w:r>
      <w:r>
        <w:rPr>
          <w:kern w:val="28"/>
        </w:rPr>
        <w:t>.</w:t>
      </w:r>
    </w:p>
    <w:p w14:paraId="52416CBD" w14:textId="07F0958A" w:rsidR="00FF2ACC" w:rsidRDefault="00564786" w:rsidP="00CB122A">
      <w:pPr>
        <w:widowControl w:val="0"/>
        <w:numPr>
          <w:ilvl w:val="0"/>
          <w:numId w:val="1"/>
        </w:numPr>
        <w:tabs>
          <w:tab w:val="clear" w:pos="360"/>
        </w:tabs>
        <w:spacing w:before="120" w:after="120"/>
        <w:jc w:val="both"/>
        <w:rPr>
          <w:kern w:val="28"/>
        </w:rPr>
      </w:pPr>
      <w:r>
        <w:rPr>
          <w:kern w:val="28"/>
        </w:rPr>
        <w:t>Enfin</w:t>
      </w:r>
      <w:r w:rsidR="00FF2ACC">
        <w:rPr>
          <w:kern w:val="28"/>
        </w:rPr>
        <w:t>,</w:t>
      </w:r>
      <w:r w:rsidR="00FF2ACC" w:rsidRPr="0054273B">
        <w:rPr>
          <w:kern w:val="28"/>
        </w:rPr>
        <w:t xml:space="preserve"> </w:t>
      </w:r>
      <w:r w:rsidR="00FF2ACC">
        <w:rPr>
          <w:kern w:val="28"/>
        </w:rPr>
        <w:t>la</w:t>
      </w:r>
      <w:r w:rsidR="00FF2ACC" w:rsidRPr="0054273B">
        <w:rPr>
          <w:kern w:val="28"/>
        </w:rPr>
        <w:t xml:space="preserve"> jurisprudence dégag</w:t>
      </w:r>
      <w:r w:rsidR="00030967">
        <w:rPr>
          <w:kern w:val="28"/>
        </w:rPr>
        <w:t>e</w:t>
      </w:r>
      <w:r w:rsidR="00FF2ACC">
        <w:rPr>
          <w:kern w:val="28"/>
        </w:rPr>
        <w:t xml:space="preserve"> </w:t>
      </w:r>
      <w:r w:rsidR="00FF2ACC" w:rsidRPr="0054273B">
        <w:rPr>
          <w:kern w:val="28"/>
        </w:rPr>
        <w:t>certaines considérations particulières qui précise</w:t>
      </w:r>
      <w:r w:rsidR="00FF2ACC">
        <w:rPr>
          <w:kern w:val="28"/>
        </w:rPr>
        <w:t>nt</w:t>
      </w:r>
      <w:r w:rsidR="00FF2ACC" w:rsidRPr="0054273B">
        <w:rPr>
          <w:kern w:val="28"/>
        </w:rPr>
        <w:t xml:space="preserve"> </w:t>
      </w:r>
      <w:r w:rsidR="00FF2ACC" w:rsidRPr="00351DA5">
        <w:rPr>
          <w:kern w:val="28"/>
        </w:rPr>
        <w:t>le cadre d'analyse</w:t>
      </w:r>
      <w:r w:rsidR="00FF2ACC" w:rsidRPr="0054273B">
        <w:rPr>
          <w:kern w:val="28"/>
        </w:rPr>
        <w:t xml:space="preserve"> d'une </w:t>
      </w:r>
      <w:r w:rsidR="0035241A">
        <w:rPr>
          <w:kern w:val="28"/>
        </w:rPr>
        <w:t>décision</w:t>
      </w:r>
      <w:r w:rsidR="00D536BE">
        <w:rPr>
          <w:kern w:val="28"/>
        </w:rPr>
        <w:t xml:space="preserve"> </w:t>
      </w:r>
      <w:r w:rsidR="00FF2ACC" w:rsidRPr="0054273B">
        <w:rPr>
          <w:kern w:val="28"/>
        </w:rPr>
        <w:t>émanant d'un corps public</w:t>
      </w:r>
      <w:r w:rsidR="00FF2ACC">
        <w:rPr>
          <w:kern w:val="28"/>
        </w:rPr>
        <w:t>.</w:t>
      </w:r>
    </w:p>
    <w:p w14:paraId="32F576F6" w14:textId="6613B202" w:rsidR="00FF2ACC" w:rsidRDefault="00FF2ACC" w:rsidP="00CB122A">
      <w:pPr>
        <w:widowControl w:val="0"/>
        <w:numPr>
          <w:ilvl w:val="0"/>
          <w:numId w:val="1"/>
        </w:numPr>
        <w:tabs>
          <w:tab w:val="clear" w:pos="360"/>
        </w:tabs>
        <w:spacing w:before="120" w:after="120"/>
        <w:jc w:val="both"/>
        <w:rPr>
          <w:kern w:val="28"/>
        </w:rPr>
      </w:pPr>
      <w:r w:rsidRPr="0054273B">
        <w:rPr>
          <w:kern w:val="28"/>
        </w:rPr>
        <w:t>Ainsi</w:t>
      </w:r>
      <w:r>
        <w:rPr>
          <w:kern w:val="28"/>
        </w:rPr>
        <w:t xml:space="preserve">, </w:t>
      </w:r>
      <w:r w:rsidRPr="0054273B">
        <w:rPr>
          <w:kern w:val="28"/>
        </w:rPr>
        <w:t xml:space="preserve">dans l'arrêt </w:t>
      </w:r>
      <w:r w:rsidRPr="00BB3F1D">
        <w:rPr>
          <w:i/>
          <w:iCs/>
          <w:kern w:val="28"/>
        </w:rPr>
        <w:t>Catalyst</w:t>
      </w:r>
      <w:r>
        <w:rPr>
          <w:rStyle w:val="Appelnotedebasdep"/>
          <w:kern w:val="28"/>
        </w:rPr>
        <w:footnoteReference w:id="63"/>
      </w:r>
      <w:r>
        <w:rPr>
          <w:kern w:val="28"/>
        </w:rPr>
        <w:t>,</w:t>
      </w:r>
      <w:r w:rsidRPr="0054273B">
        <w:rPr>
          <w:kern w:val="28"/>
        </w:rPr>
        <w:t xml:space="preserve"> la Cour suprême </w:t>
      </w:r>
      <w:r>
        <w:rPr>
          <w:kern w:val="28"/>
        </w:rPr>
        <w:t xml:space="preserve">souligne que </w:t>
      </w:r>
      <w:r w:rsidRPr="0054273B">
        <w:rPr>
          <w:kern w:val="28"/>
        </w:rPr>
        <w:t>le</w:t>
      </w:r>
      <w:r>
        <w:rPr>
          <w:kern w:val="28"/>
        </w:rPr>
        <w:t>s</w:t>
      </w:r>
      <w:r w:rsidRPr="0054273B">
        <w:rPr>
          <w:kern w:val="28"/>
        </w:rPr>
        <w:t xml:space="preserve"> règlement</w:t>
      </w:r>
      <w:r>
        <w:rPr>
          <w:kern w:val="28"/>
        </w:rPr>
        <w:t>s</w:t>
      </w:r>
      <w:r w:rsidRPr="0054273B">
        <w:rPr>
          <w:kern w:val="28"/>
        </w:rPr>
        <w:t xml:space="preserve"> </w:t>
      </w:r>
      <w:r>
        <w:rPr>
          <w:kern w:val="28"/>
        </w:rPr>
        <w:t xml:space="preserve">municipaux </w:t>
      </w:r>
      <w:r w:rsidRPr="0054273B">
        <w:rPr>
          <w:kern w:val="28"/>
        </w:rPr>
        <w:t>ne son</w:t>
      </w:r>
      <w:r>
        <w:rPr>
          <w:kern w:val="28"/>
        </w:rPr>
        <w:t xml:space="preserve">t </w:t>
      </w:r>
      <w:r w:rsidRPr="0054273B">
        <w:rPr>
          <w:kern w:val="28"/>
        </w:rPr>
        <w:t xml:space="preserve">pas des décisions </w:t>
      </w:r>
      <w:r>
        <w:rPr>
          <w:kern w:val="28"/>
        </w:rPr>
        <w:t>quasi judiciaires,</w:t>
      </w:r>
      <w:r w:rsidRPr="0054273B">
        <w:rPr>
          <w:kern w:val="28"/>
        </w:rPr>
        <w:t xml:space="preserve"> mais font plutôt </w:t>
      </w:r>
      <w:r>
        <w:rPr>
          <w:kern w:val="28"/>
        </w:rPr>
        <w:t>i</w:t>
      </w:r>
      <w:r w:rsidRPr="0054273B">
        <w:rPr>
          <w:kern w:val="28"/>
        </w:rPr>
        <w:t>nter</w:t>
      </w:r>
      <w:r>
        <w:rPr>
          <w:kern w:val="28"/>
        </w:rPr>
        <w:t>venir</w:t>
      </w:r>
      <w:r w:rsidRPr="0054273B">
        <w:rPr>
          <w:kern w:val="28"/>
        </w:rPr>
        <w:t xml:space="preserve"> toute une gamme de considération</w:t>
      </w:r>
      <w:r>
        <w:rPr>
          <w:kern w:val="28"/>
        </w:rPr>
        <w:t>s</w:t>
      </w:r>
      <w:r w:rsidRPr="0054273B">
        <w:rPr>
          <w:kern w:val="28"/>
        </w:rPr>
        <w:t xml:space="preserve"> non j</w:t>
      </w:r>
      <w:r>
        <w:rPr>
          <w:kern w:val="28"/>
        </w:rPr>
        <w:t>u</w:t>
      </w:r>
      <w:r w:rsidRPr="0054273B">
        <w:rPr>
          <w:kern w:val="28"/>
        </w:rPr>
        <w:t>ridique</w:t>
      </w:r>
      <w:r>
        <w:rPr>
          <w:kern w:val="28"/>
        </w:rPr>
        <w:t xml:space="preserve">s, </w:t>
      </w:r>
      <w:r w:rsidRPr="0054273B">
        <w:rPr>
          <w:kern w:val="28"/>
        </w:rPr>
        <w:t>notamment sur les plans social</w:t>
      </w:r>
      <w:r>
        <w:rPr>
          <w:kern w:val="28"/>
        </w:rPr>
        <w:t>,</w:t>
      </w:r>
      <w:r w:rsidRPr="0054273B">
        <w:rPr>
          <w:kern w:val="28"/>
        </w:rPr>
        <w:t xml:space="preserve"> économique et politique</w:t>
      </w:r>
      <w:r>
        <w:rPr>
          <w:kern w:val="28"/>
        </w:rPr>
        <w:t xml:space="preserve">. </w:t>
      </w:r>
      <w:r w:rsidRPr="0054273B">
        <w:rPr>
          <w:kern w:val="28"/>
        </w:rPr>
        <w:t>Aussi</w:t>
      </w:r>
      <w:r>
        <w:rPr>
          <w:kern w:val="28"/>
        </w:rPr>
        <w:t xml:space="preserve">, </w:t>
      </w:r>
      <w:r w:rsidR="0035241A">
        <w:rPr>
          <w:kern w:val="28"/>
        </w:rPr>
        <w:t>la révision des résolutions ou des règlements municipaux</w:t>
      </w:r>
      <w:r w:rsidRPr="0054273B">
        <w:rPr>
          <w:kern w:val="28"/>
        </w:rPr>
        <w:t xml:space="preserve"> doit refléter le large pouvoir discrétionnaire traditionnellement conféré aux municipalités par le</w:t>
      </w:r>
      <w:r>
        <w:rPr>
          <w:kern w:val="28"/>
        </w:rPr>
        <w:t>s</w:t>
      </w:r>
      <w:r w:rsidRPr="0054273B">
        <w:rPr>
          <w:kern w:val="28"/>
        </w:rPr>
        <w:t xml:space="preserve"> législateur</w:t>
      </w:r>
      <w:r>
        <w:rPr>
          <w:kern w:val="28"/>
        </w:rPr>
        <w:t>s</w:t>
      </w:r>
      <w:r w:rsidRPr="0054273B">
        <w:rPr>
          <w:kern w:val="28"/>
        </w:rPr>
        <w:t xml:space="preserve"> provincia</w:t>
      </w:r>
      <w:r>
        <w:rPr>
          <w:kern w:val="28"/>
        </w:rPr>
        <w:t>ux</w:t>
      </w:r>
      <w:r>
        <w:rPr>
          <w:rStyle w:val="Appelnotedebasdep"/>
          <w:kern w:val="28"/>
        </w:rPr>
        <w:footnoteReference w:id="64"/>
      </w:r>
      <w:r>
        <w:rPr>
          <w:kern w:val="28"/>
        </w:rPr>
        <w:t>.</w:t>
      </w:r>
    </w:p>
    <w:p w14:paraId="0DE18F37" w14:textId="11C0D7A5" w:rsidR="00FF2ACC" w:rsidRDefault="00FF2ACC" w:rsidP="00CB122A">
      <w:pPr>
        <w:numPr>
          <w:ilvl w:val="0"/>
          <w:numId w:val="1"/>
        </w:numPr>
        <w:tabs>
          <w:tab w:val="clear" w:pos="360"/>
        </w:tabs>
        <w:spacing w:before="120" w:after="120"/>
        <w:jc w:val="both"/>
        <w:rPr>
          <w:kern w:val="28"/>
        </w:rPr>
      </w:pPr>
      <w:r>
        <w:rPr>
          <w:kern w:val="28"/>
        </w:rPr>
        <w:t xml:space="preserve">Par </w:t>
      </w:r>
      <w:r w:rsidRPr="0054273B">
        <w:rPr>
          <w:kern w:val="28"/>
        </w:rPr>
        <w:t>ailleurs</w:t>
      </w:r>
      <w:r>
        <w:rPr>
          <w:kern w:val="28"/>
        </w:rPr>
        <w:t xml:space="preserve">, </w:t>
      </w:r>
      <w:r w:rsidRPr="0054273B">
        <w:rPr>
          <w:kern w:val="28"/>
        </w:rPr>
        <w:t xml:space="preserve">lorsque la </w:t>
      </w:r>
      <w:r w:rsidR="0035241A">
        <w:rPr>
          <w:kern w:val="28"/>
        </w:rPr>
        <w:t>décision</w:t>
      </w:r>
      <w:r w:rsidR="00D536BE">
        <w:rPr>
          <w:kern w:val="28"/>
        </w:rPr>
        <w:t xml:space="preserve"> </w:t>
      </w:r>
      <w:r>
        <w:rPr>
          <w:kern w:val="28"/>
        </w:rPr>
        <w:t xml:space="preserve">émane d’un </w:t>
      </w:r>
      <w:r w:rsidRPr="0054273B">
        <w:rPr>
          <w:kern w:val="28"/>
        </w:rPr>
        <w:t>ministère</w:t>
      </w:r>
      <w:r>
        <w:rPr>
          <w:kern w:val="28"/>
        </w:rPr>
        <w:t>,</w:t>
      </w:r>
      <w:r w:rsidRPr="0054273B">
        <w:rPr>
          <w:kern w:val="28"/>
        </w:rPr>
        <w:t xml:space="preserve"> la première étape consiste à évaluer </w:t>
      </w:r>
      <w:r>
        <w:rPr>
          <w:kern w:val="28"/>
        </w:rPr>
        <w:t>la marge d’</w:t>
      </w:r>
      <w:r w:rsidRPr="0054273B">
        <w:rPr>
          <w:kern w:val="28"/>
        </w:rPr>
        <w:t>exercice de la discrétion ministérielle</w:t>
      </w:r>
      <w:r>
        <w:rPr>
          <w:kern w:val="28"/>
        </w:rPr>
        <w:t xml:space="preserve">. Si </w:t>
      </w:r>
      <w:r w:rsidRPr="0054273B">
        <w:rPr>
          <w:kern w:val="28"/>
        </w:rPr>
        <w:t>l'encadrement</w:t>
      </w:r>
      <w:r>
        <w:rPr>
          <w:kern w:val="28"/>
        </w:rPr>
        <w:t xml:space="preserve"> que lui impose le</w:t>
      </w:r>
      <w:r w:rsidRPr="0054273B">
        <w:rPr>
          <w:kern w:val="28"/>
        </w:rPr>
        <w:t xml:space="preserve"> législateur</w:t>
      </w:r>
      <w:r>
        <w:rPr>
          <w:kern w:val="28"/>
        </w:rPr>
        <w:t xml:space="preserve"> la </w:t>
      </w:r>
      <w:r w:rsidRPr="0054273B">
        <w:rPr>
          <w:kern w:val="28"/>
        </w:rPr>
        <w:t>restreint</w:t>
      </w:r>
      <w:r>
        <w:rPr>
          <w:kern w:val="28"/>
        </w:rPr>
        <w:t>, le</w:t>
      </w:r>
      <w:r w:rsidRPr="0054273B">
        <w:rPr>
          <w:kern w:val="28"/>
        </w:rPr>
        <w:t xml:space="preserve"> contrôle</w:t>
      </w:r>
      <w:r>
        <w:rPr>
          <w:kern w:val="28"/>
        </w:rPr>
        <w:t xml:space="preserve"> </w:t>
      </w:r>
      <w:r w:rsidRPr="0054273B">
        <w:rPr>
          <w:kern w:val="28"/>
        </w:rPr>
        <w:t>s'exerce en regard de</w:t>
      </w:r>
      <w:r>
        <w:rPr>
          <w:kern w:val="28"/>
        </w:rPr>
        <w:t>s</w:t>
      </w:r>
      <w:r w:rsidRPr="0054273B">
        <w:rPr>
          <w:kern w:val="28"/>
        </w:rPr>
        <w:t xml:space="preserve"> conditions</w:t>
      </w:r>
      <w:r>
        <w:rPr>
          <w:kern w:val="28"/>
        </w:rPr>
        <w:t xml:space="preserve">, </w:t>
      </w:r>
      <w:r w:rsidRPr="0054273B">
        <w:rPr>
          <w:kern w:val="28"/>
        </w:rPr>
        <w:t>des impératifs o</w:t>
      </w:r>
      <w:r>
        <w:rPr>
          <w:kern w:val="28"/>
        </w:rPr>
        <w:t>u</w:t>
      </w:r>
      <w:r w:rsidRPr="0054273B">
        <w:rPr>
          <w:kern w:val="28"/>
        </w:rPr>
        <w:t xml:space="preserve"> d</w:t>
      </w:r>
      <w:r>
        <w:rPr>
          <w:kern w:val="28"/>
        </w:rPr>
        <w:t>es rè</w:t>
      </w:r>
      <w:r w:rsidRPr="0054273B">
        <w:rPr>
          <w:kern w:val="28"/>
        </w:rPr>
        <w:t>gle</w:t>
      </w:r>
      <w:r>
        <w:rPr>
          <w:kern w:val="28"/>
        </w:rPr>
        <w:t>s</w:t>
      </w:r>
      <w:r w:rsidRPr="0054273B">
        <w:rPr>
          <w:kern w:val="28"/>
        </w:rPr>
        <w:t xml:space="preserve"> déjà précisé</w:t>
      </w:r>
      <w:r>
        <w:rPr>
          <w:kern w:val="28"/>
        </w:rPr>
        <w:t>es</w:t>
      </w:r>
      <w:r>
        <w:rPr>
          <w:rStyle w:val="Appelnotedebasdep"/>
          <w:kern w:val="28"/>
        </w:rPr>
        <w:footnoteReference w:id="65"/>
      </w:r>
      <w:r>
        <w:rPr>
          <w:kern w:val="28"/>
        </w:rPr>
        <w:t>.</w:t>
      </w:r>
    </w:p>
    <w:p w14:paraId="213FEE46" w14:textId="068FD420" w:rsidR="00FF2ACC" w:rsidRDefault="00FF2ACC" w:rsidP="00CB122A">
      <w:pPr>
        <w:widowControl w:val="0"/>
        <w:numPr>
          <w:ilvl w:val="0"/>
          <w:numId w:val="1"/>
        </w:numPr>
        <w:tabs>
          <w:tab w:val="clear" w:pos="360"/>
        </w:tabs>
        <w:spacing w:before="120" w:after="120"/>
        <w:jc w:val="both"/>
        <w:rPr>
          <w:kern w:val="28"/>
        </w:rPr>
      </w:pPr>
      <w:r>
        <w:rPr>
          <w:kern w:val="28"/>
        </w:rPr>
        <w:t xml:space="preserve">Si, </w:t>
      </w:r>
      <w:r w:rsidRPr="0054273B">
        <w:rPr>
          <w:kern w:val="28"/>
        </w:rPr>
        <w:t>au contraire</w:t>
      </w:r>
      <w:r w:rsidR="003C2DD8">
        <w:rPr>
          <w:kern w:val="28"/>
        </w:rPr>
        <w:t>,</w:t>
      </w:r>
      <w:r w:rsidRPr="0054273B">
        <w:rPr>
          <w:kern w:val="28"/>
        </w:rPr>
        <w:t xml:space="preserve"> la discrétion ministérielle est large</w:t>
      </w:r>
      <w:r>
        <w:rPr>
          <w:kern w:val="28"/>
        </w:rPr>
        <w:t xml:space="preserve">, </w:t>
      </w:r>
      <w:r w:rsidRPr="0054273B">
        <w:rPr>
          <w:kern w:val="28"/>
        </w:rPr>
        <w:t xml:space="preserve">il faut considérer </w:t>
      </w:r>
      <w:r>
        <w:rPr>
          <w:kern w:val="28"/>
        </w:rPr>
        <w:t xml:space="preserve">les données et </w:t>
      </w:r>
      <w:r w:rsidRPr="0054273B">
        <w:rPr>
          <w:kern w:val="28"/>
        </w:rPr>
        <w:t xml:space="preserve">les sources sur lesquelles </w:t>
      </w:r>
      <w:r>
        <w:rPr>
          <w:kern w:val="28"/>
        </w:rPr>
        <w:t>e</w:t>
      </w:r>
      <w:r w:rsidRPr="0054273B">
        <w:rPr>
          <w:kern w:val="28"/>
        </w:rPr>
        <w:t>l</w:t>
      </w:r>
      <w:r>
        <w:rPr>
          <w:kern w:val="28"/>
        </w:rPr>
        <w:t>le</w:t>
      </w:r>
      <w:r w:rsidRPr="0054273B">
        <w:rPr>
          <w:kern w:val="28"/>
        </w:rPr>
        <w:t xml:space="preserve"> s'appuie</w:t>
      </w:r>
      <w:r>
        <w:rPr>
          <w:kern w:val="28"/>
        </w:rPr>
        <w:t xml:space="preserve">. La </w:t>
      </w:r>
      <w:r w:rsidR="0035241A">
        <w:rPr>
          <w:kern w:val="28"/>
        </w:rPr>
        <w:t>décision</w:t>
      </w:r>
      <w:r w:rsidR="00D536BE">
        <w:rPr>
          <w:kern w:val="28"/>
        </w:rPr>
        <w:t xml:space="preserve"> </w:t>
      </w:r>
      <w:r>
        <w:rPr>
          <w:kern w:val="28"/>
        </w:rPr>
        <w:t>raisonnable</w:t>
      </w:r>
      <w:r w:rsidRPr="0054273B">
        <w:rPr>
          <w:kern w:val="28"/>
        </w:rPr>
        <w:t xml:space="preserve"> est fondée sur certaines données objectives</w:t>
      </w:r>
      <w:r>
        <w:rPr>
          <w:kern w:val="28"/>
        </w:rPr>
        <w:t>,</w:t>
      </w:r>
      <w:r w:rsidRPr="0054273B">
        <w:rPr>
          <w:kern w:val="28"/>
        </w:rPr>
        <w:t xml:space="preserve"> même</w:t>
      </w:r>
      <w:r>
        <w:rPr>
          <w:kern w:val="28"/>
        </w:rPr>
        <w:t xml:space="preserve"> </w:t>
      </w:r>
      <w:r w:rsidRPr="0054273B">
        <w:rPr>
          <w:kern w:val="28"/>
        </w:rPr>
        <w:t>incomplète</w:t>
      </w:r>
      <w:r>
        <w:rPr>
          <w:kern w:val="28"/>
        </w:rPr>
        <w:t>s</w:t>
      </w:r>
      <w:r w:rsidR="00564786">
        <w:rPr>
          <w:kern w:val="28"/>
        </w:rPr>
        <w:t>,</w:t>
      </w:r>
      <w:r w:rsidRPr="0054273B">
        <w:rPr>
          <w:kern w:val="28"/>
        </w:rPr>
        <w:t xml:space="preserve"> </w:t>
      </w:r>
      <w:r>
        <w:rPr>
          <w:kern w:val="28"/>
        </w:rPr>
        <w:t xml:space="preserve">ou sur </w:t>
      </w:r>
      <w:r w:rsidRPr="0054273B">
        <w:rPr>
          <w:kern w:val="28"/>
        </w:rPr>
        <w:t xml:space="preserve">certains éléments </w:t>
      </w:r>
      <w:r>
        <w:rPr>
          <w:kern w:val="28"/>
        </w:rPr>
        <w:t xml:space="preserve">ou normes </w:t>
      </w:r>
      <w:r w:rsidRPr="0054273B">
        <w:rPr>
          <w:kern w:val="28"/>
        </w:rPr>
        <w:t>existants</w:t>
      </w:r>
      <w:r>
        <w:rPr>
          <w:kern w:val="28"/>
        </w:rPr>
        <w:t>.</w:t>
      </w:r>
      <w:r w:rsidRPr="0054273B">
        <w:rPr>
          <w:kern w:val="28"/>
        </w:rPr>
        <w:t xml:space="preserve"> Inversement</w:t>
      </w:r>
      <w:r>
        <w:rPr>
          <w:kern w:val="28"/>
        </w:rPr>
        <w:t xml:space="preserve">, la </w:t>
      </w:r>
      <w:r w:rsidR="0035241A">
        <w:rPr>
          <w:kern w:val="28"/>
        </w:rPr>
        <w:t>décision</w:t>
      </w:r>
      <w:r w:rsidR="00D536BE">
        <w:rPr>
          <w:kern w:val="28"/>
        </w:rPr>
        <w:t xml:space="preserve"> </w:t>
      </w:r>
      <w:r w:rsidRPr="0054273B">
        <w:rPr>
          <w:kern w:val="28"/>
        </w:rPr>
        <w:t>déraisonnable participe de la fantaisie</w:t>
      </w:r>
      <w:r>
        <w:rPr>
          <w:kern w:val="28"/>
        </w:rPr>
        <w:t>,</w:t>
      </w:r>
      <w:r w:rsidRPr="0054273B">
        <w:rPr>
          <w:kern w:val="28"/>
        </w:rPr>
        <w:t xml:space="preserve"> </w:t>
      </w:r>
      <w:r>
        <w:rPr>
          <w:kern w:val="28"/>
        </w:rPr>
        <w:t xml:space="preserve">du caprice, </w:t>
      </w:r>
      <w:r w:rsidRPr="0054273B">
        <w:rPr>
          <w:kern w:val="28"/>
        </w:rPr>
        <w:t>de l'ignorance volontaire</w:t>
      </w:r>
      <w:r>
        <w:rPr>
          <w:kern w:val="28"/>
        </w:rPr>
        <w:t xml:space="preserve">, du bon </w:t>
      </w:r>
      <w:r w:rsidRPr="0054273B">
        <w:rPr>
          <w:kern w:val="28"/>
        </w:rPr>
        <w:t>plaisir ou de la négligence</w:t>
      </w:r>
      <w:r>
        <w:rPr>
          <w:rStyle w:val="Appelnotedebasdep"/>
          <w:kern w:val="28"/>
        </w:rPr>
        <w:footnoteReference w:id="66"/>
      </w:r>
      <w:r>
        <w:rPr>
          <w:kern w:val="28"/>
        </w:rPr>
        <w:t>.</w:t>
      </w:r>
    </w:p>
    <w:p w14:paraId="2CA4BD3C" w14:textId="166341D9" w:rsidR="00FF2ACC" w:rsidRDefault="0097734A" w:rsidP="00CB122A">
      <w:pPr>
        <w:widowControl w:val="0"/>
        <w:numPr>
          <w:ilvl w:val="0"/>
          <w:numId w:val="1"/>
        </w:numPr>
        <w:tabs>
          <w:tab w:val="clear" w:pos="360"/>
        </w:tabs>
        <w:spacing w:before="120" w:after="120"/>
        <w:jc w:val="both"/>
        <w:rPr>
          <w:kern w:val="28"/>
        </w:rPr>
      </w:pPr>
      <w:r>
        <w:rPr>
          <w:kern w:val="28"/>
        </w:rPr>
        <w:t>Bref</w:t>
      </w:r>
      <w:r w:rsidR="00FF2ACC">
        <w:rPr>
          <w:kern w:val="28"/>
        </w:rPr>
        <w:t>,</w:t>
      </w:r>
      <w:r w:rsidR="00FF2ACC" w:rsidRPr="0054273B">
        <w:rPr>
          <w:kern w:val="28"/>
        </w:rPr>
        <w:t xml:space="preserve"> </w:t>
      </w:r>
      <w:r w:rsidR="00FF2ACC">
        <w:rPr>
          <w:kern w:val="28"/>
        </w:rPr>
        <w:t>on ne</w:t>
      </w:r>
      <w:r w:rsidR="00FF2ACC" w:rsidRPr="0054273B">
        <w:rPr>
          <w:kern w:val="28"/>
        </w:rPr>
        <w:t xml:space="preserve"> pourra attaquer l'exercice d</w:t>
      </w:r>
      <w:r w:rsidR="00F71E75">
        <w:rPr>
          <w:kern w:val="28"/>
        </w:rPr>
        <w:t>u</w:t>
      </w:r>
      <w:r w:rsidR="00FF2ACC" w:rsidRPr="0054273B">
        <w:rPr>
          <w:kern w:val="28"/>
        </w:rPr>
        <w:t xml:space="preserve"> pouvoir discrétionnaire d'une autorité publique que si</w:t>
      </w:r>
      <w:r w:rsidR="00FF2ACC">
        <w:rPr>
          <w:kern w:val="28"/>
        </w:rPr>
        <w:t> :</w:t>
      </w:r>
    </w:p>
    <w:p w14:paraId="46FC7D6A" w14:textId="092185AD" w:rsidR="00FF2ACC" w:rsidRDefault="00FF2ACC" w:rsidP="00085713">
      <w:pPr>
        <w:pStyle w:val="Paragraphedeliste"/>
        <w:widowControl w:val="0"/>
        <w:numPr>
          <w:ilvl w:val="0"/>
          <w:numId w:val="9"/>
        </w:numPr>
        <w:spacing w:before="120" w:after="120"/>
        <w:ind w:left="1151" w:hanging="357"/>
        <w:contextualSpacing w:val="0"/>
        <w:jc w:val="both"/>
        <w:rPr>
          <w:kern w:val="28"/>
        </w:rPr>
      </w:pPr>
      <w:r>
        <w:rPr>
          <w:kern w:val="28"/>
        </w:rPr>
        <w:t>L’auteur ag</w:t>
      </w:r>
      <w:r w:rsidR="001B6BC7">
        <w:rPr>
          <w:kern w:val="28"/>
        </w:rPr>
        <w:t>i</w:t>
      </w:r>
      <w:r w:rsidR="00030967">
        <w:rPr>
          <w:kern w:val="28"/>
        </w:rPr>
        <w:t>t</w:t>
      </w:r>
      <w:r w:rsidRPr="0054273B">
        <w:rPr>
          <w:kern w:val="28"/>
        </w:rPr>
        <w:t xml:space="preserve"> sans compétence ou exc</w:t>
      </w:r>
      <w:r w:rsidR="00030967">
        <w:rPr>
          <w:kern w:val="28"/>
        </w:rPr>
        <w:t>è</w:t>
      </w:r>
      <w:r w:rsidRPr="0054273B">
        <w:rPr>
          <w:kern w:val="28"/>
        </w:rPr>
        <w:t>d</w:t>
      </w:r>
      <w:r w:rsidR="00030967">
        <w:rPr>
          <w:kern w:val="28"/>
        </w:rPr>
        <w:t>e</w:t>
      </w:r>
      <w:r w:rsidRPr="0054273B">
        <w:rPr>
          <w:kern w:val="28"/>
        </w:rPr>
        <w:t xml:space="preserve"> sa compétence</w:t>
      </w:r>
      <w:r>
        <w:rPr>
          <w:kern w:val="28"/>
        </w:rPr>
        <w:t>;</w:t>
      </w:r>
    </w:p>
    <w:p w14:paraId="5F642472" w14:textId="2BCC45A1" w:rsidR="00FF2ACC" w:rsidRDefault="00FF2ACC" w:rsidP="00085713">
      <w:pPr>
        <w:pStyle w:val="Paragraphedeliste"/>
        <w:widowControl w:val="0"/>
        <w:numPr>
          <w:ilvl w:val="0"/>
          <w:numId w:val="9"/>
        </w:numPr>
        <w:spacing w:before="120" w:after="120"/>
        <w:ind w:left="1151" w:hanging="357"/>
        <w:contextualSpacing w:val="0"/>
        <w:jc w:val="both"/>
        <w:rPr>
          <w:kern w:val="28"/>
        </w:rPr>
      </w:pPr>
      <w:r>
        <w:rPr>
          <w:kern w:val="28"/>
        </w:rPr>
        <w:t>L’auteur</w:t>
      </w:r>
      <w:r w:rsidRPr="0054273B">
        <w:rPr>
          <w:kern w:val="28"/>
        </w:rPr>
        <w:t xml:space="preserve"> ne </w:t>
      </w:r>
      <w:r>
        <w:rPr>
          <w:kern w:val="28"/>
        </w:rPr>
        <w:t>s</w:t>
      </w:r>
      <w:r w:rsidR="00030967">
        <w:rPr>
          <w:kern w:val="28"/>
        </w:rPr>
        <w:t xml:space="preserve">e </w:t>
      </w:r>
      <w:r w:rsidRPr="0054273B">
        <w:rPr>
          <w:kern w:val="28"/>
        </w:rPr>
        <w:t>conform</w:t>
      </w:r>
      <w:r w:rsidR="00030967">
        <w:rPr>
          <w:kern w:val="28"/>
        </w:rPr>
        <w:t>e</w:t>
      </w:r>
      <w:r w:rsidRPr="0054273B">
        <w:rPr>
          <w:kern w:val="28"/>
        </w:rPr>
        <w:t xml:space="preserve"> </w:t>
      </w:r>
      <w:r w:rsidR="00F71E75">
        <w:rPr>
          <w:kern w:val="28"/>
        </w:rPr>
        <w:t xml:space="preserve">pas </w:t>
      </w:r>
      <w:r w:rsidRPr="0054273B">
        <w:rPr>
          <w:kern w:val="28"/>
        </w:rPr>
        <w:t>à la procédure prescrite</w:t>
      </w:r>
      <w:r>
        <w:rPr>
          <w:kern w:val="28"/>
        </w:rPr>
        <w:t>,</w:t>
      </w:r>
      <w:r w:rsidRPr="0054273B">
        <w:rPr>
          <w:kern w:val="28"/>
        </w:rPr>
        <w:t xml:space="preserve"> aux règles de la justice</w:t>
      </w:r>
      <w:r>
        <w:rPr>
          <w:kern w:val="28"/>
        </w:rPr>
        <w:t xml:space="preserve"> </w:t>
      </w:r>
      <w:r w:rsidRPr="0057050D">
        <w:rPr>
          <w:kern w:val="28"/>
        </w:rPr>
        <w:t>naturel</w:t>
      </w:r>
      <w:r>
        <w:rPr>
          <w:kern w:val="28"/>
        </w:rPr>
        <w:t>le</w:t>
      </w:r>
      <w:r w:rsidRPr="0054273B">
        <w:rPr>
          <w:kern w:val="28"/>
        </w:rPr>
        <w:t xml:space="preserve"> ou au principe de l'équité procédurale</w:t>
      </w:r>
      <w:r>
        <w:rPr>
          <w:kern w:val="28"/>
        </w:rPr>
        <w:t>;</w:t>
      </w:r>
    </w:p>
    <w:p w14:paraId="1FD71A8F" w14:textId="2FD58BB7" w:rsidR="00FF2ACC" w:rsidRDefault="00FF2ACC" w:rsidP="00085713">
      <w:pPr>
        <w:pStyle w:val="Paragraphedeliste"/>
        <w:keepNext/>
        <w:numPr>
          <w:ilvl w:val="0"/>
          <w:numId w:val="9"/>
        </w:numPr>
        <w:spacing w:before="120" w:after="120"/>
        <w:ind w:left="1151" w:hanging="357"/>
        <w:contextualSpacing w:val="0"/>
        <w:jc w:val="both"/>
        <w:rPr>
          <w:kern w:val="28"/>
        </w:rPr>
      </w:pPr>
      <w:r>
        <w:rPr>
          <w:kern w:val="28"/>
        </w:rPr>
        <w:t>L’auteur</w:t>
      </w:r>
      <w:r w:rsidRPr="0054273B">
        <w:rPr>
          <w:kern w:val="28"/>
        </w:rPr>
        <w:t xml:space="preserve"> poursui</w:t>
      </w:r>
      <w:r w:rsidR="00030967">
        <w:rPr>
          <w:kern w:val="28"/>
        </w:rPr>
        <w:t>t</w:t>
      </w:r>
      <w:r w:rsidRPr="0054273B">
        <w:rPr>
          <w:kern w:val="28"/>
        </w:rPr>
        <w:t xml:space="preserve"> </w:t>
      </w:r>
      <w:r>
        <w:rPr>
          <w:kern w:val="28"/>
        </w:rPr>
        <w:t xml:space="preserve">une </w:t>
      </w:r>
      <w:r w:rsidRPr="0054273B">
        <w:rPr>
          <w:kern w:val="28"/>
        </w:rPr>
        <w:t xml:space="preserve">finalité </w:t>
      </w:r>
      <w:r>
        <w:rPr>
          <w:kern w:val="28"/>
        </w:rPr>
        <w:t>im</w:t>
      </w:r>
      <w:r w:rsidRPr="0054273B">
        <w:rPr>
          <w:kern w:val="28"/>
        </w:rPr>
        <w:t>propre</w:t>
      </w:r>
      <w:r>
        <w:rPr>
          <w:kern w:val="28"/>
        </w:rPr>
        <w:t>, agi</w:t>
      </w:r>
      <w:r w:rsidR="001B6BC7">
        <w:rPr>
          <w:kern w:val="28"/>
        </w:rPr>
        <w:t>t</w:t>
      </w:r>
      <w:r w:rsidRPr="000763A4">
        <w:rPr>
          <w:kern w:val="28"/>
        </w:rPr>
        <w:t xml:space="preserve"> </w:t>
      </w:r>
      <w:r>
        <w:rPr>
          <w:kern w:val="28"/>
        </w:rPr>
        <w:t xml:space="preserve">de </w:t>
      </w:r>
      <w:r w:rsidRPr="000763A4">
        <w:rPr>
          <w:kern w:val="28"/>
        </w:rPr>
        <w:t>mauvaise foi</w:t>
      </w:r>
      <w:r>
        <w:rPr>
          <w:kern w:val="28"/>
        </w:rPr>
        <w:t xml:space="preserve"> ou par</w:t>
      </w:r>
      <w:r w:rsidRPr="0054273B">
        <w:rPr>
          <w:kern w:val="28"/>
        </w:rPr>
        <w:t xml:space="preserve"> mali</w:t>
      </w:r>
      <w:r>
        <w:rPr>
          <w:kern w:val="28"/>
        </w:rPr>
        <w:t>c</w:t>
      </w:r>
      <w:r w:rsidRPr="0054273B">
        <w:rPr>
          <w:kern w:val="28"/>
        </w:rPr>
        <w:t xml:space="preserve">e </w:t>
      </w:r>
      <w:r>
        <w:rPr>
          <w:kern w:val="28"/>
        </w:rPr>
        <w:t xml:space="preserve">ou </w:t>
      </w:r>
      <w:r w:rsidRPr="0054273B">
        <w:rPr>
          <w:kern w:val="28"/>
        </w:rPr>
        <w:t>de façon discriminatoire</w:t>
      </w:r>
      <w:r>
        <w:rPr>
          <w:kern w:val="28"/>
        </w:rPr>
        <w:t>;</w:t>
      </w:r>
    </w:p>
    <w:p w14:paraId="1A229E11" w14:textId="35108806" w:rsidR="00FF2ACC" w:rsidRPr="0054273B" w:rsidRDefault="00FF2ACC" w:rsidP="00085713">
      <w:pPr>
        <w:pStyle w:val="Paragraphedeliste"/>
        <w:widowControl w:val="0"/>
        <w:numPr>
          <w:ilvl w:val="0"/>
          <w:numId w:val="9"/>
        </w:numPr>
        <w:spacing w:before="120" w:after="120"/>
        <w:ind w:left="1151" w:hanging="357"/>
        <w:jc w:val="both"/>
        <w:rPr>
          <w:kern w:val="28"/>
        </w:rPr>
      </w:pPr>
      <w:r>
        <w:rPr>
          <w:kern w:val="28"/>
        </w:rPr>
        <w:t>L’auteur</w:t>
      </w:r>
      <w:r w:rsidRPr="0054273B">
        <w:rPr>
          <w:kern w:val="28"/>
        </w:rPr>
        <w:t xml:space="preserve"> agi</w:t>
      </w:r>
      <w:r w:rsidR="00030967">
        <w:rPr>
          <w:kern w:val="28"/>
        </w:rPr>
        <w:t>t</w:t>
      </w:r>
      <w:r w:rsidRPr="0054273B">
        <w:rPr>
          <w:kern w:val="28"/>
        </w:rPr>
        <w:t xml:space="preserve"> de façon injuste notamment </w:t>
      </w:r>
      <w:r>
        <w:rPr>
          <w:kern w:val="28"/>
        </w:rPr>
        <w:t>en om</w:t>
      </w:r>
      <w:r w:rsidRPr="0054273B">
        <w:rPr>
          <w:kern w:val="28"/>
        </w:rPr>
        <w:t>ettant d'examiner les faits</w:t>
      </w:r>
      <w:r>
        <w:rPr>
          <w:kern w:val="28"/>
        </w:rPr>
        <w:t xml:space="preserve"> ou</w:t>
      </w:r>
      <w:r w:rsidRPr="0054273B">
        <w:rPr>
          <w:kern w:val="28"/>
        </w:rPr>
        <w:t xml:space="preserve"> </w:t>
      </w:r>
      <w:r>
        <w:rPr>
          <w:kern w:val="28"/>
        </w:rPr>
        <w:t>de</w:t>
      </w:r>
      <w:r w:rsidRPr="0054273B">
        <w:rPr>
          <w:kern w:val="28"/>
        </w:rPr>
        <w:t xml:space="preserve"> façon </w:t>
      </w:r>
      <w:r>
        <w:rPr>
          <w:kern w:val="28"/>
        </w:rPr>
        <w:t>dé</w:t>
      </w:r>
      <w:r w:rsidRPr="0054273B">
        <w:rPr>
          <w:kern w:val="28"/>
        </w:rPr>
        <w:t xml:space="preserve">raisonnable </w:t>
      </w:r>
      <w:r>
        <w:rPr>
          <w:kern w:val="28"/>
        </w:rPr>
        <w:t>ou absurde</w:t>
      </w:r>
      <w:r>
        <w:rPr>
          <w:rStyle w:val="Appelnotedebasdep"/>
          <w:kern w:val="28"/>
        </w:rPr>
        <w:footnoteReference w:id="67"/>
      </w:r>
      <w:r>
        <w:rPr>
          <w:kern w:val="28"/>
        </w:rPr>
        <w:t>.</w:t>
      </w:r>
    </w:p>
    <w:p w14:paraId="46FE695B" w14:textId="0C4B9BA5" w:rsidR="00F34140" w:rsidRPr="00085713" w:rsidRDefault="00085713" w:rsidP="00EC1309">
      <w:pPr>
        <w:pStyle w:val="Titre2"/>
        <w:rPr>
          <w:u w:val="none"/>
        </w:rPr>
      </w:pPr>
      <w:bookmarkStart w:id="42" w:name="_Toc143524145"/>
      <w:bookmarkStart w:id="43" w:name="_Toc144193785"/>
      <w:bookmarkStart w:id="44" w:name="_Toc144367230"/>
      <w:r w:rsidRPr="00085713">
        <w:rPr>
          <w:caps w:val="0"/>
        </w:rPr>
        <w:lastRenderedPageBreak/>
        <w:t>Question 3</w:t>
      </w:r>
      <w:r w:rsidRPr="00085713">
        <w:rPr>
          <w:caps w:val="0"/>
          <w:u w:val="none"/>
        </w:rPr>
        <w:t> :</w:t>
      </w:r>
      <w:r w:rsidRPr="00085713">
        <w:rPr>
          <w:caps w:val="0"/>
          <w:u w:val="none"/>
        </w:rPr>
        <w:tab/>
      </w:r>
      <w:r w:rsidR="00060F65">
        <w:rPr>
          <w:caps w:val="0"/>
          <w:u w:val="none"/>
        </w:rPr>
        <w:t>L</w:t>
      </w:r>
      <w:r w:rsidRPr="00085713">
        <w:rPr>
          <w:caps w:val="0"/>
          <w:u w:val="none"/>
        </w:rPr>
        <w:t xml:space="preserve">a </w:t>
      </w:r>
      <w:r>
        <w:rPr>
          <w:caps w:val="0"/>
          <w:u w:val="none"/>
        </w:rPr>
        <w:t>R</w:t>
      </w:r>
      <w:r w:rsidRPr="00085713">
        <w:rPr>
          <w:caps w:val="0"/>
          <w:u w:val="none"/>
        </w:rPr>
        <w:t xml:space="preserve">ésolution et la délivrance du </w:t>
      </w:r>
      <w:r>
        <w:rPr>
          <w:caps w:val="0"/>
          <w:u w:val="none"/>
        </w:rPr>
        <w:t>P</w:t>
      </w:r>
      <w:r w:rsidRPr="00085713">
        <w:rPr>
          <w:caps w:val="0"/>
          <w:u w:val="none"/>
        </w:rPr>
        <w:t>ermis SEG sont-elles déraisonnables?</w:t>
      </w:r>
      <w:bookmarkEnd w:id="42"/>
      <w:bookmarkEnd w:id="43"/>
      <w:bookmarkEnd w:id="44"/>
    </w:p>
    <w:p w14:paraId="66BF4D69" w14:textId="11EA0DB6" w:rsidR="00D536BE" w:rsidRPr="00D536BE" w:rsidRDefault="00D536BE" w:rsidP="00CB122A">
      <w:pPr>
        <w:pStyle w:val="Paragrdouble"/>
        <w:widowControl w:val="0"/>
        <w:spacing w:line="240" w:lineRule="auto"/>
      </w:pPr>
      <w:r>
        <w:rPr>
          <w:bCs/>
        </w:rPr>
        <w:t xml:space="preserve">Afin de déterminer si la Résolution et la délivrance du Permis SEG sont ou non déraisonnables, le Tribunal doit d’abord se pencher sur certains aspects de la preuve et circonscrire le cadre juridique applicable à chacune de </w:t>
      </w:r>
      <w:r w:rsidR="00E84CFC">
        <w:rPr>
          <w:bCs/>
        </w:rPr>
        <w:t>ces décisions</w:t>
      </w:r>
      <w:r>
        <w:rPr>
          <w:bCs/>
        </w:rPr>
        <w:t>.</w:t>
      </w:r>
    </w:p>
    <w:p w14:paraId="7C11764B" w14:textId="4E2AF588" w:rsidR="00B56682" w:rsidRDefault="00B56682" w:rsidP="00EC1309">
      <w:pPr>
        <w:pStyle w:val="Titre3"/>
      </w:pPr>
      <w:bookmarkStart w:id="45" w:name="_Toc143524146"/>
      <w:bookmarkStart w:id="46" w:name="_Toc144193786"/>
      <w:bookmarkStart w:id="47" w:name="_Toc144367231"/>
      <w:r w:rsidRPr="00296B99">
        <w:t>La recevabilité et la valeur probante de certains éléments de preuve</w:t>
      </w:r>
      <w:bookmarkEnd w:id="45"/>
      <w:bookmarkEnd w:id="46"/>
      <w:bookmarkEnd w:id="47"/>
    </w:p>
    <w:p w14:paraId="3BDBD6AE" w14:textId="1FB62216" w:rsidR="00296B99" w:rsidRPr="00296B99" w:rsidRDefault="00296B99" w:rsidP="00EC1309">
      <w:pPr>
        <w:pStyle w:val="Titre4"/>
      </w:pPr>
      <w:bookmarkStart w:id="48" w:name="_Toc144367232"/>
      <w:r>
        <w:t>Les objections</w:t>
      </w:r>
      <w:bookmarkEnd w:id="48"/>
    </w:p>
    <w:p w14:paraId="48DE1EE8" w14:textId="2E2A55FD" w:rsidR="00B56682" w:rsidRDefault="00045ABA" w:rsidP="00CB122A">
      <w:pPr>
        <w:widowControl w:val="0"/>
        <w:numPr>
          <w:ilvl w:val="0"/>
          <w:numId w:val="1"/>
        </w:numPr>
        <w:tabs>
          <w:tab w:val="clear" w:pos="360"/>
        </w:tabs>
        <w:spacing w:before="120" w:after="120"/>
        <w:jc w:val="both"/>
      </w:pPr>
      <w:r>
        <w:t xml:space="preserve">À l’instruction, la Ville et le MFFP </w:t>
      </w:r>
      <w:r w:rsidR="00F928F1">
        <w:t>s’opposent</w:t>
      </w:r>
      <w:r w:rsidR="00564786">
        <w:t xml:space="preserve"> à certains témoignages ainsi qu’</w:t>
      </w:r>
      <w:r>
        <w:t xml:space="preserve">à la production de plusieurs documents que SSA, Meney et </w:t>
      </w:r>
      <w:r w:rsidR="00CC3FCD">
        <w:t>la SPCA</w:t>
      </w:r>
      <w:r w:rsidR="00814477">
        <w:t xml:space="preserve"> </w:t>
      </w:r>
      <w:r>
        <w:t xml:space="preserve">souhaitent introduire en preuve. Le Tribunal </w:t>
      </w:r>
      <w:r w:rsidR="00E4512A">
        <w:t>prend</w:t>
      </w:r>
      <w:r>
        <w:t xml:space="preserve"> </w:t>
      </w:r>
      <w:r w:rsidR="00E4512A">
        <w:t xml:space="preserve">alors </w:t>
      </w:r>
      <w:r>
        <w:t>ces objections sous réserve et en dispose</w:t>
      </w:r>
      <w:r w:rsidR="004B63FA">
        <w:t xml:space="preserve"> </w:t>
      </w:r>
      <w:r w:rsidR="00E4512A">
        <w:t>maintenant</w:t>
      </w:r>
      <w:r>
        <w:t xml:space="preserve"> comme suit.</w:t>
      </w:r>
      <w:r w:rsidR="00F928F1">
        <w:t xml:space="preserve"> De plus, les témoignages d’Édith Cadieux </w:t>
      </w:r>
      <w:r w:rsidR="007316AE">
        <w:t>(</w:t>
      </w:r>
      <w:r w:rsidR="007316AE" w:rsidRPr="007316AE">
        <w:rPr>
          <w:b/>
          <w:bCs/>
        </w:rPr>
        <w:t>Cadieux</w:t>
      </w:r>
      <w:r w:rsidR="007316AE">
        <w:t xml:space="preserve">) </w:t>
      </w:r>
      <w:r w:rsidR="00F928F1">
        <w:t>et Sonia de Bellefeuille</w:t>
      </w:r>
      <w:r w:rsidR="007316AE">
        <w:t xml:space="preserve"> (</w:t>
      </w:r>
      <w:r w:rsidR="007316AE" w:rsidRPr="007316AE">
        <w:rPr>
          <w:b/>
          <w:bCs/>
        </w:rPr>
        <w:t>de Bellefeuille</w:t>
      </w:r>
      <w:r w:rsidR="007316AE">
        <w:t>)</w:t>
      </w:r>
      <w:r w:rsidR="00F928F1">
        <w:t xml:space="preserve">, expertes du MFFP, </w:t>
      </w:r>
      <w:r w:rsidR="00E4512A">
        <w:t>donnent</w:t>
      </w:r>
      <w:r w:rsidR="00F928F1">
        <w:t xml:space="preserve"> lieu à plusieurs objections. Le Tribunal en disposera dans la section suivante.</w:t>
      </w:r>
    </w:p>
    <w:p w14:paraId="4F43A442" w14:textId="7F44D1E5" w:rsidR="00045ABA" w:rsidRPr="001B6BC7" w:rsidRDefault="000D2CE0" w:rsidP="00EC1309">
      <w:pPr>
        <w:pStyle w:val="Titre5"/>
      </w:pPr>
      <w:bookmarkStart w:id="49" w:name="_Toc144367233"/>
      <w:r w:rsidRPr="001B6BC7">
        <w:t>Les</w:t>
      </w:r>
      <w:r w:rsidR="001B6BC7" w:rsidRPr="001B6BC7">
        <w:t xml:space="preserve"> a</w:t>
      </w:r>
      <w:r w:rsidR="00045ABA" w:rsidRPr="001B6BC7">
        <w:t xml:space="preserve">rticles de journaux et </w:t>
      </w:r>
      <w:r w:rsidR="001B6BC7">
        <w:t xml:space="preserve">les </w:t>
      </w:r>
      <w:r w:rsidR="00045ABA" w:rsidRPr="001B6BC7">
        <w:t>vidéos</w:t>
      </w:r>
      <w:bookmarkEnd w:id="49"/>
    </w:p>
    <w:p w14:paraId="25839C9B" w14:textId="194EF555" w:rsidR="00045ABA" w:rsidRDefault="004F0BA2" w:rsidP="00CB122A">
      <w:pPr>
        <w:widowControl w:val="0"/>
        <w:numPr>
          <w:ilvl w:val="0"/>
          <w:numId w:val="1"/>
        </w:numPr>
        <w:tabs>
          <w:tab w:val="clear" w:pos="360"/>
        </w:tabs>
        <w:spacing w:before="120" w:after="120"/>
        <w:jc w:val="both"/>
      </w:pPr>
      <w:r>
        <w:t>La première catégorie de documents se compose d’articles de journaux</w:t>
      </w:r>
      <w:r>
        <w:rPr>
          <w:rStyle w:val="Appelnotedebasdep"/>
        </w:rPr>
        <w:footnoteReference w:id="68"/>
      </w:r>
      <w:r>
        <w:t xml:space="preserve"> et de vidéos</w:t>
      </w:r>
      <w:r>
        <w:rPr>
          <w:rStyle w:val="Appelnotedebasdep"/>
        </w:rPr>
        <w:footnoteReference w:id="69"/>
      </w:r>
      <w:r>
        <w:t>.</w:t>
      </w:r>
      <w:r w:rsidR="00E4512A">
        <w:t xml:space="preserve"> Sommairement, ces documents visent à </w:t>
      </w:r>
      <w:r w:rsidR="003C2DD8">
        <w:t>démontrer l’existence de</w:t>
      </w:r>
      <w:r w:rsidR="00E4512A">
        <w:t xml:space="preserve"> solutions alternatives à l’abattage des </w:t>
      </w:r>
      <w:r w:rsidR="004A285F">
        <w:t>c</w:t>
      </w:r>
      <w:r w:rsidR="00E4512A">
        <w:t>erfs</w:t>
      </w:r>
      <w:r w:rsidR="004A285F">
        <w:t xml:space="preserve"> et à souligner l’intérêt public des enjeux. </w:t>
      </w:r>
      <w:r>
        <w:t xml:space="preserve">La Ville et le MFFP font valoir que ces documents </w:t>
      </w:r>
      <w:r w:rsidR="00EA24FE">
        <w:t>constituent</w:t>
      </w:r>
      <w:r>
        <w:t xml:space="preserve"> du ouï-dire et sont sans pertinence.</w:t>
      </w:r>
    </w:p>
    <w:p w14:paraId="7B839C9B" w14:textId="32BA8F00" w:rsidR="004F0BA2" w:rsidRDefault="004F0BA2" w:rsidP="00CB122A">
      <w:pPr>
        <w:widowControl w:val="0"/>
        <w:numPr>
          <w:ilvl w:val="0"/>
          <w:numId w:val="1"/>
        </w:numPr>
        <w:tabs>
          <w:tab w:val="clear" w:pos="360"/>
        </w:tabs>
        <w:spacing w:before="120" w:after="120"/>
        <w:jc w:val="both"/>
      </w:pPr>
      <w:r>
        <w:t>Ils ont raison. Il est bien établi que de tels documents ne font pas preuve de leur contenu</w:t>
      </w:r>
      <w:r w:rsidR="0012211C">
        <w:rPr>
          <w:rStyle w:val="Appelnotedebasdep"/>
        </w:rPr>
        <w:footnoteReference w:id="70"/>
      </w:r>
      <w:r w:rsidR="0012211C">
        <w:t xml:space="preserve">. En l’espèce, aucun de leur auteur </w:t>
      </w:r>
      <w:r w:rsidR="004A285F">
        <w:t>ne</w:t>
      </w:r>
      <w:r w:rsidR="0012211C">
        <w:t xml:space="preserve"> témoign</w:t>
      </w:r>
      <w:r w:rsidR="004A285F">
        <w:t>e</w:t>
      </w:r>
      <w:r w:rsidR="0012211C">
        <w:t xml:space="preserve"> sur leur contenu pour attester de </w:t>
      </w:r>
      <w:r w:rsidR="00777032">
        <w:t>leur</w:t>
      </w:r>
      <w:r w:rsidR="0012211C">
        <w:t xml:space="preserve"> véracité. De plus, il</w:t>
      </w:r>
      <w:r w:rsidR="00777032">
        <w:t>s</w:t>
      </w:r>
      <w:r w:rsidR="0012211C">
        <w:t xml:space="preserve"> </w:t>
      </w:r>
      <w:r w:rsidR="00777032">
        <w:t>sont</w:t>
      </w:r>
      <w:r w:rsidR="0012211C">
        <w:t xml:space="preserve"> </w:t>
      </w:r>
      <w:r w:rsidR="00777032">
        <w:t xml:space="preserve">sans </w:t>
      </w:r>
      <w:r w:rsidR="0012211C">
        <w:t xml:space="preserve">pertinence </w:t>
      </w:r>
      <w:r w:rsidR="001B6BC7">
        <w:t>pour le</w:t>
      </w:r>
      <w:r w:rsidR="00564786">
        <w:t xml:space="preserve"> litige</w:t>
      </w:r>
      <w:r w:rsidR="00777032">
        <w:t>.</w:t>
      </w:r>
    </w:p>
    <w:p w14:paraId="64CCB0E6" w14:textId="4474B475" w:rsidR="0012211C" w:rsidRDefault="0012211C" w:rsidP="00CB122A">
      <w:pPr>
        <w:widowControl w:val="0"/>
        <w:numPr>
          <w:ilvl w:val="0"/>
          <w:numId w:val="1"/>
        </w:numPr>
        <w:tabs>
          <w:tab w:val="clear" w:pos="360"/>
        </w:tabs>
        <w:spacing w:before="120" w:after="120"/>
        <w:jc w:val="both"/>
      </w:pPr>
      <w:r>
        <w:t xml:space="preserve">Il en est de même d’une copie d’une page du compte Facebook de </w:t>
      </w:r>
      <w:r w:rsidR="00CC3FCD">
        <w:t>la SPCA</w:t>
      </w:r>
      <w:r w:rsidR="00814477">
        <w:t xml:space="preserve"> </w:t>
      </w:r>
      <w:r>
        <w:t>datée du 21 janvier 2022</w:t>
      </w:r>
      <w:r>
        <w:rPr>
          <w:rStyle w:val="Appelnotedebasdep"/>
        </w:rPr>
        <w:footnoteReference w:id="71"/>
      </w:r>
      <w:r>
        <w:t xml:space="preserve">. </w:t>
      </w:r>
      <w:r w:rsidR="002608DF">
        <w:t>Ce</w:t>
      </w:r>
      <w:r>
        <w:t>lle</w:t>
      </w:r>
      <w:r w:rsidR="002608DF">
        <w:t>-ci</w:t>
      </w:r>
      <w:r>
        <w:t xml:space="preserve"> tente de produire cette pièce pour soutenir que la lettre </w:t>
      </w:r>
      <w:r w:rsidR="0002076F">
        <w:t xml:space="preserve">transmise </w:t>
      </w:r>
      <w:r>
        <w:t>par elle à la Ville le 18 janvier 2022</w:t>
      </w:r>
      <w:r>
        <w:rPr>
          <w:rStyle w:val="Appelnotedebasdep"/>
        </w:rPr>
        <w:footnoteReference w:id="72"/>
      </w:r>
      <w:r>
        <w:t xml:space="preserve"> a été vue par 91 000 personnes sur les réseaux sociaux. Si tant est que ce soit le cas – ce que la pièce ne révèle pas – ce fait est sans pertinence </w:t>
      </w:r>
      <w:r w:rsidR="00466025">
        <w:t>s</w:t>
      </w:r>
      <w:r>
        <w:t>u</w:t>
      </w:r>
      <w:r w:rsidR="00466025">
        <w:t>r le</w:t>
      </w:r>
      <w:r>
        <w:t xml:space="preserve"> sort du litige.</w:t>
      </w:r>
    </w:p>
    <w:p w14:paraId="75CCA3C0" w14:textId="761AB2E7" w:rsidR="0012211C" w:rsidRDefault="0012211C" w:rsidP="00CB122A">
      <w:pPr>
        <w:numPr>
          <w:ilvl w:val="0"/>
          <w:numId w:val="1"/>
        </w:numPr>
        <w:tabs>
          <w:tab w:val="clear" w:pos="360"/>
        </w:tabs>
        <w:spacing w:before="120" w:after="120"/>
        <w:jc w:val="both"/>
      </w:pPr>
      <w:r>
        <w:t xml:space="preserve">Partant, le Tribunal accueille les objections à la production des </w:t>
      </w:r>
      <w:r w:rsidR="00777032">
        <w:t>p</w:t>
      </w:r>
      <w:r>
        <w:t xml:space="preserve">ièces P-21, P-28, P-32, P-36, </w:t>
      </w:r>
      <w:r w:rsidR="004A285F">
        <w:t>I</w:t>
      </w:r>
      <w:r>
        <w:t xml:space="preserve">-4, </w:t>
      </w:r>
      <w:r w:rsidR="004A285F">
        <w:t>I</w:t>
      </w:r>
      <w:r>
        <w:t>-5</w:t>
      </w:r>
      <w:r w:rsidR="004A285F">
        <w:t>, I-6, I-</w:t>
      </w:r>
      <w:r>
        <w:t xml:space="preserve">9 et </w:t>
      </w:r>
      <w:r w:rsidR="004A285F">
        <w:t>I</w:t>
      </w:r>
      <w:r>
        <w:t>-13.</w:t>
      </w:r>
    </w:p>
    <w:p w14:paraId="2CC8BF68" w14:textId="3FF43C8B" w:rsidR="0012211C" w:rsidRPr="0012211C" w:rsidRDefault="000D2CE0" w:rsidP="00EC1309">
      <w:pPr>
        <w:pStyle w:val="Titre5"/>
      </w:pPr>
      <w:bookmarkStart w:id="50" w:name="_Toc144367234"/>
      <w:r>
        <w:lastRenderedPageBreak/>
        <w:t>Les a</w:t>
      </w:r>
      <w:r w:rsidR="0012211C" w:rsidRPr="0012211C">
        <w:t>rticles de revues scientifiques</w:t>
      </w:r>
      <w:bookmarkEnd w:id="50"/>
    </w:p>
    <w:p w14:paraId="7BF7249E" w14:textId="2D40439D" w:rsidR="0012211C" w:rsidRDefault="001F6A24" w:rsidP="00CB122A">
      <w:pPr>
        <w:widowControl w:val="0"/>
        <w:numPr>
          <w:ilvl w:val="0"/>
          <w:numId w:val="1"/>
        </w:numPr>
        <w:tabs>
          <w:tab w:val="clear" w:pos="360"/>
        </w:tabs>
        <w:spacing w:before="120" w:after="120"/>
        <w:jc w:val="both"/>
      </w:pPr>
      <w:r>
        <w:t xml:space="preserve">SSA, Meney et </w:t>
      </w:r>
      <w:r w:rsidR="00CC3FCD">
        <w:t>la SPCA</w:t>
      </w:r>
      <w:r w:rsidR="00814477">
        <w:t xml:space="preserve"> </w:t>
      </w:r>
      <w:r>
        <w:t>cherchent également à produire différents articles de revues scientifiques</w:t>
      </w:r>
      <w:r>
        <w:rPr>
          <w:rStyle w:val="Appelnotedebasdep"/>
        </w:rPr>
        <w:footnoteReference w:id="73"/>
      </w:r>
      <w:r>
        <w:t xml:space="preserve">. La Ville et le MFFP s’y opposent faisant valoir que ces documents constituent du ouï-dire et, en l’absence de témoignage d’un expert sur ce sujet, dépourvus de valeur probante. Le Tribunal partage ce point de vue. Comme le souligne la Cour dans l’affaire </w:t>
      </w:r>
      <w:r w:rsidRPr="0086245E">
        <w:rPr>
          <w:i/>
          <w:iCs/>
        </w:rPr>
        <w:t>Diggs</w:t>
      </w:r>
      <w:r>
        <w:t> :</w:t>
      </w:r>
    </w:p>
    <w:p w14:paraId="30D5C29F" w14:textId="56ED2E47" w:rsidR="0086245E" w:rsidRDefault="0086245E" w:rsidP="00477D5C">
      <w:pPr>
        <w:pStyle w:val="Citationenretrait"/>
        <w:widowControl w:val="0"/>
      </w:pPr>
      <w:r>
        <w:t>[11]</w:t>
      </w:r>
      <w:r>
        <w:rPr>
          <w:sz w:val="14"/>
          <w:szCs w:val="14"/>
        </w:rPr>
        <w:t xml:space="preserve">           </w:t>
      </w:r>
      <w:r>
        <w:t xml:space="preserve">En revanche, il est manifeste qu’il n’existe aucune raison de produire un article scientifique comme pièce. Un tel document constitue non seulement du ouï-dire, mais même si on ne souhaite que </w:t>
      </w:r>
      <w:r w:rsidRPr="00BE5747">
        <w:t>démontrer</w:t>
      </w:r>
      <w:r>
        <w:t xml:space="preserve"> son existence, sans témoignage d’un expert un tel document est </w:t>
      </w:r>
      <w:r w:rsidRPr="00627964">
        <w:t>inadmissible</w:t>
      </w:r>
      <w:r>
        <w:t xml:space="preserve"> </w:t>
      </w:r>
      <w:r w:rsidRPr="003757FC">
        <w:t>et</w:t>
      </w:r>
      <w:r>
        <w:t xml:space="preserve"> sa valeur probante est nulle. Aussi, le constat qu’un article scientifique existe n’aura aucune incidence sur le débat à venir. En conclusion, pour l’une ou l’autre de ces raisons, ce document ne peut pas être produit.</w:t>
      </w:r>
      <w:r>
        <w:rPr>
          <w:rStyle w:val="Appelnotedebasdep"/>
        </w:rPr>
        <w:footnoteReference w:id="74"/>
      </w:r>
    </w:p>
    <w:p w14:paraId="64154C82" w14:textId="7EEB8C04" w:rsidR="0086245E" w:rsidRDefault="0086245E" w:rsidP="00CB122A">
      <w:pPr>
        <w:widowControl w:val="0"/>
        <w:numPr>
          <w:ilvl w:val="0"/>
          <w:numId w:val="1"/>
        </w:numPr>
        <w:tabs>
          <w:tab w:val="clear" w:pos="360"/>
        </w:tabs>
        <w:spacing w:before="120" w:after="120"/>
        <w:jc w:val="both"/>
        <w:rPr>
          <w:rFonts w:cs="Arial"/>
          <w:lang w:eastAsia="fr-CA"/>
        </w:rPr>
      </w:pPr>
      <w:r w:rsidRPr="0086245E">
        <w:rPr>
          <w:rFonts w:cs="Arial"/>
          <w:lang w:eastAsia="fr-CA"/>
        </w:rPr>
        <w:t>Tout</w:t>
      </w:r>
      <w:r>
        <w:rPr>
          <w:rFonts w:cs="Arial"/>
          <w:lang w:eastAsia="fr-CA"/>
        </w:rPr>
        <w:t xml:space="preserve">efois, les demandeurs et </w:t>
      </w:r>
      <w:r w:rsidR="00E06F60">
        <w:rPr>
          <w:rFonts w:cs="Arial"/>
          <w:lang w:eastAsia="fr-CA"/>
        </w:rPr>
        <w:t>l’</w:t>
      </w:r>
      <w:r>
        <w:rPr>
          <w:rFonts w:cs="Arial"/>
          <w:lang w:eastAsia="fr-CA"/>
        </w:rPr>
        <w:t>intervenante plaident que, justement, contrairement à cette affaire, l’existence de ces articles scientifiques pourrait avoir une incidence sur le déb</w:t>
      </w:r>
      <w:r w:rsidR="002608DF">
        <w:rPr>
          <w:rFonts w:cs="Arial"/>
          <w:lang w:eastAsia="fr-CA"/>
        </w:rPr>
        <w:t>a</w:t>
      </w:r>
      <w:r>
        <w:rPr>
          <w:rFonts w:cs="Arial"/>
          <w:lang w:eastAsia="fr-CA"/>
        </w:rPr>
        <w:t xml:space="preserve">t. En effet, ils prétendent qu’il s’agit de littérature dont la Ville ou le MFFP aurait dû tenir compte au moment de prendre leurs décisions. Selon eux, le défaut de le faire est un facteur que le Tribunal aura à considérer dans l’appréciation </w:t>
      </w:r>
      <w:r w:rsidR="004A285F">
        <w:rPr>
          <w:rFonts w:cs="Arial"/>
          <w:lang w:eastAsia="fr-CA"/>
        </w:rPr>
        <w:t>du caractère raisonnable</w:t>
      </w:r>
      <w:r>
        <w:rPr>
          <w:rFonts w:cs="Arial"/>
          <w:lang w:eastAsia="fr-CA"/>
        </w:rPr>
        <w:t xml:space="preserve"> de ces décisions.</w:t>
      </w:r>
    </w:p>
    <w:p w14:paraId="6290A107" w14:textId="5BCB0674" w:rsidR="0086245E" w:rsidRDefault="000300E4" w:rsidP="00CB122A">
      <w:pPr>
        <w:widowControl w:val="0"/>
        <w:numPr>
          <w:ilvl w:val="0"/>
          <w:numId w:val="1"/>
        </w:numPr>
        <w:tabs>
          <w:tab w:val="clear" w:pos="360"/>
        </w:tabs>
        <w:spacing w:before="120" w:after="120"/>
        <w:jc w:val="both"/>
        <w:rPr>
          <w:rFonts w:cs="Arial"/>
          <w:lang w:eastAsia="fr-CA"/>
        </w:rPr>
      </w:pPr>
      <w:r>
        <w:rPr>
          <w:rFonts w:cs="Arial"/>
          <w:lang w:eastAsia="fr-CA"/>
        </w:rPr>
        <w:t>Dans cet</w:t>
      </w:r>
      <w:r w:rsidR="00E06F60">
        <w:rPr>
          <w:rFonts w:cs="Arial"/>
          <w:lang w:eastAsia="fr-CA"/>
        </w:rPr>
        <w:t>te</w:t>
      </w:r>
      <w:r>
        <w:rPr>
          <w:rFonts w:cs="Arial"/>
          <w:lang w:eastAsia="fr-CA"/>
        </w:rPr>
        <w:t xml:space="preserve"> optique, le Tribunal conclut au rejet des objections à la production des </w:t>
      </w:r>
      <w:r w:rsidR="00777032">
        <w:rPr>
          <w:rFonts w:cs="Arial"/>
          <w:lang w:eastAsia="fr-CA"/>
        </w:rPr>
        <w:t>p</w:t>
      </w:r>
      <w:r>
        <w:rPr>
          <w:rFonts w:cs="Arial"/>
          <w:lang w:eastAsia="fr-CA"/>
        </w:rPr>
        <w:t xml:space="preserve">ièces P-40, P-47, </w:t>
      </w:r>
      <w:r w:rsidR="004A285F">
        <w:rPr>
          <w:rFonts w:cs="Arial"/>
          <w:lang w:eastAsia="fr-CA"/>
        </w:rPr>
        <w:t>I-13, I-14 et I</w:t>
      </w:r>
      <w:r>
        <w:rPr>
          <w:rFonts w:cs="Arial"/>
          <w:lang w:eastAsia="fr-CA"/>
        </w:rPr>
        <w:t>-15</w:t>
      </w:r>
      <w:r w:rsidR="003678CF">
        <w:rPr>
          <w:rFonts w:cs="Arial"/>
          <w:lang w:eastAsia="fr-CA"/>
        </w:rPr>
        <w:t>,</w:t>
      </w:r>
      <w:r>
        <w:rPr>
          <w:rFonts w:cs="Arial"/>
          <w:lang w:eastAsia="fr-CA"/>
        </w:rPr>
        <w:t xml:space="preserve"> mais permet leur production </w:t>
      </w:r>
      <w:r w:rsidR="00466025">
        <w:rPr>
          <w:rFonts w:cs="Arial"/>
          <w:lang w:eastAsia="fr-CA"/>
        </w:rPr>
        <w:t xml:space="preserve">strictement </w:t>
      </w:r>
      <w:r>
        <w:rPr>
          <w:rFonts w:cs="Arial"/>
          <w:lang w:eastAsia="fr-CA"/>
        </w:rPr>
        <w:t>pour établir leur existence et non leur contenu.</w:t>
      </w:r>
    </w:p>
    <w:p w14:paraId="7BCFC845" w14:textId="538DFE2D" w:rsidR="000300E4" w:rsidRDefault="000300E4" w:rsidP="00CB122A">
      <w:pPr>
        <w:numPr>
          <w:ilvl w:val="0"/>
          <w:numId w:val="1"/>
        </w:numPr>
        <w:tabs>
          <w:tab w:val="clear" w:pos="360"/>
        </w:tabs>
        <w:spacing w:before="120" w:after="120"/>
        <w:jc w:val="both"/>
        <w:rPr>
          <w:rFonts w:cs="Arial"/>
          <w:lang w:eastAsia="fr-CA"/>
        </w:rPr>
      </w:pPr>
      <w:r>
        <w:rPr>
          <w:rFonts w:cs="Arial"/>
          <w:lang w:eastAsia="fr-CA"/>
        </w:rPr>
        <w:t xml:space="preserve">Par ailleurs, </w:t>
      </w:r>
      <w:r w:rsidR="00CC3FCD">
        <w:rPr>
          <w:rFonts w:cs="Arial"/>
          <w:lang w:eastAsia="fr-CA"/>
        </w:rPr>
        <w:t>la SPCA</w:t>
      </w:r>
      <w:r w:rsidR="00814477">
        <w:rPr>
          <w:rFonts w:cs="Arial"/>
          <w:lang w:eastAsia="fr-CA"/>
        </w:rPr>
        <w:t xml:space="preserve"> </w:t>
      </w:r>
      <w:r>
        <w:rPr>
          <w:rFonts w:cs="Arial"/>
          <w:lang w:eastAsia="fr-CA"/>
        </w:rPr>
        <w:t xml:space="preserve">cherche à produire le </w:t>
      </w:r>
      <w:r w:rsidRPr="00AD0C8A">
        <w:rPr>
          <w:rFonts w:cs="Arial"/>
          <w:i/>
          <w:iCs/>
          <w:lang w:eastAsia="fr-CA"/>
        </w:rPr>
        <w:t>AVMA Guidelines for the Euthanasia of Animals</w:t>
      </w:r>
      <w:r>
        <w:rPr>
          <w:rStyle w:val="Appelnotedebasdep"/>
          <w:rFonts w:cs="Arial"/>
          <w:lang w:eastAsia="fr-CA"/>
        </w:rPr>
        <w:footnoteReference w:id="75"/>
      </w:r>
      <w:r>
        <w:rPr>
          <w:rFonts w:cs="Arial"/>
          <w:lang w:eastAsia="fr-CA"/>
        </w:rPr>
        <w:t>. À l’instar des articles de revues scientifiques, ce document exprime des opinions. En l’absence de production par un témoin compétent, il ne peut faire preuve de son contenu. Toutefois, le Tribunal permet sa production exclusivement afin d’en établir l’existence.</w:t>
      </w:r>
    </w:p>
    <w:p w14:paraId="671AFA4D" w14:textId="44F37ADD" w:rsidR="000300E4" w:rsidRDefault="000300E4" w:rsidP="00CB122A">
      <w:pPr>
        <w:widowControl w:val="0"/>
        <w:numPr>
          <w:ilvl w:val="0"/>
          <w:numId w:val="1"/>
        </w:numPr>
        <w:tabs>
          <w:tab w:val="clear" w:pos="360"/>
        </w:tabs>
        <w:spacing w:before="120" w:after="120"/>
        <w:jc w:val="both"/>
        <w:rPr>
          <w:rFonts w:cs="Arial"/>
          <w:lang w:eastAsia="fr-CA"/>
        </w:rPr>
      </w:pPr>
      <w:r>
        <w:rPr>
          <w:rFonts w:cs="Arial"/>
          <w:lang w:eastAsia="fr-CA"/>
        </w:rPr>
        <w:t xml:space="preserve">Enfin, SSA et Meney souhaitent produire un courriel </w:t>
      </w:r>
      <w:r w:rsidR="004A285F">
        <w:rPr>
          <w:rFonts w:cs="Arial"/>
          <w:lang w:eastAsia="fr-CA"/>
        </w:rPr>
        <w:t>d’</w:t>
      </w:r>
      <w:r>
        <w:rPr>
          <w:rFonts w:cs="Arial"/>
          <w:lang w:eastAsia="fr-CA"/>
        </w:rPr>
        <w:t>Anthony de Nicola</w:t>
      </w:r>
      <w:r w:rsidR="004A285F">
        <w:t xml:space="preserve"> </w:t>
      </w:r>
      <w:r w:rsidR="00C11221">
        <w:rPr>
          <w:rFonts w:cs="Arial"/>
          <w:lang w:eastAsia="fr-CA"/>
        </w:rPr>
        <w:t>(</w:t>
      </w:r>
      <w:r w:rsidR="00C11221" w:rsidRPr="00C11221">
        <w:rPr>
          <w:rFonts w:cs="Arial"/>
          <w:b/>
          <w:bCs/>
          <w:lang w:eastAsia="fr-CA"/>
        </w:rPr>
        <w:t>De</w:t>
      </w:r>
      <w:r w:rsidR="004A285F">
        <w:rPr>
          <w:rFonts w:cs="Arial"/>
          <w:b/>
          <w:bCs/>
          <w:lang w:eastAsia="fr-CA"/>
        </w:rPr>
        <w:t> </w:t>
      </w:r>
      <w:r w:rsidR="00C11221" w:rsidRPr="00C11221">
        <w:rPr>
          <w:rFonts w:cs="Arial"/>
          <w:b/>
          <w:bCs/>
          <w:lang w:eastAsia="fr-CA"/>
        </w:rPr>
        <w:t>Nicola</w:t>
      </w:r>
      <w:r w:rsidR="00C11221">
        <w:rPr>
          <w:rFonts w:cs="Arial"/>
          <w:lang w:eastAsia="fr-CA"/>
        </w:rPr>
        <w:t xml:space="preserve">) </w:t>
      </w:r>
      <w:r>
        <w:rPr>
          <w:rFonts w:cs="Arial"/>
          <w:lang w:eastAsia="fr-CA"/>
        </w:rPr>
        <w:t>datée du 25 avril 2023</w:t>
      </w:r>
      <w:r>
        <w:rPr>
          <w:rStyle w:val="Appelnotedebasdep"/>
          <w:rFonts w:cs="Arial"/>
          <w:lang w:eastAsia="fr-CA"/>
        </w:rPr>
        <w:footnoteReference w:id="76"/>
      </w:r>
      <w:r>
        <w:rPr>
          <w:rFonts w:cs="Arial"/>
          <w:lang w:eastAsia="fr-CA"/>
        </w:rPr>
        <w:t xml:space="preserve"> pour faire la preuve de son contenu. Vu l’absence d</w:t>
      </w:r>
      <w:r w:rsidR="008446D7">
        <w:rPr>
          <w:rFonts w:cs="Arial"/>
          <w:lang w:eastAsia="fr-CA"/>
        </w:rPr>
        <w:t>e</w:t>
      </w:r>
      <w:r>
        <w:rPr>
          <w:rFonts w:cs="Arial"/>
          <w:lang w:eastAsia="fr-CA"/>
        </w:rPr>
        <w:t xml:space="preserve"> De Nicola pour produire ce courriel, le Tribunal fait droit à l’objection à sa production</w:t>
      </w:r>
      <w:r>
        <w:rPr>
          <w:rStyle w:val="Appelnotedebasdep"/>
          <w:rFonts w:cs="Arial"/>
          <w:lang w:eastAsia="fr-CA"/>
        </w:rPr>
        <w:footnoteReference w:id="77"/>
      </w:r>
      <w:r>
        <w:rPr>
          <w:rFonts w:cs="Arial"/>
          <w:lang w:eastAsia="fr-CA"/>
        </w:rPr>
        <w:t>.</w:t>
      </w:r>
    </w:p>
    <w:p w14:paraId="7F1DBCA7" w14:textId="10C22DA1" w:rsidR="000300E4" w:rsidRPr="000D2CE0" w:rsidRDefault="000D2CE0" w:rsidP="00EC1309">
      <w:pPr>
        <w:pStyle w:val="Titre5"/>
        <w:rPr>
          <w:lang w:eastAsia="fr-CA"/>
        </w:rPr>
      </w:pPr>
      <w:bookmarkStart w:id="51" w:name="_Toc144367235"/>
      <w:r>
        <w:rPr>
          <w:lang w:eastAsia="fr-CA"/>
        </w:rPr>
        <w:lastRenderedPageBreak/>
        <w:t>Les d</w:t>
      </w:r>
      <w:r w:rsidR="000300E4" w:rsidRPr="000D2CE0">
        <w:rPr>
          <w:lang w:eastAsia="fr-CA"/>
        </w:rPr>
        <w:t>éclarations sous serment</w:t>
      </w:r>
      <w:bookmarkEnd w:id="51"/>
    </w:p>
    <w:p w14:paraId="1071701D" w14:textId="141402B5" w:rsidR="0094230B" w:rsidRDefault="000300E4" w:rsidP="00CB122A">
      <w:pPr>
        <w:widowControl w:val="0"/>
        <w:numPr>
          <w:ilvl w:val="0"/>
          <w:numId w:val="1"/>
        </w:numPr>
        <w:tabs>
          <w:tab w:val="clear" w:pos="360"/>
        </w:tabs>
        <w:spacing w:before="120" w:after="120"/>
        <w:jc w:val="both"/>
        <w:rPr>
          <w:rFonts w:cs="Arial"/>
          <w:lang w:eastAsia="fr-CA"/>
        </w:rPr>
      </w:pPr>
      <w:r>
        <w:rPr>
          <w:rFonts w:cs="Arial"/>
          <w:lang w:eastAsia="fr-CA"/>
        </w:rPr>
        <w:t>La Ville et le MFFP s’opposent également à la preuve de certaines allégations contenues au Pourvoi et à l’Intervention, chacune appuyée d’une déclaration sous serment.</w:t>
      </w:r>
    </w:p>
    <w:p w14:paraId="7A026170" w14:textId="3E79E497" w:rsidR="000300E4" w:rsidRDefault="00BF67DF" w:rsidP="00CB122A">
      <w:pPr>
        <w:widowControl w:val="0"/>
        <w:numPr>
          <w:ilvl w:val="0"/>
          <w:numId w:val="1"/>
        </w:numPr>
        <w:tabs>
          <w:tab w:val="clear" w:pos="360"/>
        </w:tabs>
        <w:spacing w:before="120" w:after="120"/>
        <w:jc w:val="both"/>
        <w:rPr>
          <w:rFonts w:cs="Arial"/>
          <w:lang w:eastAsia="fr-CA"/>
        </w:rPr>
      </w:pPr>
      <w:r>
        <w:rPr>
          <w:rFonts w:cs="Arial"/>
          <w:lang w:eastAsia="fr-CA"/>
        </w:rPr>
        <w:t xml:space="preserve">Au paragraphe 145.3 du Pourvoi, les demandeurs remettent en question l’efficacité de l’usage de l’arbalète comme méthode de chasse contrôlée. Cette allégation, comme l’ensemble de celles contenues au Pourvoi, repose sur </w:t>
      </w:r>
      <w:r w:rsidR="00777032">
        <w:rPr>
          <w:rFonts w:cs="Arial"/>
          <w:lang w:eastAsia="fr-CA"/>
        </w:rPr>
        <w:t>la</w:t>
      </w:r>
      <w:r>
        <w:rPr>
          <w:rFonts w:cs="Arial"/>
          <w:lang w:eastAsia="fr-CA"/>
        </w:rPr>
        <w:t xml:space="preserve"> déclaration sous serment de </w:t>
      </w:r>
      <w:r w:rsidR="00E94D30">
        <w:rPr>
          <w:rFonts w:cs="Arial"/>
          <w:lang w:eastAsia="fr-CA"/>
        </w:rPr>
        <w:t>Dussault, directeur</w:t>
      </w:r>
      <w:r w:rsidR="003678CF">
        <w:rPr>
          <w:rFonts w:cs="Arial"/>
          <w:lang w:eastAsia="fr-CA"/>
        </w:rPr>
        <w:t xml:space="preserve"> </w:t>
      </w:r>
      <w:r w:rsidR="00E94D30">
        <w:rPr>
          <w:rFonts w:cs="Arial"/>
          <w:lang w:eastAsia="fr-CA"/>
        </w:rPr>
        <w:t>général de SSA. Or, la preuve est silencieuse à l’égard d’une quelconque expertise dont pourrait s’autoriser Dussault pour opiner sur cette question.</w:t>
      </w:r>
    </w:p>
    <w:p w14:paraId="27BA7696" w14:textId="6BB15088" w:rsidR="00E94D30" w:rsidRDefault="00E94D30" w:rsidP="00CB122A">
      <w:pPr>
        <w:widowControl w:val="0"/>
        <w:numPr>
          <w:ilvl w:val="0"/>
          <w:numId w:val="1"/>
        </w:numPr>
        <w:tabs>
          <w:tab w:val="clear" w:pos="360"/>
        </w:tabs>
        <w:spacing w:before="120" w:after="120"/>
        <w:jc w:val="both"/>
        <w:rPr>
          <w:rFonts w:cs="Arial"/>
          <w:lang w:eastAsia="fr-CA"/>
        </w:rPr>
      </w:pPr>
      <w:r>
        <w:rPr>
          <w:rFonts w:cs="Arial"/>
          <w:lang w:eastAsia="fr-CA"/>
        </w:rPr>
        <w:t xml:space="preserve">Le Tribunal accueille donc l’objection à la preuve </w:t>
      </w:r>
      <w:r w:rsidR="002608DF">
        <w:rPr>
          <w:rFonts w:cs="Arial"/>
          <w:lang w:eastAsia="fr-CA"/>
        </w:rPr>
        <w:t>des allégations contenues</w:t>
      </w:r>
      <w:r w:rsidR="00EF33BA">
        <w:rPr>
          <w:rFonts w:cs="Arial"/>
          <w:lang w:eastAsia="fr-CA"/>
        </w:rPr>
        <w:t xml:space="preserve"> au paragraphe</w:t>
      </w:r>
      <w:r>
        <w:rPr>
          <w:rFonts w:cs="Arial"/>
          <w:lang w:eastAsia="fr-CA"/>
        </w:rPr>
        <w:t xml:space="preserve"> 145.3 du Pourvoi par la déclaration sous serment de Dussault.</w:t>
      </w:r>
    </w:p>
    <w:p w14:paraId="1B14E4CC" w14:textId="3655CB68" w:rsidR="00E94D30" w:rsidRDefault="00E94D30" w:rsidP="00CB122A">
      <w:pPr>
        <w:widowControl w:val="0"/>
        <w:numPr>
          <w:ilvl w:val="0"/>
          <w:numId w:val="1"/>
        </w:numPr>
        <w:tabs>
          <w:tab w:val="clear" w:pos="360"/>
        </w:tabs>
        <w:spacing w:before="120" w:after="120"/>
        <w:jc w:val="both"/>
        <w:rPr>
          <w:rFonts w:cs="Arial"/>
          <w:lang w:eastAsia="fr-CA"/>
        </w:rPr>
      </w:pPr>
      <w:r>
        <w:rPr>
          <w:rFonts w:cs="Arial"/>
          <w:lang w:eastAsia="fr-CA"/>
        </w:rPr>
        <w:t xml:space="preserve">Par ailleurs, aux paragraphes 24 et 31.1 à 31.4 de son Intervention, </w:t>
      </w:r>
      <w:r w:rsidR="00CC3FCD">
        <w:rPr>
          <w:rFonts w:cs="Arial"/>
          <w:lang w:eastAsia="fr-CA"/>
        </w:rPr>
        <w:t>la SPCA</w:t>
      </w:r>
      <w:r w:rsidR="00814477">
        <w:rPr>
          <w:rFonts w:cs="Arial"/>
          <w:lang w:eastAsia="fr-CA"/>
        </w:rPr>
        <w:t xml:space="preserve"> </w:t>
      </w:r>
      <w:r w:rsidR="00777032">
        <w:rPr>
          <w:rFonts w:cs="Arial"/>
          <w:lang w:eastAsia="fr-CA"/>
        </w:rPr>
        <w:t>fait valoir</w:t>
      </w:r>
      <w:r>
        <w:rPr>
          <w:rFonts w:cs="Arial"/>
          <w:lang w:eastAsia="fr-CA"/>
        </w:rPr>
        <w:t xml:space="preserve"> les risques que comporte la chasse à l’arbalète pour les animaux. Ces allégations prennent notamment appui sur un article de revue scientifique</w:t>
      </w:r>
      <w:r>
        <w:rPr>
          <w:rStyle w:val="Appelnotedebasdep"/>
          <w:rFonts w:cs="Arial"/>
          <w:lang w:eastAsia="fr-CA"/>
        </w:rPr>
        <w:footnoteReference w:id="78"/>
      </w:r>
      <w:r>
        <w:rPr>
          <w:rFonts w:cs="Arial"/>
          <w:lang w:eastAsia="fr-CA"/>
        </w:rPr>
        <w:t xml:space="preserve"> et un article de journal</w:t>
      </w:r>
      <w:r>
        <w:rPr>
          <w:rStyle w:val="Appelnotedebasdep"/>
          <w:rFonts w:cs="Arial"/>
          <w:lang w:eastAsia="fr-CA"/>
        </w:rPr>
        <w:footnoteReference w:id="79"/>
      </w:r>
      <w:r>
        <w:rPr>
          <w:rFonts w:cs="Arial"/>
          <w:lang w:eastAsia="fr-CA"/>
        </w:rPr>
        <w:t xml:space="preserve"> dont nous avons traité plus haut. </w:t>
      </w:r>
      <w:r w:rsidR="00777032">
        <w:rPr>
          <w:rFonts w:cs="Arial"/>
          <w:lang w:eastAsia="fr-CA"/>
        </w:rPr>
        <w:t xml:space="preserve">Elles </w:t>
      </w:r>
      <w:r>
        <w:rPr>
          <w:rFonts w:cs="Arial"/>
          <w:lang w:eastAsia="fr-CA"/>
        </w:rPr>
        <w:t xml:space="preserve">sont </w:t>
      </w:r>
      <w:r w:rsidR="00777032">
        <w:rPr>
          <w:rFonts w:cs="Arial"/>
          <w:lang w:eastAsia="fr-CA"/>
        </w:rPr>
        <w:t xml:space="preserve">également </w:t>
      </w:r>
      <w:r>
        <w:rPr>
          <w:rFonts w:cs="Arial"/>
          <w:lang w:eastAsia="fr-CA"/>
        </w:rPr>
        <w:t>appuyées par la déclaration sous serment de Sophie Gaillard (</w:t>
      </w:r>
      <w:r w:rsidRPr="00E94D30">
        <w:rPr>
          <w:rFonts w:cs="Arial"/>
          <w:b/>
          <w:bCs/>
          <w:lang w:eastAsia="fr-CA"/>
        </w:rPr>
        <w:t>Gaillard</w:t>
      </w:r>
      <w:r>
        <w:rPr>
          <w:rFonts w:cs="Arial"/>
          <w:lang w:eastAsia="fr-CA"/>
        </w:rPr>
        <w:t>), directrice</w:t>
      </w:r>
      <w:r w:rsidR="003678CF">
        <w:rPr>
          <w:rFonts w:cs="Arial"/>
          <w:lang w:eastAsia="fr-CA"/>
        </w:rPr>
        <w:t xml:space="preserve"> </w:t>
      </w:r>
      <w:r>
        <w:rPr>
          <w:rFonts w:cs="Arial"/>
          <w:lang w:eastAsia="fr-CA"/>
        </w:rPr>
        <w:t xml:space="preserve">générale par intérim de </w:t>
      </w:r>
      <w:r w:rsidR="00CC3FCD">
        <w:rPr>
          <w:rFonts w:cs="Arial"/>
          <w:lang w:eastAsia="fr-CA"/>
        </w:rPr>
        <w:t>la SPCA</w:t>
      </w:r>
      <w:r>
        <w:rPr>
          <w:rFonts w:cs="Arial"/>
          <w:lang w:eastAsia="fr-CA"/>
        </w:rPr>
        <w:t>.</w:t>
      </w:r>
    </w:p>
    <w:p w14:paraId="06CD14CE" w14:textId="11F343C6" w:rsidR="00E94D30" w:rsidRDefault="00E94D30" w:rsidP="00CB122A">
      <w:pPr>
        <w:widowControl w:val="0"/>
        <w:numPr>
          <w:ilvl w:val="0"/>
          <w:numId w:val="1"/>
        </w:numPr>
        <w:tabs>
          <w:tab w:val="clear" w:pos="360"/>
        </w:tabs>
        <w:spacing w:before="120" w:after="120"/>
        <w:jc w:val="both"/>
        <w:rPr>
          <w:rFonts w:cs="Arial"/>
          <w:lang w:eastAsia="fr-CA"/>
        </w:rPr>
      </w:pPr>
      <w:r>
        <w:rPr>
          <w:rFonts w:cs="Arial"/>
          <w:lang w:eastAsia="fr-CA"/>
        </w:rPr>
        <w:t>Or,</w:t>
      </w:r>
      <w:r w:rsidR="00563776">
        <w:rPr>
          <w:rFonts w:cs="Arial"/>
          <w:lang w:eastAsia="fr-CA"/>
        </w:rPr>
        <w:t xml:space="preserve"> Gaillard n’est pas l’auteure de ces articles. De plus, </w:t>
      </w:r>
      <w:r>
        <w:rPr>
          <w:rFonts w:cs="Arial"/>
          <w:lang w:eastAsia="fr-CA"/>
        </w:rPr>
        <w:t>à l’instar de Dussault, la preuve est muette sur l’expertise de Gaillard qui lui permettrait de formuler les opinions exprimées dans ces paragraphes.</w:t>
      </w:r>
    </w:p>
    <w:p w14:paraId="3C519C6B" w14:textId="4FD51CC9" w:rsidR="00E94D30" w:rsidRDefault="00E94D30" w:rsidP="00CB122A">
      <w:pPr>
        <w:widowControl w:val="0"/>
        <w:numPr>
          <w:ilvl w:val="0"/>
          <w:numId w:val="1"/>
        </w:numPr>
        <w:tabs>
          <w:tab w:val="clear" w:pos="360"/>
        </w:tabs>
        <w:spacing w:before="120" w:after="120"/>
        <w:jc w:val="both"/>
        <w:rPr>
          <w:rFonts w:cs="Arial"/>
          <w:lang w:eastAsia="fr-CA"/>
        </w:rPr>
      </w:pPr>
      <w:r>
        <w:rPr>
          <w:rFonts w:cs="Arial"/>
          <w:lang w:eastAsia="fr-CA"/>
        </w:rPr>
        <w:t>Partant, le Tribunal accueille l’objection à la preuve des faits allégués aux paragraphes 24 et 31.1 à 31.4 de l’Intervention par la déclaration sous serment de Gaillard.</w:t>
      </w:r>
    </w:p>
    <w:p w14:paraId="79665F1A" w14:textId="09EFC941" w:rsidR="00CA341A" w:rsidRPr="00265CE4" w:rsidRDefault="00CA341A" w:rsidP="00CB122A">
      <w:pPr>
        <w:pStyle w:val="Titre4"/>
      </w:pPr>
      <w:bookmarkStart w:id="52" w:name="_Toc144367236"/>
      <w:r w:rsidRPr="00265CE4">
        <w:t>Les expertises</w:t>
      </w:r>
      <w:bookmarkEnd w:id="52"/>
    </w:p>
    <w:p w14:paraId="7A785777" w14:textId="7780A179" w:rsidR="00CA341A" w:rsidRDefault="00CA341A" w:rsidP="00CB122A">
      <w:pPr>
        <w:widowControl w:val="0"/>
        <w:numPr>
          <w:ilvl w:val="0"/>
          <w:numId w:val="1"/>
        </w:numPr>
        <w:tabs>
          <w:tab w:val="clear" w:pos="360"/>
        </w:tabs>
        <w:spacing w:before="120" w:after="120"/>
        <w:jc w:val="both"/>
        <w:rPr>
          <w:rFonts w:cs="Arial"/>
          <w:lang w:eastAsia="fr-CA"/>
        </w:rPr>
      </w:pPr>
      <w:r>
        <w:rPr>
          <w:rFonts w:cs="Arial"/>
          <w:lang w:eastAsia="fr-CA"/>
        </w:rPr>
        <w:t xml:space="preserve">Les demandeurs produisent deux rapports d’expert. Le premier </w:t>
      </w:r>
      <w:r w:rsidR="00466025">
        <w:rPr>
          <w:rFonts w:cs="Arial"/>
          <w:lang w:eastAsia="fr-CA"/>
        </w:rPr>
        <w:t>s’</w:t>
      </w:r>
      <w:r>
        <w:rPr>
          <w:rFonts w:cs="Arial"/>
          <w:lang w:eastAsia="fr-CA"/>
        </w:rPr>
        <w:t>intitul</w:t>
      </w:r>
      <w:r w:rsidR="00466025">
        <w:rPr>
          <w:rFonts w:cs="Arial"/>
          <w:lang w:eastAsia="fr-CA"/>
        </w:rPr>
        <w:t>e</w:t>
      </w:r>
      <w:r>
        <w:rPr>
          <w:rFonts w:cs="Arial"/>
          <w:lang w:eastAsia="fr-CA"/>
        </w:rPr>
        <w:t xml:space="preserve"> </w:t>
      </w:r>
      <w:r w:rsidR="00564786">
        <w:rPr>
          <w:rFonts w:cs="Arial"/>
          <w:lang w:eastAsia="fr-CA"/>
        </w:rPr>
        <w:t>« </w:t>
      </w:r>
      <w:r w:rsidR="0084314E">
        <w:rPr>
          <w:rFonts w:cs="Arial"/>
          <w:lang w:eastAsia="fr-CA"/>
        </w:rPr>
        <w:t>C</w:t>
      </w:r>
      <w:r>
        <w:rPr>
          <w:rFonts w:cs="Arial"/>
          <w:lang w:eastAsia="fr-CA"/>
        </w:rPr>
        <w:t>ompte</w:t>
      </w:r>
      <w:r w:rsidR="00466025">
        <w:rPr>
          <w:rFonts w:cs="Arial"/>
          <w:lang w:eastAsia="fr-CA"/>
        </w:rPr>
        <w:noBreakHyphen/>
      </w:r>
      <w:r>
        <w:rPr>
          <w:rFonts w:cs="Arial"/>
          <w:lang w:eastAsia="fr-CA"/>
        </w:rPr>
        <w:t>rendu de service d’opération SATP</w:t>
      </w:r>
      <w:r w:rsidR="00564786">
        <w:rPr>
          <w:rFonts w:cs="Arial"/>
          <w:lang w:eastAsia="fr-CA"/>
        </w:rPr>
        <w:t> »</w:t>
      </w:r>
      <w:r>
        <w:rPr>
          <w:rFonts w:cs="Arial"/>
          <w:lang w:eastAsia="fr-CA"/>
        </w:rPr>
        <w:t xml:space="preserve"> daté du 18 novembre 2022 préparé par Services technologiques A.N.D. (le </w:t>
      </w:r>
      <w:r w:rsidRPr="00CA341A">
        <w:rPr>
          <w:rFonts w:cs="Arial"/>
          <w:b/>
          <w:bCs/>
          <w:lang w:eastAsia="fr-CA"/>
        </w:rPr>
        <w:t>Rapport Stand</w:t>
      </w:r>
      <w:r>
        <w:rPr>
          <w:rFonts w:cs="Arial"/>
          <w:lang w:eastAsia="fr-CA"/>
        </w:rPr>
        <w:t>)</w:t>
      </w:r>
      <w:r>
        <w:rPr>
          <w:rStyle w:val="Appelnotedebasdep"/>
          <w:rFonts w:cs="Arial"/>
          <w:lang w:eastAsia="fr-CA"/>
        </w:rPr>
        <w:footnoteReference w:id="80"/>
      </w:r>
      <w:r>
        <w:rPr>
          <w:rFonts w:cs="Arial"/>
          <w:lang w:eastAsia="fr-CA"/>
        </w:rPr>
        <w:t>. Ce rapport fait état du nombre de cerfs inventoriés dans le Parc le 12 novembre 2022.</w:t>
      </w:r>
    </w:p>
    <w:p w14:paraId="2DFC71AF" w14:textId="6329BF9C" w:rsidR="00CA341A" w:rsidRDefault="00CA341A" w:rsidP="00CB122A">
      <w:pPr>
        <w:widowControl w:val="0"/>
        <w:numPr>
          <w:ilvl w:val="0"/>
          <w:numId w:val="1"/>
        </w:numPr>
        <w:tabs>
          <w:tab w:val="clear" w:pos="360"/>
        </w:tabs>
        <w:spacing w:before="120" w:after="120"/>
        <w:jc w:val="both"/>
        <w:rPr>
          <w:rFonts w:cs="Arial"/>
          <w:lang w:eastAsia="fr-CA"/>
        </w:rPr>
      </w:pPr>
      <w:r>
        <w:rPr>
          <w:rFonts w:cs="Arial"/>
          <w:lang w:eastAsia="fr-CA"/>
        </w:rPr>
        <w:t>Le second</w:t>
      </w:r>
      <w:r w:rsidR="00B41031">
        <w:rPr>
          <w:rFonts w:cs="Arial"/>
          <w:lang w:eastAsia="fr-CA"/>
        </w:rPr>
        <w:t xml:space="preserve"> (le </w:t>
      </w:r>
      <w:r w:rsidR="00B41031" w:rsidRPr="00B41031">
        <w:rPr>
          <w:rFonts w:cs="Arial"/>
          <w:b/>
          <w:bCs/>
          <w:lang w:eastAsia="fr-CA"/>
        </w:rPr>
        <w:t>Rapport Autenne</w:t>
      </w:r>
      <w:r w:rsidR="00B41031">
        <w:rPr>
          <w:rFonts w:cs="Arial"/>
          <w:lang w:eastAsia="fr-CA"/>
        </w:rPr>
        <w:t>)</w:t>
      </w:r>
      <w:r>
        <w:rPr>
          <w:rFonts w:cs="Arial"/>
          <w:lang w:eastAsia="fr-CA"/>
        </w:rPr>
        <w:t xml:space="preserve"> est l’œuvre d</w:t>
      </w:r>
      <w:r w:rsidR="00F04960">
        <w:rPr>
          <w:rFonts w:cs="Arial"/>
          <w:lang w:eastAsia="fr-CA"/>
        </w:rPr>
        <w:t>e</w:t>
      </w:r>
      <w:r>
        <w:rPr>
          <w:rFonts w:cs="Arial"/>
          <w:lang w:eastAsia="fr-CA"/>
        </w:rPr>
        <w:t xml:space="preserve"> Geoffroy Autenne (</w:t>
      </w:r>
      <w:r w:rsidRPr="00CA341A">
        <w:rPr>
          <w:rFonts w:cs="Arial"/>
          <w:b/>
          <w:bCs/>
          <w:lang w:eastAsia="fr-CA"/>
        </w:rPr>
        <w:t>Autenne</w:t>
      </w:r>
      <w:r>
        <w:rPr>
          <w:rFonts w:cs="Arial"/>
          <w:lang w:eastAsia="fr-CA"/>
        </w:rPr>
        <w:t>) et comprend deux parties : l’une portant sur la sensibilité et la santé animale et l’autre sur les méthodes de régulation de la population de cerfs du Par</w:t>
      </w:r>
      <w:r w:rsidR="001600EC">
        <w:rPr>
          <w:rFonts w:cs="Arial"/>
          <w:lang w:eastAsia="fr-CA"/>
        </w:rPr>
        <w:t>c</w:t>
      </w:r>
      <w:r>
        <w:rPr>
          <w:rFonts w:cs="Arial"/>
          <w:lang w:eastAsia="fr-CA"/>
        </w:rPr>
        <w:t xml:space="preserve">. </w:t>
      </w:r>
      <w:r w:rsidR="004169C6">
        <w:rPr>
          <w:rFonts w:cs="Arial"/>
          <w:lang w:eastAsia="fr-CA"/>
        </w:rPr>
        <w:t>À l’instruction, l</w:t>
      </w:r>
      <w:r>
        <w:rPr>
          <w:rFonts w:cs="Arial"/>
          <w:lang w:eastAsia="fr-CA"/>
        </w:rPr>
        <w:t>a production de ce rapport fait l’objet d’un débat notamment en raison de son dépôt tardif. Par jugement rendu séance tenante, le Tribunal autoris</w:t>
      </w:r>
      <w:r w:rsidR="007D4D19">
        <w:rPr>
          <w:rFonts w:cs="Arial"/>
          <w:lang w:eastAsia="fr-CA"/>
        </w:rPr>
        <w:t>e</w:t>
      </w:r>
      <w:r>
        <w:rPr>
          <w:rFonts w:cs="Arial"/>
          <w:lang w:eastAsia="fr-CA"/>
        </w:rPr>
        <w:t xml:space="preserve"> la production de la Partie II du rapport sous réserve des objections </w:t>
      </w:r>
      <w:r w:rsidR="00466025">
        <w:rPr>
          <w:rFonts w:cs="Arial"/>
          <w:lang w:eastAsia="fr-CA"/>
        </w:rPr>
        <w:t xml:space="preserve">et </w:t>
      </w:r>
      <w:r>
        <w:rPr>
          <w:rFonts w:cs="Arial"/>
          <w:lang w:eastAsia="fr-CA"/>
        </w:rPr>
        <w:t xml:space="preserve">en y retranchant la mention « … la chasse à l’arbalète ou à l’arc contrevient de manière évidente avec le respect de la sensibilité animale prévu par le </w:t>
      </w:r>
      <w:r w:rsidRPr="00036A5E">
        <w:rPr>
          <w:rFonts w:cs="Arial"/>
          <w:i/>
          <w:iCs/>
          <w:lang w:eastAsia="fr-CA"/>
        </w:rPr>
        <w:t>Code civil du Québec</w:t>
      </w:r>
      <w:r>
        <w:rPr>
          <w:rFonts w:cs="Arial"/>
          <w:lang w:eastAsia="fr-CA"/>
        </w:rPr>
        <w:t> »</w:t>
      </w:r>
      <w:r w:rsidR="00036A5E">
        <w:rPr>
          <w:rFonts w:cs="Arial"/>
          <w:lang w:eastAsia="fr-CA"/>
        </w:rPr>
        <w:t xml:space="preserve"> que l’on retrouve à sa page 14.</w:t>
      </w:r>
    </w:p>
    <w:p w14:paraId="59DB9F15" w14:textId="0A2694E7" w:rsidR="00036A5E" w:rsidRDefault="00036A5E" w:rsidP="00CB122A">
      <w:pPr>
        <w:numPr>
          <w:ilvl w:val="0"/>
          <w:numId w:val="1"/>
        </w:numPr>
        <w:tabs>
          <w:tab w:val="clear" w:pos="360"/>
        </w:tabs>
        <w:spacing w:before="120" w:after="120"/>
        <w:jc w:val="both"/>
        <w:rPr>
          <w:rFonts w:cs="Arial"/>
          <w:lang w:eastAsia="fr-CA"/>
        </w:rPr>
      </w:pPr>
      <w:r>
        <w:rPr>
          <w:rFonts w:cs="Arial"/>
          <w:lang w:eastAsia="fr-CA"/>
        </w:rPr>
        <w:lastRenderedPageBreak/>
        <w:t xml:space="preserve">Pour sa part, </w:t>
      </w:r>
      <w:r w:rsidR="00CC3FCD">
        <w:rPr>
          <w:rFonts w:cs="Arial"/>
          <w:lang w:eastAsia="fr-CA"/>
        </w:rPr>
        <w:t>la SPCA</w:t>
      </w:r>
      <w:r w:rsidR="00814477">
        <w:rPr>
          <w:rFonts w:cs="Arial"/>
          <w:lang w:eastAsia="fr-CA"/>
        </w:rPr>
        <w:t xml:space="preserve"> </w:t>
      </w:r>
      <w:r>
        <w:rPr>
          <w:rFonts w:cs="Arial"/>
          <w:lang w:eastAsia="fr-CA"/>
        </w:rPr>
        <w:t>produit un rapport préparé par Valéry Giroux (</w:t>
      </w:r>
      <w:r w:rsidRPr="00036A5E">
        <w:rPr>
          <w:rFonts w:cs="Arial"/>
          <w:b/>
          <w:bCs/>
          <w:lang w:eastAsia="fr-CA"/>
        </w:rPr>
        <w:t>Giroux</w:t>
      </w:r>
      <w:r>
        <w:rPr>
          <w:rFonts w:cs="Arial"/>
          <w:lang w:eastAsia="fr-CA"/>
        </w:rPr>
        <w:t xml:space="preserve">) qui porte sur l’éthique animale et la philosophie morale (le </w:t>
      </w:r>
      <w:r w:rsidRPr="00036A5E">
        <w:rPr>
          <w:rFonts w:cs="Arial"/>
          <w:b/>
          <w:bCs/>
          <w:lang w:eastAsia="fr-CA"/>
        </w:rPr>
        <w:t>Rapport Giroux</w:t>
      </w:r>
      <w:r>
        <w:rPr>
          <w:rFonts w:cs="Arial"/>
          <w:lang w:eastAsia="fr-CA"/>
        </w:rPr>
        <w:t>)</w:t>
      </w:r>
      <w:r>
        <w:rPr>
          <w:rStyle w:val="Appelnotedebasdep"/>
          <w:rFonts w:cs="Arial"/>
          <w:lang w:eastAsia="fr-CA"/>
        </w:rPr>
        <w:footnoteReference w:id="81"/>
      </w:r>
      <w:r>
        <w:rPr>
          <w:rFonts w:cs="Arial"/>
          <w:lang w:eastAsia="fr-CA"/>
        </w:rPr>
        <w:t>. Le MFFP demand</w:t>
      </w:r>
      <w:r w:rsidR="007D4D19">
        <w:rPr>
          <w:rFonts w:cs="Arial"/>
          <w:lang w:eastAsia="fr-CA"/>
        </w:rPr>
        <w:t>e</w:t>
      </w:r>
      <w:r>
        <w:rPr>
          <w:rFonts w:cs="Arial"/>
          <w:lang w:eastAsia="fr-CA"/>
        </w:rPr>
        <w:t xml:space="preserve"> le rejet de ce rapport, demande </w:t>
      </w:r>
      <w:r w:rsidR="007D4D19">
        <w:rPr>
          <w:rFonts w:cs="Arial"/>
          <w:lang w:eastAsia="fr-CA"/>
        </w:rPr>
        <w:t>que</w:t>
      </w:r>
      <w:r>
        <w:rPr>
          <w:rFonts w:cs="Arial"/>
          <w:lang w:eastAsia="fr-CA"/>
        </w:rPr>
        <w:t xml:space="preserve"> l</w:t>
      </w:r>
      <w:r w:rsidR="00564786">
        <w:rPr>
          <w:rFonts w:cs="Arial"/>
          <w:lang w:eastAsia="fr-CA"/>
        </w:rPr>
        <w:t>a Cour</w:t>
      </w:r>
      <w:r>
        <w:rPr>
          <w:rFonts w:cs="Arial"/>
          <w:lang w:eastAsia="fr-CA"/>
        </w:rPr>
        <w:t xml:space="preserve"> </w:t>
      </w:r>
      <w:r w:rsidR="007D4D19">
        <w:rPr>
          <w:rFonts w:cs="Arial"/>
          <w:lang w:eastAsia="fr-CA"/>
        </w:rPr>
        <w:t xml:space="preserve">rejette </w:t>
      </w:r>
      <w:r>
        <w:rPr>
          <w:rFonts w:cs="Arial"/>
          <w:lang w:eastAsia="fr-CA"/>
        </w:rPr>
        <w:t>le 7 décembre 2022.</w:t>
      </w:r>
    </w:p>
    <w:p w14:paraId="16F4C057" w14:textId="071CE96C" w:rsidR="00036A5E" w:rsidRDefault="00036A5E" w:rsidP="00CB122A">
      <w:pPr>
        <w:numPr>
          <w:ilvl w:val="0"/>
          <w:numId w:val="1"/>
        </w:numPr>
        <w:tabs>
          <w:tab w:val="clear" w:pos="360"/>
        </w:tabs>
        <w:spacing w:before="120" w:after="120"/>
        <w:jc w:val="both"/>
        <w:rPr>
          <w:rFonts w:cs="Arial"/>
          <w:lang w:eastAsia="fr-CA"/>
        </w:rPr>
      </w:pPr>
      <w:r>
        <w:rPr>
          <w:rFonts w:cs="Arial"/>
          <w:lang w:eastAsia="fr-CA"/>
        </w:rPr>
        <w:t>Enfin, le MFFP produit une « </w:t>
      </w:r>
      <w:r w:rsidR="00777032">
        <w:rPr>
          <w:rFonts w:cs="Arial"/>
          <w:lang w:eastAsia="fr-CA"/>
        </w:rPr>
        <w:t>E</w:t>
      </w:r>
      <w:r>
        <w:rPr>
          <w:rFonts w:cs="Arial"/>
          <w:lang w:eastAsia="fr-CA"/>
        </w:rPr>
        <w:t>xpertise relative au dénombrement des cerfs du parc Michel-Chartrand » préparée par Mmes Cadieux et de Bellefeuille</w:t>
      </w:r>
      <w:r w:rsidR="006718BE">
        <w:rPr>
          <w:rFonts w:cs="Arial"/>
          <w:lang w:eastAsia="fr-CA"/>
        </w:rPr>
        <w:t>,</w:t>
      </w:r>
      <w:r>
        <w:rPr>
          <w:rFonts w:cs="Arial"/>
          <w:lang w:eastAsia="fr-CA"/>
        </w:rPr>
        <w:t xml:space="preserve"> toutes deux biologistes au sein du MFFP (le </w:t>
      </w:r>
      <w:r w:rsidRPr="00036A5E">
        <w:rPr>
          <w:rFonts w:cs="Arial"/>
          <w:b/>
          <w:bCs/>
          <w:lang w:eastAsia="fr-CA"/>
        </w:rPr>
        <w:t xml:space="preserve">Rapport </w:t>
      </w:r>
      <w:r w:rsidR="00B92E90">
        <w:rPr>
          <w:rFonts w:cs="Arial"/>
          <w:b/>
          <w:bCs/>
          <w:lang w:eastAsia="fr-CA"/>
        </w:rPr>
        <w:t>Cadieux-de Bellefeuille</w:t>
      </w:r>
      <w:r>
        <w:rPr>
          <w:rFonts w:cs="Arial"/>
          <w:lang w:eastAsia="fr-CA"/>
        </w:rPr>
        <w:t>)</w:t>
      </w:r>
      <w:r w:rsidR="00B92E90">
        <w:rPr>
          <w:rStyle w:val="Appelnotedebasdep"/>
          <w:rFonts w:cs="Arial"/>
          <w:lang w:eastAsia="fr-CA"/>
        </w:rPr>
        <w:footnoteReference w:id="82"/>
      </w:r>
      <w:r>
        <w:rPr>
          <w:rFonts w:cs="Arial"/>
          <w:lang w:eastAsia="fr-CA"/>
        </w:rPr>
        <w:t xml:space="preserve">. </w:t>
      </w:r>
      <w:r w:rsidR="00B92E90">
        <w:rPr>
          <w:rFonts w:cs="Arial"/>
          <w:lang w:eastAsia="fr-CA"/>
        </w:rPr>
        <w:t xml:space="preserve">Ce rapport, </w:t>
      </w:r>
      <w:r w:rsidR="00564786">
        <w:rPr>
          <w:rFonts w:cs="Arial"/>
          <w:lang w:eastAsia="fr-CA"/>
        </w:rPr>
        <w:t>daté du</w:t>
      </w:r>
      <w:r>
        <w:rPr>
          <w:rFonts w:cs="Arial"/>
          <w:lang w:eastAsia="fr-CA"/>
        </w:rPr>
        <w:t xml:space="preserve"> </w:t>
      </w:r>
      <w:r w:rsidR="00777032">
        <w:rPr>
          <w:rFonts w:cs="Arial"/>
          <w:lang w:eastAsia="fr-CA"/>
        </w:rPr>
        <w:t>17</w:t>
      </w:r>
      <w:r w:rsidR="00556F68">
        <w:rPr>
          <w:rFonts w:cs="Arial"/>
          <w:lang w:eastAsia="fr-CA"/>
        </w:rPr>
        <w:t xml:space="preserve"> </w:t>
      </w:r>
      <w:r>
        <w:rPr>
          <w:rFonts w:cs="Arial"/>
          <w:lang w:eastAsia="fr-CA"/>
        </w:rPr>
        <w:t>février 202</w:t>
      </w:r>
      <w:r w:rsidR="00777032">
        <w:rPr>
          <w:rFonts w:cs="Arial"/>
          <w:lang w:eastAsia="fr-CA"/>
        </w:rPr>
        <w:t>3</w:t>
      </w:r>
      <w:r w:rsidR="00B92E90">
        <w:rPr>
          <w:rFonts w:cs="Arial"/>
          <w:lang w:eastAsia="fr-CA"/>
        </w:rPr>
        <w:t>,</w:t>
      </w:r>
      <w:r>
        <w:rPr>
          <w:rFonts w:cs="Arial"/>
          <w:lang w:eastAsia="fr-CA"/>
        </w:rPr>
        <w:t xml:space="preserve"> </w:t>
      </w:r>
      <w:r w:rsidR="00B92E90">
        <w:rPr>
          <w:rFonts w:cs="Arial"/>
          <w:lang w:eastAsia="fr-CA"/>
        </w:rPr>
        <w:t xml:space="preserve">consiste à valider l’inventaire de cerfs </w:t>
      </w:r>
      <w:r w:rsidR="00777032">
        <w:rPr>
          <w:rFonts w:cs="Arial"/>
          <w:lang w:eastAsia="fr-CA"/>
        </w:rPr>
        <w:t>réalisé le 24 février 2022</w:t>
      </w:r>
      <w:r w:rsidR="0016744A">
        <w:rPr>
          <w:rFonts w:cs="Arial"/>
          <w:lang w:eastAsia="fr-CA"/>
        </w:rPr>
        <w:t xml:space="preserve"> </w:t>
      </w:r>
      <w:r>
        <w:rPr>
          <w:rFonts w:cs="Arial"/>
          <w:lang w:eastAsia="fr-CA"/>
        </w:rPr>
        <w:t>et à commenter le Rapport Stand.</w:t>
      </w:r>
    </w:p>
    <w:p w14:paraId="63DDAFC1" w14:textId="6983809F" w:rsidR="00036A5E" w:rsidRPr="00036A5E" w:rsidRDefault="00036A5E" w:rsidP="00EC1309">
      <w:pPr>
        <w:pStyle w:val="Titre5"/>
        <w:rPr>
          <w:lang w:eastAsia="fr-CA"/>
        </w:rPr>
      </w:pPr>
      <w:bookmarkStart w:id="53" w:name="_Toc144367237"/>
      <w:r w:rsidRPr="00036A5E">
        <w:rPr>
          <w:lang w:eastAsia="fr-CA"/>
        </w:rPr>
        <w:t>Le Rapport Stand</w:t>
      </w:r>
      <w:bookmarkEnd w:id="53"/>
    </w:p>
    <w:p w14:paraId="10B52551" w14:textId="31E827D5" w:rsidR="00036A5E" w:rsidRDefault="00D30B99" w:rsidP="00CB122A">
      <w:pPr>
        <w:widowControl w:val="0"/>
        <w:numPr>
          <w:ilvl w:val="0"/>
          <w:numId w:val="1"/>
        </w:numPr>
        <w:tabs>
          <w:tab w:val="clear" w:pos="360"/>
        </w:tabs>
        <w:spacing w:before="120" w:after="120"/>
        <w:jc w:val="both"/>
        <w:rPr>
          <w:rFonts w:cs="Arial"/>
          <w:lang w:eastAsia="fr-CA"/>
        </w:rPr>
      </w:pPr>
      <w:r>
        <w:rPr>
          <w:rFonts w:cs="Arial"/>
          <w:lang w:eastAsia="fr-CA"/>
        </w:rPr>
        <w:t xml:space="preserve">D’entrée de jeu, le Tribunal souligne que le Rapport Stand </w:t>
      </w:r>
      <w:r w:rsidR="007D4D19">
        <w:rPr>
          <w:rFonts w:cs="Arial"/>
          <w:lang w:eastAsia="fr-CA"/>
        </w:rPr>
        <w:t>n’apparaît</w:t>
      </w:r>
      <w:r>
        <w:rPr>
          <w:rFonts w:cs="Arial"/>
          <w:lang w:eastAsia="fr-CA"/>
        </w:rPr>
        <w:t xml:space="preserve"> d</w:t>
      </w:r>
      <w:r w:rsidR="00564786">
        <w:rPr>
          <w:rFonts w:cs="Arial"/>
          <w:lang w:eastAsia="fr-CA"/>
        </w:rPr>
        <w:t xml:space="preserve">’aucune </w:t>
      </w:r>
      <w:r>
        <w:rPr>
          <w:rFonts w:cs="Arial"/>
          <w:lang w:eastAsia="fr-CA"/>
        </w:rPr>
        <w:t>utilité à la solution du litige. En effet, il expose des constats à la suite d’un exercice de dénombrement réalisé le 10 novembre 2022</w:t>
      </w:r>
      <w:r w:rsidR="008F17C0">
        <w:rPr>
          <w:rFonts w:cs="Arial"/>
          <w:lang w:eastAsia="fr-CA"/>
        </w:rPr>
        <w:t>,</w:t>
      </w:r>
      <w:r>
        <w:rPr>
          <w:rFonts w:cs="Arial"/>
          <w:lang w:eastAsia="fr-CA"/>
        </w:rPr>
        <w:t xml:space="preserve"> soit bien après </w:t>
      </w:r>
      <w:r w:rsidR="008F17C0">
        <w:rPr>
          <w:rFonts w:cs="Arial"/>
          <w:lang w:eastAsia="fr-CA"/>
        </w:rPr>
        <w:t xml:space="preserve">l’adoption de la Résolution et </w:t>
      </w:r>
      <w:r>
        <w:rPr>
          <w:rFonts w:cs="Arial"/>
          <w:lang w:eastAsia="fr-CA"/>
        </w:rPr>
        <w:t xml:space="preserve">la délivrance du Permis SEG. Or, c’est à travers le prisme du dossier tel que constitué </w:t>
      </w:r>
      <w:r w:rsidR="004169C6">
        <w:rPr>
          <w:rFonts w:cs="Arial"/>
          <w:lang w:eastAsia="fr-CA"/>
        </w:rPr>
        <w:t>devant</w:t>
      </w:r>
      <w:r>
        <w:rPr>
          <w:rFonts w:cs="Arial"/>
          <w:lang w:eastAsia="fr-CA"/>
        </w:rPr>
        <w:t xml:space="preserve"> le décideur que doit s’exercer le c</w:t>
      </w:r>
      <w:r w:rsidR="00F13BFE">
        <w:rPr>
          <w:rFonts w:cs="Arial"/>
          <w:lang w:eastAsia="fr-CA"/>
        </w:rPr>
        <w:t>ontrôle judiciaire</w:t>
      </w:r>
      <w:r w:rsidR="008F17C0">
        <w:rPr>
          <w:rStyle w:val="Appelnotedebasdep"/>
          <w:rFonts w:cs="Arial"/>
          <w:lang w:eastAsia="fr-CA"/>
        </w:rPr>
        <w:footnoteReference w:id="83"/>
      </w:r>
      <w:r w:rsidR="00F13BFE">
        <w:rPr>
          <w:rFonts w:cs="Arial"/>
          <w:lang w:eastAsia="fr-CA"/>
        </w:rPr>
        <w:t>.</w:t>
      </w:r>
    </w:p>
    <w:p w14:paraId="60BF5E5A" w14:textId="66873DDF" w:rsidR="00F13BFE" w:rsidRDefault="00AC2FE6" w:rsidP="00CB122A">
      <w:pPr>
        <w:widowControl w:val="0"/>
        <w:numPr>
          <w:ilvl w:val="0"/>
          <w:numId w:val="1"/>
        </w:numPr>
        <w:tabs>
          <w:tab w:val="clear" w:pos="360"/>
        </w:tabs>
        <w:spacing w:before="120" w:after="120"/>
        <w:jc w:val="both"/>
        <w:rPr>
          <w:rFonts w:cs="Arial"/>
          <w:lang w:eastAsia="fr-CA"/>
        </w:rPr>
      </w:pPr>
      <w:r>
        <w:rPr>
          <w:rFonts w:cs="Arial"/>
          <w:lang w:eastAsia="fr-CA"/>
        </w:rPr>
        <w:t>Mais il y a plus.</w:t>
      </w:r>
      <w:r w:rsidR="00F13BFE">
        <w:rPr>
          <w:rFonts w:cs="Arial"/>
          <w:lang w:eastAsia="fr-CA"/>
        </w:rPr>
        <w:t xml:space="preserve"> </w:t>
      </w:r>
      <w:r>
        <w:rPr>
          <w:rFonts w:cs="Arial"/>
          <w:lang w:eastAsia="fr-CA"/>
        </w:rPr>
        <w:t>L</w:t>
      </w:r>
      <w:r w:rsidR="00F13BFE">
        <w:rPr>
          <w:rFonts w:cs="Arial"/>
          <w:lang w:eastAsia="fr-CA"/>
        </w:rPr>
        <w:t>e</w:t>
      </w:r>
      <w:r>
        <w:rPr>
          <w:rFonts w:cs="Arial"/>
          <w:lang w:eastAsia="fr-CA"/>
        </w:rPr>
        <w:t xml:space="preserve"> </w:t>
      </w:r>
      <w:r w:rsidR="00F13BFE">
        <w:rPr>
          <w:rFonts w:cs="Arial"/>
          <w:lang w:eastAsia="fr-CA"/>
        </w:rPr>
        <w:t>Rapport Stand indique que le m</w:t>
      </w:r>
      <w:r w:rsidR="0084314E">
        <w:rPr>
          <w:rFonts w:cs="Arial"/>
          <w:lang w:eastAsia="fr-CA"/>
        </w:rPr>
        <w:t>a</w:t>
      </w:r>
      <w:r w:rsidR="00F13BFE">
        <w:rPr>
          <w:rFonts w:cs="Arial"/>
          <w:lang w:eastAsia="fr-CA"/>
        </w:rPr>
        <w:t>n</w:t>
      </w:r>
      <w:r w:rsidR="0084314E">
        <w:rPr>
          <w:rFonts w:cs="Arial"/>
          <w:lang w:eastAsia="fr-CA"/>
        </w:rPr>
        <w:t>da</w:t>
      </w:r>
      <w:r w:rsidR="00F13BFE">
        <w:rPr>
          <w:rFonts w:cs="Arial"/>
          <w:lang w:eastAsia="fr-CA"/>
        </w:rPr>
        <w:t>t consiste à « dénombrer les sources de chaleur pouvant représenter des cerfs de Virginie présents dans le parc Michel-Chartrand à Longueuil à l’aide de prises de photos infrarouges à partir d’un aéronef télépiloté (ci-après nommé drone) ».</w:t>
      </w:r>
    </w:p>
    <w:p w14:paraId="50AD56A8" w14:textId="345FE516" w:rsidR="00F13BFE" w:rsidRDefault="005A3779" w:rsidP="00CB122A">
      <w:pPr>
        <w:widowControl w:val="0"/>
        <w:numPr>
          <w:ilvl w:val="0"/>
          <w:numId w:val="1"/>
        </w:numPr>
        <w:tabs>
          <w:tab w:val="clear" w:pos="360"/>
        </w:tabs>
        <w:spacing w:before="120" w:after="120"/>
        <w:jc w:val="both"/>
        <w:rPr>
          <w:rFonts w:cs="Arial"/>
          <w:lang w:eastAsia="fr-CA"/>
        </w:rPr>
      </w:pPr>
      <w:r>
        <w:rPr>
          <w:rFonts w:cs="Arial"/>
          <w:lang w:eastAsia="fr-CA"/>
        </w:rPr>
        <w:t xml:space="preserve">Or, ce rapport présente de nombreuses faiblesses qui </w:t>
      </w:r>
      <w:r w:rsidR="0084314E">
        <w:rPr>
          <w:rFonts w:cs="Arial"/>
          <w:lang w:eastAsia="fr-CA"/>
        </w:rPr>
        <w:t>affectent</w:t>
      </w:r>
      <w:r>
        <w:rPr>
          <w:rFonts w:cs="Arial"/>
          <w:lang w:eastAsia="fr-CA"/>
        </w:rPr>
        <w:t xml:space="preserve"> significativement sa valeur probante. Par exemple, il est tout à fait silencieux quant à l’expertise de l’entreprise ou du pilote du drone</w:t>
      </w:r>
      <w:r w:rsidR="004169C6">
        <w:rPr>
          <w:rFonts w:cs="Arial"/>
          <w:lang w:eastAsia="fr-CA"/>
        </w:rPr>
        <w:t>,</w:t>
      </w:r>
      <w:r>
        <w:rPr>
          <w:rFonts w:cs="Arial"/>
          <w:lang w:eastAsia="fr-CA"/>
        </w:rPr>
        <w:t xml:space="preserve"> Guillaume Richer-Lalonde</w:t>
      </w:r>
      <w:r w:rsidR="004169C6">
        <w:rPr>
          <w:rFonts w:cs="Arial"/>
          <w:lang w:eastAsia="fr-CA"/>
        </w:rPr>
        <w:t>,</w:t>
      </w:r>
      <w:r>
        <w:rPr>
          <w:rFonts w:cs="Arial"/>
          <w:lang w:eastAsia="fr-CA"/>
        </w:rPr>
        <w:t xml:space="preserve"> en matière d’inventaire faunique. De fait, </w:t>
      </w:r>
      <w:r w:rsidR="00CC1217">
        <w:rPr>
          <w:rFonts w:cs="Arial"/>
          <w:lang w:eastAsia="fr-CA"/>
        </w:rPr>
        <w:t>le</w:t>
      </w:r>
      <w:r>
        <w:rPr>
          <w:rFonts w:cs="Arial"/>
          <w:lang w:eastAsia="fr-CA"/>
        </w:rPr>
        <w:t xml:space="preserve"> profil </w:t>
      </w:r>
      <w:r w:rsidR="00CC1217">
        <w:rPr>
          <w:rFonts w:cs="Arial"/>
          <w:lang w:eastAsia="fr-CA"/>
        </w:rPr>
        <w:t xml:space="preserve">de ce dernier </w:t>
      </w:r>
      <w:r>
        <w:rPr>
          <w:rFonts w:cs="Arial"/>
          <w:lang w:eastAsia="fr-CA"/>
        </w:rPr>
        <w:t>révèle qu</w:t>
      </w:r>
      <w:r w:rsidR="00C42095">
        <w:rPr>
          <w:rFonts w:cs="Arial"/>
          <w:lang w:eastAsia="fr-CA"/>
        </w:rPr>
        <w:t>e</w:t>
      </w:r>
      <w:r>
        <w:rPr>
          <w:rFonts w:cs="Arial"/>
          <w:lang w:eastAsia="fr-CA"/>
        </w:rPr>
        <w:t xml:space="preserve"> ses missions de vols </w:t>
      </w:r>
      <w:r w:rsidR="00C42095">
        <w:rPr>
          <w:rFonts w:cs="Arial"/>
          <w:lang w:eastAsia="fr-CA"/>
        </w:rPr>
        <w:t xml:space="preserve">se rapportent à des domaines </w:t>
      </w:r>
      <w:r>
        <w:rPr>
          <w:rFonts w:cs="Arial"/>
          <w:lang w:eastAsia="fr-CA"/>
        </w:rPr>
        <w:t>fort distants de l’inventaire faunique : évènementiel, commercial, industriel et artistique</w:t>
      </w:r>
      <w:r>
        <w:rPr>
          <w:rStyle w:val="Appelnotedebasdep"/>
          <w:rFonts w:cs="Arial"/>
          <w:lang w:eastAsia="fr-CA"/>
        </w:rPr>
        <w:footnoteReference w:id="84"/>
      </w:r>
      <w:r>
        <w:rPr>
          <w:rFonts w:cs="Arial"/>
          <w:lang w:eastAsia="fr-CA"/>
        </w:rPr>
        <w:t>.</w:t>
      </w:r>
    </w:p>
    <w:p w14:paraId="485DE0D4" w14:textId="00ECE9C8" w:rsidR="005A3779" w:rsidRPr="005A3779" w:rsidRDefault="00564786" w:rsidP="00CB122A">
      <w:pPr>
        <w:widowControl w:val="0"/>
        <w:numPr>
          <w:ilvl w:val="0"/>
          <w:numId w:val="1"/>
        </w:numPr>
        <w:tabs>
          <w:tab w:val="clear" w:pos="360"/>
        </w:tabs>
        <w:spacing w:before="120" w:after="120"/>
        <w:jc w:val="both"/>
        <w:rPr>
          <w:rFonts w:cs="Arial"/>
          <w:lang w:eastAsia="fr-CA"/>
        </w:rPr>
      </w:pPr>
      <w:r>
        <w:rPr>
          <w:rFonts w:cs="Arial"/>
          <w:lang w:eastAsia="fr-CA"/>
        </w:rPr>
        <w:t>Aussi</w:t>
      </w:r>
      <w:r w:rsidR="005A3779">
        <w:rPr>
          <w:rFonts w:cs="Arial"/>
          <w:lang w:eastAsia="fr-CA"/>
        </w:rPr>
        <w:t xml:space="preserve">, la méthode suivie vise à identifier des sources de chaleur. </w:t>
      </w:r>
      <w:r w:rsidR="00AC2FE6">
        <w:rPr>
          <w:rFonts w:cs="Arial"/>
          <w:lang w:eastAsia="fr-CA"/>
        </w:rPr>
        <w:t>D</w:t>
      </w:r>
      <w:r w:rsidR="005A3779">
        <w:rPr>
          <w:rFonts w:cs="Arial"/>
          <w:lang w:eastAsia="fr-CA"/>
        </w:rPr>
        <w:t>ans</w:t>
      </w:r>
      <w:r w:rsidR="00AC2FE6">
        <w:rPr>
          <w:rFonts w:cs="Arial"/>
          <w:lang w:eastAsia="fr-CA"/>
        </w:rPr>
        <w:t xml:space="preserve"> </w:t>
      </w:r>
      <w:r w:rsidR="005A3779">
        <w:rPr>
          <w:rFonts w:cs="Arial"/>
          <w:lang w:eastAsia="fr-CA"/>
        </w:rPr>
        <w:t xml:space="preserve">un endroit comme le Parc, les sources de chaleur peuvent être nombreuses et rien n’indique comment l’auteur les distingue. </w:t>
      </w:r>
      <w:r>
        <w:rPr>
          <w:rFonts w:cs="Arial"/>
          <w:lang w:eastAsia="fr-CA"/>
        </w:rPr>
        <w:t>D’ailleurs</w:t>
      </w:r>
      <w:r w:rsidR="005A3779">
        <w:rPr>
          <w:rFonts w:cs="Arial"/>
          <w:lang w:eastAsia="fr-CA"/>
        </w:rPr>
        <w:t>, le rapport mentionne que « … Stand ne peut être tenu responsable de facteurs externes ou inconnus qui auraient pu affecter l’exactitude du dénombrement</w:t>
      </w:r>
      <w:r w:rsidR="005A3779">
        <w:rPr>
          <w:rStyle w:val="Appelnotedebasdep"/>
          <w:rFonts w:cs="Arial"/>
          <w:lang w:eastAsia="fr-CA"/>
        </w:rPr>
        <w:footnoteReference w:id="85"/>
      </w:r>
      <w:r w:rsidR="0084314E">
        <w:rPr>
          <w:rFonts w:cs="Arial"/>
          <w:lang w:eastAsia="fr-CA"/>
        </w:rPr>
        <w:t> »</w:t>
      </w:r>
      <w:r>
        <w:rPr>
          <w:rFonts w:cs="Arial"/>
          <w:lang w:eastAsia="fr-CA"/>
        </w:rPr>
        <w:t xml:space="preserve"> sans identifier </w:t>
      </w:r>
      <w:r w:rsidR="005A3779">
        <w:rPr>
          <w:rFonts w:cs="Arial"/>
          <w:lang w:eastAsia="fr-CA"/>
        </w:rPr>
        <w:t>ces facteurs</w:t>
      </w:r>
      <w:r>
        <w:rPr>
          <w:rFonts w:cs="Arial"/>
          <w:lang w:eastAsia="fr-CA"/>
        </w:rPr>
        <w:t xml:space="preserve"> ni la </w:t>
      </w:r>
      <w:r w:rsidR="005A3779">
        <w:rPr>
          <w:rFonts w:cs="Arial"/>
          <w:lang w:eastAsia="fr-CA"/>
        </w:rPr>
        <w:t>marge d’erreur</w:t>
      </w:r>
      <w:r>
        <w:rPr>
          <w:rFonts w:cs="Arial"/>
          <w:lang w:eastAsia="fr-CA"/>
        </w:rPr>
        <w:t xml:space="preserve"> qui en résulte</w:t>
      </w:r>
      <w:r w:rsidR="005A3779">
        <w:t>.</w:t>
      </w:r>
    </w:p>
    <w:p w14:paraId="16310951" w14:textId="19FD2090" w:rsidR="005A3779" w:rsidRPr="003C61ED" w:rsidRDefault="005A3779" w:rsidP="00CB122A">
      <w:pPr>
        <w:widowControl w:val="0"/>
        <w:numPr>
          <w:ilvl w:val="0"/>
          <w:numId w:val="1"/>
        </w:numPr>
        <w:tabs>
          <w:tab w:val="clear" w:pos="360"/>
        </w:tabs>
        <w:spacing w:before="120" w:after="120"/>
        <w:jc w:val="both"/>
        <w:rPr>
          <w:rFonts w:cs="Arial"/>
          <w:lang w:eastAsia="fr-CA"/>
        </w:rPr>
      </w:pPr>
      <w:r>
        <w:t xml:space="preserve">Tout cela mène à la conclusion mal assurée </w:t>
      </w:r>
      <w:r w:rsidR="00AC2FE6">
        <w:t>du rapport</w:t>
      </w:r>
      <w:r w:rsidR="00095E97">
        <w:t xml:space="preserve"> </w:t>
      </w:r>
      <w:r>
        <w:t xml:space="preserve">que « nous pouvons dénombrer </w:t>
      </w:r>
      <w:r w:rsidRPr="00AA1757">
        <w:rPr>
          <w:u w:val="single"/>
        </w:rPr>
        <w:t>environ une soixantaine</w:t>
      </w:r>
      <w:r w:rsidRPr="00711215">
        <w:t xml:space="preserve"> de </w:t>
      </w:r>
      <w:r w:rsidRPr="00AA1757">
        <w:rPr>
          <w:u w:val="single"/>
        </w:rPr>
        <w:t>sources de chaleur</w:t>
      </w:r>
      <w:r>
        <w:t xml:space="preserve"> pré</w:t>
      </w:r>
      <w:r w:rsidR="003C61ED">
        <w:t xml:space="preserve">sentes </w:t>
      </w:r>
      <w:r w:rsidR="003C61ED" w:rsidRPr="003C61ED">
        <w:rPr>
          <w:u w:val="single"/>
        </w:rPr>
        <w:t>pouvant représenter</w:t>
      </w:r>
      <w:r w:rsidR="003C61ED">
        <w:t xml:space="preserve"> des cerfs de Virginie dans le parc lors de la collecte » </w:t>
      </w:r>
      <w:r w:rsidR="003C61ED" w:rsidRPr="008037AE">
        <w:t>(</w:t>
      </w:r>
      <w:r w:rsidR="00D46937" w:rsidRPr="008037AE">
        <w:t>S</w:t>
      </w:r>
      <w:r w:rsidR="003C61ED" w:rsidRPr="008037AE">
        <w:t>oulignements du Tribunal).</w:t>
      </w:r>
    </w:p>
    <w:p w14:paraId="776D9201" w14:textId="53022029" w:rsidR="003C61ED" w:rsidRPr="003C61ED" w:rsidRDefault="003C61ED" w:rsidP="00EC1309">
      <w:pPr>
        <w:pStyle w:val="Titre5"/>
      </w:pPr>
      <w:bookmarkStart w:id="54" w:name="_Toc144367238"/>
      <w:r w:rsidRPr="003C61ED">
        <w:lastRenderedPageBreak/>
        <w:t>Le Rapport Autenne</w:t>
      </w:r>
      <w:bookmarkEnd w:id="54"/>
    </w:p>
    <w:p w14:paraId="54BFCDFA" w14:textId="1D921F56" w:rsidR="003C61ED" w:rsidRDefault="003C61ED" w:rsidP="00CB122A">
      <w:pPr>
        <w:widowControl w:val="0"/>
        <w:numPr>
          <w:ilvl w:val="0"/>
          <w:numId w:val="1"/>
        </w:numPr>
        <w:tabs>
          <w:tab w:val="clear" w:pos="360"/>
        </w:tabs>
        <w:spacing w:before="120" w:after="120"/>
        <w:jc w:val="both"/>
        <w:rPr>
          <w:rFonts w:cs="Arial"/>
          <w:lang w:eastAsia="fr-CA"/>
        </w:rPr>
      </w:pPr>
      <w:r>
        <w:rPr>
          <w:rFonts w:cs="Arial"/>
          <w:lang w:eastAsia="fr-CA"/>
        </w:rPr>
        <w:t xml:space="preserve">Sommairement, le Rapport Autenne </w:t>
      </w:r>
      <w:r w:rsidR="00853DD8">
        <w:rPr>
          <w:rFonts w:cs="Arial"/>
          <w:lang w:eastAsia="fr-CA"/>
        </w:rPr>
        <w:t>avance</w:t>
      </w:r>
      <w:r>
        <w:rPr>
          <w:rFonts w:cs="Arial"/>
          <w:lang w:eastAsia="fr-CA"/>
        </w:rPr>
        <w:t xml:space="preserve"> que la capture et le déplacement des cerfs et la stérilisation par vasectomie s’avèrent deux méthodes de </w:t>
      </w:r>
      <w:r w:rsidRPr="00AA1757">
        <w:rPr>
          <w:rFonts w:cs="Arial"/>
          <w:lang w:eastAsia="fr-CA"/>
        </w:rPr>
        <w:t>ré</w:t>
      </w:r>
      <w:r w:rsidR="00AA1757">
        <w:rPr>
          <w:rFonts w:cs="Arial"/>
          <w:lang w:eastAsia="fr-CA"/>
        </w:rPr>
        <w:t>g</w:t>
      </w:r>
      <w:r w:rsidRPr="00AA1757">
        <w:rPr>
          <w:rFonts w:cs="Arial"/>
          <w:lang w:eastAsia="fr-CA"/>
        </w:rPr>
        <w:t>u</w:t>
      </w:r>
      <w:r w:rsidR="00AA1757">
        <w:rPr>
          <w:rFonts w:cs="Arial"/>
          <w:lang w:eastAsia="fr-CA"/>
        </w:rPr>
        <w:t>l</w:t>
      </w:r>
      <w:r w:rsidRPr="00AA1757">
        <w:rPr>
          <w:rFonts w:cs="Arial"/>
          <w:lang w:eastAsia="fr-CA"/>
        </w:rPr>
        <w:t>ation</w:t>
      </w:r>
      <w:r>
        <w:rPr>
          <w:rFonts w:cs="Arial"/>
          <w:lang w:eastAsia="fr-CA"/>
        </w:rPr>
        <w:t xml:space="preserve"> du cheptel qui peuvent </w:t>
      </w:r>
      <w:r w:rsidR="00BE0808" w:rsidRPr="00485A0E">
        <w:rPr>
          <w:rFonts w:cs="Arial"/>
          <w:lang w:eastAsia="fr-CA"/>
        </w:rPr>
        <w:t>être</w:t>
      </w:r>
      <w:r w:rsidR="00BE0808">
        <w:rPr>
          <w:rFonts w:cs="Arial"/>
          <w:lang w:eastAsia="fr-CA"/>
        </w:rPr>
        <w:t xml:space="preserve"> </w:t>
      </w:r>
      <w:r w:rsidR="004E1481">
        <w:rPr>
          <w:rFonts w:cs="Arial"/>
          <w:lang w:eastAsia="fr-CA"/>
        </w:rPr>
        <w:t>mises en œuvre sans contrevenir aux impératifs biologiques des animaux.</w:t>
      </w:r>
    </w:p>
    <w:p w14:paraId="0C9866D7" w14:textId="41311ACB" w:rsidR="004E1481" w:rsidRDefault="004E1481" w:rsidP="00CB122A">
      <w:pPr>
        <w:widowControl w:val="0"/>
        <w:numPr>
          <w:ilvl w:val="0"/>
          <w:numId w:val="1"/>
        </w:numPr>
        <w:tabs>
          <w:tab w:val="clear" w:pos="360"/>
        </w:tabs>
        <w:spacing w:before="120" w:after="120"/>
        <w:jc w:val="both"/>
        <w:rPr>
          <w:rFonts w:cs="Arial"/>
          <w:lang w:eastAsia="fr-CA"/>
        </w:rPr>
      </w:pPr>
      <w:r>
        <w:rPr>
          <w:rFonts w:cs="Arial"/>
          <w:lang w:eastAsia="fr-CA"/>
        </w:rPr>
        <w:t>Quant à la chasse à l’arbalète, Autenne y écrit qu’elle est doublement contr</w:t>
      </w:r>
      <w:r w:rsidR="002D2194">
        <w:rPr>
          <w:rFonts w:cs="Arial"/>
          <w:lang w:eastAsia="fr-CA"/>
        </w:rPr>
        <w:t>e</w:t>
      </w:r>
      <w:r w:rsidR="002D2194">
        <w:rPr>
          <w:rFonts w:cs="Arial"/>
          <w:lang w:eastAsia="fr-CA"/>
        </w:rPr>
        <w:noBreakHyphen/>
      </w:r>
      <w:r>
        <w:rPr>
          <w:rFonts w:cs="Arial"/>
          <w:lang w:eastAsia="fr-CA"/>
        </w:rPr>
        <w:t>indiquée. D’une part, en raison de son manque d’efficacité et, d’autre part, pour l’importance du stress et de la souffrance qu’elle provoque inévitablement à l’animal.</w:t>
      </w:r>
    </w:p>
    <w:p w14:paraId="6E2A0E6C" w14:textId="447B6B0E" w:rsidR="004E1481" w:rsidRDefault="004E1481" w:rsidP="00CB122A">
      <w:pPr>
        <w:widowControl w:val="0"/>
        <w:numPr>
          <w:ilvl w:val="0"/>
          <w:numId w:val="1"/>
        </w:numPr>
        <w:tabs>
          <w:tab w:val="clear" w:pos="360"/>
        </w:tabs>
        <w:spacing w:before="120" w:after="120"/>
        <w:jc w:val="both"/>
        <w:rPr>
          <w:rFonts w:cs="Arial"/>
          <w:lang w:eastAsia="fr-CA"/>
        </w:rPr>
      </w:pPr>
      <w:r>
        <w:rPr>
          <w:rFonts w:cs="Arial"/>
          <w:lang w:eastAsia="fr-CA"/>
        </w:rPr>
        <w:t xml:space="preserve">À l’instruction, </w:t>
      </w:r>
      <w:r w:rsidR="007D4D19">
        <w:rPr>
          <w:rFonts w:cs="Arial"/>
          <w:lang w:eastAsia="fr-CA"/>
        </w:rPr>
        <w:t>Autenne</w:t>
      </w:r>
      <w:r>
        <w:rPr>
          <w:rFonts w:cs="Arial"/>
          <w:lang w:eastAsia="fr-CA"/>
        </w:rPr>
        <w:t xml:space="preserve"> élabore sur ces deux axes de son rapport. La Ville et le MFFP </w:t>
      </w:r>
      <w:r w:rsidR="00060F65">
        <w:rPr>
          <w:rFonts w:cs="Arial"/>
          <w:lang w:eastAsia="fr-CA"/>
        </w:rPr>
        <w:t>soulèvent</w:t>
      </w:r>
      <w:r>
        <w:rPr>
          <w:rFonts w:cs="Arial"/>
          <w:lang w:eastAsia="fr-CA"/>
        </w:rPr>
        <w:t xml:space="preserve"> plusieurs objections lors de son témoignage, objections que le Tribunal </w:t>
      </w:r>
      <w:r w:rsidR="007D4D19">
        <w:rPr>
          <w:rFonts w:cs="Arial"/>
          <w:lang w:eastAsia="fr-CA"/>
        </w:rPr>
        <w:t>prend</w:t>
      </w:r>
      <w:r>
        <w:rPr>
          <w:rFonts w:cs="Arial"/>
          <w:lang w:eastAsia="fr-CA"/>
        </w:rPr>
        <w:t xml:space="preserve"> sous réserve et qui touchent chacun des deux sujets abordés par lui.</w:t>
      </w:r>
    </w:p>
    <w:p w14:paraId="3E66ADE1" w14:textId="3BDF6D3F" w:rsidR="004E1481" w:rsidRDefault="008560AE" w:rsidP="00CB122A">
      <w:pPr>
        <w:numPr>
          <w:ilvl w:val="0"/>
          <w:numId w:val="1"/>
        </w:numPr>
        <w:tabs>
          <w:tab w:val="clear" w:pos="360"/>
        </w:tabs>
        <w:spacing w:before="120" w:after="120"/>
        <w:jc w:val="both"/>
        <w:rPr>
          <w:rFonts w:cs="Arial"/>
          <w:lang w:eastAsia="fr-CA"/>
        </w:rPr>
      </w:pPr>
      <w:r>
        <w:rPr>
          <w:rFonts w:cs="Arial"/>
          <w:lang w:eastAsia="fr-CA"/>
        </w:rPr>
        <w:t>En premier lieu, ils plaident qu</w:t>
      </w:r>
      <w:r w:rsidR="004169C6">
        <w:rPr>
          <w:rFonts w:cs="Arial"/>
          <w:lang w:eastAsia="fr-CA"/>
        </w:rPr>
        <w:t>’</w:t>
      </w:r>
      <w:r w:rsidR="007D4D19">
        <w:rPr>
          <w:rFonts w:cs="Arial"/>
          <w:lang w:eastAsia="fr-CA"/>
        </w:rPr>
        <w:t>Autenne</w:t>
      </w:r>
      <w:r>
        <w:rPr>
          <w:rFonts w:cs="Arial"/>
          <w:lang w:eastAsia="fr-CA"/>
        </w:rPr>
        <w:t xml:space="preserve"> </w:t>
      </w:r>
      <w:r w:rsidR="007D4D19">
        <w:rPr>
          <w:rFonts w:cs="Arial"/>
          <w:lang w:eastAsia="fr-CA"/>
        </w:rPr>
        <w:t>ne possède</w:t>
      </w:r>
      <w:r>
        <w:rPr>
          <w:rFonts w:cs="Arial"/>
          <w:lang w:eastAsia="fr-CA"/>
        </w:rPr>
        <w:t xml:space="preserve"> pas les qualifications requises pour opiner sur la chasse à l’arbalète. Ils ont raison.</w:t>
      </w:r>
    </w:p>
    <w:p w14:paraId="7D6DAF91" w14:textId="10DE513E" w:rsidR="008560AE" w:rsidRPr="002D2194" w:rsidRDefault="008560AE" w:rsidP="00CB122A">
      <w:pPr>
        <w:widowControl w:val="0"/>
        <w:numPr>
          <w:ilvl w:val="0"/>
          <w:numId w:val="1"/>
        </w:numPr>
        <w:tabs>
          <w:tab w:val="clear" w:pos="360"/>
        </w:tabs>
        <w:spacing w:before="120" w:after="120"/>
        <w:jc w:val="both"/>
        <w:rPr>
          <w:rFonts w:cs="Arial"/>
          <w:lang w:eastAsia="fr-CA"/>
        </w:rPr>
      </w:pPr>
      <w:r>
        <w:rPr>
          <w:rFonts w:cs="Arial"/>
          <w:lang w:eastAsia="fr-CA"/>
        </w:rPr>
        <w:t xml:space="preserve">D’abord, c’est à titre d’expert en médecine </w:t>
      </w:r>
      <w:r w:rsidR="0092618C">
        <w:rPr>
          <w:rFonts w:cs="Arial"/>
          <w:lang w:eastAsia="fr-CA"/>
        </w:rPr>
        <w:t>vétérinaire</w:t>
      </w:r>
      <w:r>
        <w:rPr>
          <w:rFonts w:cs="Arial"/>
          <w:lang w:eastAsia="fr-CA"/>
        </w:rPr>
        <w:t xml:space="preserve"> que le </w:t>
      </w:r>
      <w:r w:rsidR="0092618C">
        <w:rPr>
          <w:rFonts w:cs="Arial"/>
          <w:lang w:eastAsia="fr-CA"/>
        </w:rPr>
        <w:t xml:space="preserve">Tribunal le qualifie et qu’il livre son témoignage. Cette qualification rejoint </w:t>
      </w:r>
      <w:r w:rsidR="007D4D19">
        <w:rPr>
          <w:rFonts w:cs="Arial"/>
          <w:lang w:eastAsia="fr-CA"/>
        </w:rPr>
        <w:t>s</w:t>
      </w:r>
      <w:r w:rsidR="0092618C">
        <w:rPr>
          <w:rFonts w:cs="Arial"/>
          <w:lang w:eastAsia="fr-CA"/>
        </w:rPr>
        <w:t>a note biographique</w:t>
      </w:r>
      <w:r w:rsidR="0092618C">
        <w:rPr>
          <w:rStyle w:val="Appelnotedebasdep"/>
          <w:rFonts w:cs="Arial"/>
          <w:lang w:eastAsia="fr-CA"/>
        </w:rPr>
        <w:footnoteReference w:id="86"/>
      </w:r>
      <w:r w:rsidR="007D4D19">
        <w:rPr>
          <w:rFonts w:cs="Arial"/>
          <w:lang w:eastAsia="fr-CA"/>
        </w:rPr>
        <w:t xml:space="preserve"> </w:t>
      </w:r>
      <w:r w:rsidR="0092618C">
        <w:rPr>
          <w:rFonts w:cs="Arial"/>
          <w:lang w:eastAsia="fr-CA"/>
        </w:rPr>
        <w:t xml:space="preserve">qui fait état de son expertise </w:t>
      </w:r>
      <w:r w:rsidR="002D2194">
        <w:rPr>
          <w:rFonts w:cs="Arial"/>
          <w:lang w:eastAsia="fr-CA"/>
        </w:rPr>
        <w:t>agrovétérinaire</w:t>
      </w:r>
      <w:r w:rsidR="0092618C" w:rsidRPr="002D2194">
        <w:rPr>
          <w:rFonts w:cs="Arial"/>
          <w:lang w:eastAsia="fr-CA"/>
        </w:rPr>
        <w:t xml:space="preserve"> et en médecine vétérinaire avec un </w:t>
      </w:r>
      <w:r w:rsidR="00635FE1">
        <w:rPr>
          <w:rFonts w:cs="Arial"/>
          <w:lang w:eastAsia="fr-CA"/>
        </w:rPr>
        <w:t>intérêt</w:t>
      </w:r>
      <w:r w:rsidR="0092618C" w:rsidRPr="002D2194">
        <w:rPr>
          <w:rFonts w:cs="Arial"/>
          <w:lang w:eastAsia="fr-CA"/>
        </w:rPr>
        <w:t xml:space="preserve"> marqué pour l’univers équestre. Toutefois, rien n’indique une expertise en matière de chasse</w:t>
      </w:r>
      <w:r w:rsidR="007D4D19">
        <w:rPr>
          <w:rFonts w:cs="Arial"/>
          <w:lang w:eastAsia="fr-CA"/>
        </w:rPr>
        <w:t>,</w:t>
      </w:r>
      <w:r w:rsidR="0092618C" w:rsidRPr="002D2194">
        <w:rPr>
          <w:rFonts w:cs="Arial"/>
          <w:lang w:eastAsia="fr-CA"/>
        </w:rPr>
        <w:t xml:space="preserve"> qu’il s’agisse de chasse à l’arbalète ou autre</w:t>
      </w:r>
      <w:r w:rsidR="001C033B" w:rsidRPr="002D2194">
        <w:rPr>
          <w:rFonts w:cs="Arial"/>
          <w:lang w:eastAsia="fr-CA"/>
        </w:rPr>
        <w:t>.</w:t>
      </w:r>
    </w:p>
    <w:p w14:paraId="40E38F60" w14:textId="1264ED5E" w:rsidR="001C033B" w:rsidRDefault="001C033B" w:rsidP="00CB122A">
      <w:pPr>
        <w:widowControl w:val="0"/>
        <w:numPr>
          <w:ilvl w:val="0"/>
          <w:numId w:val="1"/>
        </w:numPr>
        <w:tabs>
          <w:tab w:val="clear" w:pos="360"/>
        </w:tabs>
        <w:spacing w:before="120" w:after="120"/>
        <w:jc w:val="both"/>
        <w:rPr>
          <w:rFonts w:cs="Arial"/>
          <w:lang w:eastAsia="fr-CA"/>
        </w:rPr>
      </w:pPr>
      <w:r>
        <w:rPr>
          <w:rFonts w:cs="Arial"/>
          <w:lang w:eastAsia="fr-CA"/>
        </w:rPr>
        <w:t xml:space="preserve">De fait, il n’a jamais participé à une chasse à l’arbalète, une activité interdite en </w:t>
      </w:r>
      <w:r w:rsidR="007D4D19">
        <w:rPr>
          <w:rFonts w:cs="Arial"/>
          <w:lang w:eastAsia="fr-CA"/>
        </w:rPr>
        <w:t>France,</w:t>
      </w:r>
      <w:r>
        <w:rPr>
          <w:rFonts w:cs="Arial"/>
          <w:lang w:eastAsia="fr-CA"/>
        </w:rPr>
        <w:t xml:space="preserve"> où il réside.</w:t>
      </w:r>
    </w:p>
    <w:p w14:paraId="13AF88B2" w14:textId="4E0B6F7D" w:rsidR="001C033B" w:rsidRDefault="001C033B" w:rsidP="00CB122A">
      <w:pPr>
        <w:widowControl w:val="0"/>
        <w:numPr>
          <w:ilvl w:val="0"/>
          <w:numId w:val="1"/>
        </w:numPr>
        <w:tabs>
          <w:tab w:val="clear" w:pos="360"/>
        </w:tabs>
        <w:spacing w:before="120" w:after="120"/>
        <w:jc w:val="both"/>
        <w:rPr>
          <w:rFonts w:cs="Arial"/>
          <w:lang w:eastAsia="fr-CA"/>
        </w:rPr>
      </w:pPr>
      <w:r>
        <w:rPr>
          <w:rFonts w:cs="Arial"/>
          <w:lang w:eastAsia="fr-CA"/>
        </w:rPr>
        <w:t xml:space="preserve">Enfin, </w:t>
      </w:r>
      <w:r w:rsidR="00AA558E">
        <w:rPr>
          <w:rFonts w:cs="Arial"/>
          <w:lang w:eastAsia="fr-CA"/>
        </w:rPr>
        <w:t>lors de</w:t>
      </w:r>
      <w:r>
        <w:rPr>
          <w:rFonts w:cs="Arial"/>
          <w:lang w:eastAsia="fr-CA"/>
        </w:rPr>
        <w:t xml:space="preserve"> son témoignage, il confirme que l’essentiel du contenu de son rapport qui traite de la chasse à l’arbalète provient d’extrait de revues spécialisées. Par exemple, il tire son affirmation quant à l’imprécision du tir à l’arbalète du site </w:t>
      </w:r>
      <w:hyperlink r:id="rId12" w:history="1">
        <w:r w:rsidR="0034614B">
          <w:rPr>
            <w:rStyle w:val="Hyperlien"/>
            <w:rFonts w:cs="Arial"/>
            <w:lang w:eastAsia="fr-CA"/>
          </w:rPr>
          <w:t>www.bowhunting.com</w:t>
        </w:r>
      </w:hyperlink>
      <w:r>
        <w:rPr>
          <w:rFonts w:cs="Arial"/>
          <w:lang w:eastAsia="fr-CA"/>
        </w:rPr>
        <w:t xml:space="preserve"> alors que les ph</w:t>
      </w:r>
      <w:r w:rsidR="00FD2311">
        <w:rPr>
          <w:rFonts w:cs="Arial"/>
          <w:lang w:eastAsia="fr-CA"/>
        </w:rPr>
        <w:t>ot</w:t>
      </w:r>
      <w:r>
        <w:rPr>
          <w:rFonts w:cs="Arial"/>
          <w:lang w:eastAsia="fr-CA"/>
        </w:rPr>
        <w:t>o</w:t>
      </w:r>
      <w:r w:rsidR="00FD2311">
        <w:rPr>
          <w:rFonts w:cs="Arial"/>
          <w:lang w:eastAsia="fr-CA"/>
        </w:rPr>
        <w:t>gra</w:t>
      </w:r>
      <w:r>
        <w:rPr>
          <w:rFonts w:cs="Arial"/>
          <w:lang w:eastAsia="fr-CA"/>
        </w:rPr>
        <w:t>phies apparaissant aux pages 10 et suivantes du rapport proviennent directement d’une revue spécialisée sur le tir à l’arc</w:t>
      </w:r>
      <w:r>
        <w:rPr>
          <w:rStyle w:val="Appelnotedebasdep"/>
          <w:rFonts w:cs="Arial"/>
          <w:lang w:eastAsia="fr-CA"/>
        </w:rPr>
        <w:footnoteReference w:id="87"/>
      </w:r>
      <w:r>
        <w:rPr>
          <w:rFonts w:cs="Arial"/>
          <w:lang w:eastAsia="fr-CA"/>
        </w:rPr>
        <w:t>. C’est de cette même revue qu’il tire l’intégralité du texte figurant aux pages 11, 12 et 13 de son rapport qu’il fait si</w:t>
      </w:r>
      <w:r w:rsidR="005060B9">
        <w:rPr>
          <w:rFonts w:cs="Arial"/>
          <w:lang w:eastAsia="fr-CA"/>
        </w:rPr>
        <w:t>e</w:t>
      </w:r>
      <w:r>
        <w:rPr>
          <w:rFonts w:cs="Arial"/>
          <w:lang w:eastAsia="fr-CA"/>
        </w:rPr>
        <w:t>n sans autres commentaires.</w:t>
      </w:r>
    </w:p>
    <w:p w14:paraId="2C5B7F3F" w14:textId="66B369DF" w:rsidR="001C033B" w:rsidRDefault="001C033B" w:rsidP="00CB122A">
      <w:pPr>
        <w:widowControl w:val="0"/>
        <w:numPr>
          <w:ilvl w:val="0"/>
          <w:numId w:val="1"/>
        </w:numPr>
        <w:tabs>
          <w:tab w:val="clear" w:pos="360"/>
        </w:tabs>
        <w:spacing w:before="120" w:after="120"/>
        <w:jc w:val="both"/>
        <w:rPr>
          <w:rFonts w:cs="Arial"/>
          <w:lang w:eastAsia="fr-CA"/>
        </w:rPr>
      </w:pPr>
      <w:r>
        <w:rPr>
          <w:rFonts w:cs="Arial"/>
          <w:lang w:eastAsia="fr-CA"/>
        </w:rPr>
        <w:t>Partant, le Tribunal accueille l’objection et rejette l’extrait du Rapport Autenne sous la rubrique « De la chasse à l’arbalète »</w:t>
      </w:r>
      <w:r>
        <w:rPr>
          <w:rStyle w:val="Appelnotedebasdep"/>
          <w:rFonts w:cs="Arial"/>
          <w:lang w:eastAsia="fr-CA"/>
        </w:rPr>
        <w:footnoteReference w:id="88"/>
      </w:r>
      <w:r>
        <w:rPr>
          <w:rFonts w:cs="Arial"/>
          <w:lang w:eastAsia="fr-CA"/>
        </w:rPr>
        <w:t xml:space="preserve"> et </w:t>
      </w:r>
      <w:r w:rsidR="00950A1B">
        <w:rPr>
          <w:rFonts w:cs="Arial"/>
          <w:lang w:eastAsia="fr-CA"/>
        </w:rPr>
        <w:t>son</w:t>
      </w:r>
      <w:r>
        <w:rPr>
          <w:rFonts w:cs="Arial"/>
          <w:lang w:eastAsia="fr-CA"/>
        </w:rPr>
        <w:t xml:space="preserve"> témoignage </w:t>
      </w:r>
      <w:r w:rsidR="00447203">
        <w:rPr>
          <w:rFonts w:cs="Arial"/>
          <w:lang w:eastAsia="fr-CA"/>
        </w:rPr>
        <w:t>sur cette question.</w:t>
      </w:r>
    </w:p>
    <w:p w14:paraId="5D234FBC" w14:textId="4A847EB1" w:rsidR="00447203" w:rsidRDefault="00447203" w:rsidP="00CB122A">
      <w:pPr>
        <w:widowControl w:val="0"/>
        <w:numPr>
          <w:ilvl w:val="0"/>
          <w:numId w:val="1"/>
        </w:numPr>
        <w:tabs>
          <w:tab w:val="clear" w:pos="360"/>
        </w:tabs>
        <w:spacing w:before="120" w:after="120"/>
        <w:jc w:val="both"/>
        <w:rPr>
          <w:rFonts w:cs="Arial"/>
          <w:lang w:eastAsia="fr-CA"/>
        </w:rPr>
      </w:pPr>
      <w:r>
        <w:rPr>
          <w:rFonts w:cs="Arial"/>
          <w:lang w:eastAsia="fr-CA"/>
        </w:rPr>
        <w:t>En second lieu, la Ville et le MFFP s’opposent également à la preuve de la méthode de relocalisation des animaux dite du panneautage</w:t>
      </w:r>
      <w:r w:rsidR="00950A1B">
        <w:rPr>
          <w:rStyle w:val="Appelnotedebasdep"/>
          <w:rFonts w:cs="Arial"/>
          <w:lang w:eastAsia="fr-CA"/>
        </w:rPr>
        <w:footnoteReference w:id="89"/>
      </w:r>
      <w:r>
        <w:rPr>
          <w:rFonts w:cs="Arial"/>
          <w:lang w:eastAsia="fr-CA"/>
        </w:rPr>
        <w:t xml:space="preserve"> ainsi qu’à celle de la stérilisation. Selon eux, cette preuve doit être écartée puisque rien ne démontre que ces méthodes alternatives étaient à la connaissance des décideurs au moment de prendre leur décision.</w:t>
      </w:r>
    </w:p>
    <w:p w14:paraId="6F11F1F0" w14:textId="0E4EEFED" w:rsidR="00635FE1" w:rsidRDefault="00635FE1" w:rsidP="00CB122A">
      <w:pPr>
        <w:widowControl w:val="0"/>
        <w:numPr>
          <w:ilvl w:val="0"/>
          <w:numId w:val="1"/>
        </w:numPr>
        <w:tabs>
          <w:tab w:val="clear" w:pos="360"/>
        </w:tabs>
        <w:spacing w:before="120" w:after="120"/>
        <w:jc w:val="both"/>
        <w:rPr>
          <w:rFonts w:cs="Arial"/>
          <w:lang w:eastAsia="fr-CA"/>
        </w:rPr>
      </w:pPr>
      <w:r>
        <w:rPr>
          <w:rFonts w:cs="Arial"/>
          <w:lang w:eastAsia="fr-CA"/>
        </w:rPr>
        <w:lastRenderedPageBreak/>
        <w:t>Ils ont tort et le Tribunal rejette l’objection. La relocalisation et la stérilisation sont des méthodes considérées par la Ville et le MFFP comme le révèlent le rapport de la Table</w:t>
      </w:r>
      <w:r w:rsidR="0097734A">
        <w:rPr>
          <w:rStyle w:val="Appelnotedebasdep"/>
          <w:rFonts w:cs="Arial"/>
          <w:lang w:eastAsia="fr-CA"/>
        </w:rPr>
        <w:footnoteReference w:id="90"/>
      </w:r>
      <w:r>
        <w:rPr>
          <w:rFonts w:cs="Arial"/>
          <w:lang w:eastAsia="fr-CA"/>
        </w:rPr>
        <w:t xml:space="preserve"> et les déclarations sous serment de Provost et </w:t>
      </w:r>
      <w:r w:rsidR="004169C6">
        <w:rPr>
          <w:rFonts w:cs="Arial"/>
          <w:lang w:eastAsia="fr-CA"/>
        </w:rPr>
        <w:t xml:space="preserve">de Stéphane Lamoureux, </w:t>
      </w:r>
      <w:r w:rsidR="00CB122A" w:rsidRPr="005A1070">
        <w:rPr>
          <w:rFonts w:cs="Arial"/>
          <w:lang w:eastAsia="fr-CA"/>
        </w:rPr>
        <w:t>(</w:t>
      </w:r>
      <w:r w:rsidR="004169C6" w:rsidRPr="005A1070">
        <w:rPr>
          <w:rFonts w:cs="Arial"/>
          <w:b/>
          <w:bCs/>
          <w:lang w:eastAsia="fr-CA"/>
        </w:rPr>
        <w:t>Lamoureux</w:t>
      </w:r>
      <w:r w:rsidR="004169C6" w:rsidRPr="005A1070">
        <w:rPr>
          <w:rFonts w:cs="Arial"/>
          <w:lang w:eastAsia="fr-CA"/>
        </w:rPr>
        <w:t>)</w:t>
      </w:r>
      <w:r w:rsidR="004169C6">
        <w:rPr>
          <w:rFonts w:cs="Arial"/>
          <w:lang w:eastAsia="fr-CA"/>
        </w:rPr>
        <w:t xml:space="preserve"> biologiste du MFFP.</w:t>
      </w:r>
    </w:p>
    <w:p w14:paraId="3B405D7C" w14:textId="067CB5E1" w:rsidR="00447203" w:rsidRPr="00997521" w:rsidRDefault="00997521" w:rsidP="00EC1309">
      <w:pPr>
        <w:pStyle w:val="Titre5"/>
        <w:rPr>
          <w:lang w:eastAsia="fr-CA"/>
        </w:rPr>
      </w:pPr>
      <w:bookmarkStart w:id="55" w:name="_Toc144367239"/>
      <w:r w:rsidRPr="00FD2311">
        <w:t>Le</w:t>
      </w:r>
      <w:r w:rsidRPr="00997521">
        <w:rPr>
          <w:lang w:eastAsia="fr-CA"/>
        </w:rPr>
        <w:t xml:space="preserve"> Rapport Giroux</w:t>
      </w:r>
      <w:bookmarkEnd w:id="55"/>
    </w:p>
    <w:p w14:paraId="3BF7B82F" w14:textId="55100584" w:rsidR="00997521" w:rsidRDefault="00997521" w:rsidP="00E466D7">
      <w:pPr>
        <w:widowControl w:val="0"/>
        <w:numPr>
          <w:ilvl w:val="0"/>
          <w:numId w:val="1"/>
        </w:numPr>
        <w:tabs>
          <w:tab w:val="clear" w:pos="360"/>
        </w:tabs>
        <w:spacing w:before="120" w:after="120"/>
        <w:jc w:val="both"/>
        <w:rPr>
          <w:rFonts w:cs="Arial"/>
          <w:lang w:eastAsia="fr-CA"/>
        </w:rPr>
      </w:pPr>
      <w:r>
        <w:rPr>
          <w:rFonts w:cs="Arial"/>
          <w:lang w:eastAsia="fr-CA"/>
        </w:rPr>
        <w:t>Le Rapport Giroux répond aux trois questions suivantes :</w:t>
      </w:r>
    </w:p>
    <w:p w14:paraId="62B0714B" w14:textId="6DE3D5A8" w:rsidR="00997521" w:rsidRDefault="00997521" w:rsidP="00E466D7">
      <w:pPr>
        <w:pStyle w:val="Paragraphedeliste"/>
        <w:widowControl w:val="0"/>
        <w:numPr>
          <w:ilvl w:val="0"/>
          <w:numId w:val="5"/>
        </w:numPr>
        <w:spacing w:before="120" w:after="120"/>
        <w:ind w:left="1151" w:hanging="357"/>
        <w:jc w:val="both"/>
        <w:rPr>
          <w:rFonts w:cs="Arial"/>
          <w:lang w:eastAsia="fr-CA"/>
        </w:rPr>
      </w:pPr>
      <w:r>
        <w:rPr>
          <w:rFonts w:cs="Arial"/>
          <w:lang w:eastAsia="fr-CA"/>
        </w:rPr>
        <w:t>En quoi le bien-être animal relève-t-il de la philosophie morale?</w:t>
      </w:r>
    </w:p>
    <w:p w14:paraId="58886FF6" w14:textId="095321A9" w:rsidR="00997521" w:rsidRDefault="00997521" w:rsidP="00E466D7">
      <w:pPr>
        <w:pStyle w:val="Paragraphedeliste"/>
        <w:widowControl w:val="0"/>
        <w:numPr>
          <w:ilvl w:val="0"/>
          <w:numId w:val="5"/>
        </w:numPr>
        <w:spacing w:before="120" w:after="120"/>
        <w:ind w:left="1151" w:hanging="357"/>
        <w:jc w:val="both"/>
        <w:rPr>
          <w:rFonts w:cs="Arial"/>
          <w:lang w:eastAsia="fr-CA"/>
        </w:rPr>
      </w:pPr>
      <w:r>
        <w:rPr>
          <w:rFonts w:cs="Arial"/>
          <w:lang w:eastAsia="fr-CA"/>
        </w:rPr>
        <w:t>Quelles sont les implications du fait qu’un être soit sensible?</w:t>
      </w:r>
    </w:p>
    <w:p w14:paraId="553F18B3" w14:textId="4EAAEF08" w:rsidR="00997521" w:rsidRDefault="00997521" w:rsidP="00E466D7">
      <w:pPr>
        <w:pStyle w:val="Paragraphedeliste"/>
        <w:widowControl w:val="0"/>
        <w:numPr>
          <w:ilvl w:val="0"/>
          <w:numId w:val="5"/>
        </w:numPr>
        <w:spacing w:before="120" w:after="120"/>
        <w:ind w:left="1151" w:hanging="357"/>
        <w:jc w:val="both"/>
        <w:rPr>
          <w:rFonts w:cs="Arial"/>
          <w:lang w:eastAsia="fr-CA"/>
        </w:rPr>
      </w:pPr>
      <w:r>
        <w:rPr>
          <w:rFonts w:cs="Arial"/>
          <w:lang w:eastAsia="fr-CA"/>
        </w:rPr>
        <w:t>Tuer un cerf consiste-t-il à lu</w:t>
      </w:r>
      <w:r w:rsidR="000372AF">
        <w:rPr>
          <w:rFonts w:cs="Arial"/>
          <w:lang w:eastAsia="fr-CA"/>
        </w:rPr>
        <w:t>i</w:t>
      </w:r>
      <w:r>
        <w:rPr>
          <w:rFonts w:cs="Arial"/>
          <w:lang w:eastAsia="fr-CA"/>
        </w:rPr>
        <w:t xml:space="preserve"> causer un tort?</w:t>
      </w:r>
    </w:p>
    <w:p w14:paraId="7B2E327D" w14:textId="4B4EAF94" w:rsidR="00997521" w:rsidRDefault="000372AF" w:rsidP="005A1070">
      <w:pPr>
        <w:widowControl w:val="0"/>
        <w:numPr>
          <w:ilvl w:val="0"/>
          <w:numId w:val="1"/>
        </w:numPr>
        <w:tabs>
          <w:tab w:val="clear" w:pos="360"/>
        </w:tabs>
        <w:spacing w:before="120" w:after="120"/>
        <w:jc w:val="both"/>
        <w:rPr>
          <w:rFonts w:cs="Arial"/>
          <w:lang w:eastAsia="fr-CA"/>
        </w:rPr>
      </w:pPr>
      <w:r>
        <w:rPr>
          <w:rFonts w:cs="Arial"/>
          <w:lang w:eastAsia="fr-CA"/>
        </w:rPr>
        <w:t xml:space="preserve">Dans son rapport, Giroux souligne que, lorsqu’il s’agit des animaux qui n’appartiennent </w:t>
      </w:r>
      <w:r w:rsidR="00C42095">
        <w:rPr>
          <w:rFonts w:cs="Arial"/>
          <w:lang w:eastAsia="fr-CA"/>
        </w:rPr>
        <w:t>pas à</w:t>
      </w:r>
      <w:r>
        <w:rPr>
          <w:rFonts w:cs="Arial"/>
          <w:lang w:eastAsia="fr-CA"/>
        </w:rPr>
        <w:t xml:space="preserve"> l’espèce Homo sapiens, l’étude de leur bien-être exclut souvent leur intérêt à </w:t>
      </w:r>
      <w:r w:rsidR="00526F86">
        <w:rPr>
          <w:rFonts w:cs="Arial"/>
          <w:lang w:eastAsia="fr-CA"/>
        </w:rPr>
        <w:t>persister</w:t>
      </w:r>
      <w:r>
        <w:rPr>
          <w:rFonts w:cs="Arial"/>
          <w:lang w:eastAsia="fr-CA"/>
        </w:rPr>
        <w:t xml:space="preserve"> dans leur existence. Or, ajoute-t-elle, il s’agit là d’une anomalie puisque la notion d</w:t>
      </w:r>
      <w:r w:rsidR="007C1E4E">
        <w:rPr>
          <w:rFonts w:cs="Arial"/>
          <w:lang w:eastAsia="fr-CA"/>
        </w:rPr>
        <w:t>e</w:t>
      </w:r>
      <w:r>
        <w:rPr>
          <w:rFonts w:cs="Arial"/>
          <w:lang w:eastAsia="fr-CA"/>
        </w:rPr>
        <w:t xml:space="preserve"> bien-être, tel</w:t>
      </w:r>
      <w:r w:rsidR="00526F86">
        <w:rPr>
          <w:rFonts w:cs="Arial"/>
          <w:lang w:eastAsia="fr-CA"/>
        </w:rPr>
        <w:t>le</w:t>
      </w:r>
      <w:r>
        <w:rPr>
          <w:rFonts w:cs="Arial"/>
          <w:lang w:eastAsia="fr-CA"/>
        </w:rPr>
        <w:t xml:space="preserve"> qu’elle est analysée </w:t>
      </w:r>
      <w:r w:rsidR="00526F86">
        <w:rPr>
          <w:rFonts w:cs="Arial"/>
          <w:lang w:eastAsia="fr-CA"/>
        </w:rPr>
        <w:t xml:space="preserve">par les philosophes </w:t>
      </w:r>
      <w:r>
        <w:rPr>
          <w:rFonts w:cs="Arial"/>
          <w:lang w:eastAsia="fr-CA"/>
        </w:rPr>
        <w:t>dans l’immense corpus littéraire qu’ils lui consacrent, englobe l’intérêt individuel à ne pas mourir et surtout celui de ne pas se voir intentionnellement ôter sa vie.</w:t>
      </w:r>
    </w:p>
    <w:p w14:paraId="2D56C32D" w14:textId="3F2BEB9C" w:rsidR="000372AF" w:rsidRDefault="000372AF" w:rsidP="005A1070">
      <w:pPr>
        <w:widowControl w:val="0"/>
        <w:numPr>
          <w:ilvl w:val="0"/>
          <w:numId w:val="1"/>
        </w:numPr>
        <w:tabs>
          <w:tab w:val="clear" w:pos="360"/>
        </w:tabs>
        <w:spacing w:before="120" w:after="120"/>
        <w:jc w:val="both"/>
        <w:rPr>
          <w:rFonts w:cs="Arial"/>
          <w:lang w:eastAsia="fr-CA"/>
        </w:rPr>
      </w:pPr>
      <w:r>
        <w:rPr>
          <w:rFonts w:cs="Arial"/>
          <w:lang w:eastAsia="fr-CA"/>
        </w:rPr>
        <w:t>À la seconde question, elle répond qu’à partir du moment où un être est sensible, il a une perspective subjective sur le monde dont il fait l’expérience au « je ». Il peut avoir une impression positive ou négative de ce qu’il vit, en jouir ou en souffrir. Il est capable de plaisir et de douleur</w:t>
      </w:r>
      <w:r w:rsidR="005060B9">
        <w:rPr>
          <w:rFonts w:cs="Arial"/>
          <w:lang w:eastAsia="fr-CA"/>
        </w:rPr>
        <w:t>,</w:t>
      </w:r>
      <w:r>
        <w:rPr>
          <w:rFonts w:cs="Arial"/>
          <w:lang w:eastAsia="fr-CA"/>
        </w:rPr>
        <w:t xml:space="preserve"> d’expériences conscientes qu’il perçoit comme agréables ou non. On peut dire de ses expériences et de sa vie qu’elles ont de la valeur parce que lui-même en accorde.</w:t>
      </w:r>
    </w:p>
    <w:p w14:paraId="141EA004" w14:textId="29E588A5" w:rsidR="000372AF" w:rsidRDefault="000372AF" w:rsidP="005A1070">
      <w:pPr>
        <w:widowControl w:val="0"/>
        <w:numPr>
          <w:ilvl w:val="0"/>
          <w:numId w:val="1"/>
        </w:numPr>
        <w:tabs>
          <w:tab w:val="clear" w:pos="360"/>
        </w:tabs>
        <w:spacing w:before="120" w:after="120"/>
        <w:jc w:val="both"/>
        <w:rPr>
          <w:rFonts w:cs="Arial"/>
          <w:lang w:eastAsia="fr-CA"/>
        </w:rPr>
      </w:pPr>
      <w:r>
        <w:rPr>
          <w:rFonts w:cs="Arial"/>
          <w:lang w:eastAsia="fr-CA"/>
        </w:rPr>
        <w:t xml:space="preserve">Enfin, en </w:t>
      </w:r>
      <w:r w:rsidR="000F5CBF">
        <w:rPr>
          <w:rFonts w:cs="Arial"/>
          <w:lang w:eastAsia="fr-CA"/>
        </w:rPr>
        <w:t>réponse à la troisième question, elle conclut que puisqu’il ne fait aucun doute que les cerfs de Virginie sont sentients, ils ont nécessairement intérêt à ne pas souffrir. Et à moins qu’ils ne soient condamnés à une vie ne val</w:t>
      </w:r>
      <w:r w:rsidR="00466025">
        <w:rPr>
          <w:rFonts w:cs="Arial"/>
          <w:lang w:eastAsia="fr-CA"/>
        </w:rPr>
        <w:t>a</w:t>
      </w:r>
      <w:r w:rsidR="000F5CBF">
        <w:rPr>
          <w:rFonts w:cs="Arial"/>
          <w:lang w:eastAsia="fr-CA"/>
        </w:rPr>
        <w:t>nt pas la peine d’être vécue, ils ont également intérêt à ne pas être tués. Les mettre à mort, s’il y a moyen de l’éviter sans les condamner à une vie excessivement pénible, consiste à leur causer un tort considérable, peut-être même l’un des pires que l’on puisse causer à un être sentient.</w:t>
      </w:r>
    </w:p>
    <w:p w14:paraId="6503E622" w14:textId="61D420D1" w:rsidR="000F5CBF" w:rsidRDefault="007A111E" w:rsidP="005A1070">
      <w:pPr>
        <w:widowControl w:val="0"/>
        <w:numPr>
          <w:ilvl w:val="0"/>
          <w:numId w:val="1"/>
        </w:numPr>
        <w:tabs>
          <w:tab w:val="clear" w:pos="360"/>
        </w:tabs>
        <w:spacing w:before="120" w:after="120"/>
        <w:jc w:val="both"/>
        <w:rPr>
          <w:rFonts w:cs="Arial"/>
          <w:lang w:eastAsia="fr-CA"/>
        </w:rPr>
      </w:pPr>
      <w:r>
        <w:rPr>
          <w:rFonts w:cs="Arial"/>
          <w:lang w:eastAsia="fr-CA"/>
        </w:rPr>
        <w:t>À l’instruction, le Tribunal reconn</w:t>
      </w:r>
      <w:r w:rsidR="00950A1B">
        <w:rPr>
          <w:rFonts w:cs="Arial"/>
          <w:lang w:eastAsia="fr-CA"/>
        </w:rPr>
        <w:t>ait</w:t>
      </w:r>
      <w:r>
        <w:rPr>
          <w:rFonts w:cs="Arial"/>
          <w:lang w:eastAsia="fr-CA"/>
        </w:rPr>
        <w:t xml:space="preserve"> </w:t>
      </w:r>
      <w:r w:rsidR="00FD7EDA">
        <w:rPr>
          <w:rFonts w:cs="Arial"/>
          <w:lang w:eastAsia="fr-CA"/>
        </w:rPr>
        <w:t>Giroux</w:t>
      </w:r>
      <w:r>
        <w:rPr>
          <w:rFonts w:cs="Arial"/>
          <w:lang w:eastAsia="fr-CA"/>
        </w:rPr>
        <w:t xml:space="preserve"> experte en philosophie morale et éthique animale et</w:t>
      </w:r>
      <w:r w:rsidR="00526F86">
        <w:rPr>
          <w:rFonts w:cs="Arial"/>
          <w:lang w:eastAsia="fr-CA"/>
        </w:rPr>
        <w:t>,</w:t>
      </w:r>
      <w:r>
        <w:rPr>
          <w:rFonts w:cs="Arial"/>
          <w:lang w:eastAsia="fr-CA"/>
        </w:rPr>
        <w:t xml:space="preserve"> lors de son témoignage, elle repr</w:t>
      </w:r>
      <w:r w:rsidR="00950A1B">
        <w:rPr>
          <w:rFonts w:cs="Arial"/>
          <w:lang w:eastAsia="fr-CA"/>
        </w:rPr>
        <w:t>end</w:t>
      </w:r>
      <w:r>
        <w:rPr>
          <w:rFonts w:cs="Arial"/>
          <w:lang w:eastAsia="fr-CA"/>
        </w:rPr>
        <w:t xml:space="preserve"> l’essentiel </w:t>
      </w:r>
      <w:r w:rsidR="00B73F43">
        <w:rPr>
          <w:rFonts w:cs="Arial"/>
          <w:lang w:eastAsia="fr-CA"/>
        </w:rPr>
        <w:t>de son</w:t>
      </w:r>
      <w:r w:rsidR="00950A1B">
        <w:rPr>
          <w:rFonts w:cs="Arial"/>
          <w:lang w:eastAsia="fr-CA"/>
        </w:rPr>
        <w:t xml:space="preserve"> </w:t>
      </w:r>
      <w:r>
        <w:rPr>
          <w:rFonts w:cs="Arial"/>
          <w:lang w:eastAsia="fr-CA"/>
        </w:rPr>
        <w:t>rapport.</w:t>
      </w:r>
    </w:p>
    <w:p w14:paraId="5379CFDB" w14:textId="5502DB49" w:rsidR="008029AE" w:rsidRDefault="00331585" w:rsidP="005A1070">
      <w:pPr>
        <w:numPr>
          <w:ilvl w:val="0"/>
          <w:numId w:val="1"/>
        </w:numPr>
        <w:tabs>
          <w:tab w:val="clear" w:pos="360"/>
        </w:tabs>
        <w:spacing w:before="120" w:after="120"/>
        <w:jc w:val="both"/>
        <w:rPr>
          <w:rFonts w:cs="Arial"/>
          <w:lang w:eastAsia="fr-CA"/>
        </w:rPr>
      </w:pPr>
      <w:r>
        <w:rPr>
          <w:rFonts w:cs="Arial"/>
          <w:lang w:eastAsia="fr-CA"/>
        </w:rPr>
        <w:t xml:space="preserve">La Ville et le MFFP </w:t>
      </w:r>
      <w:r w:rsidR="00CC1217">
        <w:rPr>
          <w:rFonts w:cs="Arial"/>
          <w:lang w:eastAsia="fr-CA"/>
        </w:rPr>
        <w:t>plaident</w:t>
      </w:r>
      <w:r>
        <w:rPr>
          <w:rFonts w:cs="Arial"/>
          <w:lang w:eastAsia="fr-CA"/>
        </w:rPr>
        <w:t xml:space="preserve"> que le Tribunal ne saurait accorder de valeur probante </w:t>
      </w:r>
      <w:r w:rsidR="00950A1B">
        <w:rPr>
          <w:rFonts w:cs="Arial"/>
          <w:lang w:eastAsia="fr-CA"/>
        </w:rPr>
        <w:t>à ce</w:t>
      </w:r>
      <w:r>
        <w:rPr>
          <w:rFonts w:cs="Arial"/>
          <w:lang w:eastAsia="fr-CA"/>
        </w:rPr>
        <w:t xml:space="preserve"> témoignage et au contenu </w:t>
      </w:r>
      <w:r w:rsidR="00950A1B">
        <w:rPr>
          <w:rFonts w:cs="Arial"/>
          <w:lang w:eastAsia="fr-CA"/>
        </w:rPr>
        <w:t>du</w:t>
      </w:r>
      <w:r>
        <w:rPr>
          <w:rFonts w:cs="Arial"/>
          <w:lang w:eastAsia="fr-CA"/>
        </w:rPr>
        <w:t xml:space="preserve"> rapport. Selon eux, ils n’offrent pas l’objectivité e</w:t>
      </w:r>
      <w:r w:rsidR="0035241A">
        <w:rPr>
          <w:rFonts w:cs="Arial"/>
          <w:lang w:eastAsia="fr-CA"/>
        </w:rPr>
        <w:t>t</w:t>
      </w:r>
      <w:r>
        <w:rPr>
          <w:rFonts w:cs="Arial"/>
          <w:lang w:eastAsia="fr-CA"/>
        </w:rPr>
        <w:t xml:space="preserve"> l’impartialité requise. Ensuite, ils n’apportent aucune utilité technique ou scientifique susceptible </w:t>
      </w:r>
      <w:r w:rsidR="00F97B0F">
        <w:rPr>
          <w:rFonts w:cs="Arial"/>
          <w:lang w:eastAsia="fr-CA"/>
        </w:rPr>
        <w:t>d’assister le Tribunal. Enfin, leur teneur participe de l’interprétation législative, usurpant ainsi le rôle du Tribunal.</w:t>
      </w:r>
    </w:p>
    <w:p w14:paraId="33B57117" w14:textId="77777777" w:rsidR="006760D5" w:rsidRDefault="006760D5" w:rsidP="005A1070">
      <w:pPr>
        <w:widowControl w:val="0"/>
        <w:numPr>
          <w:ilvl w:val="0"/>
          <w:numId w:val="1"/>
        </w:numPr>
        <w:tabs>
          <w:tab w:val="clear" w:pos="360"/>
        </w:tabs>
        <w:spacing w:before="120" w:after="120"/>
        <w:jc w:val="both"/>
        <w:rPr>
          <w:rFonts w:cs="Arial"/>
          <w:lang w:eastAsia="fr-CA"/>
        </w:rPr>
      </w:pPr>
      <w:r>
        <w:rPr>
          <w:rFonts w:cs="Arial"/>
          <w:lang w:eastAsia="fr-CA"/>
        </w:rPr>
        <w:lastRenderedPageBreak/>
        <w:t>Ils ont tort quant au premier point et raison sur les deux autres.</w:t>
      </w:r>
    </w:p>
    <w:p w14:paraId="06F1CAB7" w14:textId="1D5B7CD0" w:rsidR="006760D5" w:rsidRDefault="006760D5" w:rsidP="005A1070">
      <w:pPr>
        <w:widowControl w:val="0"/>
        <w:numPr>
          <w:ilvl w:val="0"/>
          <w:numId w:val="1"/>
        </w:numPr>
        <w:tabs>
          <w:tab w:val="clear" w:pos="360"/>
        </w:tabs>
        <w:spacing w:before="120" w:after="120"/>
        <w:jc w:val="both"/>
        <w:rPr>
          <w:rFonts w:cs="Arial"/>
          <w:lang w:eastAsia="fr-CA"/>
        </w:rPr>
      </w:pPr>
      <w:r>
        <w:rPr>
          <w:rFonts w:cs="Arial"/>
          <w:lang w:eastAsia="fr-CA"/>
        </w:rPr>
        <w:t>La preuve révèle que</w:t>
      </w:r>
      <w:r w:rsidRPr="006760D5">
        <w:rPr>
          <w:rFonts w:cs="Arial"/>
          <w:lang w:eastAsia="fr-CA"/>
        </w:rPr>
        <w:t xml:space="preserve"> </w:t>
      </w:r>
      <w:r w:rsidR="00FD7EDA">
        <w:rPr>
          <w:rFonts w:cs="Arial"/>
          <w:lang w:eastAsia="fr-CA"/>
        </w:rPr>
        <w:t>Giroux</w:t>
      </w:r>
      <w:r>
        <w:rPr>
          <w:rFonts w:cs="Arial"/>
          <w:lang w:eastAsia="fr-CA"/>
        </w:rPr>
        <w:t xml:space="preserve"> est très engagée dans la défense des droits animaux. Véganiste et antispéciste convaincue, ell</w:t>
      </w:r>
      <w:r w:rsidR="00950A1B">
        <w:rPr>
          <w:rFonts w:cs="Arial"/>
          <w:lang w:eastAsia="fr-CA"/>
        </w:rPr>
        <w:t>e</w:t>
      </w:r>
      <w:r>
        <w:rPr>
          <w:rFonts w:cs="Arial"/>
          <w:lang w:eastAsia="fr-CA"/>
        </w:rPr>
        <w:t xml:space="preserve"> particip</w:t>
      </w:r>
      <w:r w:rsidR="00950A1B">
        <w:rPr>
          <w:rFonts w:cs="Arial"/>
          <w:lang w:eastAsia="fr-CA"/>
        </w:rPr>
        <w:t xml:space="preserve">e </w:t>
      </w:r>
      <w:r>
        <w:rPr>
          <w:rFonts w:cs="Arial"/>
          <w:lang w:eastAsia="fr-CA"/>
        </w:rPr>
        <w:t>à plusieurs manifestations</w:t>
      </w:r>
      <w:r>
        <w:rPr>
          <w:rStyle w:val="Appelnotedebasdep"/>
          <w:rFonts w:cs="Arial"/>
          <w:lang w:eastAsia="fr-CA"/>
        </w:rPr>
        <w:footnoteReference w:id="91"/>
      </w:r>
      <w:r>
        <w:rPr>
          <w:rFonts w:cs="Arial"/>
          <w:lang w:eastAsia="fr-CA"/>
        </w:rPr>
        <w:t xml:space="preserve"> dont certaines en compagnie de Gaillard. Interrogée sur la conférence intitulée « </w:t>
      </w:r>
      <w:r w:rsidRPr="006760D5">
        <w:rPr>
          <w:rFonts w:cs="Arial"/>
          <w:i/>
          <w:iCs/>
          <w:lang w:eastAsia="fr-CA"/>
        </w:rPr>
        <w:t>Le véganisme comme mouvement de justice sociale</w:t>
      </w:r>
      <w:r>
        <w:rPr>
          <w:rFonts w:cs="Arial"/>
          <w:lang w:eastAsia="fr-CA"/>
        </w:rPr>
        <w:t> »</w:t>
      </w:r>
      <w:r>
        <w:rPr>
          <w:rStyle w:val="Appelnotedebasdep"/>
          <w:rFonts w:cs="Arial"/>
          <w:lang w:eastAsia="fr-CA"/>
        </w:rPr>
        <w:footnoteReference w:id="92"/>
      </w:r>
      <w:r>
        <w:rPr>
          <w:rFonts w:cs="Arial"/>
          <w:lang w:eastAsia="fr-CA"/>
        </w:rPr>
        <w:t>, elle affirme que les gestes véganes sont politiques et que les animaux méritent justice.</w:t>
      </w:r>
    </w:p>
    <w:p w14:paraId="04FA7645" w14:textId="4CAE5BEE" w:rsidR="006760D5" w:rsidRDefault="006760D5" w:rsidP="005A1070">
      <w:pPr>
        <w:widowControl w:val="0"/>
        <w:numPr>
          <w:ilvl w:val="0"/>
          <w:numId w:val="1"/>
        </w:numPr>
        <w:tabs>
          <w:tab w:val="clear" w:pos="360"/>
        </w:tabs>
        <w:spacing w:before="120" w:after="120"/>
        <w:jc w:val="both"/>
        <w:rPr>
          <w:rFonts w:cs="Arial"/>
          <w:lang w:eastAsia="fr-CA"/>
        </w:rPr>
      </w:pPr>
      <w:r>
        <w:rPr>
          <w:rFonts w:cs="Arial"/>
          <w:lang w:eastAsia="fr-CA"/>
        </w:rPr>
        <w:t xml:space="preserve">Enfin, elle co-signe un </w:t>
      </w:r>
      <w:r w:rsidR="007C1E4E">
        <w:rPr>
          <w:rFonts w:cs="Arial"/>
          <w:lang w:eastAsia="fr-CA"/>
        </w:rPr>
        <w:t>« </w:t>
      </w:r>
      <w:r>
        <w:rPr>
          <w:rFonts w:cs="Arial"/>
          <w:lang w:eastAsia="fr-CA"/>
        </w:rPr>
        <w:t>Mémoire sur le Projet de loi n</w:t>
      </w:r>
      <w:r w:rsidRPr="003B71E1">
        <w:rPr>
          <w:rFonts w:cs="Arial"/>
          <w:vertAlign w:val="superscript"/>
          <w:lang w:eastAsia="fr-CA"/>
        </w:rPr>
        <w:t>o</w:t>
      </w:r>
      <w:r>
        <w:rPr>
          <w:rFonts w:cs="Arial"/>
          <w:lang w:eastAsia="fr-CA"/>
        </w:rPr>
        <w:t>. 54 : Loi visant l’amélioration de la situation juridique de l’animal</w:t>
      </w:r>
      <w:r w:rsidR="007C1E4E">
        <w:rPr>
          <w:rFonts w:cs="Arial"/>
          <w:lang w:eastAsia="fr-CA"/>
        </w:rPr>
        <w:t> »</w:t>
      </w:r>
      <w:r>
        <w:rPr>
          <w:rStyle w:val="Appelnotedebasdep"/>
          <w:rFonts w:cs="Arial"/>
          <w:lang w:eastAsia="fr-CA"/>
        </w:rPr>
        <w:footnoteReference w:id="93"/>
      </w:r>
      <w:r>
        <w:rPr>
          <w:rFonts w:cs="Arial"/>
          <w:lang w:eastAsia="fr-CA"/>
        </w:rPr>
        <w:t xml:space="preserve"> où elle exprime l’avis que le Projet qui a donné naissance à l’art. 898.1 C.c.Q. ne va pas assez loin dans la protection du bien-être des animaux. À telle enseigne qu’elle y propose « d’envisager sérieusement la possibilité d’accorder la personnalité juridique à tous les êtres sensibles ».</w:t>
      </w:r>
    </w:p>
    <w:p w14:paraId="0C09B089" w14:textId="57CFC151" w:rsidR="00F97B0F" w:rsidRDefault="0049119B" w:rsidP="005A1070">
      <w:pPr>
        <w:widowControl w:val="0"/>
        <w:numPr>
          <w:ilvl w:val="0"/>
          <w:numId w:val="1"/>
        </w:numPr>
        <w:tabs>
          <w:tab w:val="clear" w:pos="360"/>
        </w:tabs>
        <w:spacing w:before="120" w:after="120"/>
        <w:jc w:val="both"/>
        <w:rPr>
          <w:rFonts w:cs="Arial"/>
          <w:lang w:eastAsia="fr-CA"/>
        </w:rPr>
      </w:pPr>
      <w:r>
        <w:rPr>
          <w:rFonts w:cs="Arial"/>
          <w:lang w:eastAsia="fr-CA"/>
        </w:rPr>
        <w:t>De toute évidence, Giroux entretient des liens privilégiés avec Gaillard et, avec elle, participe activement à la défense et à la promotion des droits des animaux sous toutes ses facettes</w:t>
      </w:r>
      <w:r w:rsidR="00BD71C5">
        <w:rPr>
          <w:rFonts w:cs="Arial"/>
          <w:lang w:eastAsia="fr-CA"/>
        </w:rPr>
        <w:t>.</w:t>
      </w:r>
      <w:r>
        <w:rPr>
          <w:rFonts w:cs="Arial"/>
          <w:lang w:eastAsia="fr-CA"/>
        </w:rPr>
        <w:t xml:space="preserve"> Toutefois, cela ne suffit pas à dépouiller son rapport et son témoignage de toute valeur probante. Il faut déterminer si le manque d’indépendance de l’experte la rend incapable de fournir </w:t>
      </w:r>
      <w:r w:rsidR="00236674">
        <w:rPr>
          <w:rFonts w:cs="Arial"/>
          <w:lang w:eastAsia="fr-CA"/>
        </w:rPr>
        <w:t>une opinion impartiale dans les circonstances propres de la présente affaire</w:t>
      </w:r>
      <w:r w:rsidR="00236674">
        <w:rPr>
          <w:rStyle w:val="Appelnotedebasdep"/>
          <w:rFonts w:cs="Arial"/>
          <w:lang w:eastAsia="fr-CA"/>
        </w:rPr>
        <w:footnoteReference w:id="94"/>
      </w:r>
      <w:r w:rsidR="00236674">
        <w:rPr>
          <w:rFonts w:cs="Arial"/>
          <w:lang w:eastAsia="fr-CA"/>
        </w:rPr>
        <w:t>. Aussi, le fait pour un expert d’endosser la théorie de cause de la partie qui la mandate ne suffit pas pour conclure à sa partialité</w:t>
      </w:r>
      <w:r w:rsidR="00236674">
        <w:rPr>
          <w:rStyle w:val="Appelnotedebasdep"/>
          <w:rFonts w:cs="Arial"/>
          <w:lang w:eastAsia="fr-CA"/>
        </w:rPr>
        <w:footnoteReference w:id="95"/>
      </w:r>
      <w:r w:rsidR="00236674">
        <w:rPr>
          <w:rFonts w:cs="Arial"/>
          <w:lang w:eastAsia="fr-CA"/>
        </w:rPr>
        <w:t>.</w:t>
      </w:r>
    </w:p>
    <w:p w14:paraId="1E00E5CE" w14:textId="29877755" w:rsidR="00236674" w:rsidRDefault="007C1E4E" w:rsidP="005A1070">
      <w:pPr>
        <w:widowControl w:val="0"/>
        <w:numPr>
          <w:ilvl w:val="0"/>
          <w:numId w:val="1"/>
        </w:numPr>
        <w:tabs>
          <w:tab w:val="clear" w:pos="360"/>
        </w:tabs>
        <w:spacing w:before="120" w:after="120"/>
        <w:jc w:val="both"/>
        <w:rPr>
          <w:rFonts w:cs="Arial"/>
          <w:lang w:eastAsia="fr-CA"/>
        </w:rPr>
      </w:pPr>
      <w:r>
        <w:rPr>
          <w:rFonts w:cs="Arial"/>
          <w:lang w:eastAsia="fr-CA"/>
        </w:rPr>
        <w:t>A</w:t>
      </w:r>
      <w:r w:rsidR="00236674">
        <w:rPr>
          <w:rFonts w:cs="Arial"/>
          <w:lang w:eastAsia="fr-CA"/>
        </w:rPr>
        <w:t xml:space="preserve">près avoir entendu le témoignage de </w:t>
      </w:r>
      <w:r w:rsidR="00FD7EDA">
        <w:rPr>
          <w:rFonts w:cs="Arial"/>
          <w:lang w:eastAsia="fr-CA"/>
        </w:rPr>
        <w:t>Giroux</w:t>
      </w:r>
      <w:r w:rsidR="00236674">
        <w:rPr>
          <w:rFonts w:cs="Arial"/>
          <w:lang w:eastAsia="fr-CA"/>
        </w:rPr>
        <w:t>, le Tribunal ne peut conclure à son manque d’objectivité et d’impartialité en raison des causes qu’elle épouse ou des liens entretenus avec Gaillard.</w:t>
      </w:r>
    </w:p>
    <w:p w14:paraId="7190AF15" w14:textId="1CB67249" w:rsidR="00BD71C5" w:rsidRDefault="00236674" w:rsidP="005A1070">
      <w:pPr>
        <w:widowControl w:val="0"/>
        <w:numPr>
          <w:ilvl w:val="0"/>
          <w:numId w:val="1"/>
        </w:numPr>
        <w:tabs>
          <w:tab w:val="clear" w:pos="360"/>
        </w:tabs>
        <w:spacing w:before="120" w:after="120"/>
        <w:jc w:val="both"/>
        <w:rPr>
          <w:rFonts w:cs="Arial"/>
          <w:lang w:eastAsia="fr-CA"/>
        </w:rPr>
      </w:pPr>
      <w:r>
        <w:rPr>
          <w:rFonts w:cs="Arial"/>
          <w:lang w:eastAsia="fr-CA"/>
        </w:rPr>
        <w:t>Toutefois</w:t>
      </w:r>
      <w:r w:rsidR="00BD71C5">
        <w:rPr>
          <w:rFonts w:cs="Arial"/>
          <w:lang w:eastAsia="fr-CA"/>
        </w:rPr>
        <w:t xml:space="preserve">, l’opinion de </w:t>
      </w:r>
      <w:r w:rsidR="00FD7EDA">
        <w:rPr>
          <w:rFonts w:cs="Arial"/>
          <w:lang w:eastAsia="fr-CA"/>
        </w:rPr>
        <w:t>Giroux</w:t>
      </w:r>
      <w:r w:rsidR="00BD71C5">
        <w:rPr>
          <w:rFonts w:cs="Arial"/>
          <w:lang w:eastAsia="fr-CA"/>
        </w:rPr>
        <w:t xml:space="preserve"> n’est d’aucun secours pour le Tribunal. Elle ne lui fournit aucun éclairage sur des aspects techniques, scientifiques ou autres qui l’assisterait dans la détermination </w:t>
      </w:r>
      <w:r w:rsidR="00966410">
        <w:rPr>
          <w:rFonts w:cs="Arial"/>
          <w:lang w:eastAsia="fr-CA"/>
        </w:rPr>
        <w:t xml:space="preserve">du caractère raisonnable </w:t>
      </w:r>
      <w:r w:rsidR="00BD71C5">
        <w:rPr>
          <w:rFonts w:cs="Arial"/>
          <w:lang w:eastAsia="fr-CA"/>
        </w:rPr>
        <w:t>de la Résolution ou de la délivrance du Permis SEG.</w:t>
      </w:r>
    </w:p>
    <w:p w14:paraId="00A4BA2F" w14:textId="69A361C0" w:rsidR="00E23322" w:rsidRDefault="00236674" w:rsidP="005A1070">
      <w:pPr>
        <w:widowControl w:val="0"/>
        <w:numPr>
          <w:ilvl w:val="0"/>
          <w:numId w:val="1"/>
        </w:numPr>
        <w:tabs>
          <w:tab w:val="clear" w:pos="360"/>
        </w:tabs>
        <w:spacing w:before="120" w:after="120"/>
        <w:jc w:val="both"/>
        <w:rPr>
          <w:rFonts w:cs="Arial"/>
          <w:lang w:eastAsia="fr-CA"/>
        </w:rPr>
      </w:pPr>
      <w:r>
        <w:rPr>
          <w:rFonts w:cs="Arial"/>
          <w:lang w:eastAsia="fr-CA"/>
        </w:rPr>
        <w:t>Comme elle le souligne dans son rapport, la raison pour laquelle elle est invité</w:t>
      </w:r>
      <w:r w:rsidR="007C1E4E">
        <w:rPr>
          <w:rFonts w:cs="Arial"/>
          <w:lang w:eastAsia="fr-CA"/>
        </w:rPr>
        <w:t>e</w:t>
      </w:r>
      <w:r>
        <w:rPr>
          <w:rFonts w:cs="Arial"/>
          <w:lang w:eastAsia="fr-CA"/>
        </w:rPr>
        <w:t xml:space="preserve"> à se prononcer sur le projet d’abattre des cerfs du Parc est que « l’enjeu éthique qu’il soulève relève principalement de son champ de recherche, soit la philosophie morale</w:t>
      </w:r>
      <w:r>
        <w:rPr>
          <w:rStyle w:val="Appelnotedebasdep"/>
          <w:rFonts w:cs="Arial"/>
          <w:lang w:eastAsia="fr-CA"/>
        </w:rPr>
        <w:footnoteReference w:id="96"/>
      </w:r>
      <w:r w:rsidR="00CC1217">
        <w:rPr>
          <w:rFonts w:cs="Arial"/>
          <w:lang w:eastAsia="fr-CA"/>
        </w:rPr>
        <w:t>»</w:t>
      </w:r>
      <w:r w:rsidR="00E23322">
        <w:rPr>
          <w:rFonts w:cs="Arial"/>
          <w:lang w:eastAsia="fr-CA"/>
        </w:rPr>
        <w:t>.</w:t>
      </w:r>
      <w:r>
        <w:rPr>
          <w:rFonts w:cs="Arial"/>
          <w:lang w:eastAsia="fr-CA"/>
        </w:rPr>
        <w:t xml:space="preserve"> Or, si intéressante soit la question, elle ne fait pas partie du spectre des considérations dont le Tribunal d</w:t>
      </w:r>
      <w:r w:rsidR="0033224A">
        <w:rPr>
          <w:rFonts w:cs="Arial"/>
          <w:lang w:eastAsia="fr-CA"/>
        </w:rPr>
        <w:t>oit tenir</w:t>
      </w:r>
      <w:r>
        <w:rPr>
          <w:rFonts w:cs="Arial"/>
          <w:lang w:eastAsia="fr-CA"/>
        </w:rPr>
        <w:t xml:space="preserve"> compte.</w:t>
      </w:r>
    </w:p>
    <w:p w14:paraId="27CB9E07" w14:textId="19CAF6B2" w:rsidR="00236674" w:rsidRDefault="00236674" w:rsidP="005A1070">
      <w:pPr>
        <w:widowControl w:val="0"/>
        <w:numPr>
          <w:ilvl w:val="0"/>
          <w:numId w:val="1"/>
        </w:numPr>
        <w:tabs>
          <w:tab w:val="clear" w:pos="360"/>
        </w:tabs>
        <w:spacing w:before="120" w:after="120"/>
        <w:jc w:val="both"/>
        <w:rPr>
          <w:rFonts w:cs="Arial"/>
          <w:lang w:eastAsia="fr-CA"/>
        </w:rPr>
      </w:pPr>
      <w:r>
        <w:rPr>
          <w:rFonts w:cs="Arial"/>
          <w:lang w:eastAsia="fr-CA"/>
        </w:rPr>
        <w:t xml:space="preserve">Enfin, l’opinion </w:t>
      </w:r>
      <w:r w:rsidR="00015145">
        <w:rPr>
          <w:rFonts w:cs="Arial"/>
          <w:lang w:eastAsia="fr-CA"/>
        </w:rPr>
        <w:t xml:space="preserve">de </w:t>
      </w:r>
      <w:r w:rsidR="00FD7EDA">
        <w:rPr>
          <w:rFonts w:cs="Arial"/>
          <w:lang w:eastAsia="fr-CA"/>
        </w:rPr>
        <w:t>Giroux</w:t>
      </w:r>
      <w:r w:rsidR="00015145">
        <w:rPr>
          <w:rFonts w:cs="Arial"/>
          <w:lang w:eastAsia="fr-CA"/>
        </w:rPr>
        <w:t xml:space="preserve"> tend à interpréter le sens et la portée de l’art</w:t>
      </w:r>
      <w:r w:rsidR="00B73F43">
        <w:rPr>
          <w:rFonts w:cs="Arial"/>
          <w:lang w:eastAsia="fr-CA"/>
        </w:rPr>
        <w:t>icle</w:t>
      </w:r>
      <w:r w:rsidR="00015145">
        <w:rPr>
          <w:rFonts w:cs="Arial"/>
          <w:lang w:eastAsia="fr-CA"/>
        </w:rPr>
        <w:t xml:space="preserve"> 898.1 </w:t>
      </w:r>
      <w:r w:rsidR="00B73F43">
        <w:rPr>
          <w:rFonts w:cs="Arial"/>
          <w:lang w:eastAsia="fr-CA"/>
        </w:rPr>
        <w:t> </w:t>
      </w:r>
      <w:r w:rsidR="00015145">
        <w:rPr>
          <w:rFonts w:cs="Arial"/>
          <w:lang w:eastAsia="fr-CA"/>
        </w:rPr>
        <w:t xml:space="preserve">C.c.Q. en ce qu’il confèrerait aux animaux un droit à la vie. Comme elle le mentionne, </w:t>
      </w:r>
      <w:r w:rsidR="00015145">
        <w:rPr>
          <w:rFonts w:cs="Arial"/>
          <w:lang w:eastAsia="fr-CA"/>
        </w:rPr>
        <w:lastRenderedPageBreak/>
        <w:t>« on ne peut tuer un animal sentient sans contrevenir à ses intérêts »</w:t>
      </w:r>
      <w:r w:rsidR="00015145">
        <w:rPr>
          <w:rStyle w:val="Appelnotedebasdep"/>
          <w:rFonts w:cs="Arial"/>
          <w:lang w:eastAsia="fr-CA"/>
        </w:rPr>
        <w:footnoteReference w:id="97"/>
      </w:r>
      <w:r w:rsidR="00015145">
        <w:rPr>
          <w:rFonts w:cs="Arial"/>
          <w:lang w:eastAsia="fr-CA"/>
        </w:rPr>
        <w:t xml:space="preserve">. Ce qui fait dire à </w:t>
      </w:r>
      <w:r w:rsidR="00CC3FCD">
        <w:rPr>
          <w:rFonts w:cs="Arial"/>
          <w:lang w:eastAsia="fr-CA"/>
        </w:rPr>
        <w:t>la SPCA</w:t>
      </w:r>
      <w:r w:rsidR="00015145">
        <w:rPr>
          <w:rFonts w:cs="Arial"/>
          <w:lang w:eastAsia="fr-CA"/>
        </w:rPr>
        <w:t xml:space="preserve"> que, dans la présente affaire, « le raisonnement de la Ville et du Ministère à cet égard est incohérent et ne tient pas compte de l’intérêt des cerfs à vivre »</w:t>
      </w:r>
      <w:r w:rsidR="00015145">
        <w:rPr>
          <w:rStyle w:val="Appelnotedebasdep"/>
          <w:rFonts w:cs="Arial"/>
          <w:lang w:eastAsia="fr-CA"/>
        </w:rPr>
        <w:footnoteReference w:id="98"/>
      </w:r>
      <w:r w:rsidR="00015145">
        <w:rPr>
          <w:rFonts w:cs="Arial"/>
          <w:lang w:eastAsia="fr-CA"/>
        </w:rPr>
        <w:t>.</w:t>
      </w:r>
    </w:p>
    <w:p w14:paraId="4CE0A734" w14:textId="223BE724" w:rsidR="00015145" w:rsidRDefault="00015145" w:rsidP="005A1070">
      <w:pPr>
        <w:widowControl w:val="0"/>
        <w:numPr>
          <w:ilvl w:val="0"/>
          <w:numId w:val="1"/>
        </w:numPr>
        <w:tabs>
          <w:tab w:val="clear" w:pos="360"/>
        </w:tabs>
        <w:spacing w:before="120" w:after="120"/>
        <w:jc w:val="both"/>
        <w:rPr>
          <w:rFonts w:cs="Arial"/>
          <w:lang w:eastAsia="fr-CA"/>
        </w:rPr>
      </w:pPr>
      <w:r>
        <w:rPr>
          <w:rFonts w:cs="Arial"/>
          <w:lang w:eastAsia="fr-CA"/>
        </w:rPr>
        <w:t xml:space="preserve">Si c’est là la portée que </w:t>
      </w:r>
      <w:r w:rsidR="00CC3FCD">
        <w:rPr>
          <w:rFonts w:cs="Arial"/>
          <w:lang w:eastAsia="fr-CA"/>
        </w:rPr>
        <w:t>la SPCA</w:t>
      </w:r>
      <w:r>
        <w:rPr>
          <w:rFonts w:cs="Arial"/>
          <w:lang w:eastAsia="fr-CA"/>
        </w:rPr>
        <w:t xml:space="preserve"> souhaite attribuer à l’opinion de </w:t>
      </w:r>
      <w:r w:rsidR="00FD7EDA">
        <w:rPr>
          <w:rFonts w:cs="Arial"/>
          <w:lang w:eastAsia="fr-CA"/>
        </w:rPr>
        <w:t>Giroux</w:t>
      </w:r>
      <w:r>
        <w:rPr>
          <w:rFonts w:cs="Arial"/>
          <w:lang w:eastAsia="fr-CA"/>
        </w:rPr>
        <w:t>, elle empiète sur des questions de droit que le Tribunal sera appelé à trancher</w:t>
      </w:r>
      <w:r w:rsidR="007C1E4E">
        <w:rPr>
          <w:rFonts w:cs="Arial"/>
          <w:lang w:eastAsia="fr-CA"/>
        </w:rPr>
        <w:t>, ce qui la rend irrecevable</w:t>
      </w:r>
      <w:r>
        <w:rPr>
          <w:rStyle w:val="Appelnotedebasdep"/>
          <w:rFonts w:cs="Arial"/>
          <w:lang w:eastAsia="fr-CA"/>
        </w:rPr>
        <w:footnoteReference w:id="99"/>
      </w:r>
      <w:r w:rsidR="00B14D08">
        <w:rPr>
          <w:rFonts w:cs="Arial"/>
          <w:lang w:eastAsia="fr-CA"/>
        </w:rPr>
        <w:t>.</w:t>
      </w:r>
    </w:p>
    <w:p w14:paraId="4E529DC2" w14:textId="1A885C64" w:rsidR="00B14D08" w:rsidRDefault="00B14D08" w:rsidP="005A1070">
      <w:pPr>
        <w:widowControl w:val="0"/>
        <w:numPr>
          <w:ilvl w:val="0"/>
          <w:numId w:val="1"/>
        </w:numPr>
        <w:tabs>
          <w:tab w:val="clear" w:pos="360"/>
        </w:tabs>
        <w:spacing w:before="120" w:after="120"/>
        <w:jc w:val="both"/>
        <w:rPr>
          <w:rFonts w:cs="Arial"/>
          <w:lang w:eastAsia="fr-CA"/>
        </w:rPr>
      </w:pPr>
      <w:r>
        <w:rPr>
          <w:rFonts w:cs="Arial"/>
          <w:lang w:eastAsia="fr-CA"/>
        </w:rPr>
        <w:t xml:space="preserve">Considérant qu’ils n’apportent aucun éclairage </w:t>
      </w:r>
      <w:r w:rsidR="0033224A">
        <w:rPr>
          <w:rFonts w:cs="Arial"/>
          <w:lang w:eastAsia="fr-CA"/>
        </w:rPr>
        <w:t xml:space="preserve">pertinent </w:t>
      </w:r>
      <w:r>
        <w:rPr>
          <w:rFonts w:cs="Arial"/>
          <w:lang w:eastAsia="fr-CA"/>
        </w:rPr>
        <w:t>au Tribunal et qu’ils tendent à interpréter le sens et la portée de l’art</w:t>
      </w:r>
      <w:r w:rsidR="00B73F43">
        <w:rPr>
          <w:rFonts w:cs="Arial"/>
          <w:lang w:eastAsia="fr-CA"/>
        </w:rPr>
        <w:t>icle</w:t>
      </w:r>
      <w:r>
        <w:rPr>
          <w:rFonts w:cs="Arial"/>
          <w:lang w:eastAsia="fr-CA"/>
        </w:rPr>
        <w:t xml:space="preserve"> 898.1 C.c.Q., le Tribunal n’accorde aucune valeur probante au Rapport Giroux et au témoignage de </w:t>
      </w:r>
      <w:r w:rsidR="00FD7EDA">
        <w:rPr>
          <w:rFonts w:cs="Arial"/>
          <w:lang w:eastAsia="fr-CA"/>
        </w:rPr>
        <w:t>Giroux</w:t>
      </w:r>
      <w:r>
        <w:rPr>
          <w:rFonts w:cs="Arial"/>
          <w:lang w:eastAsia="fr-CA"/>
        </w:rPr>
        <w:t>.</w:t>
      </w:r>
    </w:p>
    <w:p w14:paraId="211D4725" w14:textId="10C39CBE" w:rsidR="00E23322" w:rsidRDefault="00E23322" w:rsidP="00EC1309">
      <w:pPr>
        <w:pStyle w:val="Titre5"/>
        <w:rPr>
          <w:lang w:eastAsia="fr-CA"/>
        </w:rPr>
      </w:pPr>
      <w:bookmarkStart w:id="56" w:name="_Toc144367240"/>
      <w:r>
        <w:rPr>
          <w:lang w:eastAsia="fr-CA"/>
        </w:rPr>
        <w:t>Le Rapport Cadieux-de Bellefeuille</w:t>
      </w:r>
      <w:bookmarkEnd w:id="56"/>
    </w:p>
    <w:p w14:paraId="3B60D2F5" w14:textId="61071D53" w:rsidR="00E23322" w:rsidRPr="00E23322" w:rsidRDefault="00E23322" w:rsidP="00E466D7">
      <w:pPr>
        <w:pStyle w:val="Paragrdouble"/>
        <w:widowControl w:val="0"/>
        <w:numPr>
          <w:ilvl w:val="0"/>
          <w:numId w:val="20"/>
        </w:numPr>
        <w:spacing w:line="240" w:lineRule="auto"/>
        <w:ind w:left="2387" w:hanging="357"/>
        <w:rPr>
          <w:rFonts w:cs="Arial"/>
          <w:u w:val="single"/>
          <w:lang w:eastAsia="fr-CA"/>
        </w:rPr>
      </w:pPr>
      <w:r w:rsidRPr="00E23322">
        <w:rPr>
          <w:rFonts w:cs="Arial"/>
          <w:u w:val="single"/>
          <w:lang w:eastAsia="fr-CA"/>
        </w:rPr>
        <w:t xml:space="preserve">Le </w:t>
      </w:r>
      <w:r>
        <w:rPr>
          <w:rFonts w:cs="Arial"/>
          <w:u w:val="single"/>
          <w:lang w:eastAsia="fr-CA"/>
        </w:rPr>
        <w:t>r</w:t>
      </w:r>
      <w:r w:rsidRPr="00E23322">
        <w:rPr>
          <w:rFonts w:cs="Arial"/>
          <w:u w:val="single"/>
          <w:lang w:eastAsia="fr-CA"/>
        </w:rPr>
        <w:t>apport</w:t>
      </w:r>
    </w:p>
    <w:p w14:paraId="596D88BD" w14:textId="1E10D541" w:rsidR="00E23322" w:rsidRDefault="00365FDD" w:rsidP="005A1070">
      <w:pPr>
        <w:pStyle w:val="Paragrsimple"/>
        <w:widowControl w:val="0"/>
        <w:rPr>
          <w:rFonts w:cs="Arial"/>
          <w:lang w:eastAsia="fr-CA"/>
        </w:rPr>
      </w:pPr>
      <w:r w:rsidRPr="00365FDD">
        <w:rPr>
          <w:rFonts w:cs="Arial"/>
          <w:lang w:eastAsia="fr-CA"/>
        </w:rPr>
        <w:t xml:space="preserve">Pour les </w:t>
      </w:r>
      <w:r>
        <w:rPr>
          <w:rFonts w:cs="Arial"/>
          <w:lang w:eastAsia="fr-CA"/>
        </w:rPr>
        <w:t xml:space="preserve">motifs qui suivent, le Tribunal attribue une forte valeur probante au rapport et aux témoignages </w:t>
      </w:r>
      <w:r w:rsidR="007A2043">
        <w:rPr>
          <w:rFonts w:cs="Arial"/>
          <w:lang w:eastAsia="fr-CA"/>
        </w:rPr>
        <w:t>livrés</w:t>
      </w:r>
      <w:r>
        <w:rPr>
          <w:rFonts w:cs="Arial"/>
          <w:lang w:eastAsia="fr-CA"/>
        </w:rPr>
        <w:t xml:space="preserve"> en son soutien par Cadieux et de Bellefeuille.</w:t>
      </w:r>
    </w:p>
    <w:p w14:paraId="6EB239BD" w14:textId="7376CB4C" w:rsidR="00365FDD" w:rsidRDefault="00365FDD" w:rsidP="005A1070">
      <w:pPr>
        <w:pStyle w:val="Paragrdouble"/>
        <w:widowControl w:val="0"/>
        <w:spacing w:line="240" w:lineRule="auto"/>
        <w:rPr>
          <w:lang w:eastAsia="fr-CA"/>
        </w:rPr>
      </w:pPr>
      <w:r>
        <w:rPr>
          <w:lang w:eastAsia="fr-CA"/>
        </w:rPr>
        <w:t xml:space="preserve">D’abord, il </w:t>
      </w:r>
      <w:r w:rsidR="0033224A">
        <w:rPr>
          <w:lang w:eastAsia="fr-CA"/>
        </w:rPr>
        <w:t>s’avère</w:t>
      </w:r>
      <w:r>
        <w:rPr>
          <w:lang w:eastAsia="fr-CA"/>
        </w:rPr>
        <w:t xml:space="preserve"> indéniable qu</w:t>
      </w:r>
      <w:r w:rsidR="007A2043">
        <w:rPr>
          <w:lang w:eastAsia="fr-CA"/>
        </w:rPr>
        <w:t xml:space="preserve">’elles </w:t>
      </w:r>
      <w:r>
        <w:rPr>
          <w:lang w:eastAsia="fr-CA"/>
        </w:rPr>
        <w:t xml:space="preserve">possèdent </w:t>
      </w:r>
      <w:r w:rsidR="007A2043">
        <w:rPr>
          <w:lang w:eastAsia="fr-CA"/>
        </w:rPr>
        <w:t xml:space="preserve">toutes deux </w:t>
      </w:r>
      <w:r>
        <w:rPr>
          <w:lang w:eastAsia="fr-CA"/>
        </w:rPr>
        <w:t>une vaste expertise dans le domaine.</w:t>
      </w:r>
    </w:p>
    <w:p w14:paraId="59B1BCAC" w14:textId="5308F2AD" w:rsidR="00EC0E60" w:rsidRDefault="00EC0E60" w:rsidP="005A1070">
      <w:pPr>
        <w:pStyle w:val="Paragrdouble"/>
        <w:widowControl w:val="0"/>
        <w:spacing w:line="240" w:lineRule="auto"/>
        <w:rPr>
          <w:lang w:eastAsia="fr-CA"/>
        </w:rPr>
      </w:pPr>
      <w:r>
        <w:rPr>
          <w:lang w:eastAsia="fr-CA"/>
        </w:rPr>
        <w:t>Cadieux détient un diplôme d’études supérieures</w:t>
      </w:r>
      <w:r w:rsidR="007A2043">
        <w:rPr>
          <w:lang w:eastAsia="fr-CA"/>
        </w:rPr>
        <w:t xml:space="preserve"> et</w:t>
      </w:r>
      <w:r>
        <w:rPr>
          <w:lang w:eastAsia="fr-CA"/>
        </w:rPr>
        <w:t xml:space="preserve"> une maîtrise en gestion de la faune et un doctorat en biologie. </w:t>
      </w:r>
      <w:r w:rsidR="002F73CC">
        <w:rPr>
          <w:lang w:eastAsia="fr-CA"/>
        </w:rPr>
        <w:t>Elle joint le MFFP en 2011 et occup</w:t>
      </w:r>
      <w:r w:rsidR="007C1E4E">
        <w:rPr>
          <w:lang w:eastAsia="fr-CA"/>
        </w:rPr>
        <w:t>e</w:t>
      </w:r>
      <w:r w:rsidR="002F73CC">
        <w:rPr>
          <w:lang w:eastAsia="fr-CA"/>
        </w:rPr>
        <w:t xml:space="preserve"> depuis plusieurs fonctions liées à la gestion de la faune. Elle </w:t>
      </w:r>
      <w:r w:rsidR="0033224A">
        <w:rPr>
          <w:lang w:eastAsia="fr-CA"/>
        </w:rPr>
        <w:t xml:space="preserve">contribue </w:t>
      </w:r>
      <w:r w:rsidR="002F73CC">
        <w:rPr>
          <w:lang w:eastAsia="fr-CA"/>
        </w:rPr>
        <w:t xml:space="preserve">également à plusieurs ouvrages sur le </w:t>
      </w:r>
      <w:r w:rsidR="007A2043">
        <w:rPr>
          <w:lang w:eastAsia="fr-CA"/>
        </w:rPr>
        <w:t>su</w:t>
      </w:r>
      <w:r w:rsidR="002F73CC">
        <w:rPr>
          <w:lang w:eastAsia="fr-CA"/>
        </w:rPr>
        <w:t>jet d</w:t>
      </w:r>
      <w:r w:rsidR="007A2043">
        <w:rPr>
          <w:lang w:eastAsia="fr-CA"/>
        </w:rPr>
        <w:t>o</w:t>
      </w:r>
      <w:r w:rsidR="002F73CC">
        <w:rPr>
          <w:lang w:eastAsia="fr-CA"/>
        </w:rPr>
        <w:t>n</w:t>
      </w:r>
      <w:r w:rsidR="007A2043">
        <w:rPr>
          <w:lang w:eastAsia="fr-CA"/>
        </w:rPr>
        <w:t>t</w:t>
      </w:r>
      <w:r w:rsidR="002F73CC">
        <w:rPr>
          <w:lang w:eastAsia="fr-CA"/>
        </w:rPr>
        <w:t xml:space="preserve"> le Plan de gestion du cerf de Virginie du Québec 2020-2027 élaboré par de Bellefeuille. Enfin, elle a conçu plusieurs protocoles d’inventaires fauniques en plus de participer à la réalisation de </w:t>
      </w:r>
      <w:r w:rsidR="007C1E4E">
        <w:rPr>
          <w:lang w:eastAsia="fr-CA"/>
        </w:rPr>
        <w:t xml:space="preserve">plusieurs de </w:t>
      </w:r>
      <w:r w:rsidR="002F73CC">
        <w:rPr>
          <w:lang w:eastAsia="fr-CA"/>
        </w:rPr>
        <w:t>ces inventaires.</w:t>
      </w:r>
    </w:p>
    <w:p w14:paraId="2DD48FFF" w14:textId="324CEC79" w:rsidR="0094230B" w:rsidRDefault="002F73CC" w:rsidP="005A1070">
      <w:pPr>
        <w:pStyle w:val="Paragrdouble"/>
        <w:widowControl w:val="0"/>
        <w:spacing w:line="240" w:lineRule="auto"/>
        <w:rPr>
          <w:lang w:eastAsia="fr-CA"/>
        </w:rPr>
      </w:pPr>
      <w:r>
        <w:rPr>
          <w:lang w:eastAsia="fr-CA"/>
        </w:rPr>
        <w:t>Pour sa part, biologiste, de Bellefeuille joint le MFFP en 2015 et occupe aujourd’hui le poste de coordonnatrice provinciale de la gestion du cerf. Au cours des 20 dernières années, elle particip</w:t>
      </w:r>
      <w:r w:rsidR="0033224A">
        <w:rPr>
          <w:lang w:eastAsia="fr-CA"/>
        </w:rPr>
        <w:t>e</w:t>
      </w:r>
      <w:r>
        <w:rPr>
          <w:lang w:eastAsia="fr-CA"/>
        </w:rPr>
        <w:t xml:space="preserve"> à plusieurs projets de gestion des cerfs et d’étude de leur comportement. Elle est l’auteure de plusieurs publications sur le sujet</w:t>
      </w:r>
      <w:r w:rsidR="0013297F">
        <w:rPr>
          <w:lang w:eastAsia="fr-CA"/>
        </w:rPr>
        <w:t>,</w:t>
      </w:r>
      <w:r>
        <w:rPr>
          <w:lang w:eastAsia="fr-CA"/>
        </w:rPr>
        <w:t xml:space="preserve"> dont le « Rapport sur la révision du système de suivi</w:t>
      </w:r>
      <w:r w:rsidR="00BD673E">
        <w:rPr>
          <w:lang w:eastAsia="fr-CA"/>
        </w:rPr>
        <w:t xml:space="preserve"> des populations de cerfs de Virginie au Québec : une approche simplifiée et scientifiquement approuvée ». Enfin, elle compte une cinquantaine d’heures de vol en hélicoptère dans le cadre de travaux liés à la capture et à l’inventaire de cervidés.</w:t>
      </w:r>
    </w:p>
    <w:p w14:paraId="7BEFE5FB" w14:textId="09A26F51" w:rsidR="00BD673E" w:rsidRDefault="00BD673E" w:rsidP="005A1070">
      <w:pPr>
        <w:pStyle w:val="Paragrdouble"/>
        <w:widowControl w:val="0"/>
        <w:spacing w:line="240" w:lineRule="auto"/>
        <w:rPr>
          <w:lang w:eastAsia="fr-CA"/>
        </w:rPr>
      </w:pPr>
      <w:r>
        <w:rPr>
          <w:lang w:eastAsia="fr-CA"/>
        </w:rPr>
        <w:t>Puisqu’elles sont toutes deux à l’emploi du MFFP, les demandeurs et l’intervenante avancent qu’on ne saurait attribuer de valeur probante à leur témoignage et au contenu de leur rapport.</w:t>
      </w:r>
    </w:p>
    <w:p w14:paraId="37952602" w14:textId="2E127698" w:rsidR="00BD673E" w:rsidRDefault="00BD673E" w:rsidP="005A1070">
      <w:pPr>
        <w:pStyle w:val="Paragrdouble"/>
        <w:widowControl w:val="0"/>
        <w:spacing w:line="240" w:lineRule="auto"/>
        <w:rPr>
          <w:lang w:eastAsia="fr-CA"/>
        </w:rPr>
      </w:pPr>
      <w:r>
        <w:rPr>
          <w:lang w:eastAsia="fr-CA"/>
        </w:rPr>
        <w:lastRenderedPageBreak/>
        <w:t>Le Tribunal n’est pas d’accord.</w:t>
      </w:r>
    </w:p>
    <w:p w14:paraId="6F0B7F96" w14:textId="77777777" w:rsidR="007C1E4E" w:rsidRDefault="00B2364F" w:rsidP="005A1070">
      <w:pPr>
        <w:pStyle w:val="Paragrdouble"/>
        <w:spacing w:line="240" w:lineRule="auto"/>
        <w:rPr>
          <w:lang w:eastAsia="fr-CA"/>
        </w:rPr>
      </w:pPr>
      <w:r>
        <w:rPr>
          <w:lang w:eastAsia="fr-CA"/>
        </w:rPr>
        <w:t xml:space="preserve">Comme le reconnaît l’intervenante, </w:t>
      </w:r>
      <w:r w:rsidR="00EF7868">
        <w:rPr>
          <w:lang w:eastAsia="fr-CA"/>
        </w:rPr>
        <w:t>le lien d’emploi entre une partie et l’expert qu’elle présente ne fait pas obstacle à la recevabilité de son rapport ou de son témoignage</w:t>
      </w:r>
      <w:r w:rsidR="00EF7868">
        <w:rPr>
          <w:rStyle w:val="Appelnotedebasdep"/>
          <w:lang w:eastAsia="fr-CA"/>
        </w:rPr>
        <w:footnoteReference w:id="100"/>
      </w:r>
      <w:r w:rsidR="00EF7868">
        <w:rPr>
          <w:lang w:eastAsia="fr-CA"/>
        </w:rPr>
        <w:t>. Toutefois, selon elle, ce lien affecte immanquablement leur valeur probante.</w:t>
      </w:r>
    </w:p>
    <w:p w14:paraId="155C5FD1" w14:textId="4325A9A6" w:rsidR="00BD673E" w:rsidRDefault="007C1E4E" w:rsidP="005A1070">
      <w:pPr>
        <w:pStyle w:val="Paragrdouble"/>
        <w:spacing w:line="240" w:lineRule="auto"/>
        <w:rPr>
          <w:lang w:eastAsia="fr-CA"/>
        </w:rPr>
      </w:pPr>
      <w:r>
        <w:rPr>
          <w:lang w:eastAsia="fr-CA"/>
        </w:rPr>
        <w:t xml:space="preserve">Le Tribunal ne peut se ranger à cette proposition sans nuance. </w:t>
      </w:r>
      <w:r w:rsidR="00EF7868">
        <w:rPr>
          <w:lang w:eastAsia="fr-CA"/>
        </w:rPr>
        <w:t xml:space="preserve">Si </w:t>
      </w:r>
      <w:r w:rsidR="007A2043">
        <w:rPr>
          <w:lang w:eastAsia="fr-CA"/>
        </w:rPr>
        <w:t>une telle</w:t>
      </w:r>
      <w:r w:rsidR="00EF7868">
        <w:rPr>
          <w:lang w:eastAsia="fr-CA"/>
        </w:rPr>
        <w:t xml:space="preserve"> conséquence est possible, on ne peut prétendre qu’elle soit, en tout état de cause, certaine.</w:t>
      </w:r>
    </w:p>
    <w:p w14:paraId="232E834B" w14:textId="50166CE2" w:rsidR="00EF7868" w:rsidRDefault="00EF7868" w:rsidP="005A1070">
      <w:pPr>
        <w:pStyle w:val="Paragrdouble"/>
        <w:widowControl w:val="0"/>
        <w:spacing w:line="240" w:lineRule="auto"/>
        <w:rPr>
          <w:lang w:eastAsia="fr-CA"/>
        </w:rPr>
      </w:pPr>
      <w:r>
        <w:rPr>
          <w:lang w:eastAsia="fr-CA"/>
        </w:rPr>
        <w:t>Ici, la preuve ne permet pas de conclure que les expertes ont fait preuve de partialité ou étaient animées d’idées préconçues dans l’exécution de leur mandat. Leurs services ont été retenus par le Procureur général du Québec, une entité autonome et distincte du MFFP. Enfin, elles n’ont pas été impliquées directement dans la présente affaire qui, de la perspective du MFFP, relève de Lamoureux avec qui elles n’ont aucun lien hiérarchique.</w:t>
      </w:r>
    </w:p>
    <w:p w14:paraId="075BFAB0" w14:textId="3AA5DCA1" w:rsidR="00EF7868" w:rsidRDefault="00B1022B" w:rsidP="005A1070">
      <w:pPr>
        <w:pStyle w:val="Paragrdouble"/>
        <w:widowControl w:val="0"/>
        <w:spacing w:line="240" w:lineRule="auto"/>
        <w:rPr>
          <w:lang w:eastAsia="fr-CA"/>
        </w:rPr>
      </w:pPr>
      <w:r>
        <w:rPr>
          <w:lang w:eastAsia="fr-CA"/>
        </w:rPr>
        <w:t>Par ailleurs, le Tribunal est également d’avis que l’inventaire réalisé en février 2022 est fiable. La méthode suivie</w:t>
      </w:r>
      <w:r w:rsidR="0033224A">
        <w:rPr>
          <w:lang w:eastAsia="fr-CA"/>
        </w:rPr>
        <w:t>,</w:t>
      </w:r>
      <w:r>
        <w:rPr>
          <w:lang w:eastAsia="fr-CA"/>
        </w:rPr>
        <w:t xml:space="preserve"> élaborée par le ministère entre 1987 et 1990 a été validée et reconnue par la communauté scientifique, a fait l’objet de publications dans des revues spécialisées révisées par des pairs et a été adoptée dans d’autres juridictions.</w:t>
      </w:r>
    </w:p>
    <w:p w14:paraId="22AFC694" w14:textId="5368413F" w:rsidR="0094230B" w:rsidRDefault="00B1022B" w:rsidP="005A1070">
      <w:pPr>
        <w:pStyle w:val="Paragrdouble"/>
        <w:widowControl w:val="0"/>
        <w:spacing w:line="240" w:lineRule="auto"/>
        <w:rPr>
          <w:lang w:eastAsia="fr-CA"/>
        </w:rPr>
      </w:pPr>
      <w:r>
        <w:rPr>
          <w:lang w:eastAsia="fr-CA"/>
        </w:rPr>
        <w:t>Le protocole élaboré pour la réalisation de l’inventaire des cerfs s’appuie donc sur des méthodes reconnues et sur l’expérience acquise par les experts du MFFP, particulièrement à l’égard d’inventaires réalisés en milieu urbain.</w:t>
      </w:r>
    </w:p>
    <w:p w14:paraId="53147325" w14:textId="1E27361E" w:rsidR="00B1022B" w:rsidRDefault="00FF1CE0" w:rsidP="005A1070">
      <w:pPr>
        <w:pStyle w:val="Paragrdouble"/>
        <w:widowControl w:val="0"/>
        <w:spacing w:line="240" w:lineRule="auto"/>
        <w:rPr>
          <w:lang w:eastAsia="fr-CA"/>
        </w:rPr>
      </w:pPr>
      <w:r>
        <w:rPr>
          <w:lang w:eastAsia="fr-CA"/>
        </w:rPr>
        <w:t>Dans le cas qui nous occupe, le protocole adopté permet d’observer tous les cerfs présents plutôt que d’évaluer leur nombre en extrapolant un échantillonnage. Les conditions dans lesquel</w:t>
      </w:r>
      <w:r w:rsidR="000A7123">
        <w:rPr>
          <w:lang w:eastAsia="fr-CA"/>
        </w:rPr>
        <w:t>le</w:t>
      </w:r>
      <w:r>
        <w:rPr>
          <w:lang w:eastAsia="fr-CA"/>
        </w:rPr>
        <w:t>s l’inventaire est réalisé permet</w:t>
      </w:r>
      <w:r w:rsidR="0075087A">
        <w:rPr>
          <w:lang w:eastAsia="fr-CA"/>
        </w:rPr>
        <w:t>tent</w:t>
      </w:r>
      <w:r>
        <w:rPr>
          <w:lang w:eastAsia="fr-CA"/>
        </w:rPr>
        <w:t xml:space="preserve"> de maximiser la fiabilité des résultats : par temps clair, à basse altitude et en hiver</w:t>
      </w:r>
      <w:r w:rsidR="00B73F43">
        <w:rPr>
          <w:lang w:eastAsia="fr-CA"/>
        </w:rPr>
        <w:t>,</w:t>
      </w:r>
      <w:r>
        <w:rPr>
          <w:lang w:eastAsia="fr-CA"/>
        </w:rPr>
        <w:t xml:space="preserve"> l’absence de feuilles dans les arbres et la présence de neige au sol facilit</w:t>
      </w:r>
      <w:r w:rsidR="00B73F43">
        <w:rPr>
          <w:lang w:eastAsia="fr-CA"/>
        </w:rPr>
        <w:t>a</w:t>
      </w:r>
      <w:r>
        <w:rPr>
          <w:lang w:eastAsia="fr-CA"/>
        </w:rPr>
        <w:t xml:space="preserve">nt </w:t>
      </w:r>
      <w:r w:rsidR="00853DD8">
        <w:rPr>
          <w:lang w:eastAsia="fr-CA"/>
        </w:rPr>
        <w:t xml:space="preserve">alors </w:t>
      </w:r>
      <w:r>
        <w:rPr>
          <w:lang w:eastAsia="fr-CA"/>
        </w:rPr>
        <w:t>le repérage.</w:t>
      </w:r>
    </w:p>
    <w:p w14:paraId="2C2BB0FC" w14:textId="68265335" w:rsidR="00FF1CE0" w:rsidRPr="00FF1CE0" w:rsidRDefault="00FF1CE0" w:rsidP="00E466D7">
      <w:pPr>
        <w:pStyle w:val="Paragrdouble"/>
        <w:widowControl w:val="0"/>
        <w:numPr>
          <w:ilvl w:val="0"/>
          <w:numId w:val="20"/>
        </w:numPr>
        <w:spacing w:line="240" w:lineRule="auto"/>
        <w:ind w:left="2387" w:hanging="357"/>
        <w:rPr>
          <w:u w:val="single"/>
          <w:lang w:eastAsia="fr-CA"/>
        </w:rPr>
      </w:pPr>
      <w:r w:rsidRPr="00FF1CE0">
        <w:rPr>
          <w:u w:val="single"/>
          <w:lang w:eastAsia="fr-CA"/>
        </w:rPr>
        <w:t>Les objections</w:t>
      </w:r>
    </w:p>
    <w:p w14:paraId="2152F3B8" w14:textId="0ED64C67" w:rsidR="00FF1CE0" w:rsidRDefault="00C9459F" w:rsidP="005A1070">
      <w:pPr>
        <w:pStyle w:val="Paragrdouble"/>
        <w:widowControl w:val="0"/>
        <w:spacing w:line="240" w:lineRule="auto"/>
        <w:rPr>
          <w:lang w:eastAsia="fr-CA"/>
        </w:rPr>
      </w:pPr>
      <w:r>
        <w:rPr>
          <w:lang w:eastAsia="fr-CA"/>
        </w:rPr>
        <w:t xml:space="preserve">Lors du </w:t>
      </w:r>
      <w:r w:rsidR="0033224A">
        <w:rPr>
          <w:lang w:eastAsia="fr-CA"/>
        </w:rPr>
        <w:t>témoigna</w:t>
      </w:r>
      <w:r>
        <w:rPr>
          <w:lang w:eastAsia="fr-CA"/>
        </w:rPr>
        <w:t>ge de Cadieux et de de Bellefeuille, les parties leur pos</w:t>
      </w:r>
      <w:r w:rsidR="0033224A">
        <w:rPr>
          <w:lang w:eastAsia="fr-CA"/>
        </w:rPr>
        <w:t>ent</w:t>
      </w:r>
      <w:r>
        <w:rPr>
          <w:lang w:eastAsia="fr-CA"/>
        </w:rPr>
        <w:t xml:space="preserve"> nombre de questions sur les méthodes de régulation du cheptel de cerfs telles que la vasectomie, la relocalisation ou la chasse à l’arbalète ou, généralement, sur la sensibilité animale. Le Tribunal a permis l’administration de cette preuve sous réserve des objections.</w:t>
      </w:r>
    </w:p>
    <w:p w14:paraId="55B9A9F5" w14:textId="6153CD27" w:rsidR="00C9459F" w:rsidRDefault="00B73F43" w:rsidP="005A1070">
      <w:pPr>
        <w:pStyle w:val="Paragrdouble"/>
        <w:widowControl w:val="0"/>
        <w:spacing w:line="240" w:lineRule="auto"/>
        <w:rPr>
          <w:lang w:eastAsia="fr-CA"/>
        </w:rPr>
      </w:pPr>
      <w:r>
        <w:rPr>
          <w:lang w:eastAsia="fr-CA"/>
        </w:rPr>
        <w:t>Lors de leur contre-interrogatoire, l</w:t>
      </w:r>
      <w:r w:rsidR="00C9459F">
        <w:rPr>
          <w:lang w:eastAsia="fr-CA"/>
        </w:rPr>
        <w:t xml:space="preserve">es demandeurs et l’intervenante </w:t>
      </w:r>
      <w:r>
        <w:rPr>
          <w:lang w:eastAsia="fr-CA"/>
        </w:rPr>
        <w:t>saisissent</w:t>
      </w:r>
      <w:r w:rsidR="0033224A">
        <w:rPr>
          <w:lang w:eastAsia="fr-CA"/>
        </w:rPr>
        <w:t xml:space="preserve"> alors</w:t>
      </w:r>
      <w:r w:rsidR="007C1E4E">
        <w:rPr>
          <w:lang w:eastAsia="fr-CA"/>
        </w:rPr>
        <w:t xml:space="preserve"> l’occasion pour tenter</w:t>
      </w:r>
      <w:r w:rsidR="00C9459F">
        <w:rPr>
          <w:lang w:eastAsia="fr-CA"/>
        </w:rPr>
        <w:t xml:space="preserve"> de produire certaines pièces par ces deux expertes : P-40, P-45, P-47, P-48</w:t>
      </w:r>
      <w:r w:rsidR="0033224A">
        <w:rPr>
          <w:lang w:eastAsia="fr-CA"/>
        </w:rPr>
        <w:t>, I-14 et I</w:t>
      </w:r>
      <w:r w:rsidR="00C9459F">
        <w:rPr>
          <w:lang w:eastAsia="fr-CA"/>
        </w:rPr>
        <w:t>-15.</w:t>
      </w:r>
      <w:r w:rsidR="007C1E4E">
        <w:rPr>
          <w:lang w:eastAsia="fr-CA"/>
        </w:rPr>
        <w:t xml:space="preserve"> La Ville et le MFFP s’y sont opposés.</w:t>
      </w:r>
    </w:p>
    <w:p w14:paraId="32F592CB" w14:textId="7996A0A7" w:rsidR="00C9459F" w:rsidRDefault="00C9459F" w:rsidP="005A1070">
      <w:pPr>
        <w:pStyle w:val="Paragrdouble"/>
        <w:widowControl w:val="0"/>
        <w:spacing w:line="240" w:lineRule="auto"/>
        <w:rPr>
          <w:lang w:eastAsia="fr-CA"/>
        </w:rPr>
      </w:pPr>
      <w:r>
        <w:rPr>
          <w:lang w:eastAsia="fr-CA"/>
        </w:rPr>
        <w:t xml:space="preserve">Le Tribunal </w:t>
      </w:r>
      <w:r w:rsidR="0033224A">
        <w:rPr>
          <w:lang w:eastAsia="fr-CA"/>
        </w:rPr>
        <w:t>accueille</w:t>
      </w:r>
      <w:r>
        <w:rPr>
          <w:lang w:eastAsia="fr-CA"/>
        </w:rPr>
        <w:t xml:space="preserve"> les objections à ces témoignages et à la production de ces pièces.</w:t>
      </w:r>
    </w:p>
    <w:p w14:paraId="4884E117" w14:textId="2414A376" w:rsidR="007C1E4E" w:rsidRDefault="007C1E4E" w:rsidP="005A1070">
      <w:pPr>
        <w:pStyle w:val="Paragrdouble"/>
        <w:widowControl w:val="0"/>
        <w:spacing w:line="240" w:lineRule="auto"/>
        <w:rPr>
          <w:lang w:eastAsia="fr-CA"/>
        </w:rPr>
      </w:pPr>
      <w:r>
        <w:rPr>
          <w:lang w:eastAsia="fr-CA"/>
        </w:rPr>
        <w:lastRenderedPageBreak/>
        <w:t xml:space="preserve">Au départ, les questions posées à l’origine des objections visaient à donner la réplique </w:t>
      </w:r>
      <w:r w:rsidR="0033224A">
        <w:rPr>
          <w:lang w:eastAsia="fr-CA"/>
        </w:rPr>
        <w:t xml:space="preserve">à </w:t>
      </w:r>
      <w:r w:rsidR="007D4D19">
        <w:rPr>
          <w:lang w:eastAsia="fr-CA"/>
        </w:rPr>
        <w:t>Autenne</w:t>
      </w:r>
      <w:r>
        <w:rPr>
          <w:lang w:eastAsia="fr-CA"/>
        </w:rPr>
        <w:t xml:space="preserve"> alors que le Tribunal venait tout juste d’autoriser </w:t>
      </w:r>
      <w:r w:rsidR="00A41D20">
        <w:rPr>
          <w:lang w:eastAsia="fr-CA"/>
        </w:rPr>
        <w:t xml:space="preserve">son témoignage et </w:t>
      </w:r>
      <w:r>
        <w:rPr>
          <w:lang w:eastAsia="fr-CA"/>
        </w:rPr>
        <w:t>la production d’une partie de son rapport sous réserve des objections. Or, nous l’avons vu, le Tribunal accueille en partie les objections à cette production.</w:t>
      </w:r>
    </w:p>
    <w:p w14:paraId="21C1CBC5" w14:textId="46A5655B" w:rsidR="00241A95" w:rsidRDefault="007C1E4E" w:rsidP="005A1070">
      <w:pPr>
        <w:pStyle w:val="Paragrdouble"/>
        <w:widowControl w:val="0"/>
        <w:spacing w:line="240" w:lineRule="auto"/>
        <w:rPr>
          <w:lang w:eastAsia="fr-CA"/>
        </w:rPr>
      </w:pPr>
      <w:r>
        <w:rPr>
          <w:lang w:eastAsia="fr-CA"/>
        </w:rPr>
        <w:t>De plus, b</w:t>
      </w:r>
      <w:r w:rsidR="00176151">
        <w:rPr>
          <w:lang w:eastAsia="fr-CA"/>
        </w:rPr>
        <w:t xml:space="preserve">ien que Cadieux et de Bellefeuille revendiquent toutes deux une expertise considérable sur tous les aspects de la gestion des cerfs, le rapport au soutien duquel elles témoignent </w:t>
      </w:r>
      <w:r w:rsidR="00241A95">
        <w:rPr>
          <w:lang w:eastAsia="fr-CA"/>
        </w:rPr>
        <w:t>se restreint aux méthodes d’inventaire.</w:t>
      </w:r>
      <w:r w:rsidR="006F768A">
        <w:rPr>
          <w:lang w:eastAsia="fr-CA"/>
        </w:rPr>
        <w:t xml:space="preserve"> M</w:t>
      </w:r>
      <w:r w:rsidR="00241A95">
        <w:rPr>
          <w:lang w:eastAsia="fr-CA"/>
        </w:rPr>
        <w:t>ême en adoptant une approche généreuse, le Tribunal ne peut y voir un lien suffisant qui leur permettrait d’opiner sur les méthodes de ré</w:t>
      </w:r>
      <w:r w:rsidR="000A7123">
        <w:rPr>
          <w:lang w:eastAsia="fr-CA"/>
        </w:rPr>
        <w:t>g</w:t>
      </w:r>
      <w:r w:rsidR="00241A95">
        <w:rPr>
          <w:lang w:eastAsia="fr-CA"/>
        </w:rPr>
        <w:t>u</w:t>
      </w:r>
      <w:r w:rsidR="000A7123">
        <w:rPr>
          <w:lang w:eastAsia="fr-CA"/>
        </w:rPr>
        <w:t>la</w:t>
      </w:r>
      <w:r w:rsidR="00241A95">
        <w:rPr>
          <w:lang w:eastAsia="fr-CA"/>
        </w:rPr>
        <w:t>tion du cheptel ou la sensibilité animale, des questions sans incidence sur la fiabilité de l’inventaire.</w:t>
      </w:r>
    </w:p>
    <w:p w14:paraId="51B1BE90" w14:textId="2788D702" w:rsidR="00241A95" w:rsidRDefault="00241A95" w:rsidP="005A1070">
      <w:pPr>
        <w:pStyle w:val="Paragrdouble"/>
        <w:widowControl w:val="0"/>
        <w:spacing w:line="240" w:lineRule="auto"/>
        <w:rPr>
          <w:lang w:eastAsia="fr-CA"/>
        </w:rPr>
      </w:pPr>
      <w:r>
        <w:rPr>
          <w:lang w:eastAsia="fr-CA"/>
        </w:rPr>
        <w:t>Quant aux objections à la production des pièces par les demandeurs et l’intervenante, le Tribunal en dispose comme suit :</w:t>
      </w:r>
    </w:p>
    <w:p w14:paraId="47AD3ECB" w14:textId="226AF979" w:rsidR="00241A95" w:rsidRPr="00241A95" w:rsidRDefault="00241A95" w:rsidP="00E466D7">
      <w:pPr>
        <w:pStyle w:val="Paragrdouble"/>
        <w:keepNext/>
        <w:numPr>
          <w:ilvl w:val="0"/>
          <w:numId w:val="21"/>
        </w:numPr>
        <w:spacing w:line="240" w:lineRule="auto"/>
        <w:ind w:hanging="357"/>
        <w:rPr>
          <w:u w:val="single"/>
          <w:lang w:eastAsia="fr-CA"/>
        </w:rPr>
      </w:pPr>
      <w:r>
        <w:rPr>
          <w:u w:val="single"/>
          <w:lang w:eastAsia="fr-CA"/>
        </w:rPr>
        <w:t xml:space="preserve">Pièces </w:t>
      </w:r>
      <w:r w:rsidRPr="00241A95">
        <w:rPr>
          <w:u w:val="single"/>
          <w:lang w:eastAsia="fr-CA"/>
        </w:rPr>
        <w:t xml:space="preserve">P-40, P-47, </w:t>
      </w:r>
      <w:r w:rsidR="0033224A">
        <w:rPr>
          <w:u w:val="single"/>
          <w:lang w:eastAsia="fr-CA"/>
        </w:rPr>
        <w:t>I-</w:t>
      </w:r>
      <w:r w:rsidRPr="00241A95">
        <w:rPr>
          <w:u w:val="single"/>
          <w:lang w:eastAsia="fr-CA"/>
        </w:rPr>
        <w:t xml:space="preserve">14 et </w:t>
      </w:r>
      <w:r w:rsidR="0033224A">
        <w:rPr>
          <w:u w:val="single"/>
          <w:lang w:eastAsia="fr-CA"/>
        </w:rPr>
        <w:t>I</w:t>
      </w:r>
      <w:r w:rsidRPr="00241A95">
        <w:rPr>
          <w:u w:val="single"/>
          <w:lang w:eastAsia="fr-CA"/>
        </w:rPr>
        <w:t>-15 :</w:t>
      </w:r>
    </w:p>
    <w:p w14:paraId="7ED76A25" w14:textId="67ED3871" w:rsidR="00241A95" w:rsidRDefault="00241A95" w:rsidP="005A1070">
      <w:pPr>
        <w:pStyle w:val="Paragrdouble"/>
        <w:widowControl w:val="0"/>
        <w:numPr>
          <w:ilvl w:val="0"/>
          <w:numId w:val="0"/>
        </w:numPr>
        <w:spacing w:line="240" w:lineRule="auto"/>
        <w:ind w:left="1452"/>
        <w:rPr>
          <w:lang w:eastAsia="fr-CA"/>
        </w:rPr>
      </w:pPr>
      <w:r>
        <w:rPr>
          <w:lang w:eastAsia="fr-CA"/>
        </w:rPr>
        <w:t xml:space="preserve">Le Tribunal a déjà permis leur production pour établir leur existence. Quant à </w:t>
      </w:r>
      <w:r w:rsidR="000A7123">
        <w:rPr>
          <w:lang w:eastAsia="fr-CA"/>
        </w:rPr>
        <w:t xml:space="preserve">la preuve de </w:t>
      </w:r>
      <w:r>
        <w:rPr>
          <w:lang w:eastAsia="fr-CA"/>
        </w:rPr>
        <w:t xml:space="preserve">leur contenu, </w:t>
      </w:r>
      <w:r w:rsidR="0033224A">
        <w:rPr>
          <w:lang w:eastAsia="fr-CA"/>
        </w:rPr>
        <w:t xml:space="preserve">il accueille </w:t>
      </w:r>
      <w:r>
        <w:rPr>
          <w:lang w:eastAsia="fr-CA"/>
        </w:rPr>
        <w:t xml:space="preserve">l’objection. Elles constituent du ouï-dire et Cadieux et de Bellefeuille ne sont pas </w:t>
      </w:r>
      <w:r w:rsidR="00A41D20">
        <w:rPr>
          <w:lang w:eastAsia="fr-CA"/>
        </w:rPr>
        <w:t xml:space="preserve">les témoins </w:t>
      </w:r>
      <w:r>
        <w:rPr>
          <w:lang w:eastAsia="fr-CA"/>
        </w:rPr>
        <w:t>compétentes pour les produire.</w:t>
      </w:r>
    </w:p>
    <w:p w14:paraId="27565296" w14:textId="20F95188" w:rsidR="00241A95" w:rsidRPr="00241A95" w:rsidRDefault="00241A95" w:rsidP="00E466D7">
      <w:pPr>
        <w:pStyle w:val="Paragrdouble"/>
        <w:keepNext/>
        <w:numPr>
          <w:ilvl w:val="0"/>
          <w:numId w:val="21"/>
        </w:numPr>
        <w:spacing w:line="240" w:lineRule="auto"/>
        <w:ind w:hanging="357"/>
        <w:rPr>
          <w:u w:val="single"/>
          <w:lang w:eastAsia="fr-CA"/>
        </w:rPr>
      </w:pPr>
      <w:r>
        <w:rPr>
          <w:u w:val="single"/>
          <w:lang w:eastAsia="fr-CA"/>
        </w:rPr>
        <w:t xml:space="preserve">Pièce </w:t>
      </w:r>
      <w:r w:rsidRPr="00241A95">
        <w:rPr>
          <w:u w:val="single"/>
          <w:lang w:eastAsia="fr-CA"/>
        </w:rPr>
        <w:t>P-45 :</w:t>
      </w:r>
    </w:p>
    <w:p w14:paraId="6339E325" w14:textId="0129678D" w:rsidR="00241A95" w:rsidRDefault="00241A95" w:rsidP="005A1070">
      <w:pPr>
        <w:pStyle w:val="Paragrdouble"/>
        <w:widowControl w:val="0"/>
        <w:numPr>
          <w:ilvl w:val="0"/>
          <w:numId w:val="0"/>
        </w:numPr>
        <w:spacing w:line="240" w:lineRule="auto"/>
        <w:ind w:left="1452"/>
        <w:rPr>
          <w:lang w:eastAsia="fr-CA"/>
        </w:rPr>
      </w:pPr>
      <w:r>
        <w:rPr>
          <w:lang w:eastAsia="fr-CA"/>
        </w:rPr>
        <w:t xml:space="preserve">Il s’agit d’une photographie de Cadieux tirée de son profil Facebook la montrant avec ses « trophées de chasse ». Le Tribunal </w:t>
      </w:r>
      <w:r w:rsidR="000A7123">
        <w:rPr>
          <w:lang w:eastAsia="fr-CA"/>
        </w:rPr>
        <w:t>accueille</w:t>
      </w:r>
      <w:r>
        <w:rPr>
          <w:lang w:eastAsia="fr-CA"/>
        </w:rPr>
        <w:t xml:space="preserve"> l’objection. Cette pièce </w:t>
      </w:r>
      <w:r w:rsidR="0033224A">
        <w:rPr>
          <w:lang w:eastAsia="fr-CA"/>
        </w:rPr>
        <w:t>s’avère sans</w:t>
      </w:r>
      <w:r>
        <w:rPr>
          <w:lang w:eastAsia="fr-CA"/>
        </w:rPr>
        <w:t xml:space="preserve"> pertinence </w:t>
      </w:r>
      <w:r w:rsidR="0033224A">
        <w:rPr>
          <w:lang w:eastAsia="fr-CA"/>
        </w:rPr>
        <w:t>pour la présente affaire</w:t>
      </w:r>
      <w:r>
        <w:rPr>
          <w:lang w:eastAsia="fr-CA"/>
        </w:rPr>
        <w:t>.</w:t>
      </w:r>
    </w:p>
    <w:p w14:paraId="3789FCF8" w14:textId="29CF4BE5" w:rsidR="00241A95" w:rsidRPr="00241A95" w:rsidRDefault="00241A95" w:rsidP="00E466D7">
      <w:pPr>
        <w:pStyle w:val="Paragrdouble"/>
        <w:keepNext/>
        <w:numPr>
          <w:ilvl w:val="0"/>
          <w:numId w:val="21"/>
        </w:numPr>
        <w:spacing w:line="240" w:lineRule="auto"/>
        <w:ind w:hanging="357"/>
        <w:rPr>
          <w:u w:val="single"/>
          <w:lang w:eastAsia="fr-CA"/>
        </w:rPr>
      </w:pPr>
      <w:r>
        <w:rPr>
          <w:u w:val="single"/>
          <w:lang w:eastAsia="fr-CA"/>
        </w:rPr>
        <w:t xml:space="preserve">Pièce </w:t>
      </w:r>
      <w:r w:rsidRPr="00241A95">
        <w:rPr>
          <w:u w:val="single"/>
          <w:lang w:eastAsia="fr-CA"/>
        </w:rPr>
        <w:t>P-46 :</w:t>
      </w:r>
    </w:p>
    <w:p w14:paraId="706580A4" w14:textId="0AF88075" w:rsidR="00241A95" w:rsidRDefault="00241A95" w:rsidP="005A1070">
      <w:pPr>
        <w:pStyle w:val="Paragrdouble"/>
        <w:widowControl w:val="0"/>
        <w:numPr>
          <w:ilvl w:val="0"/>
          <w:numId w:val="0"/>
        </w:numPr>
        <w:spacing w:line="240" w:lineRule="auto"/>
        <w:ind w:left="1452"/>
        <w:rPr>
          <w:lang w:eastAsia="fr-CA"/>
        </w:rPr>
      </w:pPr>
      <w:r>
        <w:rPr>
          <w:lang w:eastAsia="fr-CA"/>
        </w:rPr>
        <w:t>Elle consiste en une capture d’écran du profil Facebook de Cadieux où elle partage une pétition</w:t>
      </w:r>
      <w:r w:rsidR="00D05022">
        <w:rPr>
          <w:lang w:eastAsia="fr-CA"/>
        </w:rPr>
        <w:t xml:space="preserve">. Cette pièce est sans pertinence </w:t>
      </w:r>
      <w:r w:rsidR="0033224A">
        <w:rPr>
          <w:lang w:eastAsia="fr-CA"/>
        </w:rPr>
        <w:t>pour le</w:t>
      </w:r>
      <w:r w:rsidR="00D05022">
        <w:rPr>
          <w:lang w:eastAsia="fr-CA"/>
        </w:rPr>
        <w:t xml:space="preserve"> déb</w:t>
      </w:r>
      <w:r w:rsidR="00C42095">
        <w:rPr>
          <w:lang w:eastAsia="fr-CA"/>
        </w:rPr>
        <w:t>a</w:t>
      </w:r>
      <w:r w:rsidR="00D05022">
        <w:rPr>
          <w:lang w:eastAsia="fr-CA"/>
        </w:rPr>
        <w:t xml:space="preserve">t et le Tribunal </w:t>
      </w:r>
      <w:r w:rsidR="000A7123">
        <w:rPr>
          <w:lang w:eastAsia="fr-CA"/>
        </w:rPr>
        <w:t>accueille</w:t>
      </w:r>
      <w:r w:rsidR="00D05022">
        <w:rPr>
          <w:lang w:eastAsia="fr-CA"/>
        </w:rPr>
        <w:t xml:space="preserve"> l’objection.</w:t>
      </w:r>
    </w:p>
    <w:p w14:paraId="6B05662B" w14:textId="78C5F56A" w:rsidR="00241A95" w:rsidRPr="00D05022" w:rsidRDefault="00D05022" w:rsidP="00E466D7">
      <w:pPr>
        <w:pStyle w:val="Paragrdouble"/>
        <w:widowControl w:val="0"/>
        <w:numPr>
          <w:ilvl w:val="0"/>
          <w:numId w:val="21"/>
        </w:numPr>
        <w:spacing w:line="240" w:lineRule="auto"/>
        <w:ind w:hanging="357"/>
        <w:rPr>
          <w:u w:val="single"/>
          <w:lang w:eastAsia="fr-CA"/>
        </w:rPr>
      </w:pPr>
      <w:r w:rsidRPr="00D05022">
        <w:rPr>
          <w:u w:val="single"/>
          <w:lang w:eastAsia="fr-CA"/>
        </w:rPr>
        <w:t>Pièce P-48 :</w:t>
      </w:r>
    </w:p>
    <w:p w14:paraId="5D64ED00" w14:textId="68E9D4C1" w:rsidR="00D05022" w:rsidRDefault="00D05022" w:rsidP="005A1070">
      <w:pPr>
        <w:pStyle w:val="Paragrdouble"/>
        <w:widowControl w:val="0"/>
        <w:numPr>
          <w:ilvl w:val="0"/>
          <w:numId w:val="0"/>
        </w:numPr>
        <w:spacing w:line="240" w:lineRule="auto"/>
        <w:ind w:left="1452"/>
        <w:rPr>
          <w:lang w:eastAsia="fr-CA"/>
        </w:rPr>
      </w:pPr>
      <w:r>
        <w:rPr>
          <w:lang w:eastAsia="fr-CA"/>
        </w:rPr>
        <w:t>Il s’agit d’un courriel transmis au cours de l’instruction par De Nicola aux procureurs des demandeurs où il s’exprime sur le s</w:t>
      </w:r>
      <w:r w:rsidR="002D4315">
        <w:rPr>
          <w:lang w:eastAsia="fr-CA"/>
        </w:rPr>
        <w:t xml:space="preserve">uccès d’une opération de stérilisation des cerfs à Staten Island. Le Tribunal </w:t>
      </w:r>
      <w:r w:rsidR="000A7123">
        <w:rPr>
          <w:lang w:eastAsia="fr-CA"/>
        </w:rPr>
        <w:t>accueille</w:t>
      </w:r>
      <w:r w:rsidR="002D4315">
        <w:rPr>
          <w:lang w:eastAsia="fr-CA"/>
        </w:rPr>
        <w:t xml:space="preserve"> l’objection. Ce document comprend du ouï-dire et Cadieux et de Bellefeuille ne sont certainement pas les témoins compétent</w:t>
      </w:r>
      <w:r w:rsidR="00C42095">
        <w:rPr>
          <w:lang w:eastAsia="fr-CA"/>
        </w:rPr>
        <w:t>e</w:t>
      </w:r>
      <w:r w:rsidR="002D4315">
        <w:rPr>
          <w:lang w:eastAsia="fr-CA"/>
        </w:rPr>
        <w:t>s pour le produire.</w:t>
      </w:r>
    </w:p>
    <w:p w14:paraId="790308D7" w14:textId="5B6C0BE4" w:rsidR="003B71E1" w:rsidRPr="00D03695" w:rsidRDefault="00D03695" w:rsidP="00F13839">
      <w:pPr>
        <w:pStyle w:val="Titre3"/>
        <w:rPr>
          <w:lang w:eastAsia="fr-CA"/>
        </w:rPr>
      </w:pPr>
      <w:bookmarkStart w:id="57" w:name="_Toc144367241"/>
      <w:r w:rsidRPr="00D03695">
        <w:rPr>
          <w:lang w:eastAsia="fr-CA"/>
        </w:rPr>
        <w:lastRenderedPageBreak/>
        <w:t>Le cadre juridique</w:t>
      </w:r>
      <w:bookmarkEnd w:id="57"/>
    </w:p>
    <w:p w14:paraId="5B110F34" w14:textId="7B76214F" w:rsidR="00D03695" w:rsidRPr="00D03695" w:rsidRDefault="00D03695" w:rsidP="00F13839">
      <w:pPr>
        <w:pStyle w:val="Titre4"/>
        <w:rPr>
          <w:lang w:eastAsia="fr-CA"/>
        </w:rPr>
      </w:pPr>
      <w:bookmarkStart w:id="58" w:name="_Toc144367242"/>
      <w:r w:rsidRPr="00D03695">
        <w:rPr>
          <w:lang w:eastAsia="fr-CA"/>
        </w:rPr>
        <w:t>La Ville</w:t>
      </w:r>
      <w:bookmarkEnd w:id="58"/>
    </w:p>
    <w:p w14:paraId="7DE8DD6A" w14:textId="299EDB23" w:rsidR="00D03695" w:rsidRDefault="00D03695" w:rsidP="005A1070">
      <w:pPr>
        <w:pStyle w:val="Paragrsimple"/>
        <w:widowControl w:val="0"/>
      </w:pPr>
      <w:r w:rsidRPr="00D03695">
        <w:t>Les municipalité</w:t>
      </w:r>
      <w:r>
        <w:t>s ne</w:t>
      </w:r>
      <w:r w:rsidRPr="00D03695">
        <w:t xml:space="preserve"> possède</w:t>
      </w:r>
      <w:r>
        <w:t>nt aucun pouvoir inhérent.</w:t>
      </w:r>
      <w:r w:rsidRPr="00D03695">
        <w:t xml:space="preserve"> </w:t>
      </w:r>
      <w:r>
        <w:t>De man</w:t>
      </w:r>
      <w:r w:rsidRPr="00D03695">
        <w:t>ière constante</w:t>
      </w:r>
      <w:r>
        <w:t>, la</w:t>
      </w:r>
      <w:r w:rsidRPr="00D03695">
        <w:t xml:space="preserve"> </w:t>
      </w:r>
      <w:r>
        <w:t>juris</w:t>
      </w:r>
      <w:r w:rsidRPr="00D03695">
        <w:t>prudence rappel</w:t>
      </w:r>
      <w:r>
        <w:t>le</w:t>
      </w:r>
      <w:r w:rsidRPr="00D03695">
        <w:t xml:space="preserve"> qu</w:t>
      </w:r>
      <w:r>
        <w:t>’</w:t>
      </w:r>
      <w:r w:rsidRPr="00D03695">
        <w:t>elle</w:t>
      </w:r>
      <w:r>
        <w:t>s</w:t>
      </w:r>
      <w:r w:rsidRPr="00D03695">
        <w:t xml:space="preserve"> ne </w:t>
      </w:r>
      <w:r>
        <w:t>jouissent</w:t>
      </w:r>
      <w:r w:rsidRPr="00D03695">
        <w:t xml:space="preserve"> </w:t>
      </w:r>
      <w:r w:rsidR="00526F86">
        <w:t>qu</w:t>
      </w:r>
      <w:r w:rsidRPr="00D03695">
        <w:t xml:space="preserve">e </w:t>
      </w:r>
      <w:r w:rsidR="003D0897">
        <w:t xml:space="preserve">de </w:t>
      </w:r>
      <w:r w:rsidRPr="00D03695">
        <w:t>ce</w:t>
      </w:r>
      <w:r>
        <w:t>ux</w:t>
      </w:r>
      <w:r w:rsidRPr="00D03695">
        <w:t xml:space="preserve"> que lui délègue</w:t>
      </w:r>
      <w:r>
        <w:t>nt</w:t>
      </w:r>
      <w:r w:rsidRPr="00D03695">
        <w:t xml:space="preserve"> les législat</w:t>
      </w:r>
      <w:r>
        <w:t>ure</w:t>
      </w:r>
      <w:r w:rsidRPr="00D03695">
        <w:t xml:space="preserve">s </w:t>
      </w:r>
      <w:r>
        <w:t>d</w:t>
      </w:r>
      <w:r w:rsidRPr="00D03695">
        <w:t xml:space="preserve">es provinces </w:t>
      </w:r>
      <w:r>
        <w:t>ou qui</w:t>
      </w:r>
      <w:r w:rsidRPr="00D03695">
        <w:t xml:space="preserve"> découlent de pouvoir</w:t>
      </w:r>
      <w:r>
        <w:t>s</w:t>
      </w:r>
      <w:r w:rsidRPr="00D03695">
        <w:t xml:space="preserve"> ainsi délégu</w:t>
      </w:r>
      <w:r>
        <w:t>és.</w:t>
      </w:r>
    </w:p>
    <w:p w14:paraId="54F50DC7" w14:textId="36ADD5AC" w:rsidR="00D03695" w:rsidRDefault="00D03695" w:rsidP="005A1070">
      <w:pPr>
        <w:pStyle w:val="Paragrsimple"/>
        <w:widowControl w:val="0"/>
      </w:pPr>
      <w:r w:rsidRPr="00D03695">
        <w:t>Le 1</w:t>
      </w:r>
      <w:r w:rsidR="00CE2A0C" w:rsidRPr="00CE2A0C">
        <w:rPr>
          <w:vertAlign w:val="superscript"/>
        </w:rPr>
        <w:t>er</w:t>
      </w:r>
      <w:r w:rsidR="00CE2A0C">
        <w:t xml:space="preserve"> </w:t>
      </w:r>
      <w:r w:rsidRPr="00D03695">
        <w:t>janvier 2006</w:t>
      </w:r>
      <w:r>
        <w:t>,</w:t>
      </w:r>
      <w:r w:rsidRPr="00D03695">
        <w:t xml:space="preserve"> le </w:t>
      </w:r>
      <w:r>
        <w:t>législateur</w:t>
      </w:r>
      <w:r w:rsidRPr="00D03695">
        <w:t xml:space="preserve"> québécois </w:t>
      </w:r>
      <w:r>
        <w:t xml:space="preserve">adopte </w:t>
      </w:r>
      <w:r w:rsidRPr="00D03695">
        <w:t xml:space="preserve">la </w:t>
      </w:r>
      <w:r w:rsidR="006F768A" w:rsidRPr="006F768A">
        <w:t>LCM</w:t>
      </w:r>
      <w:r>
        <w:t xml:space="preserve"> </w:t>
      </w:r>
      <w:r w:rsidRPr="00D03695">
        <w:t xml:space="preserve">qui établit </w:t>
      </w:r>
      <w:r w:rsidR="00526F86">
        <w:t>le</w:t>
      </w:r>
      <w:r w:rsidRPr="00D03695">
        <w:t xml:space="preserve"> cadre de</w:t>
      </w:r>
      <w:r w:rsidR="00526F86">
        <w:t>s</w:t>
      </w:r>
      <w:r w:rsidRPr="00D03695">
        <w:t xml:space="preserve"> compétences accordées aux municipalités</w:t>
      </w:r>
      <w:r w:rsidR="003D0897">
        <w:t> :</w:t>
      </w:r>
    </w:p>
    <w:p w14:paraId="5797088D" w14:textId="0ACDAC40" w:rsidR="00526F86" w:rsidRDefault="000A2660" w:rsidP="00477D5C">
      <w:pPr>
        <w:pStyle w:val="Citationenretrait"/>
        <w:widowControl w:val="0"/>
      </w:pPr>
      <w:r>
        <w:t>4.</w:t>
      </w:r>
      <w:r>
        <w:tab/>
      </w:r>
      <w:r w:rsidR="00526F86">
        <w:t xml:space="preserve">En outre des compétences qui lui sont conférées par d’autres lois, toute </w:t>
      </w:r>
      <w:r w:rsidR="00526F86" w:rsidRPr="00BE5747">
        <w:t>municipalité</w:t>
      </w:r>
      <w:r w:rsidR="00526F86">
        <w:t xml:space="preserve"> a compétence dans les domaines suivants :</w:t>
      </w:r>
    </w:p>
    <w:p w14:paraId="67115BF9" w14:textId="4AD29A35"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La</w:t>
      </w:r>
      <w:r w:rsidR="00D03695" w:rsidRPr="00295263">
        <w:rPr>
          <w:sz w:val="22"/>
          <w:szCs w:val="22"/>
        </w:rPr>
        <w:t xml:space="preserve"> culture, les loisirs, les activités communautaires et les parcs;</w:t>
      </w:r>
    </w:p>
    <w:p w14:paraId="50E0DDD9" w14:textId="2BC11161"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Le</w:t>
      </w:r>
      <w:r w:rsidR="00D03695" w:rsidRPr="00295263">
        <w:rPr>
          <w:sz w:val="22"/>
          <w:szCs w:val="22"/>
        </w:rPr>
        <w:t xml:space="preserve"> développement économique local dans la mesure prévue au chapitre III;</w:t>
      </w:r>
    </w:p>
    <w:p w14:paraId="057A29D9" w14:textId="16541266"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La</w:t>
      </w:r>
      <w:r w:rsidR="00D03695" w:rsidRPr="00295263">
        <w:rPr>
          <w:sz w:val="22"/>
          <w:szCs w:val="22"/>
        </w:rPr>
        <w:t xml:space="preserve"> production d'énergie et les systèmes communautaire</w:t>
      </w:r>
      <w:r w:rsidR="00995E98" w:rsidRPr="00295263">
        <w:rPr>
          <w:sz w:val="22"/>
          <w:szCs w:val="22"/>
        </w:rPr>
        <w:t>s</w:t>
      </w:r>
      <w:r w:rsidR="00D03695" w:rsidRPr="00295263">
        <w:rPr>
          <w:sz w:val="22"/>
          <w:szCs w:val="22"/>
        </w:rPr>
        <w:t xml:space="preserve"> de télécommunications;</w:t>
      </w:r>
    </w:p>
    <w:p w14:paraId="03D0348C" w14:textId="6C746836"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w:t>
      </w:r>
      <w:r w:rsidR="00D03695" w:rsidRPr="00295263">
        <w:rPr>
          <w:sz w:val="22"/>
          <w:szCs w:val="22"/>
        </w:rPr>
        <w:t>'environnement;</w:t>
      </w:r>
    </w:p>
    <w:p w14:paraId="2622A4A1" w14:textId="3E88056C"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La</w:t>
      </w:r>
      <w:r w:rsidR="00D03695" w:rsidRPr="00295263">
        <w:rPr>
          <w:sz w:val="22"/>
          <w:szCs w:val="22"/>
        </w:rPr>
        <w:t xml:space="preserve"> salubrité;</w:t>
      </w:r>
    </w:p>
    <w:p w14:paraId="349EBF62" w14:textId="03777C31"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Les</w:t>
      </w:r>
      <w:r w:rsidR="00D03695" w:rsidRPr="00295263">
        <w:rPr>
          <w:sz w:val="22"/>
          <w:szCs w:val="22"/>
        </w:rPr>
        <w:t xml:space="preserve"> nuisances;</w:t>
      </w:r>
    </w:p>
    <w:p w14:paraId="3AF62365" w14:textId="5C725D92"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La</w:t>
      </w:r>
      <w:r w:rsidR="00D03695" w:rsidRPr="00295263">
        <w:rPr>
          <w:sz w:val="22"/>
          <w:szCs w:val="22"/>
        </w:rPr>
        <w:t xml:space="preserve"> sécurité;</w:t>
      </w:r>
    </w:p>
    <w:p w14:paraId="782D1A6E" w14:textId="0A052076" w:rsidR="00D03695" w:rsidRPr="00295263" w:rsidRDefault="00627964" w:rsidP="00295263">
      <w:pPr>
        <w:pStyle w:val="Paragrdouble"/>
        <w:widowControl w:val="0"/>
        <w:numPr>
          <w:ilvl w:val="0"/>
          <w:numId w:val="10"/>
        </w:numPr>
        <w:spacing w:after="0" w:line="240" w:lineRule="auto"/>
        <w:ind w:left="1134" w:hanging="357"/>
        <w:rPr>
          <w:sz w:val="22"/>
          <w:szCs w:val="22"/>
        </w:rPr>
      </w:pPr>
      <w:r w:rsidRPr="00295263">
        <w:rPr>
          <w:sz w:val="22"/>
          <w:szCs w:val="22"/>
        </w:rPr>
        <w:t>Le</w:t>
      </w:r>
      <w:r w:rsidR="00D03695" w:rsidRPr="00295263">
        <w:rPr>
          <w:sz w:val="22"/>
          <w:szCs w:val="22"/>
        </w:rPr>
        <w:t xml:space="preserve"> transport.</w:t>
      </w:r>
    </w:p>
    <w:p w14:paraId="4D956143" w14:textId="303A590E" w:rsidR="00D03695" w:rsidRDefault="0009472D" w:rsidP="00477D5C">
      <w:pPr>
        <w:pStyle w:val="Citationenretrait"/>
        <w:widowControl w:val="0"/>
      </w:pPr>
      <w:r>
        <w:t>E</w:t>
      </w:r>
      <w:r w:rsidRPr="0009472D">
        <w:t>lle peut</w:t>
      </w:r>
      <w:r w:rsidR="00526F86">
        <w:t xml:space="preserve"> aussi</w:t>
      </w:r>
      <w:r w:rsidRPr="0009472D">
        <w:t xml:space="preserve"> adopter toute mesure non réglementaire</w:t>
      </w:r>
      <w:r w:rsidR="00526F86">
        <w:t xml:space="preserve"> dans les </w:t>
      </w:r>
      <w:r w:rsidRPr="0009472D">
        <w:t>domaine</w:t>
      </w:r>
      <w:r w:rsidR="00526F86">
        <w:t>s</w:t>
      </w:r>
      <w:r w:rsidRPr="0009472D">
        <w:t xml:space="preserve"> prévu</w:t>
      </w:r>
      <w:r w:rsidR="00526F86">
        <w:t>s</w:t>
      </w:r>
      <w:r w:rsidRPr="0009472D">
        <w:t xml:space="preserve"> au premier alinéa ainsi qu'en matière de services de garde à l'enfance</w:t>
      </w:r>
      <w:r>
        <w:t xml:space="preserve">. </w:t>
      </w:r>
      <w:r w:rsidRPr="0009472D">
        <w:t>Néanmoins</w:t>
      </w:r>
      <w:r>
        <w:t>,</w:t>
      </w:r>
      <w:r w:rsidRPr="0009472D">
        <w:t xml:space="preserve"> une municipalité locale ne peut déléguer un pouvoir dans ces domaines que dans la mesure prévue par la loi</w:t>
      </w:r>
      <w:r>
        <w:t>.</w:t>
      </w:r>
    </w:p>
    <w:p w14:paraId="628792E0" w14:textId="13DABBC5" w:rsidR="0009472D" w:rsidRDefault="005377A3" w:rsidP="005A1070">
      <w:pPr>
        <w:pStyle w:val="Paragrsimple"/>
        <w:widowControl w:val="0"/>
      </w:pPr>
      <w:r>
        <w:t>L’</w:t>
      </w:r>
      <w:r w:rsidRPr="005377A3">
        <w:t xml:space="preserve">entrée en vigueur de cette loi </w:t>
      </w:r>
      <w:r>
        <w:t xml:space="preserve">ne </w:t>
      </w:r>
      <w:r w:rsidRPr="005377A3">
        <w:t>modifie pa</w:t>
      </w:r>
      <w:r>
        <w:t>s</w:t>
      </w:r>
      <w:r w:rsidRPr="005377A3">
        <w:t xml:space="preserve"> le principe </w:t>
      </w:r>
      <w:r>
        <w:t xml:space="preserve">selon </w:t>
      </w:r>
      <w:r w:rsidRPr="005377A3">
        <w:t>lequel une municipalité</w:t>
      </w:r>
      <w:r>
        <w:t xml:space="preserve"> n’a</w:t>
      </w:r>
      <w:r w:rsidRPr="005377A3">
        <w:t xml:space="preserve"> de pouvoir</w:t>
      </w:r>
      <w:r>
        <w:t xml:space="preserve"> </w:t>
      </w:r>
      <w:r w:rsidRPr="005377A3">
        <w:t>que ce</w:t>
      </w:r>
      <w:r>
        <w:t>ux</w:t>
      </w:r>
      <w:r w:rsidRPr="005377A3">
        <w:t xml:space="preserve"> délégué</w:t>
      </w:r>
      <w:r>
        <w:t>s</w:t>
      </w:r>
      <w:r w:rsidRPr="005377A3">
        <w:t xml:space="preserve"> par les légis</w:t>
      </w:r>
      <w:r>
        <w:t xml:space="preserve">latures. </w:t>
      </w:r>
      <w:r w:rsidRPr="005377A3">
        <w:t>Toutefois</w:t>
      </w:r>
      <w:r>
        <w:t>, s</w:t>
      </w:r>
      <w:r w:rsidRPr="005377A3">
        <w:t>a facture témoigne d</w:t>
      </w:r>
      <w:r>
        <w:t>’un</w:t>
      </w:r>
      <w:r w:rsidRPr="005377A3">
        <w:t>e volonté</w:t>
      </w:r>
      <w:r>
        <w:t xml:space="preserve"> du législateur</w:t>
      </w:r>
      <w:r w:rsidRPr="005377A3">
        <w:t xml:space="preserve"> québécois de conférer </w:t>
      </w:r>
      <w:r w:rsidR="008224E7">
        <w:t xml:space="preserve">aux </w:t>
      </w:r>
      <w:r w:rsidR="008224E7" w:rsidRPr="005377A3">
        <w:t>municipalités</w:t>
      </w:r>
      <w:r>
        <w:t xml:space="preserve"> </w:t>
      </w:r>
      <w:r w:rsidRPr="005377A3">
        <w:t xml:space="preserve">des pouvoirs </w:t>
      </w:r>
      <w:r>
        <w:t>en</w:t>
      </w:r>
      <w:r w:rsidRPr="005377A3">
        <w:t xml:space="preserve"> terme</w:t>
      </w:r>
      <w:r>
        <w:t xml:space="preserve">s </w:t>
      </w:r>
      <w:r w:rsidRPr="005377A3">
        <w:t>généraux leur permettant d'exercer efficacement la plénitude de leurs compétences</w:t>
      </w:r>
      <w:r>
        <w:rPr>
          <w:rStyle w:val="Appelnotedebasdep"/>
        </w:rPr>
        <w:footnoteReference w:id="101"/>
      </w:r>
      <w:r>
        <w:t>.</w:t>
      </w:r>
    </w:p>
    <w:p w14:paraId="6810ABE9" w14:textId="31C93256" w:rsidR="005377A3" w:rsidRDefault="005377A3" w:rsidP="005A1070">
      <w:pPr>
        <w:pStyle w:val="Paragrsimple"/>
        <w:widowControl w:val="0"/>
      </w:pPr>
      <w:r>
        <w:t>Cette</w:t>
      </w:r>
      <w:r w:rsidRPr="005377A3">
        <w:t xml:space="preserve"> volonté s'exprime également à l'article 2 </w:t>
      </w:r>
      <w:r w:rsidR="00526F86">
        <w:t>L</w:t>
      </w:r>
      <w:r w:rsidRPr="005377A3">
        <w:t>CM</w:t>
      </w:r>
      <w:r>
        <w:t xml:space="preserve"> </w:t>
      </w:r>
      <w:r w:rsidRPr="005377A3">
        <w:t xml:space="preserve">qui codifie la règle suivant laquelle une loi habilitante bénéficie d'une interprétation large et libérale de manière </w:t>
      </w:r>
      <w:r w:rsidR="00DF4548">
        <w:t xml:space="preserve">à </w:t>
      </w:r>
      <w:r w:rsidRPr="005377A3">
        <w:t xml:space="preserve">favoriser </w:t>
      </w:r>
      <w:r w:rsidR="00526F86">
        <w:t>s</w:t>
      </w:r>
      <w:r w:rsidRPr="005377A3">
        <w:t>es objets</w:t>
      </w:r>
      <w:r w:rsidR="00CE2A0C">
        <w:rPr>
          <w:rStyle w:val="Appelnotedebasdep"/>
        </w:rPr>
        <w:footnoteReference w:id="102"/>
      </w:r>
      <w:r w:rsidR="00F301C8">
        <w:t> :</w:t>
      </w:r>
    </w:p>
    <w:p w14:paraId="4EB869A1" w14:textId="42FBAEB6" w:rsidR="00CE2A0C" w:rsidRPr="006154F3" w:rsidRDefault="006154F3" w:rsidP="00295263">
      <w:pPr>
        <w:pStyle w:val="Citationenretrait"/>
        <w:keepNext/>
      </w:pPr>
      <w:r>
        <w:t>2.</w:t>
      </w:r>
      <w:r>
        <w:tab/>
      </w:r>
      <w:r w:rsidR="005B5875" w:rsidRPr="006154F3">
        <w:t xml:space="preserve">Les dispositions de la </w:t>
      </w:r>
      <w:r w:rsidR="005B5875" w:rsidRPr="004713F2">
        <w:t>présente</w:t>
      </w:r>
      <w:r w:rsidR="005B5875" w:rsidRPr="006154F3">
        <w:t xml:space="preserve"> loi accordent </w:t>
      </w:r>
      <w:r w:rsidR="00526F86">
        <w:t xml:space="preserve">aux municipalités </w:t>
      </w:r>
      <w:r w:rsidR="005B5875" w:rsidRPr="006154F3">
        <w:t xml:space="preserve">des pouvoirs leur permettant de répondre </w:t>
      </w:r>
      <w:r w:rsidR="00526F86">
        <w:t xml:space="preserve">aux besoins municipaux, divers et évolutifs, </w:t>
      </w:r>
      <w:r w:rsidR="005B5875" w:rsidRPr="006154F3">
        <w:t xml:space="preserve">dans </w:t>
      </w:r>
      <w:r w:rsidR="005B5875" w:rsidRPr="006154F3">
        <w:lastRenderedPageBreak/>
        <w:t>l'intérêt de leur population. Elles ne doivent pas s'interpréter de façon littérale ou restrictive.</w:t>
      </w:r>
    </w:p>
    <w:p w14:paraId="447D7DA8" w14:textId="694B05DF" w:rsidR="005B5875" w:rsidRDefault="009C6BA5" w:rsidP="005A1070">
      <w:pPr>
        <w:pStyle w:val="Paragrsimple"/>
        <w:widowControl w:val="0"/>
      </w:pPr>
      <w:r w:rsidRPr="009C6BA5">
        <w:t>Ainsi</w:t>
      </w:r>
      <w:r>
        <w:t xml:space="preserve">, </w:t>
      </w:r>
      <w:r w:rsidRPr="009C6BA5">
        <w:t xml:space="preserve">il </w:t>
      </w:r>
      <w:r>
        <w:t>est</w:t>
      </w:r>
      <w:r w:rsidRPr="009C6BA5">
        <w:t xml:space="preserve"> reconnu que les municipalités</w:t>
      </w:r>
      <w:r>
        <w:t xml:space="preserve"> </w:t>
      </w:r>
      <w:r w:rsidR="00526F86">
        <w:t>poss</w:t>
      </w:r>
      <w:r w:rsidR="00526F86" w:rsidRPr="009C6BA5">
        <w:t>èd</w:t>
      </w:r>
      <w:r w:rsidR="00526F86">
        <w:t>e</w:t>
      </w:r>
      <w:r w:rsidR="00526F86" w:rsidRPr="009C6BA5">
        <w:t>nt</w:t>
      </w:r>
      <w:r w:rsidRPr="009C6BA5">
        <w:t xml:space="preserve"> la compétence pour ad</w:t>
      </w:r>
      <w:r w:rsidR="00EC44BB">
        <w:t>o</w:t>
      </w:r>
      <w:r w:rsidRPr="009C6BA5">
        <w:t>pter</w:t>
      </w:r>
      <w:r w:rsidR="00844CF1">
        <w:t xml:space="preserve"> </w:t>
      </w:r>
      <w:r w:rsidRPr="009C6BA5">
        <w:t xml:space="preserve">des mesures visant à contrôler les animaux sur leur territoire notamment parce qu'ils peuvent constituer </w:t>
      </w:r>
      <w:r>
        <w:t>des</w:t>
      </w:r>
      <w:r w:rsidRPr="009C6BA5">
        <w:t xml:space="preserve"> nuisance</w:t>
      </w:r>
      <w:r>
        <w:t>s</w:t>
      </w:r>
      <w:r>
        <w:rPr>
          <w:rStyle w:val="Appelnotedebasdep"/>
        </w:rPr>
        <w:footnoteReference w:id="103"/>
      </w:r>
      <w:r w:rsidR="006B75DF">
        <w:t>.</w:t>
      </w:r>
    </w:p>
    <w:p w14:paraId="106F8764" w14:textId="544A50D5" w:rsidR="006B75DF" w:rsidRDefault="006B75DF" w:rsidP="005A1070">
      <w:pPr>
        <w:pStyle w:val="Paragrsimple"/>
        <w:widowControl w:val="0"/>
      </w:pPr>
      <w:r>
        <w:t>S</w:t>
      </w:r>
      <w:r w:rsidRPr="006B75DF">
        <w:t>omme</w:t>
      </w:r>
      <w:r>
        <w:t xml:space="preserve"> toute,</w:t>
      </w:r>
      <w:r w:rsidRPr="006B75DF">
        <w:t xml:space="preserve"> la </w:t>
      </w:r>
      <w:r w:rsidR="00D93C3F">
        <w:t>V</w:t>
      </w:r>
      <w:r w:rsidRPr="006B75DF">
        <w:t>ille a compétence pour adopter une résolution</w:t>
      </w:r>
      <w:r w:rsidR="00EC44BB">
        <w:t xml:space="preserve"> visant</w:t>
      </w:r>
      <w:r w:rsidRPr="006B75DF">
        <w:t xml:space="preserve"> à solliciter la délivrance d'un permis</w:t>
      </w:r>
      <w:r w:rsidR="008260D4" w:rsidRPr="008260D4">
        <w:t xml:space="preserve"> </w:t>
      </w:r>
      <w:r w:rsidRPr="006B75DF">
        <w:t xml:space="preserve">de chasse à l'arbalète afin de contrôler la population de </w:t>
      </w:r>
      <w:r>
        <w:t>cerfs</w:t>
      </w:r>
      <w:r w:rsidRPr="006B75DF">
        <w:t xml:space="preserve"> sur son territoire</w:t>
      </w:r>
      <w:r>
        <w:t xml:space="preserve">. </w:t>
      </w:r>
      <w:r w:rsidR="008260D4">
        <w:t>De fait, les</w:t>
      </w:r>
      <w:r w:rsidR="008260D4" w:rsidRPr="008260D4">
        <w:t xml:space="preserve"> demandeur</w:t>
      </w:r>
      <w:r w:rsidR="008260D4">
        <w:t>s</w:t>
      </w:r>
      <w:r w:rsidR="008260D4" w:rsidRPr="008260D4">
        <w:t xml:space="preserve"> et </w:t>
      </w:r>
      <w:r w:rsidR="00CC3FCD">
        <w:t>la SPCA</w:t>
      </w:r>
      <w:r w:rsidR="00814477">
        <w:t xml:space="preserve"> </w:t>
      </w:r>
      <w:r w:rsidR="008260D4">
        <w:t>ne</w:t>
      </w:r>
      <w:r w:rsidR="008260D4" w:rsidRPr="008260D4">
        <w:t xml:space="preserve"> conte</w:t>
      </w:r>
      <w:r w:rsidR="008260D4">
        <w:t>s</w:t>
      </w:r>
      <w:r w:rsidR="008260D4" w:rsidRPr="008260D4">
        <w:t>te</w:t>
      </w:r>
      <w:r w:rsidR="008260D4">
        <w:t>nt</w:t>
      </w:r>
      <w:r w:rsidR="008260D4" w:rsidRPr="008260D4">
        <w:t xml:space="preserve"> pa</w:t>
      </w:r>
      <w:r w:rsidR="00C42095">
        <w:t>s</w:t>
      </w:r>
      <w:r w:rsidR="008260D4" w:rsidRPr="008260D4">
        <w:t xml:space="preserve"> cette compétence </w:t>
      </w:r>
      <w:r w:rsidR="008260D4">
        <w:t>non</w:t>
      </w:r>
      <w:r w:rsidR="008260D4" w:rsidRPr="008260D4">
        <w:t xml:space="preserve"> plus </w:t>
      </w:r>
      <w:r w:rsidR="008260D4">
        <w:t>que la valid</w:t>
      </w:r>
      <w:r w:rsidR="008260D4" w:rsidRPr="008260D4">
        <w:t xml:space="preserve">ité du règlement </w:t>
      </w:r>
      <w:r w:rsidR="008260D4">
        <w:t xml:space="preserve">CO-2022-1207 </w:t>
      </w:r>
      <w:r w:rsidR="008260D4" w:rsidRPr="008260D4">
        <w:t xml:space="preserve">adopté par la </w:t>
      </w:r>
      <w:r w:rsidR="008260D4">
        <w:t>V</w:t>
      </w:r>
      <w:r w:rsidR="008260D4" w:rsidRPr="008260D4">
        <w:t>ille</w:t>
      </w:r>
      <w:r w:rsidR="008260D4">
        <w:rPr>
          <w:rStyle w:val="Appelnotedebasdep"/>
        </w:rPr>
        <w:footnoteReference w:id="104"/>
      </w:r>
      <w:r w:rsidR="008260D4">
        <w:t xml:space="preserve"> </w:t>
      </w:r>
      <w:r w:rsidR="008260D4" w:rsidRPr="008260D4">
        <w:t>pour permettre cette cha</w:t>
      </w:r>
      <w:r w:rsidR="008260D4">
        <w:t>sse.</w:t>
      </w:r>
    </w:p>
    <w:p w14:paraId="14F101C2" w14:textId="00765988" w:rsidR="008260D4" w:rsidRPr="008260D4" w:rsidRDefault="008260D4" w:rsidP="00F13839">
      <w:pPr>
        <w:pStyle w:val="Titre4"/>
      </w:pPr>
      <w:bookmarkStart w:id="59" w:name="_Toc144367243"/>
      <w:r w:rsidRPr="008260D4">
        <w:t>Le MFFP</w:t>
      </w:r>
      <w:bookmarkEnd w:id="59"/>
    </w:p>
    <w:p w14:paraId="57556BC1" w14:textId="04512561" w:rsidR="008260D4" w:rsidRDefault="008260D4" w:rsidP="005A1070">
      <w:pPr>
        <w:pStyle w:val="Paragrsimple"/>
        <w:widowControl w:val="0"/>
      </w:pPr>
      <w:r w:rsidRPr="008260D4">
        <w:t xml:space="preserve">La </w:t>
      </w:r>
      <w:r w:rsidRPr="006717FB">
        <w:rPr>
          <w:i/>
          <w:iCs/>
        </w:rPr>
        <w:t>Loi sur la conservation et la mise en valeur de la faune</w:t>
      </w:r>
      <w:r>
        <w:t xml:space="preserve"> (</w:t>
      </w:r>
      <w:r w:rsidRPr="008260D4">
        <w:rPr>
          <w:b/>
          <w:bCs/>
        </w:rPr>
        <w:t>LCMVF</w:t>
      </w:r>
      <w:r>
        <w:t>)</w:t>
      </w:r>
      <w:r>
        <w:rPr>
          <w:rStyle w:val="Appelnotedebasdep"/>
        </w:rPr>
        <w:footnoteReference w:id="105"/>
      </w:r>
      <w:r w:rsidR="006717FB">
        <w:t xml:space="preserve"> e</w:t>
      </w:r>
      <w:r w:rsidR="006717FB" w:rsidRPr="006717FB">
        <w:t>ncadre la gestion de la faune au Québec</w:t>
      </w:r>
      <w:r w:rsidR="006717FB">
        <w:t xml:space="preserve">. </w:t>
      </w:r>
      <w:r w:rsidR="006717FB" w:rsidRPr="006717FB">
        <w:t>Sa</w:t>
      </w:r>
      <w:r w:rsidR="006717FB">
        <w:t xml:space="preserve"> </w:t>
      </w:r>
      <w:r w:rsidR="006717FB" w:rsidRPr="006717FB">
        <w:t xml:space="preserve">disposition préliminaire </w:t>
      </w:r>
      <w:r w:rsidR="006717FB">
        <w:t>é</w:t>
      </w:r>
      <w:r w:rsidR="006717FB" w:rsidRPr="006717FB">
        <w:t>non</w:t>
      </w:r>
      <w:r w:rsidR="006717FB">
        <w:t>ce</w:t>
      </w:r>
      <w:r w:rsidR="006717FB" w:rsidRPr="006717FB">
        <w:t xml:space="preserve"> </w:t>
      </w:r>
      <w:r w:rsidR="006717FB">
        <w:t xml:space="preserve">ses </w:t>
      </w:r>
      <w:r w:rsidR="006717FB" w:rsidRPr="006717FB">
        <w:t>différents objets</w:t>
      </w:r>
      <w:r w:rsidR="0075087A">
        <w:t>,</w:t>
      </w:r>
      <w:r w:rsidR="006717FB" w:rsidRPr="006717FB">
        <w:t xml:space="preserve"> d</w:t>
      </w:r>
      <w:r w:rsidR="006717FB">
        <w:t>ont</w:t>
      </w:r>
      <w:r w:rsidR="006717FB" w:rsidRPr="006717FB">
        <w:t xml:space="preserve"> la reconnaissance à toute personne du droit de chasser</w:t>
      </w:r>
      <w:r w:rsidR="006717FB">
        <w:t>.</w:t>
      </w:r>
    </w:p>
    <w:p w14:paraId="2B87A199" w14:textId="77777777" w:rsidR="00093C49" w:rsidRPr="00BE5747" w:rsidRDefault="00093C49" w:rsidP="00477D5C">
      <w:pPr>
        <w:pStyle w:val="Citationenretrait"/>
        <w:widowControl w:val="0"/>
      </w:pPr>
      <w:r w:rsidRPr="00BE5747">
        <w:t>DISPOSITION PRÉLIMINAIRE</w:t>
      </w:r>
    </w:p>
    <w:p w14:paraId="33968534" w14:textId="77777777" w:rsidR="00093C49" w:rsidRPr="00093C49" w:rsidRDefault="00093C49" w:rsidP="00477D5C">
      <w:pPr>
        <w:pStyle w:val="Citationenretrait"/>
        <w:widowControl w:val="0"/>
        <w:rPr>
          <w:lang w:eastAsia="fr-CA"/>
        </w:rPr>
      </w:pPr>
      <w:r w:rsidRPr="00BE5747">
        <w:t>La présente loi a pour objet la conservation de la faune et de son habitat, leur mise en valeur dans une perspective de développement durable et la reconnaissance à toute personne du droit de chasser, de pêcher et de piéger, conformément à la loi.</w:t>
      </w:r>
      <w:r w:rsidRPr="00093C49">
        <w:rPr>
          <w:lang w:eastAsia="fr-CA"/>
        </w:rPr>
        <w:t xml:space="preserve"> À cet effet, elle établit diverses interdictions relatives à la conservation des ressources fauniques ainsi que diverses normes en matière de sécurité et elle énonce les droits et obligations des chasseurs, pêcheurs et piégeurs.</w:t>
      </w:r>
    </w:p>
    <w:p w14:paraId="7E5B0D99" w14:textId="2F2A9742" w:rsidR="006717FB" w:rsidRDefault="006717FB" w:rsidP="00B54C4C">
      <w:pPr>
        <w:pStyle w:val="Paragrdouble"/>
        <w:widowControl w:val="0"/>
        <w:spacing w:line="240" w:lineRule="auto"/>
      </w:pPr>
      <w:r>
        <w:t>L</w:t>
      </w:r>
      <w:r w:rsidRPr="006717FB">
        <w:t>'article</w:t>
      </w:r>
      <w:r>
        <w:t xml:space="preserve"> 1.</w:t>
      </w:r>
      <w:r w:rsidRPr="006717FB">
        <w:t xml:space="preserve">3 </w:t>
      </w:r>
      <w:r w:rsidR="00093C49">
        <w:t xml:space="preserve">LCMVF </w:t>
      </w:r>
      <w:r w:rsidR="00CC1217">
        <w:t>confirme également</w:t>
      </w:r>
      <w:r w:rsidR="00093C49" w:rsidRPr="00093C49">
        <w:t xml:space="preserve"> que toute personne a le droit de chasser</w:t>
      </w:r>
      <w:r w:rsidR="00093C49">
        <w:t> :</w:t>
      </w:r>
    </w:p>
    <w:p w14:paraId="7A52FFD7" w14:textId="5C7227F4" w:rsidR="00093C49" w:rsidRPr="00BE5747" w:rsidRDefault="00093C49" w:rsidP="00B54C4C">
      <w:pPr>
        <w:pStyle w:val="Citationenretrait"/>
        <w:widowControl w:val="0"/>
      </w:pPr>
      <w:r w:rsidRPr="004713F2">
        <w:t>« 1.3</w:t>
      </w:r>
      <w:r w:rsidRPr="004713F2">
        <w:tab/>
        <w:t xml:space="preserve">Toute </w:t>
      </w:r>
      <w:r w:rsidRPr="00BE5747">
        <w:t xml:space="preserve">personne a le droit de chasser, de pêcher </w:t>
      </w:r>
      <w:r w:rsidR="00995E98" w:rsidRPr="00BE5747">
        <w:t>et de pêcher</w:t>
      </w:r>
      <w:r w:rsidRPr="00BE5747">
        <w:t xml:space="preserve"> conformément à la loi.</w:t>
      </w:r>
    </w:p>
    <w:p w14:paraId="7740B261" w14:textId="2C8FBCD2" w:rsidR="00093C49" w:rsidRDefault="00093C49" w:rsidP="00B54C4C">
      <w:pPr>
        <w:pStyle w:val="Citationenretrait"/>
        <w:widowControl w:val="0"/>
      </w:pPr>
      <w:r w:rsidRPr="00BE5747">
        <w:t>Le premier alinéa n'a pas pour effet toutefois d'établir une prépondérance de ce droit à l'égard d'autres activités pouvant s'exercer</w:t>
      </w:r>
      <w:r w:rsidRPr="00093C49">
        <w:t xml:space="preserve"> sur le même territoire</w:t>
      </w:r>
      <w:r>
        <w:t>. »</w:t>
      </w:r>
    </w:p>
    <w:p w14:paraId="214B8AA6" w14:textId="5C812166" w:rsidR="00093C49" w:rsidRDefault="00EE6567" w:rsidP="005A1070">
      <w:pPr>
        <w:pStyle w:val="Paragrsimple"/>
        <w:widowControl w:val="0"/>
      </w:pPr>
      <w:r w:rsidRPr="00EE6567">
        <w:t>Pour</w:t>
      </w:r>
      <w:r>
        <w:t xml:space="preserve"> </w:t>
      </w:r>
      <w:r w:rsidRPr="00EE6567">
        <w:t>sa part</w:t>
      </w:r>
      <w:r>
        <w:t xml:space="preserve">, </w:t>
      </w:r>
      <w:r w:rsidRPr="00EE6567">
        <w:t xml:space="preserve">le </w:t>
      </w:r>
      <w:r>
        <w:t>R</w:t>
      </w:r>
      <w:r w:rsidRPr="00EE6567">
        <w:t>èglement sur la chasse</w:t>
      </w:r>
      <w:r>
        <w:rPr>
          <w:rStyle w:val="Appelnotedebasdep"/>
        </w:rPr>
        <w:footnoteReference w:id="106"/>
      </w:r>
      <w:r w:rsidRPr="00EE6567">
        <w:t xml:space="preserve"> </w:t>
      </w:r>
      <w:r w:rsidR="00D93C3F">
        <w:t xml:space="preserve">(le </w:t>
      </w:r>
      <w:r w:rsidR="00D93C3F" w:rsidRPr="00D93C3F">
        <w:rPr>
          <w:b/>
          <w:bCs/>
        </w:rPr>
        <w:t>Règlement</w:t>
      </w:r>
      <w:r w:rsidR="00D93C3F">
        <w:t xml:space="preserve">) </w:t>
      </w:r>
      <w:r w:rsidRPr="00EE6567">
        <w:t>encadre l'activité de chasse</w:t>
      </w:r>
      <w:r>
        <w:t xml:space="preserve">. </w:t>
      </w:r>
      <w:r w:rsidRPr="00EE6567">
        <w:t>Notamment</w:t>
      </w:r>
      <w:r>
        <w:t xml:space="preserve">, </w:t>
      </w:r>
      <w:r w:rsidRPr="00EE6567">
        <w:t xml:space="preserve">il identifie les zones et les périodes où la chasse est autorisée ainsi que les </w:t>
      </w:r>
      <w:r>
        <w:t xml:space="preserve">engins </w:t>
      </w:r>
      <w:r w:rsidRPr="00EE6567">
        <w:t>de chasse permis</w:t>
      </w:r>
      <w:r w:rsidR="00734E9E">
        <w:t>.</w:t>
      </w:r>
      <w:r>
        <w:t xml:space="preserve"> </w:t>
      </w:r>
      <w:r w:rsidR="00734E9E">
        <w:t>P</w:t>
      </w:r>
      <w:r w:rsidRPr="00EE6567">
        <w:t xml:space="preserve">lus </w:t>
      </w:r>
      <w:r w:rsidR="00B577B2">
        <w:t>particulièrement,</w:t>
      </w:r>
      <w:r w:rsidRPr="00EE6567">
        <w:t xml:space="preserve"> les articles 3.1</w:t>
      </w:r>
      <w:r>
        <w:t xml:space="preserve">, </w:t>
      </w:r>
      <w:r w:rsidRPr="00EE6567">
        <w:t>5</w:t>
      </w:r>
      <w:r>
        <w:t>,</w:t>
      </w:r>
      <w:r w:rsidRPr="00EE6567">
        <w:t xml:space="preserve"> 9.1</w:t>
      </w:r>
      <w:r>
        <w:t xml:space="preserve">, </w:t>
      </w:r>
      <w:r w:rsidRPr="00EE6567">
        <w:t xml:space="preserve">14 et 31 du </w:t>
      </w:r>
      <w:r w:rsidR="00D93C3F">
        <w:t>R</w:t>
      </w:r>
      <w:r w:rsidRPr="00EE6567">
        <w:t>èglement autorise</w:t>
      </w:r>
      <w:r w:rsidR="00734E9E">
        <w:t>nt</w:t>
      </w:r>
      <w:r w:rsidRPr="00EE6567">
        <w:t xml:space="preserve"> l'utilisation de l'arbalète comme </w:t>
      </w:r>
      <w:r>
        <w:t>engin</w:t>
      </w:r>
      <w:r w:rsidRPr="00EE6567">
        <w:t xml:space="preserve"> de chasse </w:t>
      </w:r>
      <w:r w:rsidR="00734E9E">
        <w:t xml:space="preserve">et </w:t>
      </w:r>
      <w:r w:rsidRPr="00EE6567">
        <w:t>en circonscriv</w:t>
      </w:r>
      <w:r w:rsidR="00734E9E">
        <w:t>e</w:t>
      </w:r>
      <w:r w:rsidRPr="00EE6567">
        <w:t xml:space="preserve">nt </w:t>
      </w:r>
      <w:r w:rsidR="00734E9E">
        <w:t>s</w:t>
      </w:r>
      <w:r w:rsidRPr="00EE6567">
        <w:t>es conditions d'utilisation</w:t>
      </w:r>
      <w:r>
        <w:t>.</w:t>
      </w:r>
    </w:p>
    <w:p w14:paraId="1A84CE0D" w14:textId="350BCD49" w:rsidR="00EE6567" w:rsidRDefault="00EE6567" w:rsidP="005A1070">
      <w:pPr>
        <w:pStyle w:val="Paragrsimple"/>
        <w:widowControl w:val="0"/>
      </w:pPr>
      <w:r w:rsidRPr="00EE6567">
        <w:lastRenderedPageBreak/>
        <w:t>Aussi</w:t>
      </w:r>
      <w:r>
        <w:t>,</w:t>
      </w:r>
      <w:r w:rsidRPr="00EE6567">
        <w:t xml:space="preserve"> nul ne peut chasser s'il n'est titulaire d'un permis d</w:t>
      </w:r>
      <w:r w:rsidR="00734E9E">
        <w:t>é</w:t>
      </w:r>
      <w:r w:rsidRPr="00EE6567">
        <w:t>livr</w:t>
      </w:r>
      <w:r w:rsidR="00734E9E">
        <w:t>é</w:t>
      </w:r>
      <w:r w:rsidRPr="00EE6567">
        <w:t xml:space="preserve"> à cette fin</w:t>
      </w:r>
      <w:r>
        <w:rPr>
          <w:rStyle w:val="Appelnotedebasdep"/>
        </w:rPr>
        <w:footnoteReference w:id="107"/>
      </w:r>
      <w:r>
        <w:t>.</w:t>
      </w:r>
    </w:p>
    <w:p w14:paraId="18A4784B" w14:textId="7E4398CC" w:rsidR="0094230B" w:rsidRDefault="00E90FFE" w:rsidP="005A1070">
      <w:pPr>
        <w:pStyle w:val="Paragrsimple"/>
        <w:widowControl w:val="0"/>
      </w:pPr>
      <w:r>
        <w:t>L</w:t>
      </w:r>
      <w:r w:rsidR="00EE6567" w:rsidRPr="00EE6567">
        <w:t>'article</w:t>
      </w:r>
      <w:r>
        <w:t xml:space="preserve"> </w:t>
      </w:r>
      <w:r w:rsidR="00EE6567" w:rsidRPr="00EE6567">
        <w:t>47</w:t>
      </w:r>
      <w:r w:rsidR="00EE6567">
        <w:t xml:space="preserve"> LCMVF </w:t>
      </w:r>
      <w:r w:rsidR="00EE6567" w:rsidRPr="00EE6567">
        <w:t xml:space="preserve">permet au ministre </w:t>
      </w:r>
      <w:r w:rsidR="00A41D20" w:rsidRPr="00EE6567">
        <w:t>de délivrer un permis</w:t>
      </w:r>
      <w:r w:rsidR="00A41D20">
        <w:t xml:space="preserve"> </w:t>
      </w:r>
      <w:r w:rsidR="00EE6567" w:rsidRPr="00EE6567">
        <w:t xml:space="preserve">pour des fins scientifiques éducatives ou de gestion de la faune </w:t>
      </w:r>
      <w:r w:rsidR="00EE6567">
        <w:t xml:space="preserve">(un </w:t>
      </w:r>
      <w:r w:rsidR="00EE6567" w:rsidRPr="006F768A">
        <w:t>permis SEG</w:t>
      </w:r>
      <w:r w:rsidR="00EE6567">
        <w:t xml:space="preserve">) </w:t>
      </w:r>
      <w:r w:rsidR="00EE6567" w:rsidRPr="00EE6567">
        <w:t xml:space="preserve">autorisant une personne </w:t>
      </w:r>
      <w:r w:rsidR="00AC2FE6">
        <w:t>à</w:t>
      </w:r>
      <w:r w:rsidR="00EE6567" w:rsidRPr="00EE6567">
        <w:t xml:space="preserve"> passer outre certaines dispositions de l</w:t>
      </w:r>
      <w:r w:rsidR="00EE6567">
        <w:t>a LCMVF</w:t>
      </w:r>
      <w:r w:rsidR="0055726C">
        <w:t xml:space="preserve"> </w:t>
      </w:r>
      <w:r w:rsidR="0055726C" w:rsidRPr="0055726C">
        <w:t>ou d'un règlement adopté en vertu de cette loi</w:t>
      </w:r>
      <w:r w:rsidR="0055726C">
        <w:t>. Ce</w:t>
      </w:r>
      <w:r w:rsidR="0055726C" w:rsidRPr="0055726C">
        <w:t xml:space="preserve"> permis </w:t>
      </w:r>
      <w:r w:rsidR="0055726C">
        <w:t xml:space="preserve">SEG </w:t>
      </w:r>
      <w:r w:rsidR="0055726C" w:rsidRPr="0055726C">
        <w:t>permet par exemple de déroger aux conditions relatives aux périodes de chasse ou au nombre maximum d'animaux qu'un chasseur</w:t>
      </w:r>
      <w:r w:rsidR="0055726C">
        <w:t xml:space="preserve"> </w:t>
      </w:r>
      <w:r w:rsidR="0055726C" w:rsidRPr="0055726C">
        <w:t>peut récolter</w:t>
      </w:r>
      <w:r w:rsidR="0055726C">
        <w:t>.</w:t>
      </w:r>
    </w:p>
    <w:p w14:paraId="16C9D0F2" w14:textId="0808DEB9" w:rsidR="0055726C" w:rsidRDefault="0055726C" w:rsidP="005A1070">
      <w:pPr>
        <w:pStyle w:val="Paragrsimple"/>
        <w:widowControl w:val="0"/>
      </w:pPr>
      <w:r w:rsidRPr="0055726C">
        <w:t>À</w:t>
      </w:r>
      <w:r>
        <w:t xml:space="preserve"> </w:t>
      </w:r>
      <w:r w:rsidRPr="0055726C">
        <w:t>cet égard</w:t>
      </w:r>
      <w:r>
        <w:t>,</w:t>
      </w:r>
      <w:r w:rsidRPr="0055726C">
        <w:t xml:space="preserve"> la procédure de délivrance des permis </w:t>
      </w:r>
      <w:r>
        <w:t>SEG</w:t>
      </w:r>
      <w:r w:rsidR="00AC2FE6">
        <w:t xml:space="preserve"> (la </w:t>
      </w:r>
      <w:r w:rsidR="00AC2FE6" w:rsidRPr="00AC2FE6">
        <w:rPr>
          <w:b/>
          <w:bCs/>
        </w:rPr>
        <w:t>Procédure</w:t>
      </w:r>
      <w:r w:rsidR="00AC2FE6">
        <w:t>)</w:t>
      </w:r>
      <w:r>
        <w:rPr>
          <w:rStyle w:val="Appelnotedebasdep"/>
        </w:rPr>
        <w:footnoteReference w:id="108"/>
      </w:r>
      <w:r>
        <w:t xml:space="preserve"> </w:t>
      </w:r>
      <w:r w:rsidR="00734E9E">
        <w:t>balise</w:t>
      </w:r>
      <w:r w:rsidRPr="0055726C">
        <w:t xml:space="preserve"> l'analyse des demandes de ce type de permis</w:t>
      </w:r>
      <w:r>
        <w:t xml:space="preserve">. </w:t>
      </w:r>
      <w:r w:rsidRPr="0055726C">
        <w:t>Dans</w:t>
      </w:r>
      <w:r>
        <w:t xml:space="preserve"> </w:t>
      </w:r>
      <w:r w:rsidRPr="0055726C">
        <w:t>le cas d'un permis à des fins de gestion de la faune on doit notamment</w:t>
      </w:r>
      <w:r>
        <w:t> :</w:t>
      </w:r>
    </w:p>
    <w:p w14:paraId="517EAB81" w14:textId="7D96D302" w:rsidR="0019541C" w:rsidRDefault="0019541C" w:rsidP="00295263">
      <w:pPr>
        <w:pStyle w:val="Citationenretrait"/>
        <w:widowControl w:val="0"/>
        <w:numPr>
          <w:ilvl w:val="0"/>
          <w:numId w:val="12"/>
        </w:numPr>
        <w:ind w:left="1134" w:hanging="357"/>
      </w:pPr>
      <w:r>
        <w:t>Évaluer l'efficacité de la méthode préconisée et s'assurer que les appareils de capture sont adaptés aux buts poursuivis.</w:t>
      </w:r>
    </w:p>
    <w:p w14:paraId="038666CF" w14:textId="6F876F73" w:rsidR="0019541C" w:rsidRDefault="0019541C" w:rsidP="00295263">
      <w:pPr>
        <w:pStyle w:val="Citationenretrait"/>
        <w:widowControl w:val="0"/>
        <w:numPr>
          <w:ilvl w:val="0"/>
          <w:numId w:val="12"/>
        </w:numPr>
        <w:ind w:left="1134" w:hanging="357"/>
      </w:pPr>
      <w:r>
        <w:t>S'assurer que la taille d'échantillonnage et la quantité de spécimens prélevés correspondent aux objectifs poursuivis</w:t>
      </w:r>
      <w:r w:rsidR="00C42095">
        <w:t xml:space="preserve"> et</w:t>
      </w:r>
      <w:r>
        <w:t xml:space="preserve"> </w:t>
      </w:r>
      <w:r w:rsidR="00C42095">
        <w:t>é</w:t>
      </w:r>
      <w:r>
        <w:t>valuer la durée utile de la période d'échantillonnage afin d'éviter de perturber inutilement le milieu ou les populations animales locales.</w:t>
      </w:r>
    </w:p>
    <w:p w14:paraId="1325263E" w14:textId="575503BC" w:rsidR="0055726C" w:rsidRDefault="0019541C" w:rsidP="00295263">
      <w:pPr>
        <w:pStyle w:val="Citationenretrait"/>
        <w:widowControl w:val="0"/>
        <w:numPr>
          <w:ilvl w:val="0"/>
          <w:numId w:val="12"/>
        </w:numPr>
        <w:ind w:left="1134" w:hanging="357"/>
      </w:pPr>
      <w:r>
        <w:t>S'assurer, avant de délivrer un permis visant le contrôle des populations animales, que des mesures correctrices ou préventives ont été prises afin d'éliminer la source des problèmes rencontrés avec ces animaux.</w:t>
      </w:r>
    </w:p>
    <w:p w14:paraId="37AB7B56" w14:textId="37A0B174" w:rsidR="0055726C" w:rsidRDefault="0055726C" w:rsidP="005A1070">
      <w:pPr>
        <w:pStyle w:val="Paragrsimple"/>
        <w:widowControl w:val="0"/>
      </w:pPr>
      <w:r>
        <w:t>L</w:t>
      </w:r>
      <w:r w:rsidRPr="0055726C">
        <w:t xml:space="preserve">a </w:t>
      </w:r>
      <w:r w:rsidR="006C35F5">
        <w:t>P</w:t>
      </w:r>
      <w:r w:rsidRPr="0055726C">
        <w:t>rocédure prévoit également ce qui suit</w:t>
      </w:r>
      <w:r>
        <w:t> :</w:t>
      </w:r>
    </w:p>
    <w:p w14:paraId="4EB3F13F" w14:textId="22389C10" w:rsidR="0055726C" w:rsidRDefault="00F20EE2" w:rsidP="00477D5C">
      <w:pPr>
        <w:pStyle w:val="Citationenretrait"/>
        <w:widowControl w:val="0"/>
      </w:pPr>
      <w:r>
        <w:t>L</w:t>
      </w:r>
      <w:r w:rsidRPr="00F20EE2">
        <w:t xml:space="preserve">a société étant de plus en plus sensible au traitement des animaux, il est important de s’assurer que les manipulations réalisées dans le cadre d’un permis SEG ne </w:t>
      </w:r>
      <w:r w:rsidRPr="004713F2">
        <w:t>compromettent</w:t>
      </w:r>
      <w:r w:rsidRPr="00F20EE2">
        <w:t xml:space="preserve"> pas de façon importante le bien-être de l’animal, et ce, peu importe la catégorie du permis délivré (scientifique, éducative ou de gestion de la faune). Toutefois, puisque les différentes interventions possibles ne posent pas toutes un risque élevé pour le bien-être de l’animal, le niveau d’encadrement des manipulations peut être ajusté en fonction de ce niveau de risque.</w:t>
      </w:r>
    </w:p>
    <w:p w14:paraId="4E8AC005" w14:textId="4C18AC7B" w:rsidR="0055726C" w:rsidRDefault="0055726C" w:rsidP="005A1070">
      <w:pPr>
        <w:pStyle w:val="Paragrsimple"/>
        <w:widowControl w:val="0"/>
      </w:pPr>
      <w:r w:rsidRPr="0055726C">
        <w:t xml:space="preserve">C'est pourquoi </w:t>
      </w:r>
      <w:r w:rsidR="00F20EE2">
        <w:t>l</w:t>
      </w:r>
      <w:r w:rsidR="00F20EE2" w:rsidRPr="00F20EE2">
        <w:t>orsque les manipulations visées par la demande de permis SEG posent un plus grand risque pour le bien-être de l'animal ou si elles ne sont pas documentées par une procédure normalisée de fonctionnement, le projet doit obtenir un certificat de bons soins aux animaux</w:t>
      </w:r>
      <w:r w:rsidR="0013297F">
        <w:t>,</w:t>
      </w:r>
      <w:r w:rsidR="00F20EE2" w:rsidRPr="00F20EE2">
        <w:t xml:space="preserve"> délivré par un comité de protection des animaux accrédité par le Conseil canadien de protection des animaux</w:t>
      </w:r>
      <w:r w:rsidR="00F20EE2">
        <w:rPr>
          <w:rStyle w:val="Appelnotedebasdep"/>
        </w:rPr>
        <w:footnoteReference w:id="109"/>
      </w:r>
      <w:r w:rsidR="00F20EE2" w:rsidRPr="00F20EE2">
        <w:t>.</w:t>
      </w:r>
    </w:p>
    <w:p w14:paraId="61755039" w14:textId="29A47131" w:rsidR="0055726C" w:rsidRPr="00354C6E" w:rsidRDefault="00485A0E" w:rsidP="00F13839">
      <w:pPr>
        <w:pStyle w:val="Titre4"/>
      </w:pPr>
      <w:bookmarkStart w:id="60" w:name="_Toc144367244"/>
      <w:r w:rsidRPr="00F67D80">
        <w:t xml:space="preserve">L'article 898.1 du </w:t>
      </w:r>
      <w:r w:rsidRPr="00F67D80">
        <w:rPr>
          <w:i/>
          <w:iCs/>
        </w:rPr>
        <w:t>Code civil du Québec</w:t>
      </w:r>
      <w:r w:rsidR="00354C6E">
        <w:rPr>
          <w:i/>
          <w:iCs/>
        </w:rPr>
        <w:t xml:space="preserve"> </w:t>
      </w:r>
      <w:r w:rsidR="00354C6E" w:rsidRPr="00354C6E">
        <w:t>(C.c.Q.)</w:t>
      </w:r>
      <w:bookmarkEnd w:id="60"/>
    </w:p>
    <w:p w14:paraId="682CDAC7" w14:textId="1911B54C" w:rsidR="00485A0E" w:rsidRDefault="00485A0E" w:rsidP="005A1070">
      <w:pPr>
        <w:pStyle w:val="Paragrsimple"/>
        <w:widowControl w:val="0"/>
      </w:pPr>
      <w:r w:rsidRPr="00485A0E">
        <w:t xml:space="preserve">Au </w:t>
      </w:r>
      <w:r w:rsidR="00D93C3F">
        <w:t xml:space="preserve">cœur </w:t>
      </w:r>
      <w:r w:rsidRPr="00485A0E">
        <w:t>de la présente affaire</w:t>
      </w:r>
      <w:r w:rsidR="00241156">
        <w:t>,</w:t>
      </w:r>
      <w:r w:rsidRPr="00485A0E">
        <w:t xml:space="preserve"> l'article 898</w:t>
      </w:r>
      <w:r>
        <w:t>.1</w:t>
      </w:r>
      <w:r w:rsidRPr="00485A0E">
        <w:t xml:space="preserve"> C</w:t>
      </w:r>
      <w:r>
        <w:t>.c.</w:t>
      </w:r>
      <w:r w:rsidRPr="00485A0E">
        <w:t>Q</w:t>
      </w:r>
      <w:r>
        <w:t>.</w:t>
      </w:r>
      <w:r w:rsidRPr="00485A0E">
        <w:t xml:space="preserve"> se lit comme suit</w:t>
      </w:r>
      <w:r w:rsidR="004A73DA">
        <w:t> :</w:t>
      </w:r>
    </w:p>
    <w:p w14:paraId="4A0C8EC7" w14:textId="77777777" w:rsidR="004A73DA" w:rsidRPr="00BE5747" w:rsidRDefault="004A73DA" w:rsidP="00B54C4C">
      <w:pPr>
        <w:pStyle w:val="Citationenretrait"/>
        <w:widowControl w:val="0"/>
      </w:pPr>
      <w:r w:rsidRPr="004713F2">
        <w:lastRenderedPageBreak/>
        <w:t xml:space="preserve">Les </w:t>
      </w:r>
      <w:r w:rsidRPr="00BE5747">
        <w:t>animaux ne sont pas des biens. Ils sont des êtres doués de sensibilité et ils ont des impératifs biologiques.</w:t>
      </w:r>
    </w:p>
    <w:p w14:paraId="5ECE4FB1" w14:textId="77777777" w:rsidR="004A73DA" w:rsidRPr="00BE5747" w:rsidRDefault="004A73DA" w:rsidP="00B54C4C">
      <w:pPr>
        <w:pStyle w:val="Citationenretrait"/>
        <w:widowControl w:val="0"/>
      </w:pPr>
      <w:r w:rsidRPr="00BE5747">
        <w:t>Outre les dispositions des lois particulières qui les protègent, les dispositions du présent code et de toute autre loi relative aux biens leur sont néanmoins applicables.</w:t>
      </w:r>
    </w:p>
    <w:p w14:paraId="11C1325D" w14:textId="5592141E" w:rsidR="004A73DA" w:rsidRDefault="00E10309" w:rsidP="005A1070">
      <w:pPr>
        <w:pStyle w:val="Paragrsimple"/>
        <w:widowControl w:val="0"/>
      </w:pPr>
      <w:r w:rsidRPr="00E10309">
        <w:t>Adopté</w:t>
      </w:r>
      <w:r>
        <w:t>e</w:t>
      </w:r>
      <w:r w:rsidRPr="00E10309">
        <w:t xml:space="preserve"> en 2015</w:t>
      </w:r>
      <w:r>
        <w:t>,</w:t>
      </w:r>
      <w:r w:rsidRPr="00E10309">
        <w:t xml:space="preserve"> cette disposition modifie le statut juridique de l'animal</w:t>
      </w:r>
      <w:r>
        <w:t xml:space="preserve">. </w:t>
      </w:r>
      <w:r w:rsidRPr="00E10309">
        <w:t>Dés</w:t>
      </w:r>
      <w:r>
        <w:t>o</w:t>
      </w:r>
      <w:r w:rsidRPr="00E10309">
        <w:t>rm</w:t>
      </w:r>
      <w:r>
        <w:t>ais,</w:t>
      </w:r>
      <w:r w:rsidRPr="00E10309">
        <w:t xml:space="preserve"> il n'est </w:t>
      </w:r>
      <w:r>
        <w:t>plus un</w:t>
      </w:r>
      <w:r w:rsidRPr="00E10309">
        <w:t xml:space="preserve"> bien s</w:t>
      </w:r>
      <w:r>
        <w:t>e</w:t>
      </w:r>
      <w:r w:rsidRPr="00E10309">
        <w:t xml:space="preserve">lon les catégories traditionnelles du </w:t>
      </w:r>
      <w:r w:rsidR="002C7B1A">
        <w:t>C</w:t>
      </w:r>
      <w:r w:rsidRPr="00A41D20">
        <w:rPr>
          <w:i/>
          <w:iCs/>
        </w:rPr>
        <w:t>ode civil</w:t>
      </w:r>
      <w:r w:rsidR="00A41D20" w:rsidRPr="00A41D20">
        <w:rPr>
          <w:i/>
          <w:iCs/>
        </w:rPr>
        <w:t xml:space="preserve"> du Québec</w:t>
      </w:r>
      <w:r w:rsidR="00853DD8">
        <w:t xml:space="preserve">. </w:t>
      </w:r>
      <w:r w:rsidRPr="00E10309">
        <w:t>De</w:t>
      </w:r>
      <w:r>
        <w:t xml:space="preserve"> </w:t>
      </w:r>
      <w:r w:rsidRPr="00E10309">
        <w:t>surcroît</w:t>
      </w:r>
      <w:r>
        <w:t xml:space="preserve">, </w:t>
      </w:r>
      <w:r w:rsidR="00D93C3F">
        <w:t xml:space="preserve">il est </w:t>
      </w:r>
      <w:r>
        <w:t>d</w:t>
      </w:r>
      <w:r w:rsidRPr="00E10309">
        <w:t>oué de sensibilité et possède des impératif</w:t>
      </w:r>
      <w:r>
        <w:t>s</w:t>
      </w:r>
      <w:r w:rsidRPr="00E10309">
        <w:t xml:space="preserve"> biologique</w:t>
      </w:r>
      <w:r>
        <w:t>s</w:t>
      </w:r>
      <w:r>
        <w:rPr>
          <w:rStyle w:val="Appelnotedebasdep"/>
        </w:rPr>
        <w:footnoteReference w:id="110"/>
      </w:r>
      <w:r w:rsidR="00510469">
        <w:t>.</w:t>
      </w:r>
    </w:p>
    <w:p w14:paraId="3499F30E" w14:textId="42076C4A" w:rsidR="00C5769E" w:rsidRDefault="00C5769E" w:rsidP="005A1070">
      <w:pPr>
        <w:pStyle w:val="Paragrsimple"/>
        <w:widowControl w:val="0"/>
      </w:pPr>
      <w:r>
        <w:t xml:space="preserve">Combiné à l’adoption de la </w:t>
      </w:r>
      <w:r w:rsidRPr="00B73F43">
        <w:rPr>
          <w:i/>
          <w:iCs/>
        </w:rPr>
        <w:t>Loi sur le bien-être et la sécurité de l’animal</w:t>
      </w:r>
      <w:r>
        <w:rPr>
          <w:rStyle w:val="Appelnotedebasdep"/>
        </w:rPr>
        <w:footnoteReference w:id="111"/>
      </w:r>
      <w:r w:rsidR="006C35F5">
        <w:t xml:space="preserve"> – qui ne s’applique pas à la présente affaire – </w:t>
      </w:r>
      <w:r>
        <w:t>cet article élève le bien-être animal au rang des valeurs faisant l’objet d’un large consensus social</w:t>
      </w:r>
      <w:r>
        <w:rPr>
          <w:rStyle w:val="Appelnotedebasdep"/>
        </w:rPr>
        <w:footnoteReference w:id="112"/>
      </w:r>
      <w:r w:rsidR="00923659">
        <w:t>.</w:t>
      </w:r>
    </w:p>
    <w:p w14:paraId="44ECE6AB" w14:textId="11B793CE" w:rsidR="00923659" w:rsidRDefault="00923659" w:rsidP="005A1070">
      <w:pPr>
        <w:pStyle w:val="Paragrsimple"/>
        <w:widowControl w:val="0"/>
      </w:pPr>
      <w:r w:rsidRPr="00923659">
        <w:t xml:space="preserve">Dans </w:t>
      </w:r>
      <w:r w:rsidRPr="002B40B1">
        <w:rPr>
          <w:i/>
          <w:iCs/>
        </w:rPr>
        <w:t>Road to Home</w:t>
      </w:r>
      <w:r w:rsidRPr="00923659">
        <w:t>, la Cour d’appel attribue à</w:t>
      </w:r>
      <w:r>
        <w:t xml:space="preserve"> cette disposition la valeur d’une norme comportementale qui dicte la conduite qui s’impose aux personnes interagissant </w:t>
      </w:r>
      <w:r w:rsidR="002B40B1">
        <w:t>avec un animal</w:t>
      </w:r>
      <w:r w:rsidR="00C552D9">
        <w:t> :</w:t>
      </w:r>
    </w:p>
    <w:p w14:paraId="300E7D64" w14:textId="310794FD" w:rsidR="0030517E" w:rsidRPr="0030517E" w:rsidRDefault="0030517E" w:rsidP="00477D5C">
      <w:pPr>
        <w:pStyle w:val="Citationenretrait"/>
        <w:widowControl w:val="0"/>
        <w:rPr>
          <w:lang w:eastAsia="fr-CA"/>
        </w:rPr>
      </w:pPr>
      <w:r w:rsidRPr="0030517E">
        <w:rPr>
          <w:lang w:eastAsia="fr-CA"/>
        </w:rPr>
        <w:t>[56]</w:t>
      </w:r>
      <w:r w:rsidRPr="0030517E">
        <w:rPr>
          <w:rFonts w:ascii="Times New Roman" w:hAnsi="Times New Roman"/>
          <w:sz w:val="14"/>
          <w:szCs w:val="14"/>
          <w:lang w:eastAsia="fr-CA"/>
        </w:rPr>
        <w:t xml:space="preserve">        </w:t>
      </w:r>
      <w:r w:rsidRPr="0030517E">
        <w:rPr>
          <w:lang w:eastAsia="fr-CA"/>
        </w:rPr>
        <w:t xml:space="preserve">Il n’y a aucune incompatibilité entre cette disposition législative et les art. 31 et 32 du règlement 16-060 ou avec les art. 33, 36 et 49 du règlement 18-042, ni d’incompatibilité entre cette disposition législative et les autres articles des deux règlements. Le fait que les animaux (incluant, cela va sans dire, les chiens de toutes sortes) sont des êtres </w:t>
      </w:r>
      <w:r w:rsidRPr="00BE5747">
        <w:t>doués</w:t>
      </w:r>
      <w:r w:rsidRPr="0030517E">
        <w:rPr>
          <w:lang w:eastAsia="fr-CA"/>
        </w:rPr>
        <w:t xml:space="preserve"> de sensibilité n’empêche pas qu’ils puissent occasionnellement constituer une nuisance ou un danger et faire l’objet de mesures destinées à contrer l’une ou l’autre ou à y remédier de façon temporaire ou définitive</w:t>
      </w:r>
      <w:bookmarkStart w:id="61" w:name="_ftnref40"/>
      <w:r w:rsidRPr="0030517E">
        <w:rPr>
          <w:vertAlign w:val="superscript"/>
          <w:lang w:eastAsia="fr-CA"/>
        </w:rPr>
        <w:fldChar w:fldCharType="begin"/>
      </w:r>
      <w:r w:rsidRPr="0030517E">
        <w:rPr>
          <w:vertAlign w:val="superscript"/>
          <w:lang w:eastAsia="fr-CA"/>
        </w:rPr>
        <w:instrText xml:space="preserve"> HYPERLINK "about:blank" \l "_ftn40" \o "" </w:instrText>
      </w:r>
      <w:r w:rsidRPr="0030517E">
        <w:rPr>
          <w:vertAlign w:val="superscript"/>
          <w:lang w:eastAsia="fr-CA"/>
        </w:rPr>
      </w:r>
      <w:r w:rsidRPr="0030517E">
        <w:rPr>
          <w:vertAlign w:val="superscript"/>
          <w:lang w:eastAsia="fr-CA"/>
        </w:rPr>
        <w:fldChar w:fldCharType="separate"/>
      </w:r>
      <w:r w:rsidR="0034614B">
        <w:rPr>
          <w:color w:val="0563C1"/>
          <w:u w:val="single"/>
          <w:vertAlign w:val="superscript"/>
          <w:lang w:eastAsia="fr-CA"/>
        </w:rPr>
        <w:t>[40]</w:t>
      </w:r>
      <w:r w:rsidRPr="0030517E">
        <w:rPr>
          <w:vertAlign w:val="superscript"/>
          <w:lang w:eastAsia="fr-CA"/>
        </w:rPr>
        <w:fldChar w:fldCharType="end"/>
      </w:r>
      <w:bookmarkEnd w:id="61"/>
      <w:r w:rsidRPr="0030517E">
        <w:rPr>
          <w:lang w:eastAsia="fr-CA"/>
        </w:rPr>
        <w:t xml:space="preserve">. Au nombre de ces mesures figure l’euthanasie qui, selon les règlements en cause, peut être ordonnée lorsque le chien est déclaré dangereux. </w:t>
      </w:r>
    </w:p>
    <w:p w14:paraId="4D87E63E" w14:textId="198F46BB" w:rsidR="00630520" w:rsidRDefault="0030517E" w:rsidP="00EF5627">
      <w:pPr>
        <w:pStyle w:val="Citationenretrait"/>
        <w:keepNext/>
        <w:rPr>
          <w:lang w:eastAsia="fr-CA"/>
        </w:rPr>
      </w:pPr>
      <w:r w:rsidRPr="0030517E">
        <w:rPr>
          <w:lang w:eastAsia="fr-CA"/>
        </w:rPr>
        <w:t>[57]</w:t>
      </w:r>
      <w:r w:rsidRPr="0030517E">
        <w:rPr>
          <w:rFonts w:ascii="Times New Roman" w:hAnsi="Times New Roman"/>
          <w:sz w:val="14"/>
          <w:szCs w:val="14"/>
          <w:lang w:eastAsia="fr-CA"/>
        </w:rPr>
        <w:t xml:space="preserve">        </w:t>
      </w:r>
      <w:r w:rsidRPr="0030517E">
        <w:rPr>
          <w:lang w:eastAsia="fr-CA"/>
        </w:rPr>
        <w:t xml:space="preserve">Il n’y a en cela rien qui contrevienne à l’article 898.1 </w:t>
      </w:r>
      <w:r w:rsidRPr="0030517E">
        <w:rPr>
          <w:i/>
          <w:iCs/>
          <w:lang w:eastAsia="fr-CA"/>
        </w:rPr>
        <w:t>C.c.Q.</w:t>
      </w:r>
      <w:r w:rsidRPr="0030517E">
        <w:rPr>
          <w:lang w:eastAsia="fr-CA"/>
        </w:rPr>
        <w:t xml:space="preserve"> En affirmant que les animaux sont des êtres doués de sensibilité, ayant des impératifs biologiques, le législateur dicte du même coup la conduite que doivent avoir tous ceux et celles qui </w:t>
      </w:r>
      <w:r w:rsidRPr="00BE5747">
        <w:t>interagissent</w:t>
      </w:r>
      <w:r w:rsidRPr="0030517E">
        <w:rPr>
          <w:lang w:eastAsia="fr-CA"/>
        </w:rPr>
        <w:t xml:space="preserve"> avec de tels êtres. Cette disposition, qui a donc valeur de norme comportementale, s’applique certainement à la manière dont les villes mettent en œuvre les règlements qu’elles adoptent en vertu de la </w:t>
      </w:r>
      <w:r w:rsidRPr="0030517E">
        <w:rPr>
          <w:i/>
          <w:iCs/>
          <w:lang w:eastAsia="fr-CA"/>
        </w:rPr>
        <w:t xml:space="preserve">Loi sur les compétences municipales </w:t>
      </w:r>
      <w:r w:rsidRPr="0030517E">
        <w:rPr>
          <w:lang w:eastAsia="fr-CA"/>
        </w:rPr>
        <w:t xml:space="preserve">afin de gérer les nuisances animales ou les animaux errants ou dangereux. Ainsi, lorsqu’une disposition réglementaire (comme c’est ici le cas) prévoit l’euthanasie d’un animal, on devra y procéder d’une façon conforme à l’art. 898.1 </w:t>
      </w:r>
      <w:r w:rsidRPr="0030517E">
        <w:rPr>
          <w:i/>
          <w:iCs/>
          <w:lang w:eastAsia="fr-CA"/>
        </w:rPr>
        <w:t>C.c.Q.</w:t>
      </w:r>
      <w:r w:rsidRPr="0030517E">
        <w:rPr>
          <w:lang w:eastAsia="fr-CA"/>
        </w:rPr>
        <w:t xml:space="preserve">, c’est-à-dire respectueuse de la sensibilité animale reconnue par le législateur. Il n’est pas impossible non plus que l’art. 898.1 </w:t>
      </w:r>
      <w:r w:rsidRPr="0030517E">
        <w:rPr>
          <w:i/>
          <w:iCs/>
          <w:lang w:eastAsia="fr-CA"/>
        </w:rPr>
        <w:t>C.c.Q.</w:t>
      </w:r>
      <w:r w:rsidRPr="0030517E">
        <w:rPr>
          <w:lang w:eastAsia="fr-CA"/>
        </w:rPr>
        <w:t xml:space="preserve"> ait un effet direct sur le contenu même d’un tel règlement, qui ne pourrait pas, devant un éventail de </w:t>
      </w:r>
      <w:r w:rsidRPr="0030517E">
        <w:rPr>
          <w:lang w:eastAsia="fr-CA"/>
        </w:rPr>
        <w:lastRenderedPageBreak/>
        <w:t>possibilités, prescrire l’utilisation du moyen le plus cruel ou le plus douloureux afin de mettre un animal à mort (en l’espèce, les règlements ne prescrivent rien de tel).</w:t>
      </w:r>
      <w:r w:rsidR="00EF211A">
        <w:rPr>
          <w:rStyle w:val="Appelnotedebasdep"/>
          <w:lang w:eastAsia="fr-CA"/>
        </w:rPr>
        <w:footnoteReference w:id="113"/>
      </w:r>
    </w:p>
    <w:p w14:paraId="1A7DE2E8" w14:textId="6A7693C7" w:rsidR="00D370A9" w:rsidRPr="008037AE" w:rsidRDefault="00D370A9" w:rsidP="00EF5627">
      <w:pPr>
        <w:pStyle w:val="Citationenretrait"/>
        <w:keepNext/>
        <w:spacing w:line="360" w:lineRule="auto"/>
        <w:jc w:val="right"/>
        <w:rPr>
          <w:lang w:eastAsia="fr-CA"/>
        </w:rPr>
      </w:pPr>
      <w:r w:rsidRPr="008037AE">
        <w:t>[Références omises]</w:t>
      </w:r>
    </w:p>
    <w:p w14:paraId="56B345DA" w14:textId="4CAFF409" w:rsidR="00510469" w:rsidRDefault="00510469" w:rsidP="005A1070">
      <w:pPr>
        <w:pStyle w:val="Paragrsimple"/>
        <w:widowControl w:val="0"/>
      </w:pPr>
      <w:r w:rsidRPr="00510469">
        <w:t>Cela dit</w:t>
      </w:r>
      <w:r>
        <w:t>,</w:t>
      </w:r>
      <w:r w:rsidRPr="00510469">
        <w:t xml:space="preserve"> dans ce même arrêt</w:t>
      </w:r>
      <w:r>
        <w:t>,</w:t>
      </w:r>
      <w:r w:rsidRPr="00510469">
        <w:t xml:space="preserve"> la </w:t>
      </w:r>
      <w:r>
        <w:t>C</w:t>
      </w:r>
      <w:r w:rsidRPr="00510469">
        <w:t>our d'appel ajoute que l'article 898</w:t>
      </w:r>
      <w:r>
        <w:t>.1</w:t>
      </w:r>
      <w:r w:rsidRPr="00510469">
        <w:t xml:space="preserve"> </w:t>
      </w:r>
      <w:r>
        <w:t>C.c.Q</w:t>
      </w:r>
      <w:r w:rsidR="00C5769E">
        <w:t>.</w:t>
      </w:r>
      <w:r w:rsidRPr="00510469">
        <w:t xml:space="preserve"> et </w:t>
      </w:r>
      <w:r>
        <w:t>la</w:t>
      </w:r>
      <w:r w:rsidRPr="00510469">
        <w:t xml:space="preserve"> </w:t>
      </w:r>
      <w:r w:rsidR="006062B3" w:rsidRPr="00B73F43">
        <w:rPr>
          <w:i/>
          <w:iCs/>
        </w:rPr>
        <w:t>L</w:t>
      </w:r>
      <w:r w:rsidRPr="00B73F43">
        <w:rPr>
          <w:i/>
          <w:iCs/>
        </w:rPr>
        <w:t>oi sur le bien-être et la sécurité de l'animal</w:t>
      </w:r>
      <w:r w:rsidR="00AF19D6">
        <w:rPr>
          <w:rStyle w:val="Appelnotedebasdep"/>
        </w:rPr>
        <w:footnoteReference w:id="114"/>
      </w:r>
      <w:r w:rsidRPr="00510469">
        <w:t xml:space="preserve"> n</w:t>
      </w:r>
      <w:r w:rsidR="006062B3">
        <w:t>’</w:t>
      </w:r>
      <w:r w:rsidRPr="00510469">
        <w:t>on</w:t>
      </w:r>
      <w:r w:rsidR="006062B3">
        <w:t>t</w:t>
      </w:r>
      <w:r w:rsidRPr="00510469">
        <w:t xml:space="preserve"> pas pour effet d'attribuer ou de retirer des compétences aux municipalités</w:t>
      </w:r>
      <w:r w:rsidR="006062B3">
        <w:t>.</w:t>
      </w:r>
      <w:r w:rsidRPr="00510469">
        <w:t xml:space="preserve"> </w:t>
      </w:r>
      <w:r w:rsidR="006062B3" w:rsidRPr="00510469">
        <w:t>T</w:t>
      </w:r>
      <w:r w:rsidRPr="00510469">
        <w:t>outefois</w:t>
      </w:r>
      <w:r w:rsidR="006062B3">
        <w:t xml:space="preserve">, </w:t>
      </w:r>
      <w:r w:rsidRPr="00510469">
        <w:t>ensemble</w:t>
      </w:r>
      <w:r w:rsidR="006062B3">
        <w:t>,</w:t>
      </w:r>
      <w:r w:rsidRPr="00510469">
        <w:t xml:space="preserve"> elles établissent un cadre législatif général utile à l'appréciation du contenu des règlements municipaux et à la manière dont ils doivent être appliqués</w:t>
      </w:r>
      <w:r w:rsidR="00B00B12">
        <w:rPr>
          <w:rStyle w:val="Appelnotedebasdep"/>
        </w:rPr>
        <w:footnoteReference w:id="115"/>
      </w:r>
      <w:r>
        <w:t>.</w:t>
      </w:r>
    </w:p>
    <w:p w14:paraId="30CA5152" w14:textId="4ACEAD12" w:rsidR="006062B3" w:rsidRDefault="00AF19E2" w:rsidP="00477D5C">
      <w:pPr>
        <w:pStyle w:val="Paragrdouble"/>
        <w:widowControl w:val="0"/>
        <w:spacing w:line="360" w:lineRule="auto"/>
      </w:pPr>
      <w:r w:rsidRPr="00AF19E2">
        <w:t xml:space="preserve">Dans l'arrêt </w:t>
      </w:r>
      <w:r w:rsidRPr="00AF19E2">
        <w:rPr>
          <w:i/>
          <w:iCs/>
        </w:rPr>
        <w:t>Doucet</w:t>
      </w:r>
      <w:r w:rsidR="00DE4705">
        <w:rPr>
          <w:rStyle w:val="Appelnotedebasdep"/>
          <w:i/>
          <w:iCs/>
        </w:rPr>
        <w:footnoteReference w:id="116"/>
      </w:r>
      <w:r>
        <w:t>,</w:t>
      </w:r>
      <w:r w:rsidRPr="00AF19E2">
        <w:t xml:space="preserve"> la </w:t>
      </w:r>
      <w:r>
        <w:t>C</w:t>
      </w:r>
      <w:r w:rsidRPr="00AF19E2">
        <w:t>our d'appel s'exprime comme suit sur cette question</w:t>
      </w:r>
      <w:r>
        <w:t> :</w:t>
      </w:r>
    </w:p>
    <w:p w14:paraId="0F3F2D99" w14:textId="074A6C0D" w:rsidR="001A4507" w:rsidRDefault="001A4507" w:rsidP="00477D5C">
      <w:pPr>
        <w:pStyle w:val="Citationenretrait"/>
        <w:widowControl w:val="0"/>
      </w:pPr>
      <w:r>
        <w:tab/>
      </w:r>
      <w:r w:rsidRPr="001A4507">
        <w:t>[59]</w:t>
      </w:r>
      <w:r w:rsidRPr="001A4507">
        <w:rPr>
          <w:rFonts w:ascii="Times New Roman" w:hAnsi="Times New Roman"/>
          <w:sz w:val="14"/>
          <w:szCs w:val="14"/>
        </w:rPr>
        <w:t xml:space="preserve">        </w:t>
      </w:r>
      <w:r w:rsidRPr="001A4507">
        <w:t xml:space="preserve">Le pouvoir municipal de restreindre le nombre d’animaux par demeure relève de la compétence en matière de nuisance. L’étendue de cette compétence n’a pas été </w:t>
      </w:r>
      <w:r w:rsidRPr="00BE5747">
        <w:t>altérée</w:t>
      </w:r>
      <w:r w:rsidRPr="001A4507">
        <w:t xml:space="preserve"> par </w:t>
      </w:r>
      <w:r w:rsidRPr="00E54404">
        <w:t>l’adoption</w:t>
      </w:r>
      <w:r w:rsidRPr="001A4507">
        <w:t xml:space="preserve"> de la </w:t>
      </w:r>
      <w:r w:rsidRPr="001A4507">
        <w:rPr>
          <w:i/>
          <w:iCs/>
        </w:rPr>
        <w:t>Loi sur le bien-être et la sécurité de l'animal</w:t>
      </w:r>
      <w:bookmarkStart w:id="62" w:name="_ftnref41"/>
      <w:r w:rsidRPr="005054AF">
        <w:rPr>
          <w:vertAlign w:val="superscript"/>
        </w:rPr>
        <w:fldChar w:fldCharType="begin"/>
      </w:r>
      <w:r w:rsidRPr="005054AF">
        <w:rPr>
          <w:vertAlign w:val="superscript"/>
        </w:rPr>
        <w:instrText xml:space="preserve"> HYPERLINK "about:blank" \l "_ftn41" \o "" </w:instrText>
      </w:r>
      <w:r w:rsidRPr="005054AF">
        <w:rPr>
          <w:vertAlign w:val="superscript"/>
        </w:rPr>
      </w:r>
      <w:r w:rsidRPr="005054AF">
        <w:rPr>
          <w:vertAlign w:val="superscript"/>
        </w:rPr>
        <w:fldChar w:fldCharType="separate"/>
      </w:r>
      <w:r w:rsidR="0034614B">
        <w:rPr>
          <w:color w:val="0000FF"/>
          <w:u w:val="single"/>
          <w:vertAlign w:val="superscript"/>
        </w:rPr>
        <w:t>[41]</w:t>
      </w:r>
      <w:r w:rsidRPr="005054AF">
        <w:rPr>
          <w:vertAlign w:val="superscript"/>
        </w:rPr>
        <w:fldChar w:fldCharType="end"/>
      </w:r>
      <w:bookmarkEnd w:id="62"/>
      <w:r w:rsidRPr="001A4507">
        <w:t xml:space="preserve"> ni par la reconnaissance que les animaux ne sont pas des biens, mais plutôt des êtres doués de sensibilité possédant des impératifs biologiques</w:t>
      </w:r>
      <w:bookmarkStart w:id="63" w:name="_ftnref42"/>
      <w:r w:rsidRPr="005054AF">
        <w:rPr>
          <w:vertAlign w:val="superscript"/>
        </w:rPr>
        <w:fldChar w:fldCharType="begin"/>
      </w:r>
      <w:r w:rsidRPr="005054AF">
        <w:rPr>
          <w:vertAlign w:val="superscript"/>
        </w:rPr>
        <w:instrText xml:space="preserve"> HYPERLINK "about:blank" \l "_ftn42" \o "" </w:instrText>
      </w:r>
      <w:r w:rsidRPr="005054AF">
        <w:rPr>
          <w:vertAlign w:val="superscript"/>
        </w:rPr>
      </w:r>
      <w:r w:rsidRPr="005054AF">
        <w:rPr>
          <w:vertAlign w:val="superscript"/>
        </w:rPr>
        <w:fldChar w:fldCharType="separate"/>
      </w:r>
      <w:r w:rsidR="0034614B">
        <w:rPr>
          <w:color w:val="0000FF"/>
          <w:u w:val="single"/>
          <w:vertAlign w:val="superscript"/>
        </w:rPr>
        <w:t>[42]</w:t>
      </w:r>
      <w:r w:rsidRPr="005054AF">
        <w:rPr>
          <w:vertAlign w:val="superscript"/>
        </w:rPr>
        <w:fldChar w:fldCharType="end"/>
      </w:r>
      <w:bookmarkEnd w:id="63"/>
      <w:r w:rsidRPr="001A4507">
        <w:t xml:space="preserve">. Malgré ce changement de statut, les animaux demeurent une source possible de nuisance. </w:t>
      </w:r>
      <w:r w:rsidRPr="00A41D20">
        <w:rPr>
          <w:u w:val="single"/>
        </w:rPr>
        <w:t>D’ailleurs, la compétence sur la nuisance n’est pas tributaire de la valeur morale accordée à des êtres vivants</w:t>
      </w:r>
      <w:r w:rsidRPr="001A4507">
        <w:t xml:space="preserve">. À titre d’exemple, la compétence en matière de nuisance permet aux municipalités de réglementer les bruits émanant de l’activité humaine. </w:t>
      </w:r>
    </w:p>
    <w:p w14:paraId="2E3936C4" w14:textId="657F74CB" w:rsidR="00D370A9" w:rsidRPr="008037AE" w:rsidRDefault="00D370A9" w:rsidP="00477D5C">
      <w:pPr>
        <w:pStyle w:val="Citationenretrait"/>
        <w:widowControl w:val="0"/>
        <w:spacing w:line="360" w:lineRule="auto"/>
        <w:jc w:val="right"/>
      </w:pPr>
      <w:r w:rsidRPr="008037AE">
        <w:t>[</w:t>
      </w:r>
      <w:r w:rsidR="00A41D20" w:rsidRPr="008037AE">
        <w:t>Soulignements du Tribunal</w:t>
      </w:r>
      <w:r w:rsidRPr="008037AE">
        <w:t>]</w:t>
      </w:r>
    </w:p>
    <w:p w14:paraId="46D502B5" w14:textId="30782BE9" w:rsidR="007A7C79" w:rsidRDefault="007A7C79" w:rsidP="005A1070">
      <w:pPr>
        <w:pStyle w:val="Paragrsimple"/>
        <w:widowControl w:val="0"/>
      </w:pPr>
      <w:r>
        <w:t xml:space="preserve">À ce sujet, les auteurs </w:t>
      </w:r>
      <w:r w:rsidRPr="00CB2AE4">
        <w:t>Michaël Lessard et Romane Bonenfant</w:t>
      </w:r>
      <w:r>
        <w:t xml:space="preserve">, se fondant sur l’arrêt </w:t>
      </w:r>
      <w:r w:rsidRPr="00862390">
        <w:rPr>
          <w:i/>
          <w:iCs/>
        </w:rPr>
        <w:t>Road to Home</w:t>
      </w:r>
      <w:r>
        <w:t xml:space="preserve">, sont également d’avis que l’article 898.1 C.c.Q. n’a pas pour effet d’empêcher une municipalité d’ordonner la mise à mort d’animaux dangereux ou constituant une nuisance : </w:t>
      </w:r>
    </w:p>
    <w:p w14:paraId="74D5C0C7" w14:textId="77777777" w:rsidR="007A7C79" w:rsidRPr="00B51E9C" w:rsidRDefault="007A7C79" w:rsidP="00477D5C">
      <w:pPr>
        <w:pStyle w:val="Citationenretrait"/>
        <w:widowControl w:val="0"/>
        <w:rPr>
          <w:u w:val="single"/>
        </w:rPr>
      </w:pPr>
      <w:r w:rsidRPr="00CB2AE4">
        <w:t xml:space="preserve">Or, reconnaître que les animaux sont des êtres doués de sensibilité ne les empêche pas de constituer </w:t>
      </w:r>
      <w:r w:rsidRPr="00E54404">
        <w:t>une</w:t>
      </w:r>
      <w:r w:rsidRPr="00CB2AE4">
        <w:t xml:space="preserve"> nuisance ou un danger. Cette reconnaissance, soulignons-le, n’a pas qu’un </w:t>
      </w:r>
      <w:r w:rsidRPr="00BE5747">
        <w:t>effet</w:t>
      </w:r>
      <w:r w:rsidRPr="00CB2AE4">
        <w:t xml:space="preserve"> déclaratoire : elle a aussi un effet normatif. </w:t>
      </w:r>
      <w:r w:rsidRPr="00B51E9C">
        <w:rPr>
          <w:u w:val="single"/>
        </w:rPr>
        <w:t>Cependant, ce dernier suppose au plus de respecter la sensibilité des animaux ainsi que leurs impératifs biologiques, mais non d’interdire leur mise à mort.</w:t>
      </w:r>
    </w:p>
    <w:p w14:paraId="47518921" w14:textId="77777777" w:rsidR="007A7C79" w:rsidRPr="00BE5747" w:rsidRDefault="007A7C79" w:rsidP="00477D5C">
      <w:pPr>
        <w:pStyle w:val="Citationenretrait"/>
        <w:widowControl w:val="0"/>
      </w:pPr>
      <w:r w:rsidRPr="00BE5747">
        <w:t>[…]</w:t>
      </w:r>
    </w:p>
    <w:p w14:paraId="1E069420" w14:textId="77777777" w:rsidR="007A7C79" w:rsidRDefault="007A7C79" w:rsidP="00EF5627">
      <w:pPr>
        <w:pStyle w:val="Citationenretrait"/>
        <w:keepNext/>
      </w:pPr>
      <w:r w:rsidRPr="00BE5747">
        <w:t>Ainsi, l’article 898.1 CcQ n’interdit pas explicitement la mise à mort d’animaux et</w:t>
      </w:r>
      <w:r w:rsidRPr="00CB2AE4">
        <w:t xml:space="preserve"> ne saurait, de l’avis de la Cour d’appel, être interprété comme l’interdisant </w:t>
      </w:r>
      <w:r w:rsidRPr="00CB2AE4">
        <w:lastRenderedPageBreak/>
        <w:t xml:space="preserve">implicitement, notamment </w:t>
      </w:r>
      <w:r w:rsidRPr="00B51E9C">
        <w:rPr>
          <w:u w:val="single"/>
        </w:rPr>
        <w:t>en raison du contexte législatif et socioéconomique québécois</w:t>
      </w:r>
      <w:r w:rsidRPr="00CB2AE4">
        <w:t>.</w:t>
      </w:r>
      <w:r>
        <w:rPr>
          <w:rStyle w:val="Appelnotedebasdep"/>
        </w:rPr>
        <w:footnoteReference w:id="117"/>
      </w:r>
    </w:p>
    <w:p w14:paraId="7D6D60FE" w14:textId="4665DFB1" w:rsidR="007A7C79" w:rsidRPr="008037AE" w:rsidRDefault="007A7C79" w:rsidP="00EF5627">
      <w:pPr>
        <w:pStyle w:val="Citationenretrait"/>
        <w:keepNext/>
        <w:spacing w:line="360" w:lineRule="auto"/>
        <w:jc w:val="right"/>
      </w:pPr>
      <w:r w:rsidRPr="008037AE">
        <w:t>[</w:t>
      </w:r>
      <w:r w:rsidR="00A41D20" w:rsidRPr="008037AE">
        <w:t>S</w:t>
      </w:r>
      <w:r w:rsidRPr="008037AE">
        <w:t>oulignements</w:t>
      </w:r>
      <w:r w:rsidR="00A41D20" w:rsidRPr="008037AE">
        <w:t xml:space="preserve"> du Tribunal</w:t>
      </w:r>
      <w:r w:rsidRPr="008037AE">
        <w:t>]</w:t>
      </w:r>
    </w:p>
    <w:p w14:paraId="682EFA84" w14:textId="5F8AE1DC" w:rsidR="007A7C79" w:rsidRDefault="0033224A" w:rsidP="005A1070">
      <w:pPr>
        <w:pStyle w:val="Paragrsimple"/>
        <w:widowControl w:val="0"/>
      </w:pPr>
      <w:r>
        <w:t xml:space="preserve">Une </w:t>
      </w:r>
      <w:r w:rsidR="007A7C79">
        <w:t>autre auteur</w:t>
      </w:r>
      <w:r w:rsidR="00FE70ED">
        <w:t>e</w:t>
      </w:r>
      <w:r w:rsidR="007A7C79">
        <w:t xml:space="preserve"> soulign</w:t>
      </w:r>
      <w:r w:rsidR="00FE70ED">
        <w:t>e</w:t>
      </w:r>
      <w:r w:rsidR="007A7C79">
        <w:t xml:space="preserve"> que l’article 898.1 C.c.Q., bien qu’ayant une portée limitée</w:t>
      </w:r>
      <w:r w:rsidR="007A7C79">
        <w:rPr>
          <w:rStyle w:val="Appelnotedebasdep"/>
        </w:rPr>
        <w:footnoteReference w:id="118"/>
      </w:r>
      <w:r w:rsidR="007A7C79">
        <w:t xml:space="preserve">, permet </w:t>
      </w:r>
      <w:r w:rsidR="00853DD8">
        <w:t>néanmoins</w:t>
      </w:r>
      <w:r w:rsidR="007A7C79">
        <w:t xml:space="preserve"> deux avancé</w:t>
      </w:r>
      <w:r w:rsidR="005054AF">
        <w:t>e</w:t>
      </w:r>
      <w:r w:rsidR="007A7C79">
        <w:t>s majeur</w:t>
      </w:r>
      <w:r w:rsidR="005054AF">
        <w:t>e</w:t>
      </w:r>
      <w:r w:rsidR="007A7C79">
        <w:t>s pour les droits des animaux, soit la reconnaissance qu’ils sont doués de sensibilité et qu’ils peuvent ressentir la douleur, de même que la reconnaissance qu’ils possèdent des impératifs biologiques :</w:t>
      </w:r>
    </w:p>
    <w:p w14:paraId="6D4D78BC" w14:textId="77777777" w:rsidR="007A7C79" w:rsidRDefault="007A7C79" w:rsidP="00477D5C">
      <w:pPr>
        <w:pStyle w:val="Citationenretrait"/>
        <w:widowControl w:val="0"/>
      </w:pPr>
      <w:r>
        <w:t xml:space="preserve">L’évolution du droit pour la protection des animaux s’appuie sur une éthique fondée sur le respect de la sensibilité propre à l’animal apte à ressentir la douleur ou à éprouver des émotions. </w:t>
      </w:r>
      <w:r w:rsidRPr="00E54404">
        <w:t>L’absence</w:t>
      </w:r>
      <w:r>
        <w:t xml:space="preserve"> d’émotions négatives telles la souffrance, l’angoisse ou la peur, est une composante majeure du bien-être. Cette éthique se base elle-même sur le développement récent des connaissances impulsées par la neurobiologie et </w:t>
      </w:r>
      <w:r w:rsidRPr="0066016B">
        <w:t>l’éthologie</w:t>
      </w:r>
      <w:r>
        <w:t xml:space="preserve">. Par la voie de la déréification, le droit québécois rejoint enfin l’éthique et la science dans la reconnaissance, tellement évidente, de la nature sensible des animaux. </w:t>
      </w:r>
      <w:r w:rsidRPr="006074DF">
        <w:t>[</w:t>
      </w:r>
      <w:r>
        <w:t>…</w:t>
      </w:r>
      <w:r w:rsidRPr="006074DF">
        <w:t>]</w:t>
      </w:r>
    </w:p>
    <w:p w14:paraId="501DBBE2" w14:textId="4C53B2FE" w:rsidR="0094230B" w:rsidRDefault="007A7C79" w:rsidP="00477D5C">
      <w:pPr>
        <w:pStyle w:val="Citationenretrait"/>
        <w:widowControl w:val="0"/>
      </w:pPr>
      <w:r w:rsidRPr="0066016B">
        <w:t>[…]</w:t>
      </w:r>
    </w:p>
    <w:p w14:paraId="420697C9" w14:textId="25B05643" w:rsidR="0094230B" w:rsidRDefault="0094230B" w:rsidP="00477D5C">
      <w:pPr>
        <w:widowControl w:val="0"/>
        <w:rPr>
          <w:kern w:val="24"/>
          <w:sz w:val="22"/>
        </w:rPr>
      </w:pPr>
    </w:p>
    <w:p w14:paraId="1FBDA30C" w14:textId="77777777" w:rsidR="007A7C79" w:rsidRDefault="007A7C79" w:rsidP="00477D5C">
      <w:pPr>
        <w:pStyle w:val="Citationenretrait"/>
        <w:widowControl w:val="0"/>
      </w:pPr>
      <w:r w:rsidRPr="0066016B">
        <w:t>Une autre avancée significative du premier alinéa de l’article 898.1 du Code civil du Québec est l’intégration, dans le droit commun, de la notion d’impératifs biologiques particuliers à chaque espèce animale. Les éthologues privilégient depuis longtemps l’idée selon laquelle chaque animal « doit pouvoir exprimer les comportements propres à son espèce dans le milieu naturel ». Cette idée est d’ailleurs soutenue par l’Institut national de la recherche agronomique (INRA), lequel souligne que les tentatives d’amélioration de la bientraitance des animaux d’élevage passent inévitablement par la possibilité pour l’animal d’exprimer les comportements</w:t>
      </w:r>
      <w:r w:rsidRPr="006074DF">
        <w:t xml:space="preserve"> propres à son espèce</w:t>
      </w:r>
      <w:r>
        <w:t>.</w:t>
      </w:r>
      <w:r>
        <w:rPr>
          <w:rStyle w:val="Appelnotedebasdep"/>
        </w:rPr>
        <w:footnoteReference w:id="119"/>
      </w:r>
    </w:p>
    <w:p w14:paraId="4924C3F3" w14:textId="22A60CE1" w:rsidR="007A7C79" w:rsidRPr="00FB1642" w:rsidRDefault="007A7C79" w:rsidP="00477D5C">
      <w:pPr>
        <w:pStyle w:val="Paragrdouble"/>
        <w:widowControl w:val="0"/>
        <w:numPr>
          <w:ilvl w:val="0"/>
          <w:numId w:val="0"/>
        </w:numPr>
        <w:spacing w:line="360" w:lineRule="auto"/>
        <w:ind w:right="573"/>
        <w:jc w:val="right"/>
        <w:rPr>
          <w:sz w:val="22"/>
          <w:szCs w:val="22"/>
        </w:rPr>
      </w:pPr>
      <w:r w:rsidRPr="00FB1642">
        <w:rPr>
          <w:sz w:val="22"/>
          <w:szCs w:val="22"/>
        </w:rPr>
        <w:t>[Références omises]</w:t>
      </w:r>
    </w:p>
    <w:p w14:paraId="1D035C69" w14:textId="2F0477B1" w:rsidR="004646D3" w:rsidRDefault="004646D3" w:rsidP="005A1070">
      <w:pPr>
        <w:pStyle w:val="Paragrsimple"/>
        <w:widowControl w:val="0"/>
      </w:pPr>
      <w:r>
        <w:t xml:space="preserve">Ainsi, puisque la </w:t>
      </w:r>
      <w:r w:rsidRPr="008E6C39">
        <w:rPr>
          <w:i/>
          <w:iCs/>
        </w:rPr>
        <w:t>Loi sur les comp</w:t>
      </w:r>
      <w:r>
        <w:rPr>
          <w:i/>
          <w:iCs/>
        </w:rPr>
        <w:t>é</w:t>
      </w:r>
      <w:r w:rsidRPr="008E6C39">
        <w:rPr>
          <w:i/>
          <w:iCs/>
        </w:rPr>
        <w:t>tences municipales</w:t>
      </w:r>
      <w:r>
        <w:t xml:space="preserve"> ne dicte pas la méthode que les municipalités peuvent </w:t>
      </w:r>
      <w:r w:rsidRPr="0066016B">
        <w:t>employer</w:t>
      </w:r>
      <w:r>
        <w:t xml:space="preserve"> pour la mise à mort d’un animal, </w:t>
      </w:r>
      <w:r w:rsidR="00E57191">
        <w:t>elle</w:t>
      </w:r>
      <w:r>
        <w:t xml:space="preserve"> doit donc être conforme à l’article 898.1 C.c.Q. </w:t>
      </w:r>
      <w:r w:rsidR="006F768A">
        <w:t>L</w:t>
      </w:r>
      <w:r w:rsidR="00D07067">
        <w:t xml:space="preserve">’intention qui se dégage du nouveau cadre législatif applicable aux animaux est qu’il est nécessaire </w:t>
      </w:r>
      <w:r>
        <w:t>« </w:t>
      </w:r>
      <w:r w:rsidRPr="0007749B">
        <w:t xml:space="preserve">de s’assurer qu’on le fasse dans le respect de la sensibilité de ceux-ci et d’une manière qui soit aussi douce et rapide que </w:t>
      </w:r>
      <w:r w:rsidRPr="0007749B">
        <w:lastRenderedPageBreak/>
        <w:t>possible</w:t>
      </w:r>
      <w:r>
        <w:t> »</w:t>
      </w:r>
      <w:r>
        <w:rPr>
          <w:rStyle w:val="Appelnotedebasdep"/>
        </w:rPr>
        <w:footnoteReference w:id="120"/>
      </w:r>
      <w:r>
        <w:t>.</w:t>
      </w:r>
    </w:p>
    <w:p w14:paraId="0D754904" w14:textId="662EFE95" w:rsidR="00AF19E2" w:rsidRDefault="00204134" w:rsidP="00F13839">
      <w:pPr>
        <w:pStyle w:val="Titre3"/>
      </w:pPr>
      <w:bookmarkStart w:id="64" w:name="_Toc144367245"/>
      <w:r w:rsidRPr="00204134">
        <w:t xml:space="preserve">La raisonnabilité de la </w:t>
      </w:r>
      <w:r w:rsidR="00D536BE">
        <w:t xml:space="preserve">Résolution </w:t>
      </w:r>
      <w:r w:rsidR="00963237">
        <w:t>et de la délivrance du Permis SEG</w:t>
      </w:r>
      <w:bookmarkEnd w:id="64"/>
    </w:p>
    <w:p w14:paraId="67A1AEAA" w14:textId="5E60D016" w:rsidR="00963237" w:rsidRDefault="001675BA" w:rsidP="005A1070">
      <w:pPr>
        <w:pStyle w:val="Paragrsimple"/>
        <w:widowControl w:val="0"/>
      </w:pPr>
      <w:r w:rsidRPr="001675BA">
        <w:t xml:space="preserve">Les demandeurs </w:t>
      </w:r>
      <w:r>
        <w:t>et</w:t>
      </w:r>
      <w:r w:rsidRPr="001675BA">
        <w:t xml:space="preserve"> </w:t>
      </w:r>
      <w:r w:rsidR="00CC3FCD">
        <w:t>la SPCA</w:t>
      </w:r>
      <w:r w:rsidR="00814477">
        <w:t xml:space="preserve"> </w:t>
      </w:r>
      <w:r>
        <w:t xml:space="preserve">invoquent </w:t>
      </w:r>
      <w:r w:rsidRPr="001675BA">
        <w:t xml:space="preserve">de nombreux motifs pour attaquer la </w:t>
      </w:r>
      <w:r w:rsidR="00D536BE">
        <w:t xml:space="preserve">Résolution </w:t>
      </w:r>
      <w:r w:rsidRPr="001675BA">
        <w:t xml:space="preserve">et la délivrance du </w:t>
      </w:r>
      <w:r w:rsidR="005054AF">
        <w:t>P</w:t>
      </w:r>
      <w:r w:rsidRPr="001675BA">
        <w:t>ermis SEG</w:t>
      </w:r>
      <w:r>
        <w:t xml:space="preserve">. </w:t>
      </w:r>
      <w:r w:rsidR="007B6AA3" w:rsidRPr="007B6AA3">
        <w:t xml:space="preserve">Plusieurs se recoupent </w:t>
      </w:r>
      <w:r w:rsidR="007B6AA3">
        <w:t xml:space="preserve">ou visent </w:t>
      </w:r>
      <w:r w:rsidR="007B6AA3" w:rsidRPr="007B6AA3">
        <w:t>indistinctement</w:t>
      </w:r>
      <w:r w:rsidR="007B6AA3">
        <w:t xml:space="preserve"> </w:t>
      </w:r>
      <w:r w:rsidR="001D5EB9" w:rsidRPr="001D5EB9">
        <w:t xml:space="preserve">ces </w:t>
      </w:r>
      <w:r w:rsidR="005054AF">
        <w:t>deux</w:t>
      </w:r>
      <w:r w:rsidR="001D5EB9" w:rsidRPr="001D5EB9">
        <w:t xml:space="preserve"> décisions</w:t>
      </w:r>
      <w:r w:rsidR="001D5EB9">
        <w:t xml:space="preserve">. </w:t>
      </w:r>
      <w:r w:rsidR="00A55F59" w:rsidRPr="00A55F59">
        <w:t>Pour facilit</w:t>
      </w:r>
      <w:r w:rsidR="00A55F59">
        <w:t>er</w:t>
      </w:r>
      <w:r w:rsidR="00A55F59" w:rsidRPr="00A55F59">
        <w:t xml:space="preserve"> la compréhension</w:t>
      </w:r>
      <w:r w:rsidR="00A55F59">
        <w:t>,</w:t>
      </w:r>
      <w:r w:rsidR="00A55F59" w:rsidRPr="00A55F59">
        <w:t xml:space="preserve"> le </w:t>
      </w:r>
      <w:r w:rsidR="00A55F59">
        <w:t>T</w:t>
      </w:r>
      <w:r w:rsidR="00A55F59" w:rsidRPr="00A55F59">
        <w:t>ribunal propose de les traiter ensemble</w:t>
      </w:r>
      <w:r w:rsidR="00A55F59">
        <w:t>.</w:t>
      </w:r>
    </w:p>
    <w:p w14:paraId="53E1D0A7" w14:textId="56FF566C" w:rsidR="00245E0E" w:rsidRDefault="006F768A" w:rsidP="005A1070">
      <w:pPr>
        <w:pStyle w:val="Paragrsimple"/>
        <w:widowControl w:val="0"/>
      </w:pPr>
      <w:r>
        <w:t>A</w:t>
      </w:r>
      <w:r w:rsidR="00245E0E">
        <w:t xml:space="preserve">vant de procéder à l’analyse, nous examinerons d’abord la preuve factuelle des démarches menant </w:t>
      </w:r>
      <w:r w:rsidR="00D07067">
        <w:t>à chacune des</w:t>
      </w:r>
      <w:r w:rsidR="00245E0E">
        <w:t xml:space="preserve"> décisions attaquées.</w:t>
      </w:r>
    </w:p>
    <w:p w14:paraId="0F85D433" w14:textId="669CF40D" w:rsidR="00204134" w:rsidRDefault="006349DB" w:rsidP="00F13839">
      <w:pPr>
        <w:pStyle w:val="Titre4"/>
      </w:pPr>
      <w:bookmarkStart w:id="65" w:name="_Toc144367246"/>
      <w:r>
        <w:t xml:space="preserve">La </w:t>
      </w:r>
      <w:r w:rsidR="006D6916">
        <w:t>Résolution</w:t>
      </w:r>
      <w:bookmarkEnd w:id="65"/>
    </w:p>
    <w:p w14:paraId="2E4B8A57" w14:textId="551D88A6" w:rsidR="00747C36" w:rsidRDefault="00747C36" w:rsidP="00F13839">
      <w:pPr>
        <w:pStyle w:val="Titre5"/>
      </w:pPr>
      <w:bookmarkStart w:id="66" w:name="_Toc144367247"/>
      <w:r w:rsidRPr="00BF6DE4">
        <w:t>Historique</w:t>
      </w:r>
      <w:bookmarkEnd w:id="66"/>
    </w:p>
    <w:p w14:paraId="24248BD4" w14:textId="6FDC5AB9" w:rsidR="0027128F" w:rsidRPr="00CF61C9" w:rsidRDefault="00464780" w:rsidP="005A1070">
      <w:pPr>
        <w:pStyle w:val="Paragrsimple"/>
        <w:widowControl w:val="0"/>
        <w:rPr>
          <w:b/>
          <w:bCs/>
        </w:rPr>
      </w:pPr>
      <w:r w:rsidRPr="00464780">
        <w:t xml:space="preserve">Le plan directeur des parcs </w:t>
      </w:r>
      <w:r>
        <w:t xml:space="preserve">et </w:t>
      </w:r>
      <w:r w:rsidRPr="00464780">
        <w:t xml:space="preserve">espaces verts de la </w:t>
      </w:r>
      <w:r>
        <w:t>V</w:t>
      </w:r>
      <w:r w:rsidRPr="00464780">
        <w:t xml:space="preserve">ille attribue au </w:t>
      </w:r>
      <w:r w:rsidR="00CF61C9">
        <w:t>P</w:t>
      </w:r>
      <w:r w:rsidRPr="00464780">
        <w:t>arc une vocation de parc</w:t>
      </w:r>
      <w:r w:rsidR="00CF61C9">
        <w:t>-</w:t>
      </w:r>
      <w:r w:rsidRPr="00464780">
        <w:t>nature</w:t>
      </w:r>
      <w:r w:rsidR="00CF61C9">
        <w:t>.</w:t>
      </w:r>
      <w:r w:rsidRPr="00464780">
        <w:t xml:space="preserve"> </w:t>
      </w:r>
      <w:r w:rsidR="00CF61C9" w:rsidRPr="00464780">
        <w:t>I</w:t>
      </w:r>
      <w:r w:rsidRPr="00464780">
        <w:t>l</w:t>
      </w:r>
      <w:r w:rsidR="00CF61C9">
        <w:t xml:space="preserve"> </w:t>
      </w:r>
      <w:r w:rsidRPr="00464780">
        <w:t xml:space="preserve">comprend des sentiers pédestres </w:t>
      </w:r>
      <w:r w:rsidR="00CF61C9">
        <w:t xml:space="preserve">et </w:t>
      </w:r>
      <w:r w:rsidRPr="00464780">
        <w:t>également de grandes zones de conservation o</w:t>
      </w:r>
      <w:r w:rsidR="00CF61C9">
        <w:t>ù</w:t>
      </w:r>
      <w:r w:rsidRPr="00464780">
        <w:t xml:space="preserve"> la </w:t>
      </w:r>
      <w:r w:rsidR="00CF61C9">
        <w:t>V</w:t>
      </w:r>
      <w:r w:rsidRPr="00464780">
        <w:t>ille cherche à maintenir l'important couvert forestier et la r</w:t>
      </w:r>
      <w:r w:rsidR="00CF61C9">
        <w:t>i</w:t>
      </w:r>
      <w:r w:rsidRPr="00464780">
        <w:t>che biodiversité floristique et fauniq</w:t>
      </w:r>
      <w:r w:rsidR="00886214">
        <w:t>ue</w:t>
      </w:r>
      <w:r w:rsidR="00886214" w:rsidRPr="00886214">
        <w:t xml:space="preserve"> </w:t>
      </w:r>
      <w:r w:rsidRPr="00464780">
        <w:t>qu</w:t>
      </w:r>
      <w:r w:rsidR="005054AF">
        <w:t>’</w:t>
      </w:r>
      <w:r w:rsidRPr="00464780">
        <w:t>il</w:t>
      </w:r>
      <w:r w:rsidR="005054AF">
        <w:t xml:space="preserve"> </w:t>
      </w:r>
      <w:r w:rsidRPr="00464780">
        <w:t>abrite</w:t>
      </w:r>
      <w:r w:rsidR="00CF61C9">
        <w:t>.</w:t>
      </w:r>
    </w:p>
    <w:p w14:paraId="26302682" w14:textId="785883AC" w:rsidR="00CF61C9" w:rsidRPr="00886214" w:rsidRDefault="00886214" w:rsidP="005A1070">
      <w:pPr>
        <w:pStyle w:val="Paragrsimple"/>
        <w:widowControl w:val="0"/>
        <w:rPr>
          <w:b/>
          <w:bCs/>
        </w:rPr>
      </w:pPr>
      <w:r w:rsidRPr="00886214">
        <w:t>Depuis</w:t>
      </w:r>
      <w:r>
        <w:t xml:space="preserve"> </w:t>
      </w:r>
      <w:r w:rsidRPr="00886214">
        <w:t>de nombreuses années</w:t>
      </w:r>
      <w:r w:rsidR="00B577B2">
        <w:t>,</w:t>
      </w:r>
      <w:r w:rsidRPr="00886214">
        <w:t xml:space="preserve"> un ch</w:t>
      </w:r>
      <w:r>
        <w:t>e</w:t>
      </w:r>
      <w:r w:rsidRPr="00886214">
        <w:t>pt</w:t>
      </w:r>
      <w:r w:rsidR="003D4152">
        <w:t>e</w:t>
      </w:r>
      <w:r w:rsidRPr="00886214">
        <w:t xml:space="preserve">l de </w:t>
      </w:r>
      <w:r>
        <w:t>cerfs</w:t>
      </w:r>
      <w:r w:rsidRPr="00886214">
        <w:t xml:space="preserve"> y habite</w:t>
      </w:r>
      <w:r>
        <w:t>.</w:t>
      </w:r>
    </w:p>
    <w:p w14:paraId="33E44404" w14:textId="6511F7D9" w:rsidR="00886214" w:rsidRDefault="005D25FC" w:rsidP="005A1070">
      <w:pPr>
        <w:pStyle w:val="Paragrsimple"/>
        <w:widowControl w:val="0"/>
      </w:pPr>
      <w:r w:rsidRPr="005D25FC">
        <w:t>Au fil du temps</w:t>
      </w:r>
      <w:r>
        <w:t>,</w:t>
      </w:r>
      <w:r w:rsidRPr="005D25FC">
        <w:t xml:space="preserve"> le cheptel cro</w:t>
      </w:r>
      <w:r>
        <w:t>î</w:t>
      </w:r>
      <w:r w:rsidRPr="005D25FC">
        <w:t>t au point où</w:t>
      </w:r>
      <w:r>
        <w:t>,</w:t>
      </w:r>
      <w:r w:rsidRPr="005D25FC">
        <w:t xml:space="preserve"> en 2009</w:t>
      </w:r>
      <w:r>
        <w:t>,</w:t>
      </w:r>
      <w:r w:rsidRPr="005D25FC">
        <w:t xml:space="preserve"> une étude conclut que le nombre de cerfs dépasse la capacité de support du milieu</w:t>
      </w:r>
      <w:r>
        <w:rPr>
          <w:rStyle w:val="Appelnotedebasdep"/>
        </w:rPr>
        <w:footnoteReference w:id="121"/>
      </w:r>
      <w:r>
        <w:t xml:space="preserve">. Un </w:t>
      </w:r>
      <w:r w:rsidRPr="005D25FC">
        <w:t>premier inventaire aérien réalisé en 2012</w:t>
      </w:r>
      <w:r w:rsidR="00EE45C2">
        <w:rPr>
          <w:rStyle w:val="Appelnotedebasdep"/>
        </w:rPr>
        <w:footnoteReference w:id="122"/>
      </w:r>
      <w:r w:rsidR="00B5457B">
        <w:t xml:space="preserve"> </w:t>
      </w:r>
      <w:r w:rsidR="00B5457B" w:rsidRPr="00B5457B">
        <w:t xml:space="preserve">révèle la présence de </w:t>
      </w:r>
      <w:r w:rsidR="00B5457B">
        <w:t>41</w:t>
      </w:r>
      <w:r w:rsidR="00B5457B" w:rsidRPr="00B5457B">
        <w:t xml:space="preserve"> cerfs dans le </w:t>
      </w:r>
      <w:r w:rsidR="00C7512B">
        <w:t>P</w:t>
      </w:r>
      <w:r w:rsidR="00B5457B" w:rsidRPr="00B5457B">
        <w:t>arc</w:t>
      </w:r>
      <w:r w:rsidR="00C7512B">
        <w:t>,</w:t>
      </w:r>
      <w:r w:rsidR="00B5457B" w:rsidRPr="00B5457B">
        <w:t xml:space="preserve"> un nombre significativement plus élevé que la densité recommandée par les biologistes du </w:t>
      </w:r>
      <w:r w:rsidR="00C7512B" w:rsidRPr="00B5457B">
        <w:t>M</w:t>
      </w:r>
      <w:r w:rsidR="00C7512B">
        <w:t>F</w:t>
      </w:r>
      <w:r w:rsidR="00C7512B" w:rsidRPr="00B5457B">
        <w:t>FP</w:t>
      </w:r>
      <w:r w:rsidR="00C7512B">
        <w:rPr>
          <w:rStyle w:val="Appelnotedebasdep"/>
        </w:rPr>
        <w:footnoteReference w:id="123"/>
      </w:r>
      <w:r w:rsidR="00C7512B">
        <w:t>.</w:t>
      </w:r>
    </w:p>
    <w:p w14:paraId="7D5E23EF" w14:textId="398CF536" w:rsidR="00C7512B" w:rsidRPr="005D25FC" w:rsidRDefault="005E7178" w:rsidP="005A1070">
      <w:pPr>
        <w:pStyle w:val="Paragrsimple"/>
        <w:widowControl w:val="0"/>
      </w:pPr>
      <w:r w:rsidRPr="005E7178">
        <w:t>Au cours des années qui suivent</w:t>
      </w:r>
      <w:r>
        <w:t>,</w:t>
      </w:r>
      <w:r w:rsidRPr="005E7178">
        <w:t xml:space="preserve"> la </w:t>
      </w:r>
      <w:r>
        <w:t>V</w:t>
      </w:r>
      <w:r w:rsidRPr="005E7178">
        <w:t xml:space="preserve">ille entreprend de nombreuses actions afin d'atténuer l'impact de la présence des </w:t>
      </w:r>
      <w:r>
        <w:t>cerfs</w:t>
      </w:r>
      <w:r w:rsidRPr="005E7178">
        <w:t xml:space="preserve"> dans le </w:t>
      </w:r>
      <w:r>
        <w:t>P</w:t>
      </w:r>
      <w:r w:rsidRPr="005E7178">
        <w:t>arc</w:t>
      </w:r>
      <w:r w:rsidR="006D6916">
        <w:rPr>
          <w:rStyle w:val="Appelnotedebasdep"/>
        </w:rPr>
        <w:footnoteReference w:id="124"/>
      </w:r>
      <w:r>
        <w:t> :</w:t>
      </w:r>
    </w:p>
    <w:p w14:paraId="59DD3211" w14:textId="3B277341" w:rsidR="00320135" w:rsidRDefault="00D61183" w:rsidP="00295263">
      <w:pPr>
        <w:pStyle w:val="Paragrdouble"/>
        <w:widowControl w:val="0"/>
        <w:numPr>
          <w:ilvl w:val="0"/>
          <w:numId w:val="11"/>
        </w:numPr>
        <w:spacing w:after="0" w:line="240" w:lineRule="auto"/>
        <w:ind w:left="1134" w:hanging="357"/>
      </w:pPr>
      <w:r w:rsidRPr="00D61183">
        <w:t>Conférence</w:t>
      </w:r>
      <w:r w:rsidR="00B52B32">
        <w:t>s</w:t>
      </w:r>
      <w:r w:rsidRPr="00D61183">
        <w:t xml:space="preserve"> éducative</w:t>
      </w:r>
      <w:r w:rsidR="00B52B32">
        <w:t>s</w:t>
      </w:r>
      <w:r w:rsidRPr="00D61183">
        <w:t xml:space="preserve"> </w:t>
      </w:r>
      <w:r w:rsidR="00CC1691">
        <w:t>sur les impacts de la présence de cerfs dans le Parc</w:t>
      </w:r>
      <w:r w:rsidR="00B52B32">
        <w:t>;</w:t>
      </w:r>
    </w:p>
    <w:p w14:paraId="1ED2D170" w14:textId="684CE2E8" w:rsidR="00D61183" w:rsidRDefault="00D61183" w:rsidP="00295263">
      <w:pPr>
        <w:pStyle w:val="Paragrdouble"/>
        <w:widowControl w:val="0"/>
        <w:numPr>
          <w:ilvl w:val="0"/>
          <w:numId w:val="11"/>
        </w:numPr>
        <w:spacing w:after="0" w:line="240" w:lineRule="auto"/>
        <w:ind w:left="1134" w:hanging="357"/>
      </w:pPr>
      <w:r w:rsidRPr="00D61183">
        <w:t>Activité</w:t>
      </w:r>
      <w:r>
        <w:t xml:space="preserve"> </w:t>
      </w:r>
      <w:r w:rsidRPr="00D61183">
        <w:t>de sensibilisation par des agents de protection de la faune</w:t>
      </w:r>
      <w:r>
        <w:t xml:space="preserve"> (MFFP) </w:t>
      </w:r>
      <w:r w:rsidRPr="00D61183">
        <w:t>et des policiers à vélo pour informer les visiteurs des conséquences du nourrissage artificiel</w:t>
      </w:r>
      <w:r w:rsidR="00A528F2">
        <w:t>;</w:t>
      </w:r>
    </w:p>
    <w:p w14:paraId="7D904121" w14:textId="4E2D0B5E" w:rsidR="00D61183" w:rsidRDefault="00D61183" w:rsidP="00295263">
      <w:pPr>
        <w:pStyle w:val="Paragrdouble"/>
        <w:widowControl w:val="0"/>
        <w:numPr>
          <w:ilvl w:val="0"/>
          <w:numId w:val="11"/>
        </w:numPr>
        <w:spacing w:after="0" w:line="240" w:lineRule="auto"/>
        <w:ind w:left="1134" w:hanging="357"/>
      </w:pPr>
      <w:r w:rsidRPr="00D61183">
        <w:t>Étude</w:t>
      </w:r>
      <w:r>
        <w:t xml:space="preserve"> </w:t>
      </w:r>
      <w:r w:rsidRPr="00D61183">
        <w:t xml:space="preserve">d'impact </w:t>
      </w:r>
      <w:r w:rsidR="00B52B32">
        <w:t>du brout</w:t>
      </w:r>
      <w:r w:rsidRPr="00D61183">
        <w:t xml:space="preserve"> sur la forêt</w:t>
      </w:r>
      <w:r w:rsidR="00B577B2">
        <w:t xml:space="preserve"> </w:t>
      </w:r>
      <w:r w:rsidRPr="00D61183">
        <w:t>du</w:t>
      </w:r>
      <w:r>
        <w:t xml:space="preserve"> P</w:t>
      </w:r>
      <w:r w:rsidRPr="00D61183">
        <w:t>arc</w:t>
      </w:r>
      <w:r w:rsidR="00A528F2">
        <w:t>;</w:t>
      </w:r>
    </w:p>
    <w:p w14:paraId="720838D8" w14:textId="537EFE1F" w:rsidR="00D61183" w:rsidRDefault="00D61183" w:rsidP="00295263">
      <w:pPr>
        <w:pStyle w:val="Paragrdouble"/>
        <w:widowControl w:val="0"/>
        <w:numPr>
          <w:ilvl w:val="0"/>
          <w:numId w:val="11"/>
        </w:numPr>
        <w:spacing w:after="0" w:line="240" w:lineRule="auto"/>
        <w:ind w:left="1134" w:hanging="357"/>
      </w:pPr>
      <w:r w:rsidRPr="00D61183">
        <w:t>Amélioration</w:t>
      </w:r>
      <w:r>
        <w:t xml:space="preserve"> </w:t>
      </w:r>
      <w:r w:rsidRPr="00D61183">
        <w:t xml:space="preserve">de la signalisation routière aux abords du </w:t>
      </w:r>
      <w:r>
        <w:t>P</w:t>
      </w:r>
      <w:r w:rsidRPr="00D61183">
        <w:t>arc</w:t>
      </w:r>
      <w:r w:rsidR="00A528F2">
        <w:t>;</w:t>
      </w:r>
    </w:p>
    <w:p w14:paraId="3E4C60CB" w14:textId="49E7C600" w:rsidR="00D61183" w:rsidRDefault="005F6B39" w:rsidP="00295263">
      <w:pPr>
        <w:pStyle w:val="Paragrdouble"/>
        <w:widowControl w:val="0"/>
        <w:numPr>
          <w:ilvl w:val="0"/>
          <w:numId w:val="11"/>
        </w:numPr>
        <w:spacing w:after="0" w:line="240" w:lineRule="auto"/>
        <w:ind w:left="1134" w:hanging="357"/>
      </w:pPr>
      <w:r w:rsidRPr="005F6B39">
        <w:t xml:space="preserve">Construction </w:t>
      </w:r>
      <w:r w:rsidRPr="00A528F2">
        <w:t>d’exclos</w:t>
      </w:r>
      <w:r w:rsidR="00A528F2">
        <w:t>;</w:t>
      </w:r>
    </w:p>
    <w:p w14:paraId="7EE65BBA" w14:textId="5BA3C690" w:rsidR="005F6B39" w:rsidRDefault="005F6B39" w:rsidP="00295263">
      <w:pPr>
        <w:pStyle w:val="Paragrdouble"/>
        <w:widowControl w:val="0"/>
        <w:numPr>
          <w:ilvl w:val="0"/>
          <w:numId w:val="11"/>
        </w:numPr>
        <w:spacing w:after="0" w:line="240" w:lineRule="auto"/>
        <w:ind w:left="1134" w:hanging="357"/>
      </w:pPr>
      <w:r w:rsidRPr="005F6B39">
        <w:lastRenderedPageBreak/>
        <w:t>Protection des végétaux</w:t>
      </w:r>
      <w:r w:rsidR="00A528F2">
        <w:t>;</w:t>
      </w:r>
    </w:p>
    <w:p w14:paraId="159E6643" w14:textId="1FEE763C" w:rsidR="005F6B39" w:rsidRDefault="005F6B39" w:rsidP="00295263">
      <w:pPr>
        <w:pStyle w:val="Paragrdouble"/>
        <w:widowControl w:val="0"/>
        <w:numPr>
          <w:ilvl w:val="0"/>
          <w:numId w:val="11"/>
        </w:numPr>
        <w:spacing w:after="0" w:line="240" w:lineRule="auto"/>
        <w:ind w:left="1134" w:hanging="357"/>
      </w:pPr>
      <w:r w:rsidRPr="005F6B39">
        <w:t>Chasse</w:t>
      </w:r>
      <w:r>
        <w:t xml:space="preserve"> </w:t>
      </w:r>
      <w:r w:rsidR="00A528F2">
        <w:t xml:space="preserve">des cerfs </w:t>
      </w:r>
      <w:r w:rsidRPr="005F6B39">
        <w:t xml:space="preserve">dans le </w:t>
      </w:r>
      <w:r>
        <w:t>B</w:t>
      </w:r>
      <w:r w:rsidRPr="005F6B39">
        <w:t>oisé Tremblay</w:t>
      </w:r>
      <w:r w:rsidR="00A528F2">
        <w:t>, un parc-nature</w:t>
      </w:r>
      <w:r w:rsidR="005054AF" w:rsidRPr="005054AF">
        <w:t xml:space="preserve"> </w:t>
      </w:r>
      <w:r w:rsidR="005054AF">
        <w:t>situé à proximité.</w:t>
      </w:r>
    </w:p>
    <w:p w14:paraId="6647F0EB" w14:textId="1B36736E" w:rsidR="005F6B39" w:rsidRDefault="006F768A" w:rsidP="005A1070">
      <w:pPr>
        <w:pStyle w:val="Paragrsimple"/>
        <w:widowControl w:val="0"/>
      </w:pPr>
      <w:r>
        <w:t>De plus</w:t>
      </w:r>
      <w:r w:rsidR="00412EC3">
        <w:t>,</w:t>
      </w:r>
      <w:r w:rsidR="00412EC3" w:rsidRPr="00412EC3">
        <w:t xml:space="preserve"> dès 2008</w:t>
      </w:r>
      <w:r w:rsidR="00412EC3">
        <w:t>,</w:t>
      </w:r>
      <w:r w:rsidR="00412EC3" w:rsidRPr="00412EC3">
        <w:t xml:space="preserve"> la </w:t>
      </w:r>
      <w:r w:rsidR="00412EC3">
        <w:t>V</w:t>
      </w:r>
      <w:r w:rsidR="00412EC3" w:rsidRPr="00412EC3">
        <w:t>ille ad</w:t>
      </w:r>
      <w:r w:rsidR="00E947DB">
        <w:t>o</w:t>
      </w:r>
      <w:r w:rsidR="00412EC3" w:rsidRPr="00412EC3">
        <w:t xml:space="preserve">pte le </w:t>
      </w:r>
      <w:r w:rsidR="00412EC3">
        <w:t>R</w:t>
      </w:r>
      <w:r w:rsidR="00412EC3" w:rsidRPr="00412EC3">
        <w:t xml:space="preserve">èglement </w:t>
      </w:r>
      <w:r w:rsidR="00412EC3">
        <w:t>CO-</w:t>
      </w:r>
      <w:r w:rsidR="00412EC3" w:rsidRPr="00412EC3">
        <w:t>2008</w:t>
      </w:r>
      <w:r w:rsidR="00412EC3">
        <w:t>-</w:t>
      </w:r>
      <w:r w:rsidR="00412EC3" w:rsidRPr="00412EC3">
        <w:t>523 sur le contrôle des animaux qui interdit aux citoyens de nourrir les cerfs</w:t>
      </w:r>
      <w:r w:rsidR="00412EC3">
        <w:t>.</w:t>
      </w:r>
    </w:p>
    <w:p w14:paraId="20B5E111" w14:textId="5CF89C6F" w:rsidR="00412EC3" w:rsidRDefault="00412EC3" w:rsidP="005A1070">
      <w:pPr>
        <w:pStyle w:val="Paragrsimple"/>
        <w:widowControl w:val="0"/>
      </w:pPr>
      <w:r w:rsidRPr="00412EC3">
        <w:t>En</w:t>
      </w:r>
      <w:r>
        <w:t xml:space="preserve"> </w:t>
      </w:r>
      <w:r w:rsidRPr="00412EC3">
        <w:t>2017</w:t>
      </w:r>
      <w:r>
        <w:t>,</w:t>
      </w:r>
      <w:r w:rsidRPr="00412EC3">
        <w:t xml:space="preserve"> le MF</w:t>
      </w:r>
      <w:r>
        <w:t>F</w:t>
      </w:r>
      <w:r w:rsidRPr="00412EC3">
        <w:t xml:space="preserve">P procède à un </w:t>
      </w:r>
      <w:r>
        <w:t xml:space="preserve">second </w:t>
      </w:r>
      <w:r w:rsidRPr="00412EC3">
        <w:t>inventaire a</w:t>
      </w:r>
      <w:r>
        <w:t>é</w:t>
      </w:r>
      <w:r w:rsidRPr="00412EC3">
        <w:t xml:space="preserve">rien qui révèle la présence de 32 </w:t>
      </w:r>
      <w:r>
        <w:t>cerfs</w:t>
      </w:r>
      <w:r w:rsidRPr="00412EC3">
        <w:t xml:space="preserve"> dans le</w:t>
      </w:r>
      <w:r>
        <w:t xml:space="preserve"> </w:t>
      </w:r>
      <w:r w:rsidR="00447E8B">
        <w:t>Parc</w:t>
      </w:r>
      <w:r w:rsidR="00447E8B" w:rsidRPr="005054AF">
        <w:rPr>
          <w:vertAlign w:val="superscript"/>
        </w:rPr>
        <w:footnoteReference w:id="125"/>
      </w:r>
      <w:r w:rsidR="005054AF">
        <w:t>,</w:t>
      </w:r>
      <w:r w:rsidR="00F36E9B">
        <w:t xml:space="preserve"> </w:t>
      </w:r>
      <w:r w:rsidR="00F36E9B" w:rsidRPr="00F36E9B">
        <w:t>un nombre</w:t>
      </w:r>
      <w:r w:rsidR="00F36E9B">
        <w:t>,</w:t>
      </w:r>
      <w:r w:rsidR="00F36E9B" w:rsidRPr="00F36E9B">
        <w:t xml:space="preserve"> encore là</w:t>
      </w:r>
      <w:r w:rsidR="00F36E9B">
        <w:t>,</w:t>
      </w:r>
      <w:r w:rsidR="00F36E9B" w:rsidRPr="00F36E9B">
        <w:t xml:space="preserve"> trop élevé</w:t>
      </w:r>
      <w:r w:rsidR="00F36E9B">
        <w:t>.</w:t>
      </w:r>
      <w:r w:rsidR="00F36E9B" w:rsidRPr="00F36E9B">
        <w:t xml:space="preserve"> Quelques</w:t>
      </w:r>
      <w:r w:rsidR="00F36E9B">
        <w:t xml:space="preserve"> </w:t>
      </w:r>
      <w:r w:rsidR="00F36E9B" w:rsidRPr="00F36E9B">
        <w:t>mois plus tard</w:t>
      </w:r>
      <w:r w:rsidR="00F36E9B">
        <w:t>,</w:t>
      </w:r>
      <w:r w:rsidR="00F36E9B" w:rsidRPr="00F36E9B">
        <w:t xml:space="preserve"> la </w:t>
      </w:r>
      <w:r w:rsidR="00F36E9B">
        <w:t>V</w:t>
      </w:r>
      <w:r w:rsidR="00F36E9B" w:rsidRPr="00F36E9B">
        <w:t>ille cesse définitivement le nourrissage des cerfs</w:t>
      </w:r>
      <w:r w:rsidR="00F36E9B">
        <w:t>.</w:t>
      </w:r>
    </w:p>
    <w:p w14:paraId="6AE22A0B" w14:textId="079096A3" w:rsidR="00F36E9B" w:rsidRDefault="00F36E9B" w:rsidP="005A1070">
      <w:pPr>
        <w:pStyle w:val="Paragrsimple"/>
        <w:widowControl w:val="0"/>
      </w:pPr>
      <w:r w:rsidRPr="00F36E9B">
        <w:t>Toutefois</w:t>
      </w:r>
      <w:r>
        <w:t>,</w:t>
      </w:r>
      <w:r w:rsidRPr="00F36E9B">
        <w:t xml:space="preserve"> les mesures mises en place par la </w:t>
      </w:r>
      <w:r>
        <w:t>V</w:t>
      </w:r>
      <w:r w:rsidRPr="00F36E9B">
        <w:t xml:space="preserve">ille ne permettent pas de juguler les impacts inhérents à la présence des cerfs en surnombre dans le </w:t>
      </w:r>
      <w:r>
        <w:t>P</w:t>
      </w:r>
      <w:r w:rsidRPr="00F36E9B">
        <w:t>arc</w:t>
      </w:r>
      <w:r>
        <w:t>.</w:t>
      </w:r>
    </w:p>
    <w:p w14:paraId="50EFAE5A" w14:textId="5D54D8C6" w:rsidR="00F36E9B" w:rsidRDefault="00000074" w:rsidP="005A1070">
      <w:pPr>
        <w:pStyle w:val="Paragrsimple"/>
        <w:widowControl w:val="0"/>
      </w:pPr>
      <w:r w:rsidRPr="00000074">
        <w:t>Au mois d'août 2020</w:t>
      </w:r>
      <w:r>
        <w:t>,</w:t>
      </w:r>
      <w:r w:rsidRPr="00000074">
        <w:t xml:space="preserve"> la </w:t>
      </w:r>
      <w:r>
        <w:t>V</w:t>
      </w:r>
      <w:r w:rsidRPr="00000074">
        <w:t>ille reçoit une étude</w:t>
      </w:r>
      <w:r w:rsidRPr="005054AF">
        <w:rPr>
          <w:vertAlign w:val="superscript"/>
        </w:rPr>
        <w:footnoteReference w:id="126"/>
      </w:r>
      <w:r w:rsidR="005054AF">
        <w:t xml:space="preserve"> qui</w:t>
      </w:r>
      <w:r w:rsidR="008D5C3D">
        <w:t xml:space="preserve"> </w:t>
      </w:r>
      <w:r w:rsidR="008D5C3D" w:rsidRPr="008D5C3D">
        <w:t>révèle que le brout</w:t>
      </w:r>
      <w:r w:rsidR="00FE70ED">
        <w:t xml:space="preserve"> </w:t>
      </w:r>
      <w:r w:rsidR="008D5C3D" w:rsidRPr="008D5C3D">
        <w:t xml:space="preserve">des cerfs constitue une menace qui pèse lourdement sur la végétation du </w:t>
      </w:r>
      <w:r w:rsidR="008D5C3D">
        <w:t>P</w:t>
      </w:r>
      <w:r w:rsidR="008D5C3D" w:rsidRPr="008D5C3D">
        <w:t>arc</w:t>
      </w:r>
      <w:r w:rsidR="008D5C3D">
        <w:t>.</w:t>
      </w:r>
      <w:r w:rsidR="008D5C3D" w:rsidRPr="008D5C3D">
        <w:t xml:space="preserve"> Plus</w:t>
      </w:r>
      <w:r w:rsidR="008D5C3D">
        <w:t xml:space="preserve"> </w:t>
      </w:r>
      <w:r w:rsidR="008D5C3D" w:rsidRPr="008D5C3D">
        <w:t>particulièrement</w:t>
      </w:r>
      <w:r w:rsidR="008D5C3D">
        <w:t>,</w:t>
      </w:r>
      <w:r w:rsidR="008D5C3D" w:rsidRPr="008D5C3D">
        <w:t xml:space="preserve"> </w:t>
      </w:r>
      <w:r w:rsidR="00FE70ED">
        <w:t>il</w:t>
      </w:r>
      <w:r w:rsidR="008D5C3D" w:rsidRPr="008D5C3D">
        <w:t xml:space="preserve"> fait obstacle à la régénération de feuillus de qualité et favorise l'implantation d'une flore exotique envahissant</w:t>
      </w:r>
      <w:r w:rsidR="008D5C3D">
        <w:t>e.</w:t>
      </w:r>
    </w:p>
    <w:p w14:paraId="0CEE8DD0" w14:textId="3813B7C1" w:rsidR="008D5C3D" w:rsidRDefault="00C349A9" w:rsidP="005A1070">
      <w:pPr>
        <w:pStyle w:val="Paragrsimple"/>
        <w:widowControl w:val="0"/>
      </w:pPr>
      <w:r w:rsidRPr="00C349A9">
        <w:t>Depuis</w:t>
      </w:r>
      <w:r>
        <w:t>,</w:t>
      </w:r>
      <w:r w:rsidRPr="00C349A9">
        <w:t xml:space="preserve"> le nombre de cerfs continue de croître</w:t>
      </w:r>
      <w:r>
        <w:t>.</w:t>
      </w:r>
      <w:r w:rsidRPr="00C349A9">
        <w:t xml:space="preserve"> Des</w:t>
      </w:r>
      <w:r>
        <w:t xml:space="preserve"> </w:t>
      </w:r>
      <w:r w:rsidRPr="00C349A9">
        <w:t>inventaires réalisés en 2021</w:t>
      </w:r>
      <w:r w:rsidRPr="005054AF">
        <w:rPr>
          <w:vertAlign w:val="superscript"/>
        </w:rPr>
        <w:footnoteReference w:id="127"/>
      </w:r>
      <w:r w:rsidR="00FD5E9B" w:rsidRPr="005054AF">
        <w:rPr>
          <w:vertAlign w:val="superscript"/>
        </w:rPr>
        <w:t xml:space="preserve"> </w:t>
      </w:r>
      <w:r w:rsidR="00FD5E9B" w:rsidRPr="00FD5E9B">
        <w:t>et en février 2022</w:t>
      </w:r>
      <w:r w:rsidR="00FD5E9B">
        <w:rPr>
          <w:rStyle w:val="Appelnotedebasdep"/>
        </w:rPr>
        <w:footnoteReference w:id="128"/>
      </w:r>
      <w:r w:rsidR="00FD5E9B">
        <w:t xml:space="preserve"> </w:t>
      </w:r>
      <w:r w:rsidR="00F90E60">
        <w:t xml:space="preserve">dénombrent </w:t>
      </w:r>
      <w:r w:rsidR="00F90E60" w:rsidRPr="00F90E60">
        <w:t>respective</w:t>
      </w:r>
      <w:r w:rsidR="00F90E60">
        <w:t>ment</w:t>
      </w:r>
      <w:r w:rsidR="00F90E60" w:rsidRPr="00F90E60">
        <w:t xml:space="preserve"> 72 et 108 </w:t>
      </w:r>
      <w:r w:rsidR="00F90E60">
        <w:t>cerfs</w:t>
      </w:r>
      <w:r w:rsidR="00F90E60" w:rsidRPr="00F90E60">
        <w:t xml:space="preserve"> dans le </w:t>
      </w:r>
      <w:r w:rsidR="00F90E60">
        <w:t>P</w:t>
      </w:r>
      <w:r w:rsidR="00F90E60" w:rsidRPr="00F90E60">
        <w:t>arc</w:t>
      </w:r>
      <w:r w:rsidR="00F90E60">
        <w:t>.</w:t>
      </w:r>
    </w:p>
    <w:p w14:paraId="61A32693" w14:textId="183984D4" w:rsidR="00F90E60" w:rsidRPr="00BF6DE4" w:rsidRDefault="00BF6DE4" w:rsidP="00F13839">
      <w:pPr>
        <w:pStyle w:val="Titre5"/>
      </w:pPr>
      <w:bookmarkStart w:id="67" w:name="_Toc144367248"/>
      <w:r>
        <w:t>Les enjeux posés par la surpopulation de cerfs</w:t>
      </w:r>
      <w:bookmarkEnd w:id="67"/>
    </w:p>
    <w:p w14:paraId="03150678" w14:textId="2DCBA384" w:rsidR="006D2886" w:rsidRDefault="002A3E5B" w:rsidP="005A1070">
      <w:pPr>
        <w:pStyle w:val="Paragrsimple"/>
        <w:widowControl w:val="0"/>
      </w:pPr>
      <w:r w:rsidRPr="002A3E5B">
        <w:t>À l'automne 2020</w:t>
      </w:r>
      <w:r>
        <w:t>,</w:t>
      </w:r>
      <w:r w:rsidRPr="002A3E5B">
        <w:t xml:space="preserve"> la </w:t>
      </w:r>
      <w:r>
        <w:t>V</w:t>
      </w:r>
      <w:r w:rsidRPr="002A3E5B">
        <w:t xml:space="preserve">ille prépare </w:t>
      </w:r>
      <w:r w:rsidR="004370AC">
        <w:t>le Plan</w:t>
      </w:r>
      <w:r w:rsidRPr="00086C5D">
        <w:rPr>
          <w:vertAlign w:val="superscript"/>
        </w:rPr>
        <w:footnoteReference w:id="129"/>
      </w:r>
      <w:r w:rsidR="00517653">
        <w:t xml:space="preserve"> </w:t>
      </w:r>
      <w:r w:rsidR="002718BF" w:rsidRPr="002718BF">
        <w:t xml:space="preserve">dont elle </w:t>
      </w:r>
      <w:r w:rsidR="004370AC">
        <w:t>communique</w:t>
      </w:r>
      <w:r w:rsidR="002718BF" w:rsidRPr="002718BF">
        <w:t xml:space="preserve"> les détails à la population en novembre 2020</w:t>
      </w:r>
      <w:r w:rsidR="002718BF" w:rsidRPr="00086C5D">
        <w:rPr>
          <w:vertAlign w:val="superscript"/>
        </w:rPr>
        <w:footnoteReference w:id="130"/>
      </w:r>
      <w:r w:rsidR="00387E7F">
        <w:t xml:space="preserve">. </w:t>
      </w:r>
      <w:r w:rsidR="001E14D2" w:rsidRPr="001E14D2">
        <w:t xml:space="preserve">Élaboré avec la collaboration du </w:t>
      </w:r>
      <w:r w:rsidR="001E14D2">
        <w:t>MFFP</w:t>
      </w:r>
      <w:r w:rsidR="006F768A">
        <w:rPr>
          <w:rStyle w:val="Appelnotedebasdep"/>
        </w:rPr>
        <w:footnoteReference w:id="131"/>
      </w:r>
      <w:r w:rsidR="001E14D2">
        <w:t>,</w:t>
      </w:r>
      <w:r w:rsidR="001E14D2" w:rsidRPr="001E14D2">
        <w:t xml:space="preserve"> le </w:t>
      </w:r>
      <w:r w:rsidR="001E14D2">
        <w:t>P</w:t>
      </w:r>
      <w:r w:rsidR="001E14D2" w:rsidRPr="001E14D2">
        <w:t xml:space="preserve">lan prévoit une réduction du nombre de </w:t>
      </w:r>
      <w:r w:rsidR="001E14D2">
        <w:t>ce</w:t>
      </w:r>
      <w:r w:rsidR="001E14D2" w:rsidRPr="001E14D2">
        <w:t>rfs par une intervention ciblée soit la capture et l'euthanasie d'un maximum de 15 cerfs</w:t>
      </w:r>
      <w:r w:rsidR="00266F6D">
        <w:rPr>
          <w:rStyle w:val="Appelnotedebasdep"/>
        </w:rPr>
        <w:footnoteReference w:id="132"/>
      </w:r>
      <w:r w:rsidR="001E14D2">
        <w:t>.</w:t>
      </w:r>
    </w:p>
    <w:p w14:paraId="1A8BE032" w14:textId="00621A2F" w:rsidR="001E14D2" w:rsidRDefault="005E677A" w:rsidP="005A1070">
      <w:pPr>
        <w:pStyle w:val="Paragrsimple"/>
        <w:widowControl w:val="0"/>
      </w:pPr>
      <w:r w:rsidRPr="005E677A">
        <w:t>Le</w:t>
      </w:r>
      <w:r>
        <w:t xml:space="preserve"> P</w:t>
      </w:r>
      <w:r w:rsidRPr="005E677A">
        <w:t>lan fait état de</w:t>
      </w:r>
      <w:r w:rsidR="00086C5D">
        <w:t>s</w:t>
      </w:r>
      <w:r w:rsidRPr="005E677A">
        <w:t xml:space="preserve"> nombreuses conséquenc</w:t>
      </w:r>
      <w:r>
        <w:t>es</w:t>
      </w:r>
      <w:r w:rsidRPr="005E677A">
        <w:t xml:space="preserve"> négative</w:t>
      </w:r>
      <w:r>
        <w:t>s</w:t>
      </w:r>
      <w:r w:rsidRPr="005E677A">
        <w:t xml:space="preserve"> attribuable</w:t>
      </w:r>
      <w:r>
        <w:t>s</w:t>
      </w:r>
      <w:r w:rsidRPr="005E677A">
        <w:t xml:space="preserve"> à la surpopulation de </w:t>
      </w:r>
      <w:r>
        <w:t>ce</w:t>
      </w:r>
      <w:r w:rsidRPr="005E677A">
        <w:t>rf</w:t>
      </w:r>
      <w:r>
        <w:t>s</w:t>
      </w:r>
      <w:r w:rsidRPr="005E677A">
        <w:t xml:space="preserve"> et qui justifie l'intervention ciblée</w:t>
      </w:r>
      <w:r w:rsidR="00636ECC">
        <w:t> :</w:t>
      </w:r>
    </w:p>
    <w:p w14:paraId="70C1E5AB" w14:textId="692B3003" w:rsidR="005E677A" w:rsidRDefault="00E54404" w:rsidP="00295263">
      <w:pPr>
        <w:pStyle w:val="Paragrdouble"/>
        <w:widowControl w:val="0"/>
        <w:numPr>
          <w:ilvl w:val="0"/>
          <w:numId w:val="13"/>
        </w:numPr>
        <w:spacing w:line="240" w:lineRule="auto"/>
        <w:ind w:left="1134" w:hanging="357"/>
      </w:pPr>
      <w:r>
        <w:t>Mise</w:t>
      </w:r>
      <w:r w:rsidR="00636ECC" w:rsidRPr="00636ECC">
        <w:t xml:space="preserve"> en péril de la biodiversité végétale et animale</w:t>
      </w:r>
      <w:r w:rsidR="00636ECC">
        <w:t>;</w:t>
      </w:r>
    </w:p>
    <w:p w14:paraId="342E3E35" w14:textId="31EA16FD" w:rsidR="00636ECC" w:rsidRDefault="00E54404" w:rsidP="00295263">
      <w:pPr>
        <w:pStyle w:val="Paragrdouble"/>
        <w:widowControl w:val="0"/>
        <w:numPr>
          <w:ilvl w:val="0"/>
          <w:numId w:val="13"/>
        </w:numPr>
        <w:spacing w:line="240" w:lineRule="auto"/>
        <w:ind w:left="1134" w:hanging="357"/>
      </w:pPr>
      <w:r w:rsidRPr="00636ECC">
        <w:t>Très</w:t>
      </w:r>
      <w:r w:rsidR="00636ECC" w:rsidRPr="00636ECC">
        <w:t xml:space="preserve"> faible régénérescence d</w:t>
      </w:r>
      <w:r w:rsidR="00636ECC">
        <w:t>es</w:t>
      </w:r>
      <w:r w:rsidR="00636ECC" w:rsidRPr="00636ECC">
        <w:t xml:space="preserve"> boisés</w:t>
      </w:r>
      <w:r w:rsidR="00636ECC">
        <w:t>;</w:t>
      </w:r>
    </w:p>
    <w:p w14:paraId="1E886BD7" w14:textId="7FDEFF38" w:rsidR="00636ECC" w:rsidRDefault="00E54404" w:rsidP="00295263">
      <w:pPr>
        <w:pStyle w:val="Paragrdouble"/>
        <w:widowControl w:val="0"/>
        <w:numPr>
          <w:ilvl w:val="0"/>
          <w:numId w:val="13"/>
        </w:numPr>
        <w:spacing w:line="240" w:lineRule="auto"/>
        <w:ind w:left="1134" w:hanging="357"/>
      </w:pPr>
      <w:r w:rsidRPr="00636ECC">
        <w:t>Plantations</w:t>
      </w:r>
      <w:r w:rsidR="00636ECC" w:rsidRPr="00636ECC">
        <w:t xml:space="preserve"> actuelle</w:t>
      </w:r>
      <w:r w:rsidR="00FA4CAB">
        <w:t>s</w:t>
      </w:r>
      <w:r w:rsidR="00636ECC" w:rsidRPr="00636ECC">
        <w:t xml:space="preserve"> et future</w:t>
      </w:r>
      <w:r w:rsidR="00FA4CAB">
        <w:t>s</w:t>
      </w:r>
      <w:r w:rsidR="00636ECC" w:rsidRPr="00636ECC">
        <w:t xml:space="preserve"> compromise</w:t>
      </w:r>
      <w:r w:rsidR="00FA4CAB">
        <w:t>s</w:t>
      </w:r>
      <w:r w:rsidR="00636ECC" w:rsidRPr="00636ECC">
        <w:t xml:space="preserve"> alors que la </w:t>
      </w:r>
      <w:r w:rsidR="00FA4CAB">
        <w:t>V</w:t>
      </w:r>
      <w:r w:rsidR="00636ECC" w:rsidRPr="00636ECC">
        <w:t>ille s'apprête à investir 15</w:t>
      </w:r>
      <w:r w:rsidR="00FA4CAB">
        <w:t>M$</w:t>
      </w:r>
      <w:r w:rsidR="00636ECC" w:rsidRPr="00636ECC">
        <w:t xml:space="preserve"> dans le verdissement et le reboisement du </w:t>
      </w:r>
      <w:r w:rsidR="00FA4CAB">
        <w:t>P</w:t>
      </w:r>
      <w:r w:rsidR="00636ECC" w:rsidRPr="00636ECC">
        <w:t>arc</w:t>
      </w:r>
      <w:r w:rsidR="00FA4CAB">
        <w:t>;</w:t>
      </w:r>
    </w:p>
    <w:p w14:paraId="401E0812" w14:textId="428B7432" w:rsidR="00636ECC" w:rsidRDefault="00E54404" w:rsidP="00295263">
      <w:pPr>
        <w:pStyle w:val="Paragrdouble"/>
        <w:widowControl w:val="0"/>
        <w:numPr>
          <w:ilvl w:val="0"/>
          <w:numId w:val="13"/>
        </w:numPr>
        <w:spacing w:line="240" w:lineRule="auto"/>
        <w:ind w:left="1134" w:hanging="357"/>
      </w:pPr>
      <w:r w:rsidRPr="00636ECC">
        <w:lastRenderedPageBreak/>
        <w:t>Accroissement</w:t>
      </w:r>
      <w:r w:rsidR="00636ECC" w:rsidRPr="00636ECC">
        <w:t xml:space="preserve"> des risques d'accident d'automobile alors qu'en 2019 le service </w:t>
      </w:r>
      <w:r w:rsidR="00FA4CAB">
        <w:t>9</w:t>
      </w:r>
      <w:r w:rsidR="00636ECC" w:rsidRPr="00636ECC">
        <w:t>1</w:t>
      </w:r>
      <w:r w:rsidR="00FA4CAB">
        <w:t>1 a</w:t>
      </w:r>
      <w:r w:rsidR="00636ECC" w:rsidRPr="00636ECC">
        <w:t xml:space="preserve"> reçu 38 appels relatifs à des accidents impliquant un cerf</w:t>
      </w:r>
      <w:r w:rsidR="00FA4CAB">
        <w:t>;</w:t>
      </w:r>
    </w:p>
    <w:p w14:paraId="0527959E" w14:textId="00165EC3" w:rsidR="00636ECC" w:rsidRDefault="00E54404" w:rsidP="00295263">
      <w:pPr>
        <w:pStyle w:val="Paragrdouble"/>
        <w:widowControl w:val="0"/>
        <w:numPr>
          <w:ilvl w:val="0"/>
          <w:numId w:val="13"/>
        </w:numPr>
        <w:spacing w:line="240" w:lineRule="auto"/>
        <w:ind w:left="1134" w:hanging="357"/>
      </w:pPr>
      <w:r w:rsidRPr="00636ECC">
        <w:t>Dommages</w:t>
      </w:r>
      <w:r w:rsidR="00636ECC" w:rsidRPr="00636ECC">
        <w:t xml:space="preserve"> au</w:t>
      </w:r>
      <w:r w:rsidR="00FA4CAB">
        <w:t>x</w:t>
      </w:r>
      <w:r w:rsidR="00636ECC" w:rsidRPr="00636ECC">
        <w:t xml:space="preserve"> propriété</w:t>
      </w:r>
      <w:r w:rsidR="00FA4CAB">
        <w:t>s</w:t>
      </w:r>
      <w:r w:rsidR="00636ECC" w:rsidRPr="00636ECC">
        <w:t xml:space="preserve"> </w:t>
      </w:r>
      <w:r w:rsidR="00FA4CAB">
        <w:t>(</w:t>
      </w:r>
      <w:r w:rsidR="00636ECC" w:rsidRPr="00636ECC">
        <w:t>14 plaintes de citoyens et 8 réclamations totalisant plus de 35</w:t>
      </w:r>
      <w:r w:rsidR="004D302E">
        <w:t> </w:t>
      </w:r>
      <w:r w:rsidR="00636ECC" w:rsidRPr="00636ECC">
        <w:t>000</w:t>
      </w:r>
      <w:r w:rsidR="004D302E">
        <w:t> </w:t>
      </w:r>
      <w:r w:rsidR="00636ECC" w:rsidRPr="00636ECC">
        <w:t>$ entre 201</w:t>
      </w:r>
      <w:r w:rsidR="00636ECC">
        <w:t>6</w:t>
      </w:r>
      <w:r w:rsidR="00636ECC" w:rsidRPr="00636ECC">
        <w:t xml:space="preserve"> </w:t>
      </w:r>
      <w:r w:rsidR="004D302E">
        <w:t>et</w:t>
      </w:r>
      <w:r w:rsidR="00636ECC" w:rsidRPr="00636ECC">
        <w:t xml:space="preserve"> 2020</w:t>
      </w:r>
      <w:r w:rsidR="00086C5D">
        <w:t>)</w:t>
      </w:r>
      <w:r w:rsidR="004D302E">
        <w:t>;</w:t>
      </w:r>
    </w:p>
    <w:p w14:paraId="716C2C55" w14:textId="2361EA00" w:rsidR="00636ECC" w:rsidRDefault="00E54404" w:rsidP="00295263">
      <w:pPr>
        <w:pStyle w:val="Paragrdouble"/>
        <w:widowControl w:val="0"/>
        <w:numPr>
          <w:ilvl w:val="0"/>
          <w:numId w:val="13"/>
        </w:numPr>
        <w:spacing w:line="240" w:lineRule="auto"/>
        <w:ind w:left="1134" w:hanging="357"/>
      </w:pPr>
      <w:r w:rsidRPr="00636ECC">
        <w:t>Danger</w:t>
      </w:r>
      <w:r w:rsidR="00636ECC" w:rsidRPr="00636ECC">
        <w:t xml:space="preserve"> pour la santé publique</w:t>
      </w:r>
      <w:r w:rsidR="004D302E">
        <w:t>,</w:t>
      </w:r>
      <w:r w:rsidR="00636ECC" w:rsidRPr="00636ECC">
        <w:t xml:space="preserve"> le </w:t>
      </w:r>
      <w:r w:rsidR="004D302E">
        <w:t>cer</w:t>
      </w:r>
      <w:r w:rsidR="00636ECC" w:rsidRPr="00636ECC">
        <w:t>f étant un h</w:t>
      </w:r>
      <w:r w:rsidR="004D302E">
        <w:t>ô</w:t>
      </w:r>
      <w:r w:rsidR="00636ECC" w:rsidRPr="00636ECC">
        <w:t>te de la tique à p</w:t>
      </w:r>
      <w:r w:rsidR="004D302E">
        <w:t>a</w:t>
      </w:r>
      <w:r w:rsidR="00636ECC" w:rsidRPr="00636ECC">
        <w:t>t</w:t>
      </w:r>
      <w:r w:rsidR="004D302E">
        <w:t>t</w:t>
      </w:r>
      <w:r w:rsidR="00636ECC" w:rsidRPr="00636ECC">
        <w:t>e</w:t>
      </w:r>
      <w:r w:rsidR="004D302E">
        <w:t>s</w:t>
      </w:r>
      <w:r w:rsidR="00636ECC" w:rsidRPr="00636ECC">
        <w:t xml:space="preserve"> noire</w:t>
      </w:r>
      <w:r w:rsidR="004D302E">
        <w:t>s,</w:t>
      </w:r>
      <w:r w:rsidR="00636ECC" w:rsidRPr="00636ECC">
        <w:t xml:space="preserve"> un vecteur de la bactérie causant la maladie de Lyme</w:t>
      </w:r>
      <w:r w:rsidR="004D302E">
        <w:t>.</w:t>
      </w:r>
    </w:p>
    <w:p w14:paraId="1492EA73" w14:textId="32914C02" w:rsidR="004D302E" w:rsidRDefault="006E5C48" w:rsidP="005A1070">
      <w:pPr>
        <w:pStyle w:val="Paragrsimple"/>
        <w:widowControl w:val="0"/>
      </w:pPr>
      <w:r w:rsidRPr="006E5C48">
        <w:t xml:space="preserve">Le </w:t>
      </w:r>
      <w:r>
        <w:t>P</w:t>
      </w:r>
      <w:r w:rsidRPr="006E5C48">
        <w:t xml:space="preserve">lan souligne également qu'une densité élevée de </w:t>
      </w:r>
      <w:r>
        <w:t>ce</w:t>
      </w:r>
      <w:r w:rsidRPr="006E5C48">
        <w:t>rf</w:t>
      </w:r>
      <w:r>
        <w:t>s</w:t>
      </w:r>
      <w:r w:rsidRPr="006E5C48">
        <w:t xml:space="preserve"> nui</w:t>
      </w:r>
      <w:r w:rsidR="00721C7F">
        <w:t>t</w:t>
      </w:r>
      <w:r w:rsidRPr="006E5C48">
        <w:t xml:space="preserve"> à </w:t>
      </w:r>
      <w:r w:rsidR="00721C7F">
        <w:t xml:space="preserve">leur </w:t>
      </w:r>
      <w:r w:rsidRPr="006E5C48">
        <w:t>propre espace</w:t>
      </w:r>
      <w:r>
        <w:t xml:space="preserve">. </w:t>
      </w:r>
      <w:r w:rsidRPr="006E5C48">
        <w:t>Le</w:t>
      </w:r>
      <w:r>
        <w:t xml:space="preserve"> </w:t>
      </w:r>
      <w:r w:rsidRPr="006E5C48">
        <w:t>manque de nourriture les affaibli</w:t>
      </w:r>
      <w:r>
        <w:t>t</w:t>
      </w:r>
      <w:r w:rsidRPr="006E5C48">
        <w:t xml:space="preserve"> et peut même entraîner leur mort</w:t>
      </w:r>
      <w:r>
        <w:t>.</w:t>
      </w:r>
    </w:p>
    <w:p w14:paraId="0402A0E2" w14:textId="561A3EAB" w:rsidR="006E5C48" w:rsidRDefault="003C252A" w:rsidP="005A1070">
      <w:pPr>
        <w:pStyle w:val="Paragrsimple"/>
        <w:widowControl w:val="0"/>
      </w:pPr>
      <w:r w:rsidRPr="003C252A">
        <w:t>Par ailleurs</w:t>
      </w:r>
      <w:r>
        <w:t>,</w:t>
      </w:r>
      <w:r w:rsidRPr="003C252A">
        <w:t xml:space="preserve"> il n'est pas </w:t>
      </w:r>
      <w:r>
        <w:t>s</w:t>
      </w:r>
      <w:r w:rsidRPr="003C252A">
        <w:t>ans intérêt de souligner que S</w:t>
      </w:r>
      <w:r>
        <w:t>S</w:t>
      </w:r>
      <w:r w:rsidRPr="003C252A">
        <w:t>A reconnaît les conséquence</w:t>
      </w:r>
      <w:r>
        <w:t>s</w:t>
      </w:r>
      <w:r w:rsidRPr="003C252A">
        <w:t xml:space="preserve"> néfaste</w:t>
      </w:r>
      <w:r>
        <w:t>s</w:t>
      </w:r>
      <w:r w:rsidRPr="003C252A">
        <w:t xml:space="preserve"> d'une surpopulation de </w:t>
      </w:r>
      <w:r>
        <w:t>ce</w:t>
      </w:r>
      <w:r w:rsidRPr="003C252A">
        <w:t>rf</w:t>
      </w:r>
      <w:r>
        <w:t>s</w:t>
      </w:r>
      <w:r w:rsidR="00086C5D">
        <w:t>.</w:t>
      </w:r>
      <w:r w:rsidRPr="003C252A">
        <w:t xml:space="preserve"> </w:t>
      </w:r>
      <w:r w:rsidR="00086C5D" w:rsidRPr="003C252A">
        <w:t>D</w:t>
      </w:r>
      <w:r w:rsidRPr="003C252A">
        <w:t>ans</w:t>
      </w:r>
      <w:r w:rsidR="00086C5D">
        <w:t xml:space="preserve"> </w:t>
      </w:r>
      <w:r w:rsidRPr="003C252A">
        <w:t xml:space="preserve">la proposition qu'il soumet le 16 novembre 2020 à la </w:t>
      </w:r>
      <w:r>
        <w:t>V</w:t>
      </w:r>
      <w:r w:rsidRPr="003C252A">
        <w:t>ille pour relocaliser les cerfs</w:t>
      </w:r>
      <w:r w:rsidR="00C24B48" w:rsidRPr="006D168A">
        <w:rPr>
          <w:vertAlign w:val="superscript"/>
        </w:rPr>
        <w:footnoteReference w:id="133"/>
      </w:r>
      <w:r w:rsidR="00AC2A54" w:rsidRPr="006D168A">
        <w:rPr>
          <w:vertAlign w:val="superscript"/>
        </w:rPr>
        <w:t>.</w:t>
      </w:r>
      <w:r w:rsidR="006D168A">
        <w:t>,il</w:t>
      </w:r>
      <w:r w:rsidR="00AC2A54">
        <w:t xml:space="preserve"> </w:t>
      </w:r>
      <w:r w:rsidR="00AC2A54" w:rsidRPr="00AC2A54">
        <w:t>énumère</w:t>
      </w:r>
      <w:r w:rsidR="0099601F">
        <w:t>,</w:t>
      </w:r>
      <w:r w:rsidR="00AC2A54" w:rsidRPr="00AC2A54">
        <w:t xml:space="preserve"> en substance</w:t>
      </w:r>
      <w:r w:rsidR="0099601F">
        <w:t>,</w:t>
      </w:r>
      <w:r w:rsidR="00AC2A54" w:rsidRPr="00AC2A54">
        <w:t xml:space="preserve"> les mêmes impacts négatifs résulta</w:t>
      </w:r>
      <w:r w:rsidR="0099601F">
        <w:t>n</w:t>
      </w:r>
      <w:r w:rsidR="00AC2A54" w:rsidRPr="00AC2A54">
        <w:t xml:space="preserve">t d'une trop grande </w:t>
      </w:r>
      <w:r w:rsidR="009F7BEA">
        <w:t>d</w:t>
      </w:r>
      <w:r w:rsidR="00AC2A54" w:rsidRPr="00AC2A54">
        <w:t xml:space="preserve">ensité de </w:t>
      </w:r>
      <w:r w:rsidR="00AC2A54">
        <w:t>cerfs</w:t>
      </w:r>
      <w:r w:rsidR="009F7BEA">
        <w:t>.</w:t>
      </w:r>
    </w:p>
    <w:p w14:paraId="06967758" w14:textId="1C5FE82F" w:rsidR="009F7BEA" w:rsidRDefault="009F7BEA" w:rsidP="005A1070">
      <w:pPr>
        <w:pStyle w:val="Paragrsimple"/>
        <w:widowControl w:val="0"/>
      </w:pPr>
      <w:r w:rsidRPr="009F7BEA">
        <w:t>Enfin</w:t>
      </w:r>
      <w:r w:rsidR="00C361E1">
        <w:t>,</w:t>
      </w:r>
      <w:r w:rsidRPr="009F7BEA">
        <w:t xml:space="preserve"> dans son rapport publié en novembre 2021</w:t>
      </w:r>
      <w:r w:rsidR="00C361E1">
        <w:t>,</w:t>
      </w:r>
      <w:r w:rsidRPr="009F7BEA">
        <w:t xml:space="preserve"> la </w:t>
      </w:r>
      <w:r w:rsidR="00C361E1">
        <w:t>T</w:t>
      </w:r>
      <w:r w:rsidRPr="009F7BEA">
        <w:t>able formule les mêmes constat</w:t>
      </w:r>
      <w:r w:rsidR="00C361E1">
        <w:t>s :</w:t>
      </w:r>
      <w:r w:rsidRPr="009F7BEA">
        <w:t xml:space="preserve"> la population de </w:t>
      </w:r>
      <w:r w:rsidR="00C361E1">
        <w:t>cerfs</w:t>
      </w:r>
      <w:r w:rsidRPr="009F7BEA">
        <w:t xml:space="preserve"> dans le </w:t>
      </w:r>
      <w:r w:rsidR="00C361E1">
        <w:t>P</w:t>
      </w:r>
      <w:r w:rsidRPr="009F7BEA">
        <w:t xml:space="preserve">arc est en croissance et a très largement dépassé la capacité de support du </w:t>
      </w:r>
      <w:r w:rsidR="00C361E1">
        <w:t>P</w:t>
      </w:r>
      <w:r w:rsidRPr="009F7BEA">
        <w:t>arc</w:t>
      </w:r>
      <w:r w:rsidR="00C361E1">
        <w:t>,</w:t>
      </w:r>
      <w:r w:rsidRPr="009F7BEA">
        <w:t xml:space="preserve"> au détriment de l'habitat même du cervidé</w:t>
      </w:r>
      <w:r w:rsidR="00086C5D">
        <w:t>,</w:t>
      </w:r>
      <w:r w:rsidRPr="009F7BEA">
        <w:t xml:space="preserve"> de la forêt qui peine à se régénérer</w:t>
      </w:r>
      <w:r w:rsidR="00086C5D">
        <w:t>,</w:t>
      </w:r>
      <w:r w:rsidRPr="009F7BEA">
        <w:t xml:space="preserve"> de la biodiversité et de l'équilibre écologique du </w:t>
      </w:r>
      <w:r w:rsidR="00C361E1">
        <w:t>P</w:t>
      </w:r>
      <w:r w:rsidRPr="009F7BEA">
        <w:t>arc</w:t>
      </w:r>
      <w:r w:rsidR="00C361E1">
        <w:t>.</w:t>
      </w:r>
      <w:r w:rsidRPr="009F7BEA">
        <w:t xml:space="preserve"> </w:t>
      </w:r>
      <w:r w:rsidR="00C361E1" w:rsidRPr="009F7BEA">
        <w:t>S</w:t>
      </w:r>
      <w:r w:rsidRPr="009F7BEA">
        <w:t>a</w:t>
      </w:r>
      <w:r w:rsidR="00C361E1">
        <w:t xml:space="preserve"> </w:t>
      </w:r>
      <w:r w:rsidRPr="009F7BEA">
        <w:t>conclusion est limpide</w:t>
      </w:r>
      <w:r w:rsidR="00C361E1">
        <w:t> :</w:t>
      </w:r>
    </w:p>
    <w:p w14:paraId="189A0E11" w14:textId="6D572CF6" w:rsidR="00FA7DC3" w:rsidRDefault="00A90E18" w:rsidP="00477D5C">
      <w:pPr>
        <w:pStyle w:val="Citationenretrait"/>
        <w:widowControl w:val="0"/>
      </w:pPr>
      <w:r>
        <w:t>« P</w:t>
      </w:r>
      <w:r w:rsidRPr="00A90E18">
        <w:t xml:space="preserve">our les membres de la </w:t>
      </w:r>
      <w:r w:rsidR="005916EE">
        <w:t>T</w:t>
      </w:r>
      <w:r w:rsidRPr="00A90E18">
        <w:t>able</w:t>
      </w:r>
      <w:r w:rsidR="005916EE">
        <w:t>,</w:t>
      </w:r>
      <w:r w:rsidRPr="00A90E18">
        <w:t xml:space="preserve"> les impacts de la </w:t>
      </w:r>
      <w:r w:rsidR="005916EE">
        <w:t>sur</w:t>
      </w:r>
      <w:r w:rsidRPr="00A90E18">
        <w:t xml:space="preserve">population de </w:t>
      </w:r>
      <w:r w:rsidR="005916EE">
        <w:t>c</w:t>
      </w:r>
      <w:r w:rsidRPr="00A90E18">
        <w:t>erf</w:t>
      </w:r>
      <w:r w:rsidR="005916EE">
        <w:t>s</w:t>
      </w:r>
      <w:r w:rsidRPr="00A90E18">
        <w:t xml:space="preserve"> ne font aucun doute</w:t>
      </w:r>
      <w:r w:rsidR="005916EE">
        <w:t>,</w:t>
      </w:r>
      <w:r w:rsidRPr="00A90E18">
        <w:t xml:space="preserve"> tout comme la </w:t>
      </w:r>
      <w:r w:rsidRPr="00E54404">
        <w:t>nécessité</w:t>
      </w:r>
      <w:r w:rsidRPr="00A90E18">
        <w:t xml:space="preserve"> de réduire de façon importante</w:t>
      </w:r>
      <w:r w:rsidR="005916EE">
        <w:t>,</w:t>
      </w:r>
      <w:r w:rsidRPr="00A90E18">
        <w:t xml:space="preserve"> urgente et durable les effets associés à </w:t>
      </w:r>
      <w:r w:rsidRPr="0066016B">
        <w:t>leur</w:t>
      </w:r>
      <w:r w:rsidRPr="00A90E18">
        <w:t xml:space="preserve"> présence dans le parc</w:t>
      </w:r>
      <w:r w:rsidR="005916EE">
        <w:t> »</w:t>
      </w:r>
      <w:r w:rsidR="00B93BD2">
        <w:rPr>
          <w:rStyle w:val="Appelnotedebasdep"/>
        </w:rPr>
        <w:footnoteReference w:id="134"/>
      </w:r>
      <w:r w:rsidR="00434384">
        <w:t>.</w:t>
      </w:r>
    </w:p>
    <w:p w14:paraId="784E8321" w14:textId="327CE59E" w:rsidR="00B05B89" w:rsidRPr="00B65D63" w:rsidRDefault="00B05B89" w:rsidP="00F13839">
      <w:pPr>
        <w:pStyle w:val="Titre5"/>
      </w:pPr>
      <w:bookmarkStart w:id="68" w:name="_Toc144367249"/>
      <w:r w:rsidRPr="00B65D63">
        <w:t>L</w:t>
      </w:r>
      <w:r w:rsidR="00721C7F">
        <w:t>es solutions envisagées</w:t>
      </w:r>
      <w:bookmarkEnd w:id="68"/>
    </w:p>
    <w:p w14:paraId="37420824" w14:textId="794F6B51" w:rsidR="005D5C37" w:rsidRDefault="006F768A" w:rsidP="005A1070">
      <w:pPr>
        <w:pStyle w:val="Paragrsimple"/>
        <w:widowControl w:val="0"/>
      </w:pPr>
      <w:r>
        <w:t>Dans le Plan, la Ville</w:t>
      </w:r>
      <w:r w:rsidR="000F450B" w:rsidRPr="000F450B">
        <w:t xml:space="preserve"> analyse les méthodes</w:t>
      </w:r>
      <w:r w:rsidR="00721C7F">
        <w:t xml:space="preserve"> de gestion</w:t>
      </w:r>
      <w:r w:rsidR="000F450B" w:rsidRPr="000F450B">
        <w:t xml:space="preserve"> possibles</w:t>
      </w:r>
      <w:r w:rsidR="00600E26" w:rsidRPr="006D168A">
        <w:rPr>
          <w:vertAlign w:val="superscript"/>
        </w:rPr>
        <w:footnoteReference w:id="135"/>
      </w:r>
      <w:r w:rsidR="006D168A">
        <w:t xml:space="preserve"> </w:t>
      </w:r>
      <w:r w:rsidR="000F450B" w:rsidRPr="000F450B">
        <w:t>et les inconvénients qui s'y rattachent</w:t>
      </w:r>
      <w:r w:rsidR="00B9069F">
        <w:t>.</w:t>
      </w:r>
    </w:p>
    <w:p w14:paraId="6E888C4A" w14:textId="66252552" w:rsidR="00704F9F" w:rsidRDefault="00B9069F" w:rsidP="00B54C4C">
      <w:pPr>
        <w:pStyle w:val="Paragrdouble"/>
        <w:widowControl w:val="0"/>
        <w:numPr>
          <w:ilvl w:val="0"/>
          <w:numId w:val="14"/>
        </w:numPr>
        <w:spacing w:line="240" w:lineRule="auto"/>
        <w:ind w:left="1088" w:hanging="357"/>
      </w:pPr>
      <w:r>
        <w:t xml:space="preserve">Chasse contrôlée : elle </w:t>
      </w:r>
      <w:r w:rsidRPr="00B9069F">
        <w:t xml:space="preserve">n'est pas permise dans le </w:t>
      </w:r>
      <w:r w:rsidR="00704F9F">
        <w:t>P</w:t>
      </w:r>
      <w:r w:rsidRPr="00B9069F">
        <w:t>arc et présente d'importants enjeux de sécurité</w:t>
      </w:r>
      <w:r w:rsidR="00704F9F">
        <w:t>.</w:t>
      </w:r>
    </w:p>
    <w:p w14:paraId="3C5AF0AF" w14:textId="304C1FCD" w:rsidR="00704F9F" w:rsidRDefault="00704F9F" w:rsidP="00B54C4C">
      <w:pPr>
        <w:pStyle w:val="Paragrdouble"/>
        <w:widowControl w:val="0"/>
        <w:numPr>
          <w:ilvl w:val="0"/>
          <w:numId w:val="14"/>
        </w:numPr>
        <w:spacing w:line="240" w:lineRule="auto"/>
        <w:ind w:left="1088" w:hanging="357"/>
      </w:pPr>
      <w:r>
        <w:t>D</w:t>
      </w:r>
      <w:r w:rsidR="00B9069F" w:rsidRPr="00B9069F">
        <w:t xml:space="preserve">éplacement au </w:t>
      </w:r>
      <w:r w:rsidR="00D53A23">
        <w:t>boisé Du Tremblay</w:t>
      </w:r>
      <w:r w:rsidR="00B9069F" w:rsidRPr="00B9069F">
        <w:t xml:space="preserve"> avec pression de chasse supplémentaire alors que la chasse</w:t>
      </w:r>
      <w:r>
        <w:t xml:space="preserve"> y</w:t>
      </w:r>
      <w:r w:rsidR="00B9069F" w:rsidRPr="00B9069F">
        <w:t xml:space="preserve"> est permise</w:t>
      </w:r>
      <w:r>
        <w:t> :</w:t>
      </w:r>
      <w:r w:rsidR="00B9069F" w:rsidRPr="00B9069F">
        <w:t xml:space="preserve"> stress sur </w:t>
      </w:r>
      <w:r>
        <w:t>l</w:t>
      </w:r>
      <w:r w:rsidR="00B9069F" w:rsidRPr="00B9069F">
        <w:t xml:space="preserve">es bêtes au moment de la capture et du transport </w:t>
      </w:r>
      <w:r>
        <w:t>et</w:t>
      </w:r>
      <w:r w:rsidR="00B9069F" w:rsidRPr="00B9069F">
        <w:t xml:space="preserve"> risque de retour des cerf</w:t>
      </w:r>
      <w:r>
        <w:t>s.</w:t>
      </w:r>
    </w:p>
    <w:p w14:paraId="14770A25" w14:textId="4B3DDDFF" w:rsidR="00B9069F" w:rsidRDefault="00704F9F" w:rsidP="00B54C4C">
      <w:pPr>
        <w:pStyle w:val="Paragrdouble"/>
        <w:widowControl w:val="0"/>
        <w:numPr>
          <w:ilvl w:val="0"/>
          <w:numId w:val="14"/>
        </w:numPr>
        <w:spacing w:line="240" w:lineRule="auto"/>
        <w:ind w:left="1088" w:hanging="357"/>
      </w:pPr>
      <w:r>
        <w:t>D</w:t>
      </w:r>
      <w:r w:rsidR="00B9069F" w:rsidRPr="00B9069F">
        <w:t xml:space="preserve">éplacement dans les </w:t>
      </w:r>
      <w:r w:rsidRPr="00B9069F">
        <w:t>Laurentides</w:t>
      </w:r>
      <w:r>
        <w:t> :</w:t>
      </w:r>
      <w:r w:rsidR="00B9069F" w:rsidRPr="00B9069F">
        <w:t xml:space="preserve"> stress accru des bêtes au moment de la capture et du transport pouva</w:t>
      </w:r>
      <w:r>
        <w:t>n</w:t>
      </w:r>
      <w:r w:rsidR="00B9069F" w:rsidRPr="00B9069F">
        <w:t>t mener à la mort et risque d'y transporter des maladies</w:t>
      </w:r>
      <w:r w:rsidR="00B577B2">
        <w:t>.</w:t>
      </w:r>
    </w:p>
    <w:p w14:paraId="5EC5F2F3" w14:textId="4F519D42" w:rsidR="00B9069F" w:rsidRDefault="00293629" w:rsidP="005A1070">
      <w:pPr>
        <w:pStyle w:val="Paragrsimple"/>
        <w:widowControl w:val="0"/>
      </w:pPr>
      <w:r w:rsidRPr="00A22A6C">
        <w:lastRenderedPageBreak/>
        <w:t>F</w:t>
      </w:r>
      <w:r w:rsidR="00A22A6C" w:rsidRPr="00A22A6C">
        <w:t>inalement</w:t>
      </w:r>
      <w:r>
        <w:t>,</w:t>
      </w:r>
      <w:r w:rsidR="00A22A6C" w:rsidRPr="00A22A6C">
        <w:t xml:space="preserve"> la </w:t>
      </w:r>
      <w:r>
        <w:t>V</w:t>
      </w:r>
      <w:r w:rsidR="00A22A6C" w:rsidRPr="00A22A6C">
        <w:t>ille retient la méthode de capture</w:t>
      </w:r>
      <w:r w:rsidR="00721C7F">
        <w:t>-</w:t>
      </w:r>
      <w:r w:rsidR="00A22A6C" w:rsidRPr="00A22A6C">
        <w:t xml:space="preserve">euthanasie puisque c'est </w:t>
      </w:r>
      <w:r w:rsidR="00721C7F">
        <w:t>celle</w:t>
      </w:r>
      <w:r w:rsidR="00A22A6C" w:rsidRPr="00A22A6C">
        <w:t xml:space="preserve"> qui respecte le plus le bien-être animal et présente </w:t>
      </w:r>
      <w:r>
        <w:t xml:space="preserve">le </w:t>
      </w:r>
      <w:r w:rsidR="00A22A6C" w:rsidRPr="00A22A6C">
        <w:t>moins d'enjeux logistique</w:t>
      </w:r>
      <w:r>
        <w:t>s</w:t>
      </w:r>
      <w:r w:rsidR="00A22A6C" w:rsidRPr="00A22A6C">
        <w:t xml:space="preserve"> et de sécurité</w:t>
      </w:r>
      <w:r w:rsidRPr="00BF2E78">
        <w:rPr>
          <w:vertAlign w:val="superscript"/>
        </w:rPr>
        <w:footnoteReference w:id="136"/>
      </w:r>
      <w:r w:rsidR="00BF2E78">
        <w:t xml:space="preserve">. </w:t>
      </w:r>
      <w:r w:rsidRPr="00A22A6C">
        <w:t>L</w:t>
      </w:r>
      <w:r w:rsidR="00A22A6C" w:rsidRPr="00A22A6C">
        <w:t>e</w:t>
      </w:r>
      <w:r>
        <w:t xml:space="preserve"> 1</w:t>
      </w:r>
      <w:r w:rsidRPr="00AD123B">
        <w:t>er</w:t>
      </w:r>
      <w:r w:rsidR="00A22A6C" w:rsidRPr="00A22A6C">
        <w:t xml:space="preserve"> novembre</w:t>
      </w:r>
      <w:r>
        <w:t>,</w:t>
      </w:r>
      <w:r w:rsidR="00A22A6C" w:rsidRPr="00A22A6C">
        <w:t xml:space="preserve"> le </w:t>
      </w:r>
      <w:r w:rsidRPr="00A22A6C">
        <w:t>MF</w:t>
      </w:r>
      <w:r>
        <w:t>F</w:t>
      </w:r>
      <w:r w:rsidRPr="00A22A6C">
        <w:t xml:space="preserve">P </w:t>
      </w:r>
      <w:r w:rsidR="00A22A6C" w:rsidRPr="00A22A6C">
        <w:t xml:space="preserve">lui délivre le permis requis et la </w:t>
      </w:r>
      <w:r>
        <w:t>V</w:t>
      </w:r>
      <w:r w:rsidR="00A22A6C" w:rsidRPr="00A22A6C">
        <w:t xml:space="preserve">ille rend public le </w:t>
      </w:r>
      <w:r>
        <w:t>P</w:t>
      </w:r>
      <w:r w:rsidR="00A22A6C" w:rsidRPr="00A22A6C">
        <w:t>lan</w:t>
      </w:r>
      <w:r>
        <w:t>.</w:t>
      </w:r>
    </w:p>
    <w:p w14:paraId="76CE0245" w14:textId="239DBFAB" w:rsidR="00293629" w:rsidRDefault="00412182" w:rsidP="005A1070">
      <w:pPr>
        <w:pStyle w:val="Paragrsimple"/>
        <w:widowControl w:val="0"/>
      </w:pPr>
      <w:r w:rsidRPr="00412182">
        <w:t>Toutefois</w:t>
      </w:r>
      <w:r w:rsidR="00672C17">
        <w:t>,</w:t>
      </w:r>
      <w:r w:rsidRPr="00412182">
        <w:t xml:space="preserve"> le 16 novembre</w:t>
      </w:r>
      <w:r w:rsidR="00555257">
        <w:t>,</w:t>
      </w:r>
      <w:r w:rsidRPr="00412182">
        <w:t xml:space="preserve"> </w:t>
      </w:r>
      <w:r w:rsidR="00672C17" w:rsidRPr="00412182">
        <w:t xml:space="preserve">SSA </w:t>
      </w:r>
      <w:r w:rsidRPr="00412182">
        <w:t xml:space="preserve">dépose à la </w:t>
      </w:r>
      <w:r w:rsidR="004144B7">
        <w:t>V</w:t>
      </w:r>
      <w:r w:rsidRPr="00412182">
        <w:t>ille une proposition alternative</w:t>
      </w:r>
      <w:r w:rsidR="004144B7">
        <w:t>.</w:t>
      </w:r>
      <w:r w:rsidRPr="00412182">
        <w:t xml:space="preserve"> </w:t>
      </w:r>
      <w:r w:rsidR="004144B7" w:rsidRPr="00412182">
        <w:t>E</w:t>
      </w:r>
      <w:r w:rsidRPr="00412182">
        <w:t>lle</w:t>
      </w:r>
      <w:r w:rsidR="004144B7">
        <w:t xml:space="preserve"> </w:t>
      </w:r>
      <w:r w:rsidRPr="00412182">
        <w:t xml:space="preserve">offre de prendre </w:t>
      </w:r>
      <w:r w:rsidR="008D2351">
        <w:t xml:space="preserve">en </w:t>
      </w:r>
      <w:r w:rsidRPr="00412182">
        <w:t xml:space="preserve">charge une opération visant à relocaliser 15 cerfs </w:t>
      </w:r>
      <w:r w:rsidR="00972A99">
        <w:t xml:space="preserve">dans </w:t>
      </w:r>
      <w:r w:rsidRPr="00412182">
        <w:t>des refuges de la faune</w:t>
      </w:r>
      <w:r w:rsidR="004144B7">
        <w:t>,</w:t>
      </w:r>
      <w:r w:rsidRPr="00412182">
        <w:t xml:space="preserve"> prêts </w:t>
      </w:r>
      <w:r w:rsidR="004144B7">
        <w:t xml:space="preserve">à les </w:t>
      </w:r>
      <w:r w:rsidRPr="00412182">
        <w:t>accueillir</w:t>
      </w:r>
      <w:r w:rsidR="00266DAC">
        <w:rPr>
          <w:rStyle w:val="Appelnotedebasdep"/>
        </w:rPr>
        <w:footnoteReference w:id="137"/>
      </w:r>
      <w:r w:rsidR="004144B7">
        <w:t>.</w:t>
      </w:r>
      <w:r w:rsidRPr="00412182">
        <w:t xml:space="preserve"> </w:t>
      </w:r>
      <w:r w:rsidR="004144B7" w:rsidRPr="00412182">
        <w:t>L</w:t>
      </w:r>
      <w:r w:rsidRPr="00412182">
        <w:t>a</w:t>
      </w:r>
      <w:r w:rsidR="004144B7">
        <w:t xml:space="preserve"> V</w:t>
      </w:r>
      <w:r w:rsidRPr="00412182">
        <w:t>ille accepte alors la proposition et suspend son projet de capture</w:t>
      </w:r>
      <w:r w:rsidR="004144B7">
        <w:t>-</w:t>
      </w:r>
      <w:r w:rsidRPr="00412182">
        <w:t>euthanasie sur le point de débuter</w:t>
      </w:r>
      <w:r w:rsidR="004144B7">
        <w:t>.</w:t>
      </w:r>
    </w:p>
    <w:p w14:paraId="52D4A923" w14:textId="2BA76662" w:rsidR="004144B7" w:rsidRDefault="005F60E6" w:rsidP="005A1070">
      <w:pPr>
        <w:pStyle w:val="Paragrsimple"/>
        <w:widowControl w:val="0"/>
      </w:pPr>
      <w:r w:rsidRPr="00266DAC">
        <w:t>Cependant</w:t>
      </w:r>
      <w:r>
        <w:t>,</w:t>
      </w:r>
      <w:r w:rsidRPr="00266DAC">
        <w:t xml:space="preserve"> le projet de SSA prend fin abruptement le 18 février 2021 alors que le </w:t>
      </w:r>
      <w:r w:rsidR="00373D79">
        <w:t>CÉUA</w:t>
      </w:r>
      <w:r w:rsidRPr="00266DAC">
        <w:t xml:space="preserve"> refuse d'émettre le certificat de bons soins des animaux</w:t>
      </w:r>
      <w:r>
        <w:rPr>
          <w:rStyle w:val="Appelnotedebasdep"/>
        </w:rPr>
        <w:footnoteReference w:id="138"/>
      </w:r>
      <w:r>
        <w:t>,</w:t>
      </w:r>
      <w:r w:rsidRPr="00266DAC">
        <w:t xml:space="preserve"> exigence préalable </w:t>
      </w:r>
      <w:r>
        <w:t xml:space="preserve">à </w:t>
      </w:r>
      <w:r w:rsidRPr="00266DAC">
        <w:t>la délivrance d'un permis de relocalisation par le M</w:t>
      </w:r>
      <w:r>
        <w:t>F</w:t>
      </w:r>
      <w:r w:rsidRPr="00266DAC">
        <w:t>FP</w:t>
      </w:r>
      <w:r>
        <w:t>.</w:t>
      </w:r>
      <w:r w:rsidRPr="00266DAC">
        <w:t xml:space="preserve"> Le</w:t>
      </w:r>
      <w:r>
        <w:t xml:space="preserve"> </w:t>
      </w:r>
      <w:r w:rsidRPr="00266DAC">
        <w:t>rapport d</w:t>
      </w:r>
      <w:r w:rsidR="00086C5D">
        <w:t>u</w:t>
      </w:r>
      <w:r w:rsidRPr="00266DAC">
        <w:t xml:space="preserve"> </w:t>
      </w:r>
      <w:r w:rsidR="00373D79">
        <w:t>CÉUA</w:t>
      </w:r>
      <w:r w:rsidRPr="00266DAC">
        <w:t xml:space="preserve"> fait </w:t>
      </w:r>
      <w:r>
        <w:t xml:space="preserve">état </w:t>
      </w:r>
      <w:r w:rsidRPr="00266DAC">
        <w:t>de nombreux risques associés au projet pour justifier le refus</w:t>
      </w:r>
      <w:r>
        <w:t>.</w:t>
      </w:r>
      <w:r w:rsidRPr="00266DAC">
        <w:t xml:space="preserve"> Il</w:t>
      </w:r>
      <w:r>
        <w:t xml:space="preserve"> </w:t>
      </w:r>
      <w:r w:rsidRPr="00266DAC">
        <w:t>souligne</w:t>
      </w:r>
      <w:r>
        <w:t>,</w:t>
      </w:r>
      <w:r w:rsidRPr="00266DAC">
        <w:t xml:space="preserve"> entre autres</w:t>
      </w:r>
      <w:r>
        <w:t>,</w:t>
      </w:r>
      <w:r w:rsidRPr="00266DAC">
        <w:t xml:space="preserve"> </w:t>
      </w:r>
      <w:r>
        <w:t>« </w:t>
      </w:r>
      <w:r w:rsidRPr="00266DAC">
        <w:t xml:space="preserve">le stress et </w:t>
      </w:r>
      <w:r w:rsidR="00086C5D">
        <w:t xml:space="preserve">les </w:t>
      </w:r>
      <w:r w:rsidRPr="00266DAC">
        <w:t>souffrance</w:t>
      </w:r>
      <w:r>
        <w:t>s</w:t>
      </w:r>
      <w:r w:rsidRPr="00266DAC">
        <w:t xml:space="preserve"> que vont donc subir les animaux </w:t>
      </w:r>
      <w:r>
        <w:t xml:space="preserve">vont </w:t>
      </w:r>
      <w:r w:rsidRPr="00266DAC">
        <w:t>être très élevés</w:t>
      </w:r>
      <w:r w:rsidR="00086C5D">
        <w:t>,</w:t>
      </w:r>
      <w:r w:rsidRPr="00266DAC">
        <w:t xml:space="preserve"> probablement au point de causer des blessures graves</w:t>
      </w:r>
      <w:r>
        <w:t>,</w:t>
      </w:r>
      <w:r w:rsidRPr="00266DAC">
        <w:t xml:space="preserve"> voire mortelles</w:t>
      </w:r>
      <w:r>
        <w:t> ».</w:t>
      </w:r>
    </w:p>
    <w:p w14:paraId="5336973F" w14:textId="4A70B09E" w:rsidR="005F60E6" w:rsidRDefault="00147786" w:rsidP="005A1070">
      <w:pPr>
        <w:pStyle w:val="Paragrsimple"/>
        <w:widowControl w:val="0"/>
      </w:pPr>
      <w:r w:rsidRPr="00147786">
        <w:t>Au même moment</w:t>
      </w:r>
      <w:r w:rsidR="0015108E">
        <w:t>,</w:t>
      </w:r>
      <w:r w:rsidRPr="00147786">
        <w:t xml:space="preserve"> la </w:t>
      </w:r>
      <w:r w:rsidR="0015108E">
        <w:t>V</w:t>
      </w:r>
      <w:r w:rsidRPr="00147786">
        <w:t xml:space="preserve">ille apprend également que l'inventaire aérien conduit par le </w:t>
      </w:r>
      <w:r w:rsidR="0015108E" w:rsidRPr="00147786">
        <w:t>MF</w:t>
      </w:r>
      <w:r w:rsidR="0015108E">
        <w:t>FP</w:t>
      </w:r>
      <w:r w:rsidR="0015108E" w:rsidRPr="00147786">
        <w:t xml:space="preserve"> </w:t>
      </w:r>
      <w:r w:rsidRPr="00147786">
        <w:t>d</w:t>
      </w:r>
      <w:r w:rsidR="0015108E">
        <w:t>é</w:t>
      </w:r>
      <w:r w:rsidRPr="00147786">
        <w:t xml:space="preserve">nombre 72 cerfs dans le </w:t>
      </w:r>
      <w:r w:rsidR="0015108E">
        <w:t>P</w:t>
      </w:r>
      <w:r w:rsidRPr="00147786">
        <w:t>arc</w:t>
      </w:r>
      <w:r w:rsidR="0015108E" w:rsidRPr="00086C5D">
        <w:rPr>
          <w:vertAlign w:val="superscript"/>
        </w:rPr>
        <w:footnoteReference w:id="139"/>
      </w:r>
      <w:r w:rsidRPr="00086C5D">
        <w:rPr>
          <w:vertAlign w:val="superscript"/>
        </w:rPr>
        <w:t xml:space="preserve"> </w:t>
      </w:r>
      <w:r w:rsidRPr="00147786">
        <w:t>soit près du double par rapport à l'inventaire précédent</w:t>
      </w:r>
      <w:r w:rsidR="0015108E">
        <w:t>.</w:t>
      </w:r>
      <w:r w:rsidRPr="00147786">
        <w:t xml:space="preserve"> C'est pourquoi</w:t>
      </w:r>
      <w:r w:rsidR="009153E3">
        <w:t>,</w:t>
      </w:r>
      <w:r w:rsidRPr="00147786">
        <w:t xml:space="preserve"> le 29 mars 2021</w:t>
      </w:r>
      <w:r w:rsidR="009153E3">
        <w:t>,</w:t>
      </w:r>
      <w:r w:rsidRPr="00147786">
        <w:t xml:space="preserve"> </w:t>
      </w:r>
      <w:r w:rsidR="009153E3">
        <w:t>elle</w:t>
      </w:r>
      <w:r w:rsidRPr="00147786">
        <w:t xml:space="preserve"> annonce qu'elle souhaite prendre un temps de réflexion pour identifier les meilleures solutions à long terme et</w:t>
      </w:r>
      <w:r w:rsidR="009153E3">
        <w:t>,</w:t>
      </w:r>
      <w:r w:rsidRPr="00147786">
        <w:t xml:space="preserve"> qu'à cette fin</w:t>
      </w:r>
      <w:r w:rsidR="009153E3">
        <w:t>,</w:t>
      </w:r>
      <w:r w:rsidRPr="00147786">
        <w:t xml:space="preserve"> </w:t>
      </w:r>
      <w:r w:rsidR="009153E3">
        <w:t>elle met</w:t>
      </w:r>
      <w:r w:rsidRPr="00147786">
        <w:t xml:space="preserve"> la </w:t>
      </w:r>
      <w:r w:rsidR="009153E3">
        <w:t>T</w:t>
      </w:r>
      <w:r w:rsidRPr="00147786">
        <w:t>able sur pied</w:t>
      </w:r>
      <w:r w:rsidR="009153E3">
        <w:rPr>
          <w:rStyle w:val="Appelnotedebasdep"/>
        </w:rPr>
        <w:footnoteReference w:id="140"/>
      </w:r>
      <w:r w:rsidR="00004CA6">
        <w:t>.</w:t>
      </w:r>
    </w:p>
    <w:p w14:paraId="603487DF" w14:textId="76D50061" w:rsidR="00004CA6" w:rsidRPr="00086C5D" w:rsidRDefault="008861A2" w:rsidP="005A1070">
      <w:pPr>
        <w:pStyle w:val="Paragrsimple"/>
        <w:widowControl w:val="0"/>
        <w:rPr>
          <w:vertAlign w:val="superscript"/>
        </w:rPr>
      </w:pPr>
      <w:r w:rsidRPr="008861A2">
        <w:t xml:space="preserve">La </w:t>
      </w:r>
      <w:r w:rsidR="00FA4E89">
        <w:t>T</w:t>
      </w:r>
      <w:r w:rsidRPr="008861A2">
        <w:t>able se compose de représentants d'organismes du milieu</w:t>
      </w:r>
      <w:r w:rsidR="00086C5D">
        <w:t>,</w:t>
      </w:r>
      <w:r w:rsidRPr="008861A2">
        <w:t xml:space="preserve"> de la </w:t>
      </w:r>
      <w:r w:rsidR="00086C5D">
        <w:t>V</w:t>
      </w:r>
      <w:r w:rsidRPr="008861A2">
        <w:t xml:space="preserve">ille </w:t>
      </w:r>
      <w:r w:rsidR="00FA4E89">
        <w:t>dont</w:t>
      </w:r>
      <w:r w:rsidRPr="008861A2">
        <w:t xml:space="preserve"> Provost</w:t>
      </w:r>
      <w:r w:rsidR="00FA4E89">
        <w:t>,</w:t>
      </w:r>
      <w:r w:rsidRPr="008861A2">
        <w:t xml:space="preserve"> de </w:t>
      </w:r>
      <w:r w:rsidR="006160B5" w:rsidRPr="008861A2">
        <w:t>Lamoureux</w:t>
      </w:r>
      <w:r w:rsidR="00D07067">
        <w:t xml:space="preserve"> du MFFP</w:t>
      </w:r>
      <w:r w:rsidRPr="008861A2">
        <w:t xml:space="preserve"> et de citoyens</w:t>
      </w:r>
      <w:r w:rsidR="00FA4E89">
        <w:t>.</w:t>
      </w:r>
      <w:r w:rsidRPr="008861A2">
        <w:t xml:space="preserve"> </w:t>
      </w:r>
      <w:r w:rsidR="00FA4E89" w:rsidRPr="008861A2">
        <w:t>D</w:t>
      </w:r>
      <w:r w:rsidRPr="008861A2">
        <w:t>ans</w:t>
      </w:r>
      <w:r w:rsidR="00FA4E89">
        <w:t xml:space="preserve"> </w:t>
      </w:r>
      <w:r w:rsidRPr="008861A2">
        <w:t>le cadre de leurs travaux</w:t>
      </w:r>
      <w:r w:rsidR="00FA4E89">
        <w:t>,</w:t>
      </w:r>
      <w:r w:rsidRPr="008861A2">
        <w:t xml:space="preserve"> ils visitent le </w:t>
      </w:r>
      <w:r w:rsidR="00FA4E89">
        <w:t>P</w:t>
      </w:r>
      <w:r w:rsidRPr="008861A2">
        <w:t>arc</w:t>
      </w:r>
      <w:r w:rsidR="00FA4E89">
        <w:t>,</w:t>
      </w:r>
      <w:r w:rsidRPr="008861A2">
        <w:t xml:space="preserve"> </w:t>
      </w:r>
      <w:r w:rsidR="00FA4E89">
        <w:t>m</w:t>
      </w:r>
      <w:r w:rsidR="00086C5D">
        <w:t>è</w:t>
      </w:r>
      <w:r w:rsidR="00FA4E89">
        <w:t>n</w:t>
      </w:r>
      <w:r w:rsidR="00086C5D">
        <w:t>e</w:t>
      </w:r>
      <w:r w:rsidR="00433717">
        <w:t>nt</w:t>
      </w:r>
      <w:r w:rsidRPr="008861A2">
        <w:t xml:space="preserve"> des entrevues</w:t>
      </w:r>
      <w:r w:rsidR="00FA4E89">
        <w:t>,</w:t>
      </w:r>
      <w:r w:rsidRPr="008861A2">
        <w:t xml:space="preserve"> consult</w:t>
      </w:r>
      <w:r w:rsidR="00086C5D">
        <w:t>e</w:t>
      </w:r>
      <w:r w:rsidR="00433717">
        <w:t>nt</w:t>
      </w:r>
      <w:r w:rsidRPr="008861A2">
        <w:t xml:space="preserve"> des experts et des intervenants</w:t>
      </w:r>
      <w:r w:rsidR="00B577B2">
        <w:t>,</w:t>
      </w:r>
      <w:r w:rsidRPr="008861A2">
        <w:t xml:space="preserve"> dont </w:t>
      </w:r>
      <w:r w:rsidR="00FA4E89">
        <w:t>D</w:t>
      </w:r>
      <w:r w:rsidRPr="008861A2">
        <w:t>u</w:t>
      </w:r>
      <w:r w:rsidR="00FA4E89">
        <w:t>ssault</w:t>
      </w:r>
      <w:r w:rsidR="00CF00EB">
        <w:t>,</w:t>
      </w:r>
      <w:r w:rsidRPr="008861A2">
        <w:t xml:space="preserve"> ainsi qu</w:t>
      </w:r>
      <w:r w:rsidR="00086C5D">
        <w:t>e</w:t>
      </w:r>
      <w:r w:rsidRPr="008861A2">
        <w:t xml:space="preserve"> nombre d'ouvrages spécialisés</w:t>
      </w:r>
      <w:r w:rsidR="000B7B5D" w:rsidRPr="00086C5D">
        <w:rPr>
          <w:vertAlign w:val="superscript"/>
        </w:rPr>
        <w:footnoteReference w:id="141"/>
      </w:r>
      <w:r w:rsidR="00086C5D">
        <w:t>.</w:t>
      </w:r>
    </w:p>
    <w:p w14:paraId="0E2966FF" w14:textId="78AD5E19" w:rsidR="00791272" w:rsidRDefault="00791272" w:rsidP="005A1070">
      <w:pPr>
        <w:pStyle w:val="Paragrsimple"/>
        <w:widowControl w:val="0"/>
      </w:pPr>
      <w:r w:rsidRPr="00791272">
        <w:t>Le 19 août 2021</w:t>
      </w:r>
      <w:r>
        <w:t>,</w:t>
      </w:r>
      <w:r w:rsidRPr="00791272">
        <w:t xml:space="preserve"> il</w:t>
      </w:r>
      <w:r w:rsidR="007C365F">
        <w:t>s</w:t>
      </w:r>
      <w:r w:rsidRPr="00791272">
        <w:t xml:space="preserve"> tiennent une séance de travail portant exclusivement sur la gestion de la surpopulation de </w:t>
      </w:r>
      <w:r w:rsidR="007C365F">
        <w:t>cerfs</w:t>
      </w:r>
      <w:r w:rsidR="007C365F" w:rsidRPr="000B263A">
        <w:rPr>
          <w:vertAlign w:val="superscript"/>
        </w:rPr>
        <w:footnoteReference w:id="142"/>
      </w:r>
      <w:r w:rsidR="003A0CDB">
        <w:t>.</w:t>
      </w:r>
      <w:r w:rsidRPr="00791272">
        <w:t xml:space="preserve"> </w:t>
      </w:r>
      <w:r w:rsidR="003A0CDB" w:rsidRPr="00791272">
        <w:t>A</w:t>
      </w:r>
      <w:r w:rsidRPr="00791272">
        <w:t>u</w:t>
      </w:r>
      <w:r w:rsidR="003A0CDB">
        <w:t xml:space="preserve"> </w:t>
      </w:r>
      <w:r w:rsidRPr="00791272">
        <w:t>cours de cette séance</w:t>
      </w:r>
      <w:r w:rsidR="003A0CDB">
        <w:t>,</w:t>
      </w:r>
      <w:r w:rsidRPr="00791272">
        <w:t xml:space="preserve"> plusieurs experts et intervenants </w:t>
      </w:r>
      <w:r w:rsidR="003E5B15">
        <w:t>f</w:t>
      </w:r>
      <w:r w:rsidRPr="00791272">
        <w:t>ont des présentations</w:t>
      </w:r>
      <w:r w:rsidR="003A0CDB">
        <w:t>,</w:t>
      </w:r>
      <w:r w:rsidRPr="00791272">
        <w:t xml:space="preserve"> exprime</w:t>
      </w:r>
      <w:r w:rsidR="003E5B15">
        <w:t>nt</w:t>
      </w:r>
      <w:r w:rsidRPr="00791272">
        <w:t xml:space="preserve"> leur point de vue et réponde</w:t>
      </w:r>
      <w:r w:rsidR="003E5B15">
        <w:t>nt</w:t>
      </w:r>
      <w:r w:rsidRPr="00791272">
        <w:t xml:space="preserve"> aux questions</w:t>
      </w:r>
      <w:r w:rsidR="003A0CDB">
        <w:t> :</w:t>
      </w:r>
      <w:r w:rsidRPr="00791272">
        <w:t xml:space="preserve"> Anaïs </w:t>
      </w:r>
      <w:r w:rsidR="003F6240">
        <w:t>Gasse</w:t>
      </w:r>
      <w:r w:rsidR="0037469A">
        <w:t xml:space="preserve"> </w:t>
      </w:r>
      <w:r w:rsidR="0037469A" w:rsidRPr="0037469A">
        <w:rPr>
          <w:b/>
          <w:bCs/>
        </w:rPr>
        <w:t>(Gasse</w:t>
      </w:r>
      <w:r w:rsidR="0037469A">
        <w:t>)</w:t>
      </w:r>
      <w:r w:rsidR="003A0CDB">
        <w:t>,</w:t>
      </w:r>
      <w:r w:rsidRPr="00791272">
        <w:t xml:space="preserve"> biologiste</w:t>
      </w:r>
      <w:r w:rsidR="00721C7F">
        <w:t xml:space="preserve"> au MFFP</w:t>
      </w:r>
      <w:r w:rsidR="003A0CDB">
        <w:t>,</w:t>
      </w:r>
      <w:r w:rsidRPr="00791272">
        <w:t xml:space="preserve"> Stéphane Lair</w:t>
      </w:r>
      <w:r w:rsidR="0037469A">
        <w:t xml:space="preserve"> (</w:t>
      </w:r>
      <w:r w:rsidR="0037469A" w:rsidRPr="0037469A">
        <w:rPr>
          <w:b/>
          <w:bCs/>
        </w:rPr>
        <w:t>Lair</w:t>
      </w:r>
      <w:r w:rsidR="0037469A">
        <w:t>)</w:t>
      </w:r>
      <w:r w:rsidRPr="00791272">
        <w:t xml:space="preserve"> et Jean</w:t>
      </w:r>
      <w:r w:rsidR="003E5B15">
        <w:noBreakHyphen/>
      </w:r>
      <w:r w:rsidRPr="00791272">
        <w:t xml:space="preserve">Pierre </w:t>
      </w:r>
      <w:r w:rsidR="003A0CDB" w:rsidRPr="00791272">
        <w:t>Vaillancourt</w:t>
      </w:r>
      <w:r w:rsidR="0037469A">
        <w:t xml:space="preserve"> (</w:t>
      </w:r>
      <w:r w:rsidR="0037469A" w:rsidRPr="0037469A">
        <w:rPr>
          <w:b/>
          <w:bCs/>
        </w:rPr>
        <w:t>Vaillancourt</w:t>
      </w:r>
      <w:r w:rsidR="0037469A">
        <w:t>)</w:t>
      </w:r>
      <w:r w:rsidR="00EE7AF5">
        <w:t>,</w:t>
      </w:r>
      <w:r w:rsidRPr="00791272">
        <w:t xml:space="preserve"> professeur</w:t>
      </w:r>
      <w:r w:rsidR="00EE7AF5">
        <w:t>s</w:t>
      </w:r>
      <w:r w:rsidRPr="00791272">
        <w:t xml:space="preserve"> titulaire</w:t>
      </w:r>
      <w:r w:rsidR="00EE7AF5">
        <w:t>s</w:t>
      </w:r>
      <w:r w:rsidRPr="00791272">
        <w:t xml:space="preserve"> à la </w:t>
      </w:r>
      <w:r w:rsidR="00EE7AF5">
        <w:t>F</w:t>
      </w:r>
      <w:r w:rsidRPr="00791272">
        <w:t>aculté de médecine vétérinaire de l'</w:t>
      </w:r>
      <w:r w:rsidR="00B577B2">
        <w:t>U</w:t>
      </w:r>
      <w:r w:rsidRPr="00791272">
        <w:t>niversité de Montréal</w:t>
      </w:r>
      <w:r w:rsidR="00EE7AF5">
        <w:t>,</w:t>
      </w:r>
      <w:r w:rsidRPr="00791272">
        <w:t xml:space="preserve"> ce dernier étant également responsable du </w:t>
      </w:r>
      <w:r w:rsidR="00373D79">
        <w:t>CÉUA</w:t>
      </w:r>
      <w:r w:rsidR="00721C7F">
        <w:t>,</w:t>
      </w:r>
      <w:r w:rsidR="00EE7AF5">
        <w:t xml:space="preserve"> </w:t>
      </w:r>
      <w:r w:rsidRPr="00791272">
        <w:t xml:space="preserve">et </w:t>
      </w:r>
      <w:r w:rsidR="00EE7AF5">
        <w:t>D</w:t>
      </w:r>
      <w:r w:rsidRPr="00791272">
        <w:t>ussault</w:t>
      </w:r>
      <w:r w:rsidR="00EE7AF5">
        <w:t>,</w:t>
      </w:r>
      <w:r w:rsidRPr="00791272">
        <w:t xml:space="preserve"> représentant de </w:t>
      </w:r>
      <w:r w:rsidR="00EE7AF5">
        <w:t>SSA.</w:t>
      </w:r>
    </w:p>
    <w:p w14:paraId="47430E3D" w14:textId="756F1FCB" w:rsidR="00EE7AF5" w:rsidRDefault="008021B3" w:rsidP="00295263">
      <w:pPr>
        <w:pStyle w:val="Paragrsimple"/>
        <w:keepNext/>
      </w:pPr>
      <w:r w:rsidRPr="008021B3">
        <w:lastRenderedPageBreak/>
        <w:t xml:space="preserve">Au cours de </w:t>
      </w:r>
      <w:r w:rsidRPr="00E54404">
        <w:t>cette</w:t>
      </w:r>
      <w:r w:rsidRPr="008021B3">
        <w:t xml:space="preserve"> séance de travail, les méthodes de gestion de la faune suivantes</w:t>
      </w:r>
      <w:r>
        <w:t xml:space="preserve"> </w:t>
      </w:r>
      <w:r w:rsidR="0007465C">
        <w:t>f</w:t>
      </w:r>
      <w:r w:rsidRPr="008021B3">
        <w:t>ont l'objet de présentations et de discussions</w:t>
      </w:r>
      <w:r>
        <w:t> :</w:t>
      </w:r>
    </w:p>
    <w:tbl>
      <w:tblPr>
        <w:tblStyle w:val="Grilledutableau"/>
        <w:tblW w:w="0" w:type="auto"/>
        <w:tblInd w:w="720" w:type="dxa"/>
        <w:tblLook w:val="04A0" w:firstRow="1" w:lastRow="0" w:firstColumn="1" w:lastColumn="0" w:noHBand="0" w:noVBand="1"/>
      </w:tblPr>
      <w:tblGrid>
        <w:gridCol w:w="4378"/>
        <w:gridCol w:w="4254"/>
      </w:tblGrid>
      <w:tr w:rsidR="00F2757C" w:rsidRPr="00F2757C" w14:paraId="63E786BA" w14:textId="77777777" w:rsidTr="001C4F96">
        <w:tc>
          <w:tcPr>
            <w:tcW w:w="4378" w:type="dxa"/>
          </w:tcPr>
          <w:p w14:paraId="737EF273" w14:textId="7CBC2FA7" w:rsidR="00F2757C" w:rsidRPr="00F2757C" w:rsidRDefault="00F2757C" w:rsidP="00295263">
            <w:pPr>
              <w:pStyle w:val="Citationenretrait"/>
              <w:keepNext/>
              <w:spacing w:line="360" w:lineRule="auto"/>
              <w:ind w:left="0"/>
              <w:jc w:val="center"/>
              <w:rPr>
                <w:b/>
                <w:bCs/>
              </w:rPr>
            </w:pPr>
            <w:r>
              <w:rPr>
                <w:b/>
                <w:bCs/>
              </w:rPr>
              <w:t>Méthodes non létales</w:t>
            </w:r>
          </w:p>
        </w:tc>
        <w:tc>
          <w:tcPr>
            <w:tcW w:w="4254" w:type="dxa"/>
          </w:tcPr>
          <w:p w14:paraId="68280F80" w14:textId="1947629F" w:rsidR="00F2757C" w:rsidRPr="00F2757C" w:rsidRDefault="00F2757C" w:rsidP="00295263">
            <w:pPr>
              <w:pStyle w:val="Citationenretrait"/>
              <w:keepNext/>
              <w:spacing w:line="360" w:lineRule="auto"/>
              <w:ind w:left="0"/>
              <w:jc w:val="center"/>
              <w:rPr>
                <w:b/>
                <w:bCs/>
              </w:rPr>
            </w:pPr>
            <w:r>
              <w:rPr>
                <w:b/>
                <w:bCs/>
              </w:rPr>
              <w:t>Méthodes létales</w:t>
            </w:r>
          </w:p>
        </w:tc>
      </w:tr>
      <w:tr w:rsidR="00F2757C" w14:paraId="54133B1E" w14:textId="77777777" w:rsidTr="001C4F96">
        <w:tc>
          <w:tcPr>
            <w:tcW w:w="4378" w:type="dxa"/>
          </w:tcPr>
          <w:p w14:paraId="4428769F" w14:textId="3503E45A" w:rsidR="00F2757C" w:rsidRDefault="0001540E" w:rsidP="00295263">
            <w:pPr>
              <w:pStyle w:val="Citationenretrait"/>
              <w:keepNext/>
              <w:numPr>
                <w:ilvl w:val="0"/>
                <w:numId w:val="15"/>
              </w:numPr>
              <w:spacing w:line="360" w:lineRule="auto"/>
              <w:ind w:left="447"/>
            </w:pPr>
            <w:r>
              <w:t>Capture et relocalisation</w:t>
            </w:r>
          </w:p>
        </w:tc>
        <w:tc>
          <w:tcPr>
            <w:tcW w:w="4254" w:type="dxa"/>
          </w:tcPr>
          <w:p w14:paraId="5F5B7E90" w14:textId="2BD45111" w:rsidR="0001540E" w:rsidRDefault="001C4F96" w:rsidP="00295263">
            <w:pPr>
              <w:pStyle w:val="Citationenretrait"/>
              <w:keepNext/>
              <w:numPr>
                <w:ilvl w:val="0"/>
                <w:numId w:val="16"/>
              </w:numPr>
              <w:spacing w:line="360" w:lineRule="auto"/>
              <w:ind w:left="458" w:hanging="294"/>
            </w:pPr>
            <w:r>
              <w:t>Réintroduction de prédateurs</w:t>
            </w:r>
          </w:p>
        </w:tc>
      </w:tr>
      <w:tr w:rsidR="00F2757C" w14:paraId="7E29DB38" w14:textId="77777777" w:rsidTr="001C4F96">
        <w:tc>
          <w:tcPr>
            <w:tcW w:w="4378" w:type="dxa"/>
          </w:tcPr>
          <w:p w14:paraId="00CFE1D1" w14:textId="79ED63BA" w:rsidR="00F2757C" w:rsidRDefault="001C4F96" w:rsidP="00295263">
            <w:pPr>
              <w:pStyle w:val="Citationenretrait"/>
              <w:keepNext/>
              <w:numPr>
                <w:ilvl w:val="0"/>
                <w:numId w:val="15"/>
              </w:numPr>
              <w:spacing w:line="360" w:lineRule="auto"/>
              <w:ind w:left="447"/>
            </w:pPr>
            <w:r>
              <w:t>Clôture et méthode d’exclusion</w:t>
            </w:r>
          </w:p>
        </w:tc>
        <w:tc>
          <w:tcPr>
            <w:tcW w:w="4254" w:type="dxa"/>
          </w:tcPr>
          <w:p w14:paraId="4216C254" w14:textId="60788A14" w:rsidR="00F2757C" w:rsidRDefault="000E681E" w:rsidP="00295263">
            <w:pPr>
              <w:pStyle w:val="Citationenretrait"/>
              <w:keepNext/>
              <w:numPr>
                <w:ilvl w:val="0"/>
                <w:numId w:val="16"/>
              </w:numPr>
              <w:spacing w:line="360" w:lineRule="auto"/>
              <w:ind w:left="458" w:hanging="294"/>
            </w:pPr>
            <w:r>
              <w:t>Capture et euthanasie</w:t>
            </w:r>
          </w:p>
        </w:tc>
      </w:tr>
      <w:tr w:rsidR="00F2757C" w14:paraId="46F7C790" w14:textId="77777777" w:rsidTr="001C4F96">
        <w:tc>
          <w:tcPr>
            <w:tcW w:w="4378" w:type="dxa"/>
          </w:tcPr>
          <w:p w14:paraId="26CBDC52" w14:textId="2EA441F4" w:rsidR="00F2757C" w:rsidRDefault="001C4F96" w:rsidP="00295263">
            <w:pPr>
              <w:pStyle w:val="Citationenretrait"/>
              <w:keepNext/>
              <w:numPr>
                <w:ilvl w:val="0"/>
                <w:numId w:val="15"/>
              </w:numPr>
              <w:spacing w:line="360" w:lineRule="auto"/>
              <w:ind w:left="447"/>
            </w:pPr>
            <w:r>
              <w:t>Répulsifs et effarouchement</w:t>
            </w:r>
          </w:p>
        </w:tc>
        <w:tc>
          <w:tcPr>
            <w:tcW w:w="4254" w:type="dxa"/>
          </w:tcPr>
          <w:p w14:paraId="75CFFBB2" w14:textId="1701C03A" w:rsidR="00F2757C" w:rsidRDefault="000E681E" w:rsidP="00295263">
            <w:pPr>
              <w:pStyle w:val="Citationenretrait"/>
              <w:keepNext/>
              <w:numPr>
                <w:ilvl w:val="0"/>
                <w:numId w:val="16"/>
              </w:numPr>
              <w:spacing w:line="360" w:lineRule="auto"/>
              <w:ind w:left="458" w:hanging="294"/>
            </w:pPr>
            <w:r>
              <w:t>Appel à des tireurs experts</w:t>
            </w:r>
          </w:p>
        </w:tc>
      </w:tr>
      <w:tr w:rsidR="00F2757C" w14:paraId="7EFB0FFC" w14:textId="77777777" w:rsidTr="001C4F96">
        <w:tc>
          <w:tcPr>
            <w:tcW w:w="4378" w:type="dxa"/>
          </w:tcPr>
          <w:p w14:paraId="2AAFA85F" w14:textId="612DD2E9" w:rsidR="00F2757C" w:rsidRDefault="001C4F96" w:rsidP="00295263">
            <w:pPr>
              <w:pStyle w:val="Citationenretrait"/>
              <w:keepNext/>
              <w:numPr>
                <w:ilvl w:val="0"/>
                <w:numId w:val="15"/>
              </w:numPr>
              <w:spacing w:line="360" w:lineRule="auto"/>
              <w:ind w:left="447"/>
            </w:pPr>
            <w:r>
              <w:t>Stérilisation et contraception</w:t>
            </w:r>
          </w:p>
        </w:tc>
        <w:tc>
          <w:tcPr>
            <w:tcW w:w="4254" w:type="dxa"/>
          </w:tcPr>
          <w:p w14:paraId="2FDAFBCF" w14:textId="0653CD48" w:rsidR="00F2757C" w:rsidRDefault="000E681E" w:rsidP="00295263">
            <w:pPr>
              <w:pStyle w:val="Citationenretrait"/>
              <w:keepNext/>
              <w:numPr>
                <w:ilvl w:val="0"/>
                <w:numId w:val="16"/>
              </w:numPr>
              <w:spacing w:line="360" w:lineRule="auto"/>
              <w:ind w:left="458" w:hanging="294"/>
            </w:pPr>
            <w:r>
              <w:t>Chasse sportive</w:t>
            </w:r>
          </w:p>
        </w:tc>
      </w:tr>
      <w:tr w:rsidR="00F2757C" w14:paraId="540A7711" w14:textId="77777777" w:rsidTr="001C4F96">
        <w:tc>
          <w:tcPr>
            <w:tcW w:w="4378" w:type="dxa"/>
          </w:tcPr>
          <w:p w14:paraId="00A123F2" w14:textId="70C99387" w:rsidR="00F2757C" w:rsidRDefault="001C4F96" w:rsidP="00295263">
            <w:pPr>
              <w:pStyle w:val="Citationenretrait"/>
              <w:keepNext/>
              <w:numPr>
                <w:ilvl w:val="0"/>
                <w:numId w:val="15"/>
              </w:numPr>
              <w:spacing w:line="360" w:lineRule="auto"/>
              <w:ind w:left="447"/>
            </w:pPr>
            <w:r>
              <w:t>Nourrissage artificiel</w:t>
            </w:r>
          </w:p>
        </w:tc>
        <w:tc>
          <w:tcPr>
            <w:tcW w:w="4254" w:type="dxa"/>
          </w:tcPr>
          <w:p w14:paraId="40ECB5E2" w14:textId="4B016940" w:rsidR="00F2757C" w:rsidRDefault="000E681E" w:rsidP="00295263">
            <w:pPr>
              <w:pStyle w:val="Citationenretrait"/>
              <w:keepNext/>
              <w:numPr>
                <w:ilvl w:val="0"/>
                <w:numId w:val="16"/>
              </w:numPr>
              <w:spacing w:line="360" w:lineRule="auto"/>
              <w:ind w:left="458" w:hanging="294"/>
            </w:pPr>
            <w:r>
              <w:t>Chasse contrôlée</w:t>
            </w:r>
          </w:p>
        </w:tc>
      </w:tr>
    </w:tbl>
    <w:p w14:paraId="1C9D3EB6" w14:textId="4D9F21EE" w:rsidR="001E6797" w:rsidRPr="00E54404" w:rsidRDefault="001E6797" w:rsidP="00295263">
      <w:pPr>
        <w:pStyle w:val="Citationenretrait"/>
        <w:keepNext/>
        <w:spacing w:line="360" w:lineRule="auto"/>
        <w:rPr>
          <w:sz w:val="18"/>
          <w:szCs w:val="16"/>
        </w:rPr>
      </w:pPr>
    </w:p>
    <w:p w14:paraId="3B509C23" w14:textId="72F797A3" w:rsidR="0007465C" w:rsidRDefault="0078402F" w:rsidP="005A1070">
      <w:pPr>
        <w:pStyle w:val="Paragrsimple"/>
        <w:widowControl w:val="0"/>
      </w:pPr>
      <w:r>
        <w:t>Ces méthodes exposées</w:t>
      </w:r>
      <w:r w:rsidR="00E3272E">
        <w:t xml:space="preserve">, certains participants expriment leur opinion quant à </w:t>
      </w:r>
      <w:r w:rsidR="00FA7DC3">
        <w:t>celle</w:t>
      </w:r>
      <w:r w:rsidR="00E3272E">
        <w:t xml:space="preserve"> à privilégier :</w:t>
      </w:r>
    </w:p>
    <w:p w14:paraId="657523E0" w14:textId="3AE9D42C" w:rsidR="00E3272E" w:rsidRDefault="0078402F" w:rsidP="007C5E13">
      <w:pPr>
        <w:pStyle w:val="Paragrdouble"/>
        <w:widowControl w:val="0"/>
        <w:numPr>
          <w:ilvl w:val="0"/>
          <w:numId w:val="13"/>
        </w:numPr>
        <w:spacing w:line="240" w:lineRule="auto"/>
        <w:ind w:left="1134" w:hanging="357"/>
      </w:pPr>
      <w:r>
        <w:t xml:space="preserve">Gasse favorise la chasse contrôlée comme moyen de gestion des populations en milieu urbain et </w:t>
      </w:r>
      <w:r w:rsidR="00883058">
        <w:t>périurbain</w:t>
      </w:r>
      <w:r>
        <w:rPr>
          <w:rStyle w:val="Appelnotedebasdep"/>
        </w:rPr>
        <w:footnoteReference w:id="143"/>
      </w:r>
      <w:r w:rsidR="00883058">
        <w:t>;</w:t>
      </w:r>
    </w:p>
    <w:p w14:paraId="7E507C39" w14:textId="3BA651B8" w:rsidR="00883058" w:rsidRDefault="00883058" w:rsidP="007C5E13">
      <w:pPr>
        <w:pStyle w:val="Paragrdouble"/>
        <w:widowControl w:val="0"/>
        <w:numPr>
          <w:ilvl w:val="0"/>
          <w:numId w:val="13"/>
        </w:numPr>
        <w:spacing w:line="240" w:lineRule="auto"/>
        <w:ind w:left="1134" w:hanging="357"/>
      </w:pPr>
      <w:r>
        <w:t>Dussault reconnaît que, vu le nombre élevé de cerfs, la relocalisation s’avère imp</w:t>
      </w:r>
      <w:r w:rsidR="00FA7DC3">
        <w:t>r</w:t>
      </w:r>
      <w:r>
        <w:t>ati</w:t>
      </w:r>
      <w:r w:rsidR="00FA7DC3">
        <w:t>c</w:t>
      </w:r>
      <w:r>
        <w:t>a</w:t>
      </w:r>
      <w:r w:rsidR="00FA7DC3">
        <w:t>b</w:t>
      </w:r>
      <w:r>
        <w:t>le. Il propose donc de confiner les cerfs en enclos, de les nourrir et de stériliser les femelles</w:t>
      </w:r>
      <w:r>
        <w:rPr>
          <w:rStyle w:val="Appelnotedebasdep"/>
        </w:rPr>
        <w:footnoteReference w:id="144"/>
      </w:r>
      <w:r w:rsidR="00D309EA">
        <w:t>;</w:t>
      </w:r>
    </w:p>
    <w:p w14:paraId="10A6C3CF" w14:textId="2FDB4AD0" w:rsidR="00D309EA" w:rsidRDefault="00D309EA" w:rsidP="007C5E13">
      <w:pPr>
        <w:pStyle w:val="Paragrdouble"/>
        <w:widowControl w:val="0"/>
        <w:numPr>
          <w:ilvl w:val="0"/>
          <w:numId w:val="13"/>
        </w:numPr>
        <w:spacing w:line="240" w:lineRule="auto"/>
        <w:ind w:left="1134" w:hanging="357"/>
      </w:pPr>
      <w:r>
        <w:t xml:space="preserve">Sans prendre position, </w:t>
      </w:r>
      <w:r w:rsidRPr="00E97594">
        <w:t>Lai</w:t>
      </w:r>
      <w:r w:rsidR="00E97594">
        <w:t>r</w:t>
      </w:r>
      <w:r>
        <w:t xml:space="preserve"> fait une présentation des méthodes qui suggère </w:t>
      </w:r>
      <w:r w:rsidR="00972A99">
        <w:t xml:space="preserve">néanmoins </w:t>
      </w:r>
      <w:r>
        <w:t>que les méthodes létales seraient les plus conciliantes avec le bien-être animal</w:t>
      </w:r>
      <w:r>
        <w:rPr>
          <w:rStyle w:val="Appelnotedebasdep"/>
        </w:rPr>
        <w:footnoteReference w:id="145"/>
      </w:r>
      <w:r w:rsidR="0075087A">
        <w:t>.</w:t>
      </w:r>
    </w:p>
    <w:p w14:paraId="2140D991" w14:textId="782D3BA8" w:rsidR="00BA794F" w:rsidRDefault="00BA794F" w:rsidP="005A1070">
      <w:pPr>
        <w:pStyle w:val="Paragrsimple"/>
        <w:widowControl w:val="0"/>
      </w:pPr>
      <w:r w:rsidRPr="00BA794F">
        <w:t>Enfin</w:t>
      </w:r>
      <w:r w:rsidR="00F043B6">
        <w:t>,</w:t>
      </w:r>
      <w:r w:rsidRPr="00BA794F">
        <w:t xml:space="preserve"> au cours de cette rencontre</w:t>
      </w:r>
      <w:r w:rsidR="00F043B6">
        <w:t>,</w:t>
      </w:r>
      <w:r w:rsidRPr="00BA794F">
        <w:t xml:space="preserve"> les membres élaborent les critères à considérer </w:t>
      </w:r>
      <w:r w:rsidR="00FA7DC3">
        <w:t>pour évaluer les différentes méthodes de gestion :</w:t>
      </w:r>
    </w:p>
    <w:p w14:paraId="7A25108C" w14:textId="22D03A5E" w:rsidR="00B548AA" w:rsidRDefault="00C57740" w:rsidP="00C8159D">
      <w:pPr>
        <w:pStyle w:val="Sous-paragraphe"/>
        <w:keepNext/>
        <w:widowControl/>
        <w:numPr>
          <w:ilvl w:val="0"/>
          <w:numId w:val="17"/>
        </w:numPr>
        <w:spacing w:before="0" w:after="0"/>
        <w:ind w:left="1560" w:hanging="799"/>
      </w:pPr>
      <w:r>
        <w:lastRenderedPageBreak/>
        <w:t>r</w:t>
      </w:r>
      <w:r w:rsidR="00B548AA" w:rsidRPr="00B548AA">
        <w:t>éalisable</w:t>
      </w:r>
      <w:r>
        <w:t>;</w:t>
      </w:r>
    </w:p>
    <w:p w14:paraId="34698881" w14:textId="295BEB10" w:rsidR="00F043B6" w:rsidRDefault="00B548AA" w:rsidP="00C8159D">
      <w:pPr>
        <w:pStyle w:val="Sous-paragraphe"/>
        <w:keepNext/>
        <w:widowControl/>
        <w:numPr>
          <w:ilvl w:val="0"/>
          <w:numId w:val="17"/>
        </w:numPr>
        <w:spacing w:before="0" w:after="0"/>
        <w:ind w:left="1560" w:hanging="799"/>
      </w:pPr>
      <w:r w:rsidRPr="00B548AA">
        <w:t>durable</w:t>
      </w:r>
      <w:r w:rsidR="00C57740">
        <w:t>;</w:t>
      </w:r>
    </w:p>
    <w:p w14:paraId="776A45CD" w14:textId="46558028" w:rsidR="00B548AA" w:rsidRDefault="00B548AA" w:rsidP="00C8159D">
      <w:pPr>
        <w:pStyle w:val="Sous-paragraphe"/>
        <w:keepNext/>
        <w:widowControl/>
        <w:numPr>
          <w:ilvl w:val="0"/>
          <w:numId w:val="17"/>
        </w:numPr>
        <w:spacing w:before="0" w:after="0"/>
        <w:ind w:left="1560" w:hanging="799"/>
      </w:pPr>
      <w:r w:rsidRPr="00B548AA">
        <w:t>techniquement réalisable</w:t>
      </w:r>
      <w:r w:rsidR="00C57740">
        <w:t>;</w:t>
      </w:r>
    </w:p>
    <w:p w14:paraId="3F6245A4" w14:textId="592252F9" w:rsidR="00B548AA" w:rsidRDefault="00B548AA" w:rsidP="00C8159D">
      <w:pPr>
        <w:pStyle w:val="Sous-paragraphe"/>
        <w:keepNext/>
        <w:widowControl/>
        <w:numPr>
          <w:ilvl w:val="0"/>
          <w:numId w:val="17"/>
        </w:numPr>
        <w:spacing w:before="0" w:after="0"/>
        <w:ind w:left="1560" w:hanging="799"/>
      </w:pPr>
      <w:r w:rsidRPr="00B548AA">
        <w:t>financièrement réaliste</w:t>
      </w:r>
      <w:r w:rsidR="00C57740">
        <w:t>;</w:t>
      </w:r>
    </w:p>
    <w:p w14:paraId="1ECF22C5" w14:textId="14D60F7F" w:rsidR="00B548AA" w:rsidRDefault="00B548AA" w:rsidP="00C8159D">
      <w:pPr>
        <w:pStyle w:val="Sous-paragraphe"/>
        <w:keepNext/>
        <w:widowControl/>
        <w:numPr>
          <w:ilvl w:val="0"/>
          <w:numId w:val="17"/>
        </w:numPr>
        <w:spacing w:before="0" w:after="0"/>
        <w:ind w:left="1560" w:hanging="799"/>
      </w:pPr>
      <w:r w:rsidRPr="00B548AA">
        <w:t>reproductible</w:t>
      </w:r>
      <w:r w:rsidR="00C57740">
        <w:t>;</w:t>
      </w:r>
    </w:p>
    <w:p w14:paraId="55E32DDB" w14:textId="45B99EDB" w:rsidR="00B548AA" w:rsidRDefault="00B548AA" w:rsidP="00C8159D">
      <w:pPr>
        <w:pStyle w:val="Sous-paragraphe"/>
        <w:keepNext/>
        <w:widowControl/>
        <w:numPr>
          <w:ilvl w:val="0"/>
          <w:numId w:val="17"/>
        </w:numPr>
        <w:spacing w:before="0" w:after="0"/>
        <w:ind w:left="1560" w:hanging="799"/>
      </w:pPr>
      <w:r w:rsidRPr="00B548AA">
        <w:t>appuyé</w:t>
      </w:r>
      <w:r w:rsidR="00C57740">
        <w:t>e</w:t>
      </w:r>
      <w:r w:rsidRPr="00B548AA">
        <w:t xml:space="preserve"> par la science</w:t>
      </w:r>
      <w:r w:rsidR="00C57740">
        <w:t>;</w:t>
      </w:r>
    </w:p>
    <w:p w14:paraId="6594364D" w14:textId="6500A6CD" w:rsidR="00B548AA" w:rsidRDefault="00B548AA" w:rsidP="00C8159D">
      <w:pPr>
        <w:pStyle w:val="Sous-paragraphe"/>
        <w:keepNext/>
        <w:widowControl/>
        <w:numPr>
          <w:ilvl w:val="0"/>
          <w:numId w:val="17"/>
        </w:numPr>
        <w:spacing w:before="0" w:after="0"/>
        <w:ind w:left="1560" w:hanging="799"/>
      </w:pPr>
      <w:r w:rsidRPr="00B548AA">
        <w:t xml:space="preserve">éthique </w:t>
      </w:r>
      <w:r w:rsidR="00C57740">
        <w:t>(b</w:t>
      </w:r>
      <w:r w:rsidRPr="00B548AA">
        <w:t>ien-être animal</w:t>
      </w:r>
      <w:r w:rsidR="00C57740">
        <w:t>);</w:t>
      </w:r>
    </w:p>
    <w:p w14:paraId="652172AC" w14:textId="650BF6CA" w:rsidR="00B548AA" w:rsidRDefault="00B548AA" w:rsidP="00C8159D">
      <w:pPr>
        <w:pStyle w:val="Sous-paragraphe"/>
        <w:keepNext/>
        <w:widowControl/>
        <w:numPr>
          <w:ilvl w:val="0"/>
          <w:numId w:val="17"/>
        </w:numPr>
        <w:spacing w:before="0" w:after="0"/>
        <w:ind w:left="1560" w:hanging="799"/>
      </w:pPr>
      <w:r w:rsidRPr="00B548AA">
        <w:t xml:space="preserve">sécuritaire </w:t>
      </w:r>
      <w:r w:rsidR="00C57740">
        <w:t>(</w:t>
      </w:r>
      <w:r w:rsidRPr="00B548AA">
        <w:t>population</w:t>
      </w:r>
      <w:r w:rsidR="00C57740">
        <w:t>,</w:t>
      </w:r>
      <w:r w:rsidRPr="00B548AA">
        <w:t xml:space="preserve"> usage</w:t>
      </w:r>
      <w:r w:rsidR="00C57740">
        <w:t>rs);</w:t>
      </w:r>
    </w:p>
    <w:p w14:paraId="0480793D" w14:textId="170787F0" w:rsidR="00B548AA" w:rsidRDefault="00B548AA" w:rsidP="00C8159D">
      <w:pPr>
        <w:pStyle w:val="Sous-paragraphe"/>
        <w:keepNext/>
        <w:widowControl/>
        <w:numPr>
          <w:ilvl w:val="0"/>
          <w:numId w:val="17"/>
        </w:numPr>
        <w:spacing w:before="0" w:after="0"/>
        <w:ind w:left="1560" w:hanging="799"/>
      </w:pPr>
      <w:r w:rsidRPr="00B548AA">
        <w:t>sensible aux préoccupations citoyennes</w:t>
      </w:r>
      <w:r w:rsidR="00C57740">
        <w:t>;</w:t>
      </w:r>
    </w:p>
    <w:p w14:paraId="66ADC10E" w14:textId="16F6D2E3" w:rsidR="00B548AA" w:rsidRDefault="00B548AA" w:rsidP="00C8159D">
      <w:pPr>
        <w:pStyle w:val="Sous-paragraphe"/>
        <w:keepNext/>
        <w:widowControl/>
        <w:numPr>
          <w:ilvl w:val="0"/>
          <w:numId w:val="17"/>
        </w:numPr>
        <w:spacing w:before="0" w:after="0"/>
        <w:ind w:left="1560" w:hanging="799"/>
      </w:pPr>
      <w:r w:rsidRPr="00B548AA">
        <w:t>réalisable à court terme</w:t>
      </w:r>
      <w:r w:rsidR="00C57740">
        <w:t>;</w:t>
      </w:r>
    </w:p>
    <w:p w14:paraId="3D2602EB" w14:textId="7A1EC17E" w:rsidR="00B548AA" w:rsidRDefault="00B548AA" w:rsidP="00FB1642">
      <w:pPr>
        <w:pStyle w:val="Sous-paragraphe"/>
        <w:keepNext/>
        <w:widowControl/>
        <w:numPr>
          <w:ilvl w:val="0"/>
          <w:numId w:val="17"/>
        </w:numPr>
        <w:spacing w:before="0"/>
        <w:ind w:left="1559" w:hanging="799"/>
      </w:pPr>
      <w:r w:rsidRPr="00B548AA">
        <w:t>durable à long terme</w:t>
      </w:r>
      <w:r w:rsidR="001D6419">
        <w:rPr>
          <w:rStyle w:val="Appelnotedebasdep"/>
        </w:rPr>
        <w:footnoteReference w:id="146"/>
      </w:r>
      <w:r w:rsidR="00100539">
        <w:t>.</w:t>
      </w:r>
    </w:p>
    <w:p w14:paraId="3FFC9D07" w14:textId="67D997A1" w:rsidR="00252EBC" w:rsidRDefault="00252EBC" w:rsidP="005A1070">
      <w:pPr>
        <w:pStyle w:val="Paragrsimple"/>
        <w:widowControl w:val="0"/>
      </w:pPr>
      <w:r w:rsidRPr="00252EBC">
        <w:t xml:space="preserve">Dans le rapport de la </w:t>
      </w:r>
      <w:r w:rsidR="000A49BE">
        <w:t>T</w:t>
      </w:r>
      <w:r w:rsidRPr="00252EBC">
        <w:t>able</w:t>
      </w:r>
      <w:r w:rsidR="00CE5952">
        <w:t>,</w:t>
      </w:r>
      <w:r w:rsidRPr="00252EBC">
        <w:t xml:space="preserve"> déposé le 22 novembre 2021</w:t>
      </w:r>
      <w:r w:rsidR="000A49BE">
        <w:t>,</w:t>
      </w:r>
      <w:r w:rsidRPr="00252EBC">
        <w:t xml:space="preserve"> les membres soulignent que la population de </w:t>
      </w:r>
      <w:r w:rsidR="000A49BE">
        <w:t>ce</w:t>
      </w:r>
      <w:r w:rsidRPr="00252EBC">
        <w:t>rf</w:t>
      </w:r>
      <w:r w:rsidR="000A49BE">
        <w:t>s</w:t>
      </w:r>
      <w:r w:rsidRPr="00252EBC">
        <w:t xml:space="preserve"> </w:t>
      </w:r>
      <w:r w:rsidR="00FE70ED">
        <w:t>dépasse</w:t>
      </w:r>
      <w:r w:rsidR="000A49BE">
        <w:t xml:space="preserve"> </w:t>
      </w:r>
      <w:r w:rsidR="00CE5952" w:rsidRPr="00252EBC">
        <w:t>t</w:t>
      </w:r>
      <w:r w:rsidR="00CE5952">
        <w:t>rès</w:t>
      </w:r>
      <w:r w:rsidRPr="00252EBC">
        <w:t xml:space="preserve"> largement la capacité du </w:t>
      </w:r>
      <w:r w:rsidR="000A49BE">
        <w:t>P</w:t>
      </w:r>
      <w:r w:rsidRPr="00252EBC">
        <w:t>arc au détriment même de l'habitat du cervidé</w:t>
      </w:r>
      <w:r w:rsidR="00FA7DC3">
        <w:t>,</w:t>
      </w:r>
      <w:r w:rsidRPr="00252EBC">
        <w:t xml:space="preserve"> de la forêt qui peine à se régénérer de la biodiversité et de l'équilibre écologique du </w:t>
      </w:r>
      <w:r w:rsidR="000A49BE">
        <w:t>P</w:t>
      </w:r>
      <w:r w:rsidRPr="00252EBC">
        <w:t>arc</w:t>
      </w:r>
      <w:r w:rsidR="000A49BE">
        <w:t>.</w:t>
      </w:r>
      <w:r w:rsidRPr="00252EBC">
        <w:t xml:space="preserve"> </w:t>
      </w:r>
      <w:r w:rsidR="000A49BE" w:rsidRPr="00252EBC">
        <w:t>P</w:t>
      </w:r>
      <w:r w:rsidRPr="00252EBC">
        <w:t>our</w:t>
      </w:r>
      <w:r w:rsidR="000A49BE">
        <w:t xml:space="preserve"> </w:t>
      </w:r>
      <w:r w:rsidRPr="00252EBC">
        <w:t>eux</w:t>
      </w:r>
      <w:r w:rsidR="000A49BE">
        <w:t>,</w:t>
      </w:r>
      <w:r w:rsidRPr="00252EBC">
        <w:t xml:space="preserve"> les impacts de la surpopulation de </w:t>
      </w:r>
      <w:r w:rsidR="000A49BE">
        <w:t>ce</w:t>
      </w:r>
      <w:r w:rsidRPr="00252EBC">
        <w:t>rf</w:t>
      </w:r>
      <w:r w:rsidR="004F31E8">
        <w:t>s</w:t>
      </w:r>
      <w:r w:rsidRPr="00252EBC">
        <w:t xml:space="preserve"> ne font aucun doute</w:t>
      </w:r>
      <w:r w:rsidR="000A49BE">
        <w:t>,</w:t>
      </w:r>
      <w:r w:rsidRPr="00252EBC">
        <w:t xml:space="preserve"> tout comme la nécessité de réduire de façon importante</w:t>
      </w:r>
      <w:r w:rsidR="000A49BE">
        <w:t>,</w:t>
      </w:r>
      <w:r w:rsidRPr="00252EBC">
        <w:t xml:space="preserve"> urgente et durable les effets associés à leur présence</w:t>
      </w:r>
      <w:r w:rsidR="001D32C1" w:rsidRPr="00100539">
        <w:rPr>
          <w:vertAlign w:val="superscript"/>
        </w:rPr>
        <w:footnoteReference w:id="147"/>
      </w:r>
      <w:r w:rsidR="00100539">
        <w:t>.</w:t>
      </w:r>
    </w:p>
    <w:p w14:paraId="3A441816" w14:textId="333A98C3" w:rsidR="000A49BE" w:rsidRDefault="00740121" w:rsidP="005A1070">
      <w:pPr>
        <w:pStyle w:val="Paragrsimple"/>
        <w:widowControl w:val="0"/>
      </w:pPr>
      <w:r w:rsidRPr="00740121">
        <w:t>Aussi</w:t>
      </w:r>
      <w:r>
        <w:t>,</w:t>
      </w:r>
      <w:r w:rsidRPr="00740121">
        <w:t xml:space="preserve"> il</w:t>
      </w:r>
      <w:r w:rsidR="004F31E8">
        <w:t>s</w:t>
      </w:r>
      <w:r w:rsidRPr="00740121">
        <w:t xml:space="preserve"> formule</w:t>
      </w:r>
      <w:r w:rsidR="004F31E8">
        <w:t>nt</w:t>
      </w:r>
      <w:r w:rsidRPr="00740121">
        <w:t xml:space="preserve"> en ce</w:t>
      </w:r>
      <w:r>
        <w:t>s</w:t>
      </w:r>
      <w:r w:rsidRPr="00740121">
        <w:t xml:space="preserve"> terme</w:t>
      </w:r>
      <w:r>
        <w:t>s</w:t>
      </w:r>
      <w:r w:rsidRPr="00740121">
        <w:t xml:space="preserve"> leur analyse des options possible</w:t>
      </w:r>
      <w:r w:rsidR="00433717">
        <w:t>s</w:t>
      </w:r>
      <w:r w:rsidRPr="00740121">
        <w:t xml:space="preserve"> et de l</w:t>
      </w:r>
      <w:r w:rsidR="004512C6">
        <w:t>eurs</w:t>
      </w:r>
      <w:r w:rsidRPr="00740121">
        <w:t xml:space="preserve"> recommandation</w:t>
      </w:r>
      <w:r w:rsidR="004512C6">
        <w:t>s</w:t>
      </w:r>
      <w:r>
        <w:t> :</w:t>
      </w:r>
    </w:p>
    <w:p w14:paraId="3A9EECA1" w14:textId="77777777" w:rsidR="004C6063" w:rsidRPr="00E54404" w:rsidRDefault="001B065C" w:rsidP="00477D5C">
      <w:pPr>
        <w:pStyle w:val="Citationenretrait"/>
        <w:widowControl w:val="0"/>
      </w:pPr>
      <w:r w:rsidRPr="00E54404">
        <w:t>« </w:t>
      </w:r>
      <w:r w:rsidR="004C6063" w:rsidRPr="00E54404">
        <w:t xml:space="preserve">En faisant appel à des experts et des études scientifiques sur le sujet, les membres de la Table ont </w:t>
      </w:r>
      <w:r w:rsidR="004C6063" w:rsidRPr="0094230B">
        <w:t>pris</w:t>
      </w:r>
      <w:r w:rsidR="004C6063" w:rsidRPr="00E54404">
        <w:t xml:space="preserve"> le soin d'analyser rigoureusement les avantages et inconvénients de toutes les options possibles :</w:t>
      </w:r>
    </w:p>
    <w:p w14:paraId="448D8364" w14:textId="77777777" w:rsidR="000E5CD3" w:rsidRPr="00E54404" w:rsidRDefault="000E5CD3" w:rsidP="00B54C4C">
      <w:pPr>
        <w:pStyle w:val="Citationenretrait"/>
        <w:widowControl w:val="0"/>
        <w:tabs>
          <w:tab w:val="left" w:pos="1134"/>
        </w:tabs>
        <w:ind w:left="1134" w:hanging="414"/>
      </w:pPr>
      <w:r w:rsidRPr="00E54404">
        <w:t>•</w:t>
      </w:r>
      <w:r w:rsidRPr="00E54404">
        <w:tab/>
        <w:t>Ne rien faire, en acceptant les impacts, au détriment du bien-être des animaux et les risques de la cohabitation avec les cerfs;</w:t>
      </w:r>
    </w:p>
    <w:p w14:paraId="03F65BCA" w14:textId="77777777" w:rsidR="000E5CD3" w:rsidRPr="00E54404" w:rsidRDefault="000E5CD3" w:rsidP="00B54C4C">
      <w:pPr>
        <w:pStyle w:val="Citationenretrait"/>
        <w:widowControl w:val="0"/>
        <w:tabs>
          <w:tab w:val="left" w:pos="1134"/>
        </w:tabs>
        <w:ind w:left="1134" w:hanging="414"/>
      </w:pPr>
      <w:r w:rsidRPr="00E54404">
        <w:t>•</w:t>
      </w:r>
      <w:r w:rsidRPr="00E54404">
        <w:tab/>
        <w:t>Créer des corridors migratoires pour faciliter leur déplacement vers d'autres secteurs;</w:t>
      </w:r>
    </w:p>
    <w:p w14:paraId="1D2BFA4D" w14:textId="77777777" w:rsidR="000E5CD3" w:rsidRPr="00E54404" w:rsidRDefault="000E5CD3" w:rsidP="00B54C4C">
      <w:pPr>
        <w:pStyle w:val="Citationenretrait"/>
        <w:widowControl w:val="0"/>
        <w:tabs>
          <w:tab w:val="left" w:pos="1134"/>
        </w:tabs>
        <w:ind w:left="1134" w:hanging="414"/>
      </w:pPr>
      <w:r w:rsidRPr="00E54404">
        <w:t>•</w:t>
      </w:r>
      <w:r w:rsidRPr="00E54404">
        <w:tab/>
        <w:t>Confiner ou exclure les cerfs à l'aide d'enclos et/ou d'exclos;</w:t>
      </w:r>
    </w:p>
    <w:p w14:paraId="3B2E0C01" w14:textId="77777777" w:rsidR="000E5CD3" w:rsidRPr="00E54404" w:rsidRDefault="000E5CD3" w:rsidP="00B54C4C">
      <w:pPr>
        <w:pStyle w:val="Citationenretrait"/>
        <w:widowControl w:val="0"/>
        <w:tabs>
          <w:tab w:val="left" w:pos="1134"/>
        </w:tabs>
        <w:ind w:left="1134" w:hanging="414"/>
      </w:pPr>
      <w:r w:rsidRPr="00E54404">
        <w:t>•</w:t>
      </w:r>
      <w:r w:rsidRPr="00E54404">
        <w:tab/>
        <w:t>Nourrir artificiellement les cerfs pour limiter leur impact sur la flore du parc;</w:t>
      </w:r>
    </w:p>
    <w:p w14:paraId="708F4665" w14:textId="77777777" w:rsidR="000E5CD3" w:rsidRDefault="000E5CD3" w:rsidP="00B54C4C">
      <w:pPr>
        <w:pStyle w:val="Citationenretrait"/>
        <w:widowControl w:val="0"/>
        <w:tabs>
          <w:tab w:val="left" w:pos="1134"/>
        </w:tabs>
        <w:ind w:left="1134" w:hanging="414"/>
      </w:pPr>
      <w:r w:rsidRPr="00E54404">
        <w:t>•</w:t>
      </w:r>
      <w:r w:rsidRPr="00E54404">
        <w:tab/>
        <w:t>Stériliser les cerfs pour stabiliser leur nombre (contraception hormonale,</w:t>
      </w:r>
      <w:r>
        <w:t xml:space="preserve"> vaccin, chirurgie, etc.);</w:t>
      </w:r>
    </w:p>
    <w:p w14:paraId="438C8E32" w14:textId="3E8C75BF" w:rsidR="000E5CD3" w:rsidRPr="00E54404" w:rsidRDefault="000E5CD3" w:rsidP="00B54C4C">
      <w:pPr>
        <w:pStyle w:val="Citationenretrait"/>
        <w:widowControl w:val="0"/>
        <w:tabs>
          <w:tab w:val="left" w:pos="1134"/>
        </w:tabs>
        <w:ind w:left="1134" w:hanging="414"/>
      </w:pPr>
      <w:r w:rsidRPr="00E54404">
        <w:t>•</w:t>
      </w:r>
      <w:r w:rsidRPr="00E54404">
        <w:tab/>
        <w:t>Déplacer les cerfs (répulsion, effarouchement, déplacement, etc.)</w:t>
      </w:r>
      <w:r w:rsidR="00B95F0E" w:rsidRPr="00E54404">
        <w:t>;</w:t>
      </w:r>
    </w:p>
    <w:p w14:paraId="1A64B6F0" w14:textId="77777777" w:rsidR="00E86518" w:rsidRPr="00E54404" w:rsidRDefault="000E5CD3" w:rsidP="00B54C4C">
      <w:pPr>
        <w:pStyle w:val="Citationenretrait"/>
        <w:widowControl w:val="0"/>
        <w:tabs>
          <w:tab w:val="left" w:pos="1134"/>
        </w:tabs>
        <w:ind w:left="1134" w:hanging="414"/>
      </w:pPr>
      <w:r w:rsidRPr="00E54404">
        <w:t>•</w:t>
      </w:r>
      <w:r w:rsidRPr="00E54404">
        <w:tab/>
        <w:t>Employer des méthodes létales pour diminuer leur nombre (chasse, euthanasie, prédateurs, etc.)</w:t>
      </w:r>
    </w:p>
    <w:p w14:paraId="63085B36" w14:textId="44824A5C" w:rsidR="000868E2" w:rsidRPr="0094230B" w:rsidRDefault="000868E2" w:rsidP="00C8159D">
      <w:pPr>
        <w:pStyle w:val="Citationenretrait"/>
        <w:keepNext/>
      </w:pPr>
      <w:r w:rsidRPr="00E54404">
        <w:lastRenderedPageBreak/>
        <w:t xml:space="preserve">Ces options ont été évaluées individuellement et de façon combinée selon </w:t>
      </w:r>
      <w:r w:rsidRPr="0094230B">
        <w:t>différents critères, dont le bien</w:t>
      </w:r>
      <w:r w:rsidR="00B577B2" w:rsidRPr="0094230B">
        <w:t>-</w:t>
      </w:r>
      <w:r w:rsidRPr="0094230B">
        <w:t xml:space="preserve">­être animal, la validité scientifique, la faisabilité à court terme, la durabilité des résultats, la sécurité des personnes et l'acceptabilité sociale. </w:t>
      </w:r>
    </w:p>
    <w:p w14:paraId="52A015A9" w14:textId="051F01C5" w:rsidR="000868E2" w:rsidRDefault="000868E2" w:rsidP="00477D5C">
      <w:pPr>
        <w:pStyle w:val="Citationenretrait"/>
        <w:widowControl w:val="0"/>
      </w:pPr>
      <w:r w:rsidRPr="0094230B">
        <w:t>Au terme d'une analyse rigoureuse, les membres de la Table concluent d'abord à l'urgence de réduire le nombre</w:t>
      </w:r>
      <w:r>
        <w:t xml:space="preserve"> de cerfs dans le parc Michel-Chartrand afin d'éviter des dommages additionnels sur les milieux naturels du parc, déjà fortement fragilisés. Après avoir évalué toutes les possibilités, les membres concluent que la seule option viable à court terme pour obtenir des résultats durables est de procéder dès 2022 à la réduction de la taille du cheptel par une méthode de capture et d'euthanasie afin d'atteindre la capacité de support du parc. Selon les experts, l'automne est la saison à privilégier pour cette approche. D'autres approches efficaces complémentaires, soit la stérilisation chirurgicale et l'accroissement de la chasse en secteurs périphériques, devront être étudiées concurremment en vue de maintenir à plus long terme une population de cerfs correspondant à la capacité de support des milieux naturels du parc. Selon les experts et les études consultés par la Table, afin d'être efficaces, les méthodes de stérilisation </w:t>
      </w:r>
      <w:r w:rsidR="005D55D5">
        <w:rPr>
          <w:rFonts w:eastAsia="Arial" w:cs="Arial"/>
        </w:rPr>
        <w:t>d</w:t>
      </w:r>
      <w:r>
        <w:t xml:space="preserve">oivent être réalisées sur des petites populations isolées et pratiquées chez plus de 80 % de la population et elles sont généralement accompagnées par une méthode de contrôle létal. </w:t>
      </w:r>
    </w:p>
    <w:p w14:paraId="0F681494" w14:textId="2B03B22D" w:rsidR="001B065C" w:rsidRPr="001B065C" w:rsidRDefault="000868E2" w:rsidP="00477D5C">
      <w:pPr>
        <w:pStyle w:val="Citationenretrait"/>
        <w:widowControl w:val="0"/>
      </w:pPr>
      <w:r>
        <w:t xml:space="preserve">La relocalisation des cerfs pour diminuer leur nombre dans le parc Michel-Chartrand n'a pas été retenue par les </w:t>
      </w:r>
      <w:r w:rsidRPr="00E54404">
        <w:t>membres</w:t>
      </w:r>
      <w:r>
        <w:t xml:space="preserve"> de la Table pour plusieurs raisons: taux de mortalité élevé des cerfs relocalisés dans les cas étudiés; stress élevé que cette opération cause chez les bêtes; risques élevés de blessures lors de la capture et du déplacement des bêtes; disponibilité et capacité limitées des sites d'</w:t>
      </w:r>
      <w:r w:rsidR="005D55D5">
        <w:t>accueil</w:t>
      </w:r>
      <w:r>
        <w:t xml:space="preserve">; </w:t>
      </w:r>
      <w:r w:rsidR="005D55D5">
        <w:t>potentiel</w:t>
      </w:r>
      <w:r>
        <w:t xml:space="preserve"> de transmission de maladies dans les sites d'accueil.</w:t>
      </w:r>
      <w:r w:rsidR="001B065C" w:rsidRPr="004C6063">
        <w:t>»</w:t>
      </w:r>
      <w:r w:rsidR="001B065C" w:rsidRPr="004C6063">
        <w:rPr>
          <w:rStyle w:val="Appelnotedebasdep"/>
        </w:rPr>
        <w:footnoteReference w:id="148"/>
      </w:r>
    </w:p>
    <w:p w14:paraId="681685D0" w14:textId="4E67CB85" w:rsidR="001B065C" w:rsidRDefault="00B111F2" w:rsidP="005A1070">
      <w:pPr>
        <w:pStyle w:val="Paragrsimple"/>
        <w:widowControl w:val="0"/>
      </w:pPr>
      <w:r w:rsidRPr="00B111F2">
        <w:t xml:space="preserve">Les membres de la </w:t>
      </w:r>
      <w:r>
        <w:t>T</w:t>
      </w:r>
      <w:r w:rsidRPr="00B111F2">
        <w:t>able recommande</w:t>
      </w:r>
      <w:r w:rsidR="00B577B2">
        <w:t>nt</w:t>
      </w:r>
      <w:r w:rsidRPr="00B111F2">
        <w:t xml:space="preserve"> donc </w:t>
      </w:r>
      <w:r w:rsidR="002F3B78">
        <w:t>l</w:t>
      </w:r>
      <w:r w:rsidRPr="00B111F2">
        <w:t>'utilisation d'une méthode létale pour réduire le cheptel soit la capture</w:t>
      </w:r>
      <w:r>
        <w:t>-</w:t>
      </w:r>
      <w:r w:rsidRPr="00B111F2">
        <w:t>euthanasie</w:t>
      </w:r>
      <w:r w:rsidR="00063F71">
        <w:t>.</w:t>
      </w:r>
      <w:r w:rsidRPr="00B111F2">
        <w:t xml:space="preserve"> </w:t>
      </w:r>
      <w:r w:rsidR="002F3B78">
        <w:t xml:space="preserve">Bien qu’elle soit plus efficace, ils ne recommandent pas la chasse contrôlée à l’arbalète en raison du règlement </w:t>
      </w:r>
      <w:r w:rsidR="00063F71">
        <w:t>CM</w:t>
      </w:r>
      <w:r w:rsidRPr="00B111F2">
        <w:t xml:space="preserve"> 2013 162</w:t>
      </w:r>
      <w:r w:rsidR="002F3B78">
        <w:rPr>
          <w:rStyle w:val="Appelnotedebasdep"/>
        </w:rPr>
        <w:footnoteReference w:id="149"/>
      </w:r>
      <w:r w:rsidR="002F3B78" w:rsidRPr="00B111F2">
        <w:t xml:space="preserve"> </w:t>
      </w:r>
      <w:r w:rsidRPr="00B111F2">
        <w:t xml:space="preserve"> </w:t>
      </w:r>
      <w:r w:rsidR="002F3B78">
        <w:t xml:space="preserve">qui, à cette époque, </w:t>
      </w:r>
      <w:r w:rsidR="002F3B78" w:rsidRPr="00B111F2">
        <w:t>prohib</w:t>
      </w:r>
      <w:r w:rsidR="002F3B78">
        <w:t xml:space="preserve">e </w:t>
      </w:r>
      <w:r w:rsidR="002F3B78" w:rsidRPr="00B111F2">
        <w:t>l</w:t>
      </w:r>
      <w:r w:rsidR="002F3B78">
        <w:t>’</w:t>
      </w:r>
      <w:r w:rsidR="002F3B78" w:rsidRPr="00B111F2">
        <w:t xml:space="preserve">utilisation d'armes dans le </w:t>
      </w:r>
      <w:r w:rsidR="002F3B78">
        <w:t>P</w:t>
      </w:r>
      <w:r w:rsidR="002F3B78" w:rsidRPr="00B111F2">
        <w:t>arc</w:t>
      </w:r>
      <w:r w:rsidR="00652AB2">
        <w:rPr>
          <w:rStyle w:val="Appelnotedebasdep"/>
        </w:rPr>
        <w:footnoteReference w:id="150"/>
      </w:r>
      <w:r w:rsidR="00652AB2">
        <w:t>.</w:t>
      </w:r>
    </w:p>
    <w:p w14:paraId="5C077116" w14:textId="3FF7A39E" w:rsidR="00652AB2" w:rsidRDefault="00186963" w:rsidP="005A1070">
      <w:pPr>
        <w:pStyle w:val="Paragrsimple"/>
        <w:widowControl w:val="0"/>
      </w:pPr>
      <w:r w:rsidRPr="00186963">
        <w:t>Toutefois</w:t>
      </w:r>
      <w:r>
        <w:t>,</w:t>
      </w:r>
      <w:r w:rsidRPr="00186963">
        <w:t xml:space="preserve"> le 25 février 2022</w:t>
      </w:r>
      <w:r>
        <w:t>,</w:t>
      </w:r>
      <w:r w:rsidRPr="00186963">
        <w:t xml:space="preserve"> la </w:t>
      </w:r>
      <w:r w:rsidR="00D8224F">
        <w:t>V</w:t>
      </w:r>
      <w:r w:rsidRPr="00186963">
        <w:t xml:space="preserve">ille reçoit les résultats d'un nouvel inventaire aérien conduit par le </w:t>
      </w:r>
      <w:r w:rsidR="00D8224F" w:rsidRPr="00186963">
        <w:t>MFF</w:t>
      </w:r>
      <w:r w:rsidR="00D8224F">
        <w:t>P</w:t>
      </w:r>
      <w:r w:rsidR="00D8224F" w:rsidRPr="00186963">
        <w:t xml:space="preserve"> </w:t>
      </w:r>
      <w:r w:rsidR="00876F7F">
        <w:t xml:space="preserve">qui </w:t>
      </w:r>
      <w:r w:rsidRPr="00186963">
        <w:t xml:space="preserve">révèle que le nombre de </w:t>
      </w:r>
      <w:r w:rsidR="00B865FB">
        <w:t>c</w:t>
      </w:r>
      <w:r w:rsidRPr="00186963">
        <w:t>e</w:t>
      </w:r>
      <w:r w:rsidR="00B865FB">
        <w:t>rf</w:t>
      </w:r>
      <w:r w:rsidRPr="00186963">
        <w:t xml:space="preserve">s a une </w:t>
      </w:r>
      <w:r w:rsidR="00B865FB">
        <w:t>f</w:t>
      </w:r>
      <w:r w:rsidRPr="00186963">
        <w:t>oi</w:t>
      </w:r>
      <w:r w:rsidR="00B865FB">
        <w:t>s</w:t>
      </w:r>
      <w:r w:rsidRPr="00186963">
        <w:t xml:space="preserve"> de plus augmenté</w:t>
      </w:r>
      <w:r w:rsidR="00B865FB">
        <w:t>,</w:t>
      </w:r>
      <w:r w:rsidRPr="00186963">
        <w:t xml:space="preserve"> passant à 108</w:t>
      </w:r>
      <w:r w:rsidR="00B865FB" w:rsidRPr="004512C6">
        <w:rPr>
          <w:vertAlign w:val="superscript"/>
        </w:rPr>
        <w:footnoteReference w:id="151"/>
      </w:r>
      <w:r w:rsidR="004512C6">
        <w:t>.</w:t>
      </w:r>
      <w:r w:rsidRPr="00186963">
        <w:t xml:space="preserve"> </w:t>
      </w:r>
      <w:r w:rsidR="002F5D04" w:rsidRPr="00186963">
        <w:t>C</w:t>
      </w:r>
      <w:r w:rsidRPr="00186963">
        <w:t>ette</w:t>
      </w:r>
      <w:r w:rsidR="002F5D04">
        <w:t xml:space="preserve"> </w:t>
      </w:r>
      <w:r w:rsidRPr="00186963">
        <w:t xml:space="preserve">information contraint la </w:t>
      </w:r>
      <w:r w:rsidR="002F5D04">
        <w:t>V</w:t>
      </w:r>
      <w:r w:rsidRPr="00186963">
        <w:t>ille à considérer un nouvel objectif de réduction du nombre de cerf</w:t>
      </w:r>
      <w:r w:rsidR="002F5D04">
        <w:t>s</w:t>
      </w:r>
      <w:r w:rsidRPr="00186963">
        <w:t xml:space="preserve"> et</w:t>
      </w:r>
      <w:r w:rsidR="002F5D04">
        <w:t>,</w:t>
      </w:r>
      <w:r w:rsidRPr="00186963">
        <w:t xml:space="preserve"> par conséquent</w:t>
      </w:r>
      <w:r w:rsidR="002F5D04">
        <w:t>,</w:t>
      </w:r>
      <w:r w:rsidRPr="00186963">
        <w:t xml:space="preserve"> </w:t>
      </w:r>
      <w:r w:rsidR="00FA7DC3">
        <w:t xml:space="preserve">à réévaluer </w:t>
      </w:r>
      <w:r w:rsidRPr="00186963">
        <w:t>la méthode pour</w:t>
      </w:r>
      <w:r w:rsidR="002F5D04">
        <w:t xml:space="preserve"> y</w:t>
      </w:r>
      <w:r w:rsidRPr="00186963">
        <w:t xml:space="preserve"> parvenir</w:t>
      </w:r>
      <w:r w:rsidR="0009418A" w:rsidRPr="004512C6">
        <w:rPr>
          <w:vertAlign w:val="superscript"/>
        </w:rPr>
        <w:footnoteReference w:id="152"/>
      </w:r>
      <w:r w:rsidR="004512C6">
        <w:t>.</w:t>
      </w:r>
    </w:p>
    <w:p w14:paraId="01FA6FE7" w14:textId="01E39CEB" w:rsidR="00BE77DE" w:rsidRDefault="00BE77DE" w:rsidP="00972A99">
      <w:pPr>
        <w:pStyle w:val="Paragrsimple"/>
        <w:keepNext/>
      </w:pPr>
      <w:r>
        <w:t xml:space="preserve">De </w:t>
      </w:r>
      <w:r w:rsidRPr="00BE77DE">
        <w:t>fait</w:t>
      </w:r>
      <w:r w:rsidR="00C91A36">
        <w:t>,</w:t>
      </w:r>
      <w:r w:rsidRPr="00BE77DE">
        <w:t xml:space="preserve"> l'opération de capture</w:t>
      </w:r>
      <w:r w:rsidR="00FA7DC3">
        <w:t>-</w:t>
      </w:r>
      <w:r w:rsidRPr="00BE77DE">
        <w:t xml:space="preserve">euthanasie ne permettait de réduire le cheptel que de </w:t>
      </w:r>
      <w:r w:rsidR="00C91A36">
        <w:t>60 cerfs,</w:t>
      </w:r>
      <w:r w:rsidRPr="00BE77DE">
        <w:t xml:space="preserve"> ce qui</w:t>
      </w:r>
      <w:r w:rsidR="00C91A36">
        <w:t>,</w:t>
      </w:r>
      <w:r w:rsidRPr="00BE77DE">
        <w:t xml:space="preserve"> dorénavant</w:t>
      </w:r>
      <w:r w:rsidR="00C91A36">
        <w:t>,</w:t>
      </w:r>
      <w:r w:rsidRPr="00BE77DE">
        <w:t xml:space="preserve"> s'avère insuffisant pour atteindre un nombre approprié à la capacité du </w:t>
      </w:r>
      <w:r w:rsidR="00C91A36">
        <w:t>P</w:t>
      </w:r>
      <w:r w:rsidRPr="00BE77DE">
        <w:t>arc</w:t>
      </w:r>
      <w:r w:rsidR="00C91A36" w:rsidRPr="004512C6">
        <w:rPr>
          <w:vertAlign w:val="superscript"/>
        </w:rPr>
        <w:footnoteReference w:id="153"/>
      </w:r>
      <w:r w:rsidR="004512C6">
        <w:t>.</w:t>
      </w:r>
      <w:r w:rsidRPr="00BE77DE">
        <w:t xml:space="preserve"> C'est pourquoi</w:t>
      </w:r>
      <w:r w:rsidR="003A7714">
        <w:t>,</w:t>
      </w:r>
      <w:r w:rsidRPr="00BE77DE">
        <w:t xml:space="preserve"> après consultation avec les membres de son équipe et avec les représentants du </w:t>
      </w:r>
      <w:r w:rsidR="003A7714" w:rsidRPr="00BE77DE">
        <w:t>MF</w:t>
      </w:r>
      <w:r w:rsidR="003A7714">
        <w:t>F</w:t>
      </w:r>
      <w:r w:rsidR="003A7714" w:rsidRPr="00BE77DE">
        <w:t>P</w:t>
      </w:r>
      <w:r w:rsidR="003A7714">
        <w:t>,</w:t>
      </w:r>
      <w:r w:rsidRPr="00BE77DE">
        <w:t xml:space="preserve"> Provost décide d'opter pour la chasse contrôlée à l'arbalète</w:t>
      </w:r>
      <w:r w:rsidR="009E6F9D">
        <w:rPr>
          <w:rStyle w:val="Appelnotedebasdep"/>
        </w:rPr>
        <w:footnoteReference w:id="154"/>
      </w:r>
      <w:r w:rsidR="009439BE">
        <w:t>, « la seule solution réaliste qui permettait de diminuer la population d’un aussi grand nombre de cerfs efficacement et à court terme »</w:t>
      </w:r>
      <w:r w:rsidR="009439BE">
        <w:rPr>
          <w:rStyle w:val="Appelnotedebasdep"/>
        </w:rPr>
        <w:footnoteReference w:id="155"/>
      </w:r>
      <w:r w:rsidR="00154721">
        <w:t>.</w:t>
      </w:r>
    </w:p>
    <w:p w14:paraId="5F331363" w14:textId="2A053A5A" w:rsidR="00B2081B" w:rsidRDefault="00B2081B" w:rsidP="005A1070">
      <w:pPr>
        <w:pStyle w:val="Paragrsimple"/>
        <w:widowControl w:val="0"/>
      </w:pPr>
      <w:r>
        <w:t xml:space="preserve">De là, la Ville modifiera </w:t>
      </w:r>
      <w:r w:rsidR="002F53D2">
        <w:t>sa</w:t>
      </w:r>
      <w:r>
        <w:t xml:space="preserve"> </w:t>
      </w:r>
      <w:r w:rsidR="00062095">
        <w:t>réglementation</w:t>
      </w:r>
      <w:r>
        <w:t xml:space="preserve"> sur l’utilisation d’armes afin de permettre la mise en œuvre de cette solution</w:t>
      </w:r>
      <w:r>
        <w:rPr>
          <w:rStyle w:val="Appelnotedebasdep"/>
        </w:rPr>
        <w:footnoteReference w:id="156"/>
      </w:r>
      <w:r>
        <w:t>.</w:t>
      </w:r>
    </w:p>
    <w:p w14:paraId="70980A9F" w14:textId="5B65CA3D" w:rsidR="00E82C53" w:rsidRPr="00E22652" w:rsidRDefault="00D33D18" w:rsidP="00F13839">
      <w:pPr>
        <w:pStyle w:val="Titre4"/>
      </w:pPr>
      <w:bookmarkStart w:id="69" w:name="_Toc144367250"/>
      <w:r w:rsidRPr="00E22652">
        <w:t>La délivrance du Permis SEG</w:t>
      </w:r>
      <w:bookmarkEnd w:id="69"/>
    </w:p>
    <w:p w14:paraId="0F4973BD" w14:textId="5F792AB1" w:rsidR="00540461" w:rsidRDefault="004905E2" w:rsidP="005A1070">
      <w:pPr>
        <w:pStyle w:val="Paragrsimple"/>
        <w:widowControl w:val="0"/>
      </w:pPr>
      <w:r w:rsidRPr="004905E2">
        <w:t>Pour l'essentiel</w:t>
      </w:r>
      <w:r w:rsidR="006A11E5">
        <w:t>,</w:t>
      </w:r>
      <w:r w:rsidRPr="004905E2">
        <w:t xml:space="preserve"> la preuve </w:t>
      </w:r>
      <w:r w:rsidR="006F768A">
        <w:t xml:space="preserve">des démarches </w:t>
      </w:r>
      <w:r w:rsidRPr="004905E2">
        <w:t>d</w:t>
      </w:r>
      <w:r w:rsidR="006A11E5">
        <w:t>u</w:t>
      </w:r>
      <w:r w:rsidRPr="004905E2">
        <w:t xml:space="preserve"> </w:t>
      </w:r>
      <w:r w:rsidR="002710DC" w:rsidRPr="004905E2">
        <w:t>MF</w:t>
      </w:r>
      <w:r w:rsidR="002710DC">
        <w:t>F</w:t>
      </w:r>
      <w:r w:rsidR="002710DC" w:rsidRPr="004905E2">
        <w:t>P</w:t>
      </w:r>
      <w:r w:rsidR="006F768A">
        <w:t xml:space="preserve"> menant à la délivrance du Permis SEG</w:t>
      </w:r>
      <w:r w:rsidR="002710DC" w:rsidRPr="004905E2">
        <w:t xml:space="preserve"> </w:t>
      </w:r>
      <w:r w:rsidRPr="004905E2">
        <w:t xml:space="preserve">repose sur la déclaration sous serment souscrite par </w:t>
      </w:r>
      <w:r w:rsidR="002710DC">
        <w:t>L</w:t>
      </w:r>
      <w:r w:rsidRPr="004905E2">
        <w:t>amoureux</w:t>
      </w:r>
      <w:r w:rsidR="003F344B">
        <w:t>.</w:t>
      </w:r>
      <w:r w:rsidRPr="004905E2">
        <w:t xml:space="preserve"> </w:t>
      </w:r>
      <w:r w:rsidR="003F344B" w:rsidRPr="004905E2">
        <w:t>D</w:t>
      </w:r>
      <w:r w:rsidRPr="004905E2">
        <w:t>étenteur</w:t>
      </w:r>
      <w:r w:rsidR="003F344B">
        <w:t xml:space="preserve"> </w:t>
      </w:r>
      <w:r w:rsidRPr="004905E2">
        <w:t>d'un baccalauréat en écologie et d'une maîtrise en biologie</w:t>
      </w:r>
      <w:r w:rsidR="003F344B">
        <w:t>,</w:t>
      </w:r>
      <w:r w:rsidRPr="004905E2">
        <w:t xml:space="preserve"> </w:t>
      </w:r>
      <w:r w:rsidR="003F344B">
        <w:t>i</w:t>
      </w:r>
      <w:r w:rsidRPr="004905E2">
        <w:t>l</w:t>
      </w:r>
      <w:r w:rsidR="002710DC">
        <w:t xml:space="preserve"> </w:t>
      </w:r>
      <w:r w:rsidRPr="004905E2">
        <w:t xml:space="preserve">entre à l'emploi du </w:t>
      </w:r>
      <w:r w:rsidR="002710DC" w:rsidRPr="004905E2">
        <w:t>MF</w:t>
      </w:r>
      <w:r w:rsidR="002710DC">
        <w:t>F</w:t>
      </w:r>
      <w:r w:rsidR="002710DC" w:rsidRPr="004905E2">
        <w:t xml:space="preserve">P </w:t>
      </w:r>
      <w:r w:rsidRPr="004905E2">
        <w:t>en avril 2021</w:t>
      </w:r>
      <w:r w:rsidR="002710DC">
        <w:t xml:space="preserve"> à </w:t>
      </w:r>
      <w:r w:rsidRPr="004905E2">
        <w:t xml:space="preserve">titre de biologiste responsable de la faune terrestre en milieu urbain et périurbain à la </w:t>
      </w:r>
      <w:r w:rsidR="002710DC">
        <w:t>D</w:t>
      </w:r>
      <w:r w:rsidRPr="004905E2">
        <w:t>irection de la gestion de la faune de l</w:t>
      </w:r>
      <w:r w:rsidR="002710DC">
        <w:t>’E</w:t>
      </w:r>
      <w:r w:rsidRPr="004905E2">
        <w:t>strie</w:t>
      </w:r>
      <w:r w:rsidR="002710DC">
        <w:t>,</w:t>
      </w:r>
      <w:r w:rsidRPr="004905E2">
        <w:t xml:space="preserve"> de </w:t>
      </w:r>
      <w:r w:rsidR="002710DC">
        <w:t>M</w:t>
      </w:r>
      <w:r w:rsidRPr="004905E2">
        <w:t>ontréal</w:t>
      </w:r>
      <w:r w:rsidR="002710DC">
        <w:t>,</w:t>
      </w:r>
      <w:r w:rsidRPr="004905E2">
        <w:t xml:space="preserve"> de la </w:t>
      </w:r>
      <w:r w:rsidR="002710DC">
        <w:t>M</w:t>
      </w:r>
      <w:r w:rsidRPr="004905E2">
        <w:t xml:space="preserve">ontérégie et de </w:t>
      </w:r>
      <w:r w:rsidR="002710DC">
        <w:t>L</w:t>
      </w:r>
      <w:r w:rsidRPr="004905E2">
        <w:t>aval</w:t>
      </w:r>
      <w:r w:rsidR="002710DC">
        <w:t>.</w:t>
      </w:r>
    </w:p>
    <w:p w14:paraId="25E457AC" w14:textId="2E1ACFCE" w:rsidR="002710DC" w:rsidRDefault="00AC64F2" w:rsidP="005A1070">
      <w:pPr>
        <w:pStyle w:val="Paragrsimple"/>
        <w:widowControl w:val="0"/>
      </w:pPr>
      <w:r w:rsidRPr="0006512F">
        <w:t>Quant</w:t>
      </w:r>
      <w:r w:rsidR="0006512F" w:rsidRPr="0006512F">
        <w:t xml:space="preserve"> </w:t>
      </w:r>
      <w:r w:rsidR="0006512F" w:rsidRPr="00CE1B29">
        <w:t xml:space="preserve">au cerf </w:t>
      </w:r>
      <w:r w:rsidR="0006512F" w:rsidRPr="0006512F">
        <w:t>de Virginie</w:t>
      </w:r>
      <w:r w:rsidR="003D505C">
        <w:t>,</w:t>
      </w:r>
      <w:r w:rsidR="0006512F" w:rsidRPr="0006512F">
        <w:t xml:space="preserve"> ses fonctions l'amènent notamment à accompagner les municipalités et autres gestionnaires de territoire dans l'élaboration de mesures de gestion en milieu urbain et périurbain</w:t>
      </w:r>
      <w:r>
        <w:t>.</w:t>
      </w:r>
      <w:r w:rsidR="0006512F" w:rsidRPr="0006512F">
        <w:t xml:space="preserve"> </w:t>
      </w:r>
      <w:r w:rsidRPr="0006512F">
        <w:t>D</w:t>
      </w:r>
      <w:r>
        <w:t>è</w:t>
      </w:r>
      <w:r w:rsidR="0006512F" w:rsidRPr="0006512F">
        <w:t>s</w:t>
      </w:r>
      <w:r>
        <w:t xml:space="preserve"> son</w:t>
      </w:r>
      <w:r w:rsidR="0006512F" w:rsidRPr="0006512F">
        <w:t xml:space="preserve"> entrée en fonction </w:t>
      </w:r>
      <w:r>
        <w:t xml:space="preserve">au </w:t>
      </w:r>
      <w:r w:rsidRPr="004905E2">
        <w:t>MF</w:t>
      </w:r>
      <w:r>
        <w:t>F</w:t>
      </w:r>
      <w:r w:rsidRPr="004905E2">
        <w:t>P</w:t>
      </w:r>
      <w:r>
        <w:t>,</w:t>
      </w:r>
      <w:r w:rsidR="0006512F" w:rsidRPr="0006512F">
        <w:t xml:space="preserve"> il s'implique dans le dossier des </w:t>
      </w:r>
      <w:r>
        <w:t>cerfs</w:t>
      </w:r>
      <w:r w:rsidR="0006512F" w:rsidRPr="0006512F">
        <w:t xml:space="preserve"> du </w:t>
      </w:r>
      <w:r>
        <w:t>P</w:t>
      </w:r>
      <w:r w:rsidR="0006512F" w:rsidRPr="0006512F">
        <w:t>arc</w:t>
      </w:r>
      <w:r>
        <w:t>.</w:t>
      </w:r>
      <w:r w:rsidR="0006512F" w:rsidRPr="0006512F">
        <w:t xml:space="preserve"> </w:t>
      </w:r>
      <w:r w:rsidRPr="0006512F">
        <w:t>I</w:t>
      </w:r>
      <w:r w:rsidR="0006512F" w:rsidRPr="0006512F">
        <w:t>l</w:t>
      </w:r>
      <w:r>
        <w:t xml:space="preserve"> </w:t>
      </w:r>
      <w:r w:rsidR="0006512F" w:rsidRPr="0006512F">
        <w:t xml:space="preserve">sera en contact fréquent avec Provost et devient membre de la </w:t>
      </w:r>
      <w:r>
        <w:t>T</w:t>
      </w:r>
      <w:r w:rsidR="0006512F" w:rsidRPr="0006512F">
        <w:t xml:space="preserve">able </w:t>
      </w:r>
      <w:r>
        <w:t>dès</w:t>
      </w:r>
      <w:r w:rsidR="0006512F" w:rsidRPr="0006512F">
        <w:t xml:space="preserve"> sa création au printemps 2021</w:t>
      </w:r>
      <w:r>
        <w:t>.</w:t>
      </w:r>
    </w:p>
    <w:p w14:paraId="2A3C968A" w14:textId="024F9338" w:rsidR="00AC64F2" w:rsidRDefault="00CC1691" w:rsidP="005A1070">
      <w:pPr>
        <w:pStyle w:val="Paragrsimple"/>
        <w:widowControl w:val="0"/>
      </w:pPr>
      <w:r>
        <w:t>Il</w:t>
      </w:r>
      <w:r w:rsidR="00FB2D19" w:rsidRPr="00FB2D19">
        <w:t xml:space="preserve"> procède </w:t>
      </w:r>
      <w:r w:rsidR="00FE70ED">
        <w:t xml:space="preserve">également </w:t>
      </w:r>
      <w:r w:rsidR="00FB2D19" w:rsidRPr="00FB2D19">
        <w:t xml:space="preserve">à l'analyse de la demande de la </w:t>
      </w:r>
      <w:r w:rsidR="005C17C3">
        <w:t>V</w:t>
      </w:r>
      <w:r w:rsidR="00FB2D19" w:rsidRPr="00FB2D19">
        <w:t>ille pour la délivrance d'un permis S</w:t>
      </w:r>
      <w:r w:rsidR="005C17C3">
        <w:t>E</w:t>
      </w:r>
      <w:r w:rsidR="00FB2D19" w:rsidRPr="00FB2D19">
        <w:t>G et en recommande la délivrance</w:t>
      </w:r>
      <w:r w:rsidR="005C17C3">
        <w:t>.</w:t>
      </w:r>
      <w:r w:rsidR="00FB2D19" w:rsidRPr="00FB2D19">
        <w:t xml:space="preserve"> </w:t>
      </w:r>
      <w:r w:rsidR="005C17C3" w:rsidRPr="00FB2D19">
        <w:t>D</w:t>
      </w:r>
      <w:r w:rsidR="00FB2D19" w:rsidRPr="00FB2D19">
        <w:t>ans</w:t>
      </w:r>
      <w:r w:rsidR="005C17C3">
        <w:t xml:space="preserve"> </w:t>
      </w:r>
      <w:r w:rsidR="00FB2D19" w:rsidRPr="00FB2D19">
        <w:t xml:space="preserve">le cadre de </w:t>
      </w:r>
      <w:r w:rsidR="00972A99">
        <w:t xml:space="preserve">cet </w:t>
      </w:r>
      <w:r w:rsidR="00154721">
        <w:t>exercice</w:t>
      </w:r>
      <w:r w:rsidR="005C17C3">
        <w:t>,</w:t>
      </w:r>
      <w:r w:rsidR="00FB2D19" w:rsidRPr="00FB2D19">
        <w:t xml:space="preserve"> il prend en considération plusieurs articles scientifiques et documents de référence</w:t>
      </w:r>
      <w:r w:rsidR="00544A00">
        <w:rPr>
          <w:rStyle w:val="Appelnotedebasdep"/>
        </w:rPr>
        <w:footnoteReference w:id="157"/>
      </w:r>
      <w:r w:rsidR="00FB2D19" w:rsidRPr="00FB2D19">
        <w:t xml:space="preserve"> et plus</w:t>
      </w:r>
      <w:r w:rsidR="005C17C3">
        <w:t xml:space="preserve"> </w:t>
      </w:r>
      <w:r w:rsidR="00F50AC2" w:rsidRPr="00F50AC2">
        <w:t>particulièrement</w:t>
      </w:r>
      <w:r w:rsidR="00F50AC2">
        <w:t> :</w:t>
      </w:r>
    </w:p>
    <w:p w14:paraId="690FF3CC" w14:textId="305954C0" w:rsidR="00F50AC2" w:rsidRDefault="009F6306" w:rsidP="007C5E13">
      <w:pPr>
        <w:pStyle w:val="Paragrdouble"/>
        <w:widowControl w:val="0"/>
        <w:numPr>
          <w:ilvl w:val="0"/>
          <w:numId w:val="18"/>
        </w:numPr>
        <w:spacing w:line="240" w:lineRule="auto"/>
        <w:ind w:left="1134"/>
      </w:pPr>
      <w:r w:rsidRPr="009F6306">
        <w:t xml:space="preserve">L'historique des demandes de permis </w:t>
      </w:r>
      <w:r>
        <w:t>SEG</w:t>
      </w:r>
      <w:r w:rsidRPr="009F6306">
        <w:t xml:space="preserve"> pour le contrôle de la population de </w:t>
      </w:r>
      <w:r w:rsidR="00B21862">
        <w:t>c</w:t>
      </w:r>
      <w:r w:rsidRPr="009F6306">
        <w:t>erf</w:t>
      </w:r>
      <w:r w:rsidR="00B21862">
        <w:t>s</w:t>
      </w:r>
      <w:r w:rsidRPr="009F6306">
        <w:t xml:space="preserve"> au </w:t>
      </w:r>
      <w:r w:rsidR="00B21862">
        <w:t>P</w:t>
      </w:r>
      <w:r w:rsidRPr="009F6306">
        <w:t>arc</w:t>
      </w:r>
      <w:r w:rsidR="00B21862">
        <w:t>;</w:t>
      </w:r>
    </w:p>
    <w:p w14:paraId="5813AAAF" w14:textId="589DCDD4" w:rsidR="009F6306" w:rsidRDefault="00B21862" w:rsidP="007C5E13">
      <w:pPr>
        <w:pStyle w:val="Paragrdouble"/>
        <w:widowControl w:val="0"/>
        <w:numPr>
          <w:ilvl w:val="0"/>
          <w:numId w:val="18"/>
        </w:numPr>
        <w:spacing w:line="240" w:lineRule="auto"/>
        <w:ind w:left="1134"/>
      </w:pPr>
      <w:r>
        <w:t>L</w:t>
      </w:r>
      <w:r w:rsidR="009F6306" w:rsidRPr="009F6306">
        <w:t xml:space="preserve">e rapport de la </w:t>
      </w:r>
      <w:r>
        <w:t>T</w:t>
      </w:r>
      <w:r w:rsidR="009F6306" w:rsidRPr="009F6306">
        <w:t>able</w:t>
      </w:r>
      <w:r>
        <w:rPr>
          <w:rStyle w:val="Appelnotedebasdep"/>
        </w:rPr>
        <w:footnoteReference w:id="158"/>
      </w:r>
      <w:r w:rsidR="00B857FA">
        <w:t>;</w:t>
      </w:r>
    </w:p>
    <w:p w14:paraId="6C400EB2" w14:textId="274A2815" w:rsidR="00B857FA" w:rsidRDefault="00B857FA" w:rsidP="007C5E13">
      <w:pPr>
        <w:pStyle w:val="Paragrdouble"/>
        <w:widowControl w:val="0"/>
        <w:numPr>
          <w:ilvl w:val="0"/>
          <w:numId w:val="18"/>
        </w:numPr>
        <w:spacing w:line="240" w:lineRule="auto"/>
        <w:ind w:left="1134"/>
      </w:pPr>
      <w:r>
        <w:t>L</w:t>
      </w:r>
      <w:r w:rsidR="009F6306" w:rsidRPr="009F6306">
        <w:t>e plan de contrôle du cerf de Virginie au Québec 2022</w:t>
      </w:r>
      <w:r w:rsidR="00B81038">
        <w:t>-</w:t>
      </w:r>
      <w:r>
        <w:t>20</w:t>
      </w:r>
      <w:r w:rsidR="009F6306" w:rsidRPr="009F6306">
        <w:t>27</w:t>
      </w:r>
      <w:r>
        <w:rPr>
          <w:rStyle w:val="Appelnotedebasdep"/>
        </w:rPr>
        <w:footnoteReference w:id="159"/>
      </w:r>
      <w:r>
        <w:t>;</w:t>
      </w:r>
    </w:p>
    <w:p w14:paraId="5F3117C8" w14:textId="62083DA2" w:rsidR="009F6306" w:rsidRDefault="00B857FA" w:rsidP="007C5E13">
      <w:pPr>
        <w:pStyle w:val="Paragrdouble"/>
        <w:widowControl w:val="0"/>
        <w:numPr>
          <w:ilvl w:val="0"/>
          <w:numId w:val="18"/>
        </w:numPr>
        <w:spacing w:line="240" w:lineRule="auto"/>
        <w:ind w:left="1134"/>
      </w:pPr>
      <w:r>
        <w:t>L</w:t>
      </w:r>
      <w:r w:rsidR="009F6306" w:rsidRPr="009F6306">
        <w:t xml:space="preserve">e </w:t>
      </w:r>
      <w:r w:rsidR="00FC764D">
        <w:t>R</w:t>
      </w:r>
      <w:r w:rsidR="009F6306" w:rsidRPr="009F6306">
        <w:t>apport sur la situation du cerf de Virginie dans l'est de Montréal qui porte notamment sur les méthodes de gestion de la surpopulation de cerf</w:t>
      </w:r>
      <w:r w:rsidR="00FC764D">
        <w:rPr>
          <w:rStyle w:val="Appelnotedebasdep"/>
        </w:rPr>
        <w:footnoteReference w:id="160"/>
      </w:r>
      <w:r w:rsidR="00FC764D">
        <w:t>;</w:t>
      </w:r>
    </w:p>
    <w:p w14:paraId="5A713435" w14:textId="0D96A8E5" w:rsidR="00FC764D" w:rsidRDefault="00FC764D" w:rsidP="007C5E13">
      <w:pPr>
        <w:pStyle w:val="Paragrdouble"/>
        <w:widowControl w:val="0"/>
        <w:numPr>
          <w:ilvl w:val="0"/>
          <w:numId w:val="18"/>
        </w:numPr>
        <w:spacing w:line="240" w:lineRule="auto"/>
        <w:ind w:left="1134"/>
      </w:pPr>
      <w:r>
        <w:t>L</w:t>
      </w:r>
      <w:r w:rsidR="009F6306" w:rsidRPr="009F6306">
        <w:t>es données de l'inventaire aérien conduit au</w:t>
      </w:r>
      <w:r>
        <w:t xml:space="preserve"> P</w:t>
      </w:r>
      <w:r w:rsidR="009F6306" w:rsidRPr="009F6306">
        <w:t>arc le 22 février 2022</w:t>
      </w:r>
      <w:r>
        <w:rPr>
          <w:rStyle w:val="Appelnotedebasdep"/>
        </w:rPr>
        <w:footnoteReference w:id="161"/>
      </w:r>
      <w:r w:rsidR="008966C6">
        <w:t>;</w:t>
      </w:r>
    </w:p>
    <w:p w14:paraId="2F80D8C4" w14:textId="67FA6140" w:rsidR="008966C6" w:rsidRDefault="00FC764D" w:rsidP="007C5E13">
      <w:pPr>
        <w:pStyle w:val="Paragrdouble"/>
        <w:widowControl w:val="0"/>
        <w:numPr>
          <w:ilvl w:val="0"/>
          <w:numId w:val="18"/>
        </w:numPr>
        <w:spacing w:line="240" w:lineRule="auto"/>
        <w:ind w:left="1134"/>
      </w:pPr>
      <w:r>
        <w:t>L</w:t>
      </w:r>
      <w:r w:rsidR="009F6306" w:rsidRPr="009F6306">
        <w:t>'</w:t>
      </w:r>
      <w:r w:rsidR="00B81038">
        <w:t>É</w:t>
      </w:r>
      <w:r w:rsidR="009F6306" w:rsidRPr="009F6306">
        <w:t xml:space="preserve">tude </w:t>
      </w:r>
      <w:r w:rsidR="0091634F">
        <w:t>sur</w:t>
      </w:r>
      <w:r w:rsidR="009F6306" w:rsidRPr="009F6306">
        <w:t xml:space="preserve"> les impacts de fréquentation du parc</w:t>
      </w:r>
      <w:r w:rsidR="0091634F">
        <w:t>,</w:t>
      </w:r>
      <w:r w:rsidR="009F6306" w:rsidRPr="009F6306">
        <w:t xml:space="preserve"> sur les équipements et les ressources naturelles</w:t>
      </w:r>
      <w:r w:rsidR="008966C6">
        <w:t>,</w:t>
      </w:r>
      <w:r w:rsidR="009F6306" w:rsidRPr="009F6306">
        <w:t xml:space="preserve"> </w:t>
      </w:r>
      <w:r w:rsidR="0091634F">
        <w:t>V</w:t>
      </w:r>
      <w:r w:rsidR="009F6306" w:rsidRPr="009F6306">
        <w:t>ole</w:t>
      </w:r>
      <w:r w:rsidR="008966C6">
        <w:t>t</w:t>
      </w:r>
      <w:r w:rsidR="009F6306" w:rsidRPr="009F6306">
        <w:t xml:space="preserve"> forêt</w:t>
      </w:r>
      <w:r w:rsidR="008966C6">
        <w:t xml:space="preserve">-faune </w:t>
      </w:r>
      <w:r w:rsidR="009F6306" w:rsidRPr="009F6306">
        <w:t>et capacité de support</w:t>
      </w:r>
      <w:r w:rsidR="008966C6">
        <w:t>,</w:t>
      </w:r>
      <w:r w:rsidR="009F6306" w:rsidRPr="009F6306">
        <w:t xml:space="preserve"> </w:t>
      </w:r>
      <w:r w:rsidR="008966C6">
        <w:t>P</w:t>
      </w:r>
      <w:r w:rsidR="009F6306" w:rsidRPr="009F6306">
        <w:t xml:space="preserve">arc régional de </w:t>
      </w:r>
      <w:r w:rsidR="008966C6" w:rsidRPr="009F6306">
        <w:t>Longueuil</w:t>
      </w:r>
      <w:r w:rsidR="008966C6">
        <w:rPr>
          <w:rStyle w:val="Appelnotedebasdep"/>
        </w:rPr>
        <w:footnoteReference w:id="162"/>
      </w:r>
      <w:r w:rsidR="008966C6">
        <w:t>;</w:t>
      </w:r>
    </w:p>
    <w:p w14:paraId="39BB5941" w14:textId="555049B6" w:rsidR="009F6306" w:rsidRDefault="008966C6" w:rsidP="007C5E13">
      <w:pPr>
        <w:pStyle w:val="Paragrdouble"/>
        <w:widowControl w:val="0"/>
        <w:numPr>
          <w:ilvl w:val="0"/>
          <w:numId w:val="18"/>
        </w:numPr>
        <w:spacing w:line="240" w:lineRule="auto"/>
        <w:ind w:left="1134"/>
      </w:pPr>
      <w:r>
        <w:t>L’</w:t>
      </w:r>
      <w:r w:rsidR="00B81038">
        <w:t>I</w:t>
      </w:r>
      <w:r>
        <w:t>nventaire</w:t>
      </w:r>
      <w:r w:rsidR="009F6306" w:rsidRPr="009F6306">
        <w:t xml:space="preserve"> d'arbres dans le parc</w:t>
      </w:r>
      <w:r>
        <w:t>-</w:t>
      </w:r>
      <w:r w:rsidR="009F6306" w:rsidRPr="009F6306">
        <w:t>nature</w:t>
      </w:r>
      <w:r>
        <w:t> :</w:t>
      </w:r>
      <w:r w:rsidR="009F6306" w:rsidRPr="009F6306">
        <w:t xml:space="preserve"> </w:t>
      </w:r>
      <w:r>
        <w:t>R</w:t>
      </w:r>
      <w:r w:rsidR="009F6306" w:rsidRPr="009F6306">
        <w:t>apport d'inventaire des peuplements forestiers</w:t>
      </w:r>
      <w:r>
        <w:rPr>
          <w:rStyle w:val="Appelnotedebasdep"/>
        </w:rPr>
        <w:footnoteReference w:id="163"/>
      </w:r>
      <w:r>
        <w:t>.</w:t>
      </w:r>
    </w:p>
    <w:p w14:paraId="3D76E676" w14:textId="4D75502A" w:rsidR="00474671" w:rsidRDefault="00474671" w:rsidP="005A1070">
      <w:pPr>
        <w:pStyle w:val="Paragrsimple"/>
        <w:widowControl w:val="0"/>
      </w:pPr>
      <w:r>
        <w:t xml:space="preserve">Il échange également avec des citoyens et des intervenants sur les enjeux que soulève la surpopulation </w:t>
      </w:r>
      <w:r w:rsidR="00CE1B29">
        <w:t>de cerfs dans le</w:t>
      </w:r>
      <w:r>
        <w:t xml:space="preserve"> Parc. Membre de la Table, ses travaux l’amènent à consulter des experts et une abondante littérature scientifique</w:t>
      </w:r>
      <w:r>
        <w:rPr>
          <w:rStyle w:val="Appelnotedebasdep"/>
        </w:rPr>
        <w:footnoteReference w:id="164"/>
      </w:r>
      <w:r w:rsidR="00CC1691">
        <w:t>.</w:t>
      </w:r>
    </w:p>
    <w:p w14:paraId="5CD76E91" w14:textId="6BDB8489" w:rsidR="00B2240E" w:rsidRDefault="002B7935" w:rsidP="005A1070">
      <w:pPr>
        <w:pStyle w:val="Paragrsimple"/>
        <w:widowControl w:val="0"/>
      </w:pPr>
      <w:r w:rsidRPr="002B7935">
        <w:t>De manière plus particulière</w:t>
      </w:r>
      <w:r>
        <w:t>,</w:t>
      </w:r>
      <w:r w:rsidRPr="002B7935">
        <w:t xml:space="preserve"> Lamoureux analyse la demande de </w:t>
      </w:r>
      <w:r w:rsidR="00B81038">
        <w:t>P</w:t>
      </w:r>
      <w:r w:rsidRPr="002B7935">
        <w:t xml:space="preserve">ermis </w:t>
      </w:r>
      <w:r w:rsidR="001F02E2" w:rsidRPr="002B7935">
        <w:t xml:space="preserve">SEG </w:t>
      </w:r>
      <w:r w:rsidRPr="002B7935">
        <w:t xml:space="preserve">de la </w:t>
      </w:r>
      <w:r w:rsidR="001F02E2">
        <w:t>V</w:t>
      </w:r>
      <w:r w:rsidRPr="002B7935">
        <w:t xml:space="preserve">ille suivant les critères pertinents </w:t>
      </w:r>
      <w:r w:rsidR="00747C36">
        <w:t>énoncés</w:t>
      </w:r>
      <w:r w:rsidRPr="002B7935">
        <w:t xml:space="preserve"> dans la </w:t>
      </w:r>
      <w:r w:rsidR="001F02E2">
        <w:t>P</w:t>
      </w:r>
      <w:r w:rsidRPr="002B7935">
        <w:t>rocédure</w:t>
      </w:r>
      <w:r w:rsidR="00EC6F2E">
        <w:t>.</w:t>
      </w:r>
    </w:p>
    <w:p w14:paraId="7AA922D9" w14:textId="12CF3937" w:rsidR="00EC6F2E" w:rsidRPr="00EC6F2E" w:rsidRDefault="006F768A" w:rsidP="00F13839">
      <w:pPr>
        <w:pStyle w:val="Titre5"/>
      </w:pPr>
      <w:bookmarkStart w:id="70" w:name="_Toc144367251"/>
      <w:r>
        <w:t>L</w:t>
      </w:r>
      <w:r w:rsidR="00EC6F2E" w:rsidRPr="00EC6F2E">
        <w:t>’efficacité de la méthode</w:t>
      </w:r>
      <w:bookmarkEnd w:id="70"/>
    </w:p>
    <w:p w14:paraId="4D5194D1" w14:textId="3C40C003" w:rsidR="005E78D7" w:rsidRDefault="008C30E0" w:rsidP="005A1070">
      <w:pPr>
        <w:pStyle w:val="Paragrsimple"/>
        <w:widowControl w:val="0"/>
      </w:pPr>
      <w:r w:rsidRPr="008C30E0">
        <w:t xml:space="preserve">Ce premier critère vise à s'assurer de l'efficacité de la méthode préconisée et que les engins proposés </w:t>
      </w:r>
      <w:r w:rsidR="00FE70ED">
        <w:t>conviennent</w:t>
      </w:r>
      <w:r w:rsidRPr="008C30E0">
        <w:t xml:space="preserve"> au</w:t>
      </w:r>
      <w:r w:rsidR="00EF1A6F">
        <w:t>x</w:t>
      </w:r>
      <w:r w:rsidRPr="008C30E0">
        <w:t xml:space="preserve"> but</w:t>
      </w:r>
      <w:r w:rsidR="00EF1A6F">
        <w:t>s</w:t>
      </w:r>
      <w:r w:rsidRPr="008C30E0">
        <w:t xml:space="preserve"> poursuivi</w:t>
      </w:r>
      <w:r w:rsidR="00EF1A6F">
        <w:t>s.</w:t>
      </w:r>
    </w:p>
    <w:p w14:paraId="33521ADE" w14:textId="449CD793" w:rsidR="008A410F" w:rsidRDefault="00CE1B29" w:rsidP="005A1070">
      <w:pPr>
        <w:pStyle w:val="Paragrsimple"/>
        <w:widowControl w:val="0"/>
      </w:pPr>
      <w:r>
        <w:t>À</w:t>
      </w:r>
      <w:r w:rsidR="00B23CAB" w:rsidRPr="00B23CAB">
        <w:t xml:space="preserve"> partir de son expertise</w:t>
      </w:r>
      <w:r w:rsidR="000761E4">
        <w:t>, de ses échanges avec des experts et des intervenants</w:t>
      </w:r>
      <w:r w:rsidR="00B23CAB" w:rsidRPr="00B23CAB">
        <w:t xml:space="preserve"> et de l'abondante </w:t>
      </w:r>
      <w:r w:rsidR="002E49A9">
        <w:t>littérature</w:t>
      </w:r>
      <w:r w:rsidR="00ED6DAB" w:rsidRPr="00ED6DAB">
        <w:t xml:space="preserve"> </w:t>
      </w:r>
      <w:r w:rsidR="00B23CAB" w:rsidRPr="00B23CAB">
        <w:t>consult</w:t>
      </w:r>
      <w:r w:rsidR="002E49A9">
        <w:t>ée</w:t>
      </w:r>
      <w:r>
        <w:t xml:space="preserve">, il conclut que la demande de la Ville </w:t>
      </w:r>
      <w:r w:rsidR="00154721">
        <w:t>satisfait à</w:t>
      </w:r>
      <w:r>
        <w:t xml:space="preserve"> ce critère.</w:t>
      </w:r>
      <w:r w:rsidR="00B23CAB" w:rsidRPr="00B23CAB">
        <w:t xml:space="preserve"> </w:t>
      </w:r>
      <w:r w:rsidR="002E49A9">
        <w:t xml:space="preserve">Plus </w:t>
      </w:r>
      <w:r w:rsidR="00B23CAB" w:rsidRPr="00B23CAB">
        <w:t>particulièrement</w:t>
      </w:r>
      <w:r w:rsidR="002E49A9">
        <w:t>, il s’appuie sur</w:t>
      </w:r>
      <w:r w:rsidR="00B23CAB" w:rsidRPr="00B23CAB">
        <w:t xml:space="preserve"> le rapport de la </w:t>
      </w:r>
      <w:r w:rsidR="002E49A9">
        <w:t>T</w:t>
      </w:r>
      <w:r w:rsidR="00B23CAB" w:rsidRPr="00B23CAB">
        <w:t xml:space="preserve">able et sur le </w:t>
      </w:r>
      <w:r w:rsidR="002E49A9">
        <w:t>P</w:t>
      </w:r>
      <w:r w:rsidR="00B23CAB" w:rsidRPr="00B23CAB">
        <w:t xml:space="preserve">lan de gestion du cerf de </w:t>
      </w:r>
      <w:r w:rsidR="002E49A9">
        <w:t>V</w:t>
      </w:r>
      <w:r w:rsidR="00B23CAB" w:rsidRPr="00B23CAB">
        <w:t xml:space="preserve">irginie au </w:t>
      </w:r>
      <w:r w:rsidR="002E49A9">
        <w:t>Q</w:t>
      </w:r>
      <w:r w:rsidR="00B23CAB" w:rsidRPr="00B23CAB">
        <w:t>uébec 2022</w:t>
      </w:r>
      <w:r w:rsidR="00B81038">
        <w:t>-</w:t>
      </w:r>
      <w:r w:rsidR="002E49A9">
        <w:t>2</w:t>
      </w:r>
      <w:r w:rsidR="00B23CAB" w:rsidRPr="00B23CAB">
        <w:t>027</w:t>
      </w:r>
      <w:r w:rsidR="002E49A9">
        <w:t>.</w:t>
      </w:r>
    </w:p>
    <w:p w14:paraId="70A0E1D3" w14:textId="2BE3076A" w:rsidR="002E49A9" w:rsidRDefault="00C02BB9" w:rsidP="005A1070">
      <w:pPr>
        <w:pStyle w:val="Paragrsimple"/>
        <w:widowControl w:val="0"/>
      </w:pPr>
      <w:r>
        <w:t xml:space="preserve">Du rapport de la Table, Lamoureux </w:t>
      </w:r>
      <w:r w:rsidR="00A906A4" w:rsidRPr="00A906A4">
        <w:t>retien</w:t>
      </w:r>
      <w:r w:rsidR="00484CA0">
        <w:t>t,</w:t>
      </w:r>
      <w:r w:rsidR="00A906A4" w:rsidRPr="00A906A4">
        <w:t xml:space="preserve"> entre autres</w:t>
      </w:r>
      <w:r w:rsidR="00484CA0">
        <w:t>,</w:t>
      </w:r>
      <w:r w:rsidR="00A906A4" w:rsidRPr="00A906A4">
        <w:t xml:space="preserve"> les éléments suivants</w:t>
      </w:r>
      <w:r w:rsidR="00484CA0">
        <w:t> :</w:t>
      </w:r>
    </w:p>
    <w:p w14:paraId="7E171AFE" w14:textId="4C63084B" w:rsidR="007A083C" w:rsidRDefault="007A083C" w:rsidP="007C5E13">
      <w:pPr>
        <w:pStyle w:val="Paragrdouble"/>
        <w:widowControl w:val="0"/>
        <w:numPr>
          <w:ilvl w:val="0"/>
          <w:numId w:val="19"/>
        </w:numPr>
        <w:spacing w:before="0" w:line="240" w:lineRule="auto"/>
        <w:ind w:left="1134" w:hanging="357"/>
      </w:pPr>
      <w:r w:rsidRPr="007A083C">
        <w:t>Il y a urgence à réduire la taille du cheptel</w:t>
      </w:r>
      <w:r w:rsidR="007E2AEE">
        <w:rPr>
          <w:rStyle w:val="Appelnotedebasdep"/>
        </w:rPr>
        <w:footnoteReference w:id="165"/>
      </w:r>
      <w:r w:rsidR="003B204E">
        <w:t>;</w:t>
      </w:r>
    </w:p>
    <w:p w14:paraId="6ACBDAB9" w14:textId="1D28AB27" w:rsidR="00484CA0" w:rsidRDefault="007A083C" w:rsidP="007C5E13">
      <w:pPr>
        <w:pStyle w:val="Paragrdouble"/>
        <w:widowControl w:val="0"/>
        <w:numPr>
          <w:ilvl w:val="0"/>
          <w:numId w:val="19"/>
        </w:numPr>
        <w:spacing w:before="0" w:line="240" w:lineRule="auto"/>
        <w:ind w:left="1134" w:hanging="357"/>
      </w:pPr>
      <w:r>
        <w:t>L</w:t>
      </w:r>
      <w:r w:rsidRPr="007A083C">
        <w:t>a surpopulation de</w:t>
      </w:r>
      <w:r w:rsidR="003B204E">
        <w:t>s</w:t>
      </w:r>
      <w:r w:rsidRPr="007A083C">
        <w:t xml:space="preserve"> </w:t>
      </w:r>
      <w:r w:rsidR="003B204E">
        <w:t>cerfs</w:t>
      </w:r>
      <w:r w:rsidRPr="007A083C">
        <w:t xml:space="preserve"> pose des risques pour la santé humaine et la sécurité des animaux</w:t>
      </w:r>
      <w:r w:rsidR="003B204E">
        <w:t>;</w:t>
      </w:r>
      <w:r w:rsidR="007E2AEE">
        <w:rPr>
          <w:rStyle w:val="Appelnotedebasdep"/>
        </w:rPr>
        <w:footnoteReference w:id="166"/>
      </w:r>
    </w:p>
    <w:p w14:paraId="2B7EB582" w14:textId="68B65A81" w:rsidR="007A083C" w:rsidRDefault="003B204E" w:rsidP="007C5E13">
      <w:pPr>
        <w:pStyle w:val="Paragrdouble"/>
        <w:widowControl w:val="0"/>
        <w:numPr>
          <w:ilvl w:val="0"/>
          <w:numId w:val="19"/>
        </w:numPr>
        <w:spacing w:before="0" w:line="240" w:lineRule="auto"/>
        <w:ind w:left="1134" w:hanging="357"/>
      </w:pPr>
      <w:r>
        <w:t>L</w:t>
      </w:r>
      <w:r w:rsidR="007A083C" w:rsidRPr="007A083C">
        <w:t xml:space="preserve">es membres de la </w:t>
      </w:r>
      <w:r>
        <w:t>T</w:t>
      </w:r>
      <w:r w:rsidR="007A083C" w:rsidRPr="007A083C">
        <w:t xml:space="preserve">able </w:t>
      </w:r>
      <w:r>
        <w:t>o</w:t>
      </w:r>
      <w:r w:rsidR="007A083C" w:rsidRPr="007A083C">
        <w:t>n</w:t>
      </w:r>
      <w:r>
        <w:t>t</w:t>
      </w:r>
      <w:r w:rsidR="007A083C" w:rsidRPr="007A083C">
        <w:t xml:space="preserve"> soigneusement analysé les avantages et les inconvénients associés aux options possibles</w:t>
      </w:r>
      <w:r w:rsidR="005C31C1">
        <w:rPr>
          <w:rStyle w:val="Appelnotedebasdep"/>
        </w:rPr>
        <w:footnoteReference w:id="167"/>
      </w:r>
      <w:r>
        <w:t>;</w:t>
      </w:r>
    </w:p>
    <w:p w14:paraId="32998FAD" w14:textId="32676D7B" w:rsidR="007A083C" w:rsidRDefault="003B204E" w:rsidP="007C5E13">
      <w:pPr>
        <w:pStyle w:val="Paragrdouble"/>
        <w:widowControl w:val="0"/>
        <w:numPr>
          <w:ilvl w:val="0"/>
          <w:numId w:val="19"/>
        </w:numPr>
        <w:spacing w:before="0" w:line="240" w:lineRule="auto"/>
        <w:ind w:left="1134" w:hanging="357"/>
      </w:pPr>
      <w:r>
        <w:t>L</w:t>
      </w:r>
      <w:r w:rsidR="007A083C" w:rsidRPr="007A083C">
        <w:t xml:space="preserve">es membres de la </w:t>
      </w:r>
      <w:r>
        <w:t>T</w:t>
      </w:r>
      <w:r w:rsidR="007A083C" w:rsidRPr="007A083C">
        <w:t xml:space="preserve">able ont exclu la méthode de relocalisation des </w:t>
      </w:r>
      <w:r w:rsidR="00B81038">
        <w:t>cerfs</w:t>
      </w:r>
      <w:r w:rsidR="007A083C" w:rsidRPr="007A083C">
        <w:t xml:space="preserve"> en raison notamment du taux élevé de mortalité des cerfs relocalis</w:t>
      </w:r>
      <w:r>
        <w:t>és</w:t>
      </w:r>
      <w:r w:rsidR="007A083C" w:rsidRPr="007A083C">
        <w:t xml:space="preserve"> et des risques élevés de blessures au</w:t>
      </w:r>
      <w:r>
        <w:t>x</w:t>
      </w:r>
      <w:r w:rsidR="007A083C" w:rsidRPr="007A083C">
        <w:t xml:space="preserve"> cervidé</w:t>
      </w:r>
      <w:r>
        <w:t>s</w:t>
      </w:r>
      <w:r>
        <w:rPr>
          <w:rStyle w:val="Appelnotedebasdep"/>
        </w:rPr>
        <w:footnoteReference w:id="168"/>
      </w:r>
      <w:r>
        <w:t>.</w:t>
      </w:r>
    </w:p>
    <w:p w14:paraId="6E8CC8B7" w14:textId="13EFB42A" w:rsidR="005E5BDA" w:rsidRDefault="00CE1B29" w:rsidP="005A1070">
      <w:pPr>
        <w:pStyle w:val="Paragrsimple"/>
        <w:widowControl w:val="0"/>
      </w:pPr>
      <w:r>
        <w:t xml:space="preserve">Quant à </w:t>
      </w:r>
      <w:r w:rsidR="009229C8" w:rsidRPr="009229C8">
        <w:t>un scénario de relocalisation</w:t>
      </w:r>
      <w:r w:rsidR="00511DF2">
        <w:t>,</w:t>
      </w:r>
      <w:r w:rsidR="009229C8" w:rsidRPr="009229C8">
        <w:t xml:space="preserve"> il relève également la demande de permis S</w:t>
      </w:r>
      <w:r w:rsidR="00511DF2">
        <w:t>E</w:t>
      </w:r>
      <w:r w:rsidR="009229C8" w:rsidRPr="009229C8">
        <w:t xml:space="preserve">G déposée par </w:t>
      </w:r>
      <w:r w:rsidR="00511DF2" w:rsidRPr="009229C8">
        <w:t xml:space="preserve">SSA </w:t>
      </w:r>
      <w:r w:rsidR="009229C8" w:rsidRPr="009229C8">
        <w:t>et qui lui fut refusé</w:t>
      </w:r>
      <w:r w:rsidR="00511DF2">
        <w:t>e</w:t>
      </w:r>
      <w:r w:rsidR="009229C8" w:rsidRPr="009229C8">
        <w:t xml:space="preserve"> en raison de l'impossibilité de fournir un certificat de bons soins aux animaux attestant que son plan opérationnel respectait les impératifs biologiques des cerfs</w:t>
      </w:r>
      <w:r w:rsidR="00502561" w:rsidRPr="00B81038">
        <w:rPr>
          <w:vertAlign w:val="superscript"/>
        </w:rPr>
        <w:footnoteReference w:id="169"/>
      </w:r>
      <w:r w:rsidR="00511DF2">
        <w:t>.</w:t>
      </w:r>
    </w:p>
    <w:p w14:paraId="2173A359" w14:textId="685BDA78" w:rsidR="00511DF2" w:rsidRDefault="0021740F" w:rsidP="005A1070">
      <w:pPr>
        <w:pStyle w:val="Paragrsimple"/>
        <w:widowControl w:val="0"/>
      </w:pPr>
      <w:r>
        <w:t>S</w:t>
      </w:r>
      <w:r w:rsidR="00255166" w:rsidRPr="00255166">
        <w:t>o</w:t>
      </w:r>
      <w:r>
        <w:t>m</w:t>
      </w:r>
      <w:r w:rsidR="00255166" w:rsidRPr="00255166">
        <w:t xml:space="preserve">me </w:t>
      </w:r>
      <w:r>
        <w:t>t</w:t>
      </w:r>
      <w:r w:rsidR="00255166" w:rsidRPr="00255166">
        <w:t>oute</w:t>
      </w:r>
      <w:r>
        <w:t>, il</w:t>
      </w:r>
      <w:r w:rsidR="00255166" w:rsidRPr="00255166">
        <w:t xml:space="preserve"> retient des travaux et du rapport de la </w:t>
      </w:r>
      <w:r w:rsidR="00F1030D">
        <w:t>T</w:t>
      </w:r>
      <w:r w:rsidR="00255166" w:rsidRPr="00255166">
        <w:t>able que ses membres recommandent unanimement l'adoption d'une méthode létale pour</w:t>
      </w:r>
      <w:r w:rsidR="00F1030D">
        <w:t xml:space="preserve"> </w:t>
      </w:r>
      <w:r w:rsidR="00255166" w:rsidRPr="00255166">
        <w:t>r</w:t>
      </w:r>
      <w:r w:rsidR="00F1030D">
        <w:t>é</w:t>
      </w:r>
      <w:r w:rsidR="00255166" w:rsidRPr="00255166">
        <w:t>d</w:t>
      </w:r>
      <w:r w:rsidR="00F1030D">
        <w:t>u</w:t>
      </w:r>
      <w:r w:rsidR="00255166" w:rsidRPr="00255166">
        <w:t>ire la taille du cheptel</w:t>
      </w:r>
      <w:r w:rsidR="00F1030D" w:rsidRPr="00BD3EA0">
        <w:rPr>
          <w:vertAlign w:val="superscript"/>
        </w:rPr>
        <w:footnoteReference w:id="170"/>
      </w:r>
      <w:r w:rsidR="00467730">
        <w:t>.</w:t>
      </w:r>
    </w:p>
    <w:p w14:paraId="196FDDEE" w14:textId="465642A6" w:rsidR="00467730" w:rsidRDefault="00467730" w:rsidP="005A1070">
      <w:pPr>
        <w:pStyle w:val="Paragrsimple"/>
        <w:widowControl w:val="0"/>
      </w:pPr>
      <w:r w:rsidRPr="00467730">
        <w:t>Par ailleurs</w:t>
      </w:r>
      <w:r w:rsidR="000B5D3F">
        <w:t>,</w:t>
      </w:r>
      <w:r w:rsidRPr="00467730">
        <w:t xml:space="preserve"> son analyse s'appuie également sur le </w:t>
      </w:r>
      <w:r w:rsidR="000B5D3F">
        <w:t>P</w:t>
      </w:r>
      <w:r w:rsidRPr="00467730">
        <w:t>lan de gestion du cerf de Virginie au Québec 2022</w:t>
      </w:r>
      <w:r w:rsidR="00BD3EA0">
        <w:t>-</w:t>
      </w:r>
      <w:r w:rsidR="000B5D3F">
        <w:t>2</w:t>
      </w:r>
      <w:r w:rsidRPr="00467730">
        <w:t>027</w:t>
      </w:r>
      <w:r w:rsidR="000B5D3F">
        <w:t>,</w:t>
      </w:r>
      <w:r w:rsidRPr="00467730">
        <w:t xml:space="preserve"> un ouvrage de référence rédigé par </w:t>
      </w:r>
      <w:r w:rsidR="00EC67B0">
        <w:t>deux</w:t>
      </w:r>
      <w:r w:rsidRPr="00467730">
        <w:t xml:space="preserve"> biologistes</w:t>
      </w:r>
      <w:r w:rsidR="00CE1B29">
        <w:t xml:space="preserve"> du MFFP œuvrant</w:t>
      </w:r>
      <w:r w:rsidRPr="00467730">
        <w:t xml:space="preserve"> à la coordination provinciale de la gestion du </w:t>
      </w:r>
      <w:r w:rsidR="00EC67B0">
        <w:t>ce</w:t>
      </w:r>
      <w:r w:rsidRPr="00467730">
        <w:t>rf de Virginie avec la collaboration de 13</w:t>
      </w:r>
      <w:r w:rsidR="00BD3EA0">
        <w:t> </w:t>
      </w:r>
      <w:r w:rsidRPr="00467730">
        <w:t xml:space="preserve">autres biologistes du </w:t>
      </w:r>
      <w:r w:rsidR="00CE1B29">
        <w:t>ministère</w:t>
      </w:r>
      <w:r w:rsidR="003A4397">
        <w:rPr>
          <w:rStyle w:val="Appelnotedebasdep"/>
        </w:rPr>
        <w:footnoteReference w:id="171"/>
      </w:r>
      <w:r w:rsidR="00EC67B0">
        <w:t>.</w:t>
      </w:r>
    </w:p>
    <w:p w14:paraId="61E75248" w14:textId="50FC29D4" w:rsidR="00EC67B0" w:rsidRDefault="00BB4064" w:rsidP="005A1070">
      <w:pPr>
        <w:pStyle w:val="Paragrsimple"/>
        <w:widowControl w:val="0"/>
      </w:pPr>
      <w:r w:rsidRPr="00BB4064">
        <w:t>Ce plan souligne la densité excessive de</w:t>
      </w:r>
      <w:r w:rsidR="006D7E08">
        <w:t xml:space="preserve"> la population de </w:t>
      </w:r>
      <w:r w:rsidRPr="00BB4064">
        <w:t>cerfs dans plusieurs régions</w:t>
      </w:r>
      <w:r w:rsidR="00B577B2">
        <w:t>,</w:t>
      </w:r>
      <w:r w:rsidRPr="00BB4064">
        <w:t xml:space="preserve"> dont celle compren</w:t>
      </w:r>
      <w:r w:rsidR="009D1118">
        <w:t>a</w:t>
      </w:r>
      <w:r w:rsidRPr="00BB4064">
        <w:t xml:space="preserve">nt le </w:t>
      </w:r>
      <w:r w:rsidR="009D1118">
        <w:t>P</w:t>
      </w:r>
      <w:r w:rsidRPr="00BB4064">
        <w:t>arc</w:t>
      </w:r>
      <w:r w:rsidR="003A4397">
        <w:t>,</w:t>
      </w:r>
      <w:r w:rsidRPr="00BB4064">
        <w:t xml:space="preserve"> et documente les nombreu</w:t>
      </w:r>
      <w:r w:rsidR="003A4397">
        <w:t>ses conséquences négatives</w:t>
      </w:r>
      <w:r w:rsidRPr="00BB4064">
        <w:t xml:space="preserve"> qui en résultent</w:t>
      </w:r>
      <w:r w:rsidR="009D1118">
        <w:t xml:space="preserve">. Il </w:t>
      </w:r>
      <w:r w:rsidRPr="00BB4064">
        <w:t>considère également la chasse sportive et la chasse contrôlée comme des outils de gestion efficaces</w:t>
      </w:r>
      <w:r w:rsidR="00D56E60">
        <w:t> :</w:t>
      </w:r>
    </w:p>
    <w:p w14:paraId="75BF0735" w14:textId="29477C24" w:rsidR="007719D6" w:rsidRDefault="007719D6" w:rsidP="00477D5C">
      <w:pPr>
        <w:pStyle w:val="Citationenretrait"/>
        <w:widowControl w:val="0"/>
      </w:pPr>
      <w:r>
        <w:t>« </w:t>
      </w:r>
      <w:r w:rsidRPr="007719D6">
        <w:t>Plus de 100 ans de recherches et d’expériences de gestion aux États-Unis et dans l’est du Canada ont montré que la chasse est la meilleure méthode pour gérer les populations de cerfs de Virginie et qu’elle a des bénéfices écologiques, sociaux et économiques (NECWS et NEDTC, 2009). Lorsque diverses contraintes limitent l’utilisation de la chasse sportive traditionnelle, le Ministère propose la chasse contrôlée comme outil de gestion. La chasse contrôlée est beaucoup plus restrictive que la chasse sportive traditionnelle, car les chasseurs, triés sur le volet, sont dirigés sur le territoire et ils doivent respecter des conditions particulières bien définies (p. ex., types d’engins autorisés, nombre de chasseurs, horaire, emplacement pour le tir). Ce type de chasse peut permettre de résoudre des problématiques de surabondance locale lorsque la chasse sportive normale ne permet pas de réduire les populations ou est difficilement réalisable à cause des particularités du territoire. La chasse contrôlée, lorsqu’elle est réalisée en collaboration avec tous les acteurs du milieu, bénéficie d’une bonne acceptabilité sociale (p. ex., projet-pilote de l’île aux Hérons à Montréal).</w:t>
      </w:r>
      <w:r w:rsidR="003A4397">
        <w:rPr>
          <w:rStyle w:val="Appelnotedebasdep"/>
        </w:rPr>
        <w:footnoteReference w:id="172"/>
      </w:r>
    </w:p>
    <w:p w14:paraId="1DA04272" w14:textId="135A6027" w:rsidR="007719D6" w:rsidRDefault="008C5591" w:rsidP="00F13839">
      <w:pPr>
        <w:pStyle w:val="Titre5"/>
      </w:pPr>
      <w:bookmarkStart w:id="71" w:name="_Toc144367252"/>
      <w:r>
        <w:t xml:space="preserve">La </w:t>
      </w:r>
      <w:r w:rsidRPr="00747C36">
        <w:t>validation</w:t>
      </w:r>
      <w:r>
        <w:t xml:space="preserve"> de la taille de l’échantillonnage</w:t>
      </w:r>
      <w:bookmarkEnd w:id="71"/>
    </w:p>
    <w:p w14:paraId="30DE4DBD" w14:textId="46314922" w:rsidR="008C5591" w:rsidRPr="008C5591" w:rsidRDefault="008C5591" w:rsidP="005A1070">
      <w:pPr>
        <w:pStyle w:val="Paragrsimple"/>
        <w:widowControl w:val="0"/>
        <w:rPr>
          <w:b/>
          <w:bCs/>
        </w:rPr>
      </w:pPr>
      <w:r>
        <w:t>Lamoureux participe à l’inventaire réalisé le 24 février 2022</w:t>
      </w:r>
      <w:r>
        <w:rPr>
          <w:rStyle w:val="Appelnotedebasdep"/>
        </w:rPr>
        <w:footnoteReference w:id="173"/>
      </w:r>
      <w:r>
        <w:t xml:space="preserve">. </w:t>
      </w:r>
      <w:r w:rsidR="00FE70ED">
        <w:t>I</w:t>
      </w:r>
      <w:r>
        <w:t>l explique en détail le protocole suivi et validé par le Rapport Cadieux-de Bellefeuille</w:t>
      </w:r>
      <w:r>
        <w:rPr>
          <w:rStyle w:val="Appelnotedebasdep"/>
        </w:rPr>
        <w:footnoteReference w:id="174"/>
      </w:r>
      <w:r>
        <w:t xml:space="preserve"> auquel le Tribunal a déjà accordé une grande valeur probante.</w:t>
      </w:r>
    </w:p>
    <w:p w14:paraId="0FA3C288" w14:textId="739989F8" w:rsidR="008C5591" w:rsidRPr="008C5591" w:rsidRDefault="008C5591" w:rsidP="005A1070">
      <w:pPr>
        <w:pStyle w:val="Paragrsimple"/>
        <w:widowControl w:val="0"/>
        <w:rPr>
          <w:b/>
          <w:bCs/>
        </w:rPr>
      </w:pPr>
      <w:r>
        <w:t>Cet inventaire permet de dénombrer la présence de 10</w:t>
      </w:r>
      <w:r w:rsidR="00E078B0">
        <w:t>8</w:t>
      </w:r>
      <w:r>
        <w:t xml:space="preserve"> cerfs dans le Parc. À ce nombre, Lamoureux considère que plusieurs autres s’ajouteraient au printemps 2022. En effet, la littérature scientifique qu’il consulte suggère un tau</w:t>
      </w:r>
      <w:r w:rsidR="00CE1B29">
        <w:t>x</w:t>
      </w:r>
      <w:r>
        <w:t xml:space="preserve"> de gestation chez les femelles adultes de 85.8% et qu’une biche peut donner naissance à 1 à 3 faons par portée</w:t>
      </w:r>
      <w:r>
        <w:rPr>
          <w:rStyle w:val="Appelnotedebasdep"/>
        </w:rPr>
        <w:footnoteReference w:id="175"/>
      </w:r>
      <w:r>
        <w:t>.</w:t>
      </w:r>
    </w:p>
    <w:p w14:paraId="26F3AD30" w14:textId="5DF8303F" w:rsidR="008C5591" w:rsidRPr="00696B49" w:rsidRDefault="008C5591" w:rsidP="005A1070">
      <w:pPr>
        <w:pStyle w:val="Paragrsimple"/>
        <w:widowControl w:val="0"/>
        <w:rPr>
          <w:b/>
          <w:bCs/>
        </w:rPr>
      </w:pPr>
      <w:r>
        <w:t>S’appuyant à nouveau sur la littérature scientifique</w:t>
      </w:r>
      <w:r w:rsidR="00696B49">
        <w:t>, il conclut que le nombre de cerfs dépasse largement la capacité de support du Parc établie à environ 10 à 15 cerfs</w:t>
      </w:r>
      <w:r w:rsidR="00696B49">
        <w:rPr>
          <w:rStyle w:val="Appelnotedebasdep"/>
        </w:rPr>
        <w:footnoteReference w:id="176"/>
      </w:r>
      <w:r w:rsidR="00696B49">
        <w:t>, conclusion à laquelle en arrive la Table</w:t>
      </w:r>
      <w:r w:rsidR="00696B49">
        <w:rPr>
          <w:rStyle w:val="Appelnotedebasdep"/>
        </w:rPr>
        <w:footnoteReference w:id="177"/>
      </w:r>
      <w:r w:rsidR="00696B49">
        <w:t>. C’est pourquoi il recomm</w:t>
      </w:r>
      <w:r w:rsidR="00CE1B29">
        <w:t>a</w:t>
      </w:r>
      <w:r w:rsidR="00696B49">
        <w:t>n</w:t>
      </w:r>
      <w:r w:rsidR="00CE1B29">
        <w:t>d</w:t>
      </w:r>
      <w:r w:rsidR="00696B49">
        <w:t>e d’autoriser une récolte maximale de 100 cerfs à l’intérieur d’une période de six mois</w:t>
      </w:r>
      <w:r w:rsidR="00696B49">
        <w:rPr>
          <w:rStyle w:val="Appelnotedebasdep"/>
        </w:rPr>
        <w:footnoteReference w:id="178"/>
      </w:r>
      <w:r w:rsidR="00696B49">
        <w:t>.</w:t>
      </w:r>
    </w:p>
    <w:p w14:paraId="368B5750" w14:textId="05183494" w:rsidR="00696B49" w:rsidRDefault="00F93CD0" w:rsidP="00F13839">
      <w:pPr>
        <w:pStyle w:val="Titre5"/>
      </w:pPr>
      <w:bookmarkStart w:id="72" w:name="_Toc144367253"/>
      <w:r>
        <w:t xml:space="preserve">La </w:t>
      </w:r>
      <w:r w:rsidRPr="00747C36">
        <w:t>vérification</w:t>
      </w:r>
      <w:r>
        <w:t xml:space="preserve"> des mesures préventives ou correctrices</w:t>
      </w:r>
      <w:bookmarkEnd w:id="72"/>
    </w:p>
    <w:p w14:paraId="0CA5C432" w14:textId="5007005D" w:rsidR="00F93CD0" w:rsidRPr="00F93CD0" w:rsidRDefault="00F93CD0" w:rsidP="005A1070">
      <w:pPr>
        <w:pStyle w:val="Paragrsimple"/>
        <w:widowControl w:val="0"/>
        <w:rPr>
          <w:b/>
          <w:bCs/>
        </w:rPr>
      </w:pPr>
      <w:r>
        <w:t>Lamoureux détaille son analyse des mesures préventives ou correctrices prises</w:t>
      </w:r>
      <w:r w:rsidR="00E078B0">
        <w:t xml:space="preserve"> ou envisagées</w:t>
      </w:r>
      <w:r>
        <w:t xml:space="preserve"> afin d’éliminer la source des problèmes rencontrés avec les cerfs. Il note ainsi les deux permis SEG antérieurement délivrés à la Ville et la demande de permis SEG formulée par SSA, </w:t>
      </w:r>
      <w:r w:rsidR="00CE1B29">
        <w:t>aucune</w:t>
      </w:r>
      <w:r>
        <w:t xml:space="preserve"> </w:t>
      </w:r>
      <w:r w:rsidR="00CE1B29">
        <w:t>d</w:t>
      </w:r>
      <w:r>
        <w:t>es trois n’ayant pu être mise en œuvre</w:t>
      </w:r>
      <w:r>
        <w:rPr>
          <w:rStyle w:val="Appelnotedebasdep"/>
        </w:rPr>
        <w:footnoteReference w:id="179"/>
      </w:r>
      <w:r>
        <w:t>.</w:t>
      </w:r>
    </w:p>
    <w:p w14:paraId="55D362D9" w14:textId="19D0BB3F" w:rsidR="00F93CD0" w:rsidRPr="00F93CD0" w:rsidRDefault="00F93CD0" w:rsidP="005A1070">
      <w:pPr>
        <w:pStyle w:val="Paragrsimple"/>
        <w:widowControl w:val="0"/>
        <w:rPr>
          <w:b/>
          <w:bCs/>
        </w:rPr>
      </w:pPr>
      <w:r>
        <w:t>Sa participation aux travaux de la Table lui permet de prendre connaissance du Plan qui énumère les nombreuses mesures mises en place par la Ville, sans succès</w:t>
      </w:r>
      <w:r>
        <w:rPr>
          <w:rStyle w:val="Appelnotedebasdep"/>
        </w:rPr>
        <w:footnoteReference w:id="180"/>
      </w:r>
      <w:r>
        <w:t>. Elle lui permet également de constater les différents scénarios envisagés par la Ville pour corriger la situation tels que :</w:t>
      </w:r>
    </w:p>
    <w:p w14:paraId="77AC2830" w14:textId="7F502FCA" w:rsidR="00F93CD0" w:rsidRDefault="00F93CD0" w:rsidP="007C5E13">
      <w:pPr>
        <w:pStyle w:val="Paragrdouble"/>
        <w:widowControl w:val="0"/>
        <w:numPr>
          <w:ilvl w:val="0"/>
          <w:numId w:val="19"/>
        </w:numPr>
        <w:spacing w:before="0" w:line="240" w:lineRule="auto"/>
        <w:ind w:left="1134" w:hanging="357"/>
      </w:pPr>
      <w:r>
        <w:t>l</w:t>
      </w:r>
      <w:r w:rsidRPr="00F93CD0">
        <w:t xml:space="preserve">a création </w:t>
      </w:r>
      <w:r>
        <w:t>de corridors migratoires;</w:t>
      </w:r>
    </w:p>
    <w:p w14:paraId="42466134" w14:textId="4E07C59F" w:rsidR="00F93CD0" w:rsidRDefault="00F93CD0" w:rsidP="007C5E13">
      <w:pPr>
        <w:pStyle w:val="Paragrdouble"/>
        <w:widowControl w:val="0"/>
        <w:numPr>
          <w:ilvl w:val="0"/>
          <w:numId w:val="19"/>
        </w:numPr>
        <w:spacing w:before="0" w:line="240" w:lineRule="auto"/>
        <w:ind w:left="1134" w:hanging="357"/>
      </w:pPr>
      <w:r>
        <w:t>l’installation d’enclos ou d’exclos;</w:t>
      </w:r>
    </w:p>
    <w:p w14:paraId="1B354CD7" w14:textId="5AFA45E3" w:rsidR="00F93CD0" w:rsidRDefault="00F93CD0" w:rsidP="007C5E13">
      <w:pPr>
        <w:pStyle w:val="Paragrdouble"/>
        <w:widowControl w:val="0"/>
        <w:numPr>
          <w:ilvl w:val="0"/>
          <w:numId w:val="19"/>
        </w:numPr>
        <w:spacing w:before="0" w:line="240" w:lineRule="auto"/>
        <w:ind w:left="1134" w:hanging="357"/>
      </w:pPr>
      <w:r>
        <w:t>le nourrissage artificiel des cerfs;</w:t>
      </w:r>
    </w:p>
    <w:p w14:paraId="4E57ECFB" w14:textId="6736BC06" w:rsidR="00F93CD0" w:rsidRDefault="00F93CD0" w:rsidP="007C5E13">
      <w:pPr>
        <w:pStyle w:val="Paragrdouble"/>
        <w:widowControl w:val="0"/>
        <w:numPr>
          <w:ilvl w:val="0"/>
          <w:numId w:val="19"/>
        </w:numPr>
        <w:spacing w:before="0" w:line="240" w:lineRule="auto"/>
        <w:ind w:left="1134" w:hanging="357"/>
      </w:pPr>
      <w:r>
        <w:t>la stérilisation ou la relocalisation des cerfs;</w:t>
      </w:r>
    </w:p>
    <w:p w14:paraId="39D82798" w14:textId="3DF247DC" w:rsidR="00F93CD0" w:rsidRDefault="00F93CD0" w:rsidP="007C5E13">
      <w:pPr>
        <w:pStyle w:val="Paragrdouble"/>
        <w:widowControl w:val="0"/>
        <w:numPr>
          <w:ilvl w:val="0"/>
          <w:numId w:val="19"/>
        </w:numPr>
        <w:spacing w:before="0" w:line="240" w:lineRule="auto"/>
        <w:ind w:left="1134" w:hanging="357"/>
      </w:pPr>
      <w:r>
        <w:t>l’emploi de méthodes létales pour réduire leur nombre</w:t>
      </w:r>
      <w:r>
        <w:rPr>
          <w:rStyle w:val="Appelnotedebasdep"/>
        </w:rPr>
        <w:footnoteReference w:id="181"/>
      </w:r>
      <w:r>
        <w:t>.</w:t>
      </w:r>
    </w:p>
    <w:p w14:paraId="12BB9A11" w14:textId="6B5B6AC7" w:rsidR="00F93CD0" w:rsidRDefault="009F174E" w:rsidP="005A1070">
      <w:pPr>
        <w:pStyle w:val="Paragrsimple"/>
        <w:widowControl w:val="0"/>
      </w:pPr>
      <w:r>
        <w:t>Dans le cadre de son analyse, il considère la littérature scientifique</w:t>
      </w:r>
      <w:r w:rsidR="000216D1">
        <w:rPr>
          <w:rStyle w:val="Appelnotedebasdep"/>
        </w:rPr>
        <w:footnoteReference w:id="182"/>
      </w:r>
      <w:r w:rsidR="000216D1">
        <w:t xml:space="preserve"> pour évaluer si la relocalisation pourrait s’avérer une alternative possible à une solution létale. À l’instar de la Table, il conclut à l’inefficacité de cette solution notamment en raison des risques élevés de stress, de blessures et de mortalité pour l’animal</w:t>
      </w:r>
      <w:r w:rsidR="000216D1">
        <w:rPr>
          <w:rStyle w:val="Appelnotedebasdep"/>
        </w:rPr>
        <w:footnoteReference w:id="183"/>
      </w:r>
      <w:r w:rsidR="000216D1">
        <w:t>.</w:t>
      </w:r>
    </w:p>
    <w:p w14:paraId="2D1C33C1" w14:textId="4A351A58" w:rsidR="000216D1" w:rsidRDefault="000216D1" w:rsidP="005A1070">
      <w:pPr>
        <w:pStyle w:val="Paragrsimple"/>
        <w:widowControl w:val="0"/>
      </w:pPr>
      <w:r>
        <w:t xml:space="preserve">Aussi, bien qu’il la considère, il exclut également la garde en captivité des cerfs. Selon la littérature scientifique qu’il consulte, elle expose l’animal à des risques élevés de myopathie musculaire. De plus, le nombre </w:t>
      </w:r>
      <w:r w:rsidR="00CB00DC">
        <w:t>de sites de garde est très limité et il n’en connaît aucun pouvant accueillir 100 cerfs</w:t>
      </w:r>
      <w:r w:rsidR="00CB00DC">
        <w:rPr>
          <w:rStyle w:val="Appelnotedebasdep"/>
        </w:rPr>
        <w:footnoteReference w:id="184"/>
      </w:r>
      <w:r w:rsidR="00CB00DC">
        <w:t>.</w:t>
      </w:r>
    </w:p>
    <w:p w14:paraId="7240901C" w14:textId="360A3190" w:rsidR="00CB00DC" w:rsidRDefault="00CB00DC" w:rsidP="005A1070">
      <w:pPr>
        <w:pStyle w:val="Paragrsimple"/>
        <w:widowControl w:val="0"/>
      </w:pPr>
      <w:r>
        <w:t xml:space="preserve">Enfin, il considère la mise en œuvre d’un programme de stérilisation pour freiner la croissance du cheptel, un scénario également envisagé par la Table. Toutefois, les études scientifiques qu’il </w:t>
      </w:r>
      <w:r w:rsidR="00CE1B29">
        <w:t>consulte</w:t>
      </w:r>
      <w:r>
        <w:t xml:space="preserve"> préconisent une réduction du cheptel préalablement à la stérilisation</w:t>
      </w:r>
      <w:r>
        <w:rPr>
          <w:rStyle w:val="Appelnotedebasdep"/>
        </w:rPr>
        <w:footnoteReference w:id="185"/>
      </w:r>
      <w:r>
        <w:t>.</w:t>
      </w:r>
    </w:p>
    <w:p w14:paraId="073444CE" w14:textId="35B2EC0A" w:rsidR="00CB00DC" w:rsidRPr="003376A3" w:rsidRDefault="003376A3" w:rsidP="00F13839">
      <w:pPr>
        <w:pStyle w:val="Titre5"/>
      </w:pPr>
      <w:bookmarkStart w:id="73" w:name="_Toc144367254"/>
      <w:r w:rsidRPr="003376A3">
        <w:t>L’éthique et le bien-être animal</w:t>
      </w:r>
      <w:bookmarkEnd w:id="73"/>
    </w:p>
    <w:p w14:paraId="16D986D2" w14:textId="470A1AB5" w:rsidR="00057D67" w:rsidRPr="00861476" w:rsidRDefault="00861476" w:rsidP="005A1070">
      <w:pPr>
        <w:pStyle w:val="Paragrsimple"/>
        <w:widowControl w:val="0"/>
        <w:rPr>
          <w:b/>
          <w:bCs/>
        </w:rPr>
      </w:pPr>
      <w:r>
        <w:t>Ce critère vise à s’assurer que les manipulations réalisées dans le cadre d’un permis SEG ne compromettent pas de façon importante le bien-être de l’animal, et ce, peu importe la catégorie du permis délivré</w:t>
      </w:r>
      <w:r w:rsidR="00FE70ED">
        <w:t xml:space="preserve">, </w:t>
      </w:r>
      <w:r>
        <w:t>scientifique, éducative ou de gestion de la faune.</w:t>
      </w:r>
    </w:p>
    <w:p w14:paraId="3B7E0039" w14:textId="6B438AC8" w:rsidR="00861476" w:rsidRPr="000B4BB5" w:rsidRDefault="008B7512" w:rsidP="005A1070">
      <w:pPr>
        <w:pStyle w:val="Paragrsimple"/>
        <w:widowControl w:val="0"/>
        <w:rPr>
          <w:b/>
          <w:bCs/>
        </w:rPr>
      </w:pPr>
      <w:r>
        <w:t xml:space="preserve">Aussi, </w:t>
      </w:r>
      <w:r w:rsidR="00E078B0">
        <w:t xml:space="preserve">puisque </w:t>
      </w:r>
      <w:r>
        <w:t>la chasse contrôlée à l’arbalète ne nécessit</w:t>
      </w:r>
      <w:r w:rsidR="00E078B0">
        <w:t>e</w:t>
      </w:r>
      <w:r>
        <w:t xml:space="preserve"> aucune manipulation ou aucun soin </w:t>
      </w:r>
      <w:r w:rsidR="000B4BB5">
        <w:t xml:space="preserve">de l’animal alors vivant, </w:t>
      </w:r>
      <w:r w:rsidR="00E078B0">
        <w:t>Lamoureux conclut qu’elle</w:t>
      </w:r>
      <w:r w:rsidR="000B4BB5">
        <w:t xml:space="preserve"> ne requiert pas l’obtention d’un certificat de bons soins préalablement à la délivrance d’un permis SEG.</w:t>
      </w:r>
    </w:p>
    <w:p w14:paraId="6F5062FE" w14:textId="6DBE9F62" w:rsidR="000B4BB5" w:rsidRPr="000B4BB5" w:rsidRDefault="000B4BB5" w:rsidP="005A1070">
      <w:pPr>
        <w:pStyle w:val="Paragrsimple"/>
        <w:widowControl w:val="0"/>
        <w:rPr>
          <w:b/>
          <w:bCs/>
        </w:rPr>
      </w:pPr>
      <w:r>
        <w:t>À cet égard, dans son analyse, Lamoureux considère d’abord que l’usage de l’arbalète est un moyen de chasse largement répandu et autorisé par la LCMVF et le Règlement</w:t>
      </w:r>
      <w:r>
        <w:rPr>
          <w:rStyle w:val="Appelnotedebasdep"/>
        </w:rPr>
        <w:footnoteReference w:id="186"/>
      </w:r>
      <w:r>
        <w:t>. Pour s’assurer de réduire les souffrances animales et assurer un</w:t>
      </w:r>
      <w:r w:rsidR="00CE1B29">
        <w:t>e</w:t>
      </w:r>
      <w:r>
        <w:t xml:space="preserve"> mort rapide des cerfs, il recommande d'intégrer plusieurs conditions au permis de chasse après avoir sollicité</w:t>
      </w:r>
      <w:r w:rsidR="00E078B0">
        <w:t>,</w:t>
      </w:r>
      <w:r>
        <w:t xml:space="preserve"> </w:t>
      </w:r>
      <w:r w:rsidR="00E078B0">
        <w:t xml:space="preserve">par l’entremise d’une collègue, </w:t>
      </w:r>
      <w:r>
        <w:t>l’avis d’experts en grande faune et en utilisation de l’arbalète. Parmi ces conditions figurent les suivantes :</w:t>
      </w:r>
    </w:p>
    <w:p w14:paraId="4824065D" w14:textId="5BA17559" w:rsidR="000B4BB5" w:rsidRDefault="000B4BB5" w:rsidP="007C5E13">
      <w:pPr>
        <w:pStyle w:val="Paragrdouble"/>
        <w:widowControl w:val="0"/>
        <w:numPr>
          <w:ilvl w:val="0"/>
          <w:numId w:val="19"/>
        </w:numPr>
        <w:spacing w:before="0" w:line="240" w:lineRule="auto"/>
        <w:ind w:left="1134" w:hanging="357"/>
      </w:pPr>
      <w:r w:rsidRPr="000B4BB5">
        <w:t>L’</w:t>
      </w:r>
      <w:r>
        <w:t>opération de chasse contrôlée doit être réalisée par bloc de X</w:t>
      </w:r>
      <w:r w:rsidR="00D25990">
        <w:rPr>
          <w:rStyle w:val="Appelnotedebasdep"/>
        </w:rPr>
        <w:footnoteReference w:id="187"/>
      </w:r>
      <w:r w:rsidR="00D25990">
        <w:t xml:space="preserve"> </w:t>
      </w:r>
      <w:r>
        <w:t>jours avec période de pause minimale de X</w:t>
      </w:r>
      <w:r w:rsidR="00D25990">
        <w:t xml:space="preserve"> </w:t>
      </w:r>
      <w:r>
        <w:t xml:space="preserve">entre chaque bloc afin d’éviter que les cerfs modifient leur comportement </w:t>
      </w:r>
      <w:r w:rsidR="00E56D08">
        <w:t xml:space="preserve">en raison de la présence des chasseurs, permettant </w:t>
      </w:r>
      <w:r w:rsidR="00D25990">
        <w:t xml:space="preserve">ainsi </w:t>
      </w:r>
      <w:r w:rsidR="00E56D08">
        <w:t xml:space="preserve">à ces derniers de tirer </w:t>
      </w:r>
      <w:r w:rsidR="00CE1B29">
        <w:t>à courte distance</w:t>
      </w:r>
      <w:r w:rsidR="00E56D08">
        <w:rPr>
          <w:rStyle w:val="Appelnotedebasdep"/>
        </w:rPr>
        <w:footnoteReference w:id="188"/>
      </w:r>
      <w:r w:rsidR="00E56D08">
        <w:t>;</w:t>
      </w:r>
    </w:p>
    <w:p w14:paraId="607CC58A" w14:textId="13BF0DF0" w:rsidR="00E56D08" w:rsidRDefault="00E56D08" w:rsidP="007C5E13">
      <w:pPr>
        <w:pStyle w:val="Paragrdouble"/>
        <w:widowControl w:val="0"/>
        <w:numPr>
          <w:ilvl w:val="0"/>
          <w:numId w:val="19"/>
        </w:numPr>
        <w:spacing w:before="0" w:line="240" w:lineRule="auto"/>
        <w:ind w:left="1134" w:hanging="357"/>
      </w:pPr>
      <w:r>
        <w:t>Fermeture du Parc au public avec présence policière. Outre des considérations de sécurité publique, cette condition permet d’éviter des distractions aux chasseurs ou de faire fuir les cerfs</w:t>
      </w:r>
      <w:r>
        <w:rPr>
          <w:rStyle w:val="Appelnotedebasdep"/>
        </w:rPr>
        <w:footnoteReference w:id="189"/>
      </w:r>
      <w:r>
        <w:t>;</w:t>
      </w:r>
    </w:p>
    <w:p w14:paraId="5E6E5E21" w14:textId="34801AAE" w:rsidR="00E56D08" w:rsidRDefault="00E56D08" w:rsidP="007C5E13">
      <w:pPr>
        <w:pStyle w:val="Paragrdouble"/>
        <w:widowControl w:val="0"/>
        <w:numPr>
          <w:ilvl w:val="0"/>
          <w:numId w:val="19"/>
        </w:numPr>
        <w:spacing w:before="0" w:line="240" w:lineRule="auto"/>
        <w:ind w:left="1134" w:hanging="357"/>
      </w:pPr>
      <w:r>
        <w:t>Sites prédéterminés pour l’a</w:t>
      </w:r>
      <w:r w:rsidR="00CE1B29">
        <w:t>pp</w:t>
      </w:r>
      <w:r w:rsidR="00007292">
        <w:t>â</w:t>
      </w:r>
      <w:r w:rsidR="00CE1B29">
        <w:t>t</w:t>
      </w:r>
      <w:r>
        <w:t>age permettant d’immobiliser l’animal offrant ainsi des conditions optimales pour un tir précis et efficace</w:t>
      </w:r>
      <w:r>
        <w:rPr>
          <w:rStyle w:val="Appelnotedebasdep"/>
        </w:rPr>
        <w:footnoteReference w:id="190"/>
      </w:r>
      <w:r>
        <w:t>;</w:t>
      </w:r>
    </w:p>
    <w:p w14:paraId="62228717" w14:textId="6D46789D" w:rsidR="00B64D71" w:rsidRDefault="00E56D08" w:rsidP="00C7539F">
      <w:pPr>
        <w:pStyle w:val="Paragrdouble"/>
        <w:keepNext/>
        <w:numPr>
          <w:ilvl w:val="0"/>
          <w:numId w:val="19"/>
        </w:numPr>
        <w:spacing w:before="0" w:line="240" w:lineRule="auto"/>
        <w:ind w:left="1134" w:hanging="357"/>
      </w:pPr>
      <w:r>
        <w:t>Pour assurer un tir précis causant une mort rapide</w:t>
      </w:r>
      <w:r w:rsidR="00CE1B29">
        <w:t>,</w:t>
      </w:r>
      <w:r>
        <w:t xml:space="preserve"> </w:t>
      </w:r>
      <w:r w:rsidR="00CE1B29">
        <w:t>l</w:t>
      </w:r>
      <w:r>
        <w:t>es cerfs doivent être abattus à une distance maximale de X soit bien en deçà de la port</w:t>
      </w:r>
      <w:r w:rsidR="00CE1B29">
        <w:t>é</w:t>
      </w:r>
      <w:r>
        <w:t>e</w:t>
      </w:r>
      <w:r w:rsidR="00CE1B29">
        <w:t xml:space="preserve"> habituellement</w:t>
      </w:r>
      <w:r>
        <w:t xml:space="preserve"> jugée efficace</w:t>
      </w:r>
      <w:r>
        <w:rPr>
          <w:rStyle w:val="Appelnotedebasdep"/>
        </w:rPr>
        <w:footnoteReference w:id="191"/>
      </w:r>
      <w:r>
        <w:t>;</w:t>
      </w:r>
    </w:p>
    <w:p w14:paraId="4AEAD673" w14:textId="0BDFB6BA" w:rsidR="00E56D08" w:rsidRDefault="00E56D08" w:rsidP="00C7539F">
      <w:pPr>
        <w:pStyle w:val="Paragrdouble"/>
        <w:keepNext/>
        <w:numPr>
          <w:ilvl w:val="0"/>
          <w:numId w:val="19"/>
        </w:numPr>
        <w:spacing w:before="0" w:line="240" w:lineRule="auto"/>
        <w:ind w:left="1134" w:hanging="357"/>
      </w:pPr>
      <w:r>
        <w:t>Par mesure préventive, un conducteur de chien de sang doit accompagner les chasseurs pour repérer rapidement la bête qu</w:t>
      </w:r>
      <w:r w:rsidR="00CE1B29">
        <w:t>i pou</w:t>
      </w:r>
      <w:r>
        <w:t>r</w:t>
      </w:r>
      <w:r w:rsidR="00CE1B29">
        <w:t>r</w:t>
      </w:r>
      <w:r>
        <w:t>ait surv</w:t>
      </w:r>
      <w:r w:rsidR="00CE1B29">
        <w:t>ivre</w:t>
      </w:r>
      <w:r>
        <w:t xml:space="preserve"> au tir initial</w:t>
      </w:r>
      <w:r>
        <w:rPr>
          <w:rStyle w:val="Appelnotedebasdep"/>
        </w:rPr>
        <w:footnoteReference w:id="192"/>
      </w:r>
      <w:r>
        <w:t>.</w:t>
      </w:r>
    </w:p>
    <w:p w14:paraId="3264D040" w14:textId="554A55DD" w:rsidR="00E56D08" w:rsidRDefault="00E56D08" w:rsidP="005A1070">
      <w:pPr>
        <w:pStyle w:val="Paragrsimple"/>
        <w:widowControl w:val="0"/>
      </w:pPr>
      <w:r>
        <w:t>Par ailleurs, Lamoureux s’assure également de l’expertise des chasseurs mandatés</w:t>
      </w:r>
      <w:r>
        <w:rPr>
          <w:rStyle w:val="Appelnotedebasdep"/>
        </w:rPr>
        <w:footnoteReference w:id="193"/>
      </w:r>
      <w:r>
        <w:t>. Selon le témoignage de l’un d’entre eux, les membres de l’équipe retenue ont plus de 15 ans d’expérience de chasse à l’arbalète</w:t>
      </w:r>
      <w:r w:rsidR="00520274">
        <w:t xml:space="preserve"> et </w:t>
      </w:r>
      <w:r w:rsidR="0052070B">
        <w:t xml:space="preserve">chacun d’eux s’est équipé d’un engin neuf </w:t>
      </w:r>
      <w:r w:rsidR="00CE1B29">
        <w:t>muni</w:t>
      </w:r>
      <w:r w:rsidR="0052070B">
        <w:t xml:space="preserve"> d’une lunette de visée</w:t>
      </w:r>
      <w:r>
        <w:rPr>
          <w:rStyle w:val="Appelnotedebasdep"/>
        </w:rPr>
        <w:footnoteReference w:id="194"/>
      </w:r>
      <w:r w:rsidR="0052070B">
        <w:t>.</w:t>
      </w:r>
    </w:p>
    <w:p w14:paraId="5629F84A" w14:textId="7F45898C" w:rsidR="0052070B" w:rsidRDefault="00C02BB9" w:rsidP="005A1070">
      <w:pPr>
        <w:pStyle w:val="Paragrsimple"/>
        <w:widowControl w:val="0"/>
      </w:pPr>
      <w:r>
        <w:t>De plus, c</w:t>
      </w:r>
      <w:r w:rsidR="0052070B">
        <w:t>e même chasseur affirme également qu’à la distance autorisée, l’arbalète est plus facile à utiliser et aussi efficace qu’un fusil</w:t>
      </w:r>
      <w:r w:rsidR="00520274">
        <w:t xml:space="preserve"> et qu’</w:t>
      </w:r>
      <w:r w:rsidR="0052070B">
        <w:t>un tir à l’arbalète entraîne une mort rapide</w:t>
      </w:r>
      <w:r w:rsidR="0052070B">
        <w:rPr>
          <w:rStyle w:val="Appelnotedebasdep"/>
        </w:rPr>
        <w:footnoteReference w:id="195"/>
      </w:r>
      <w:r w:rsidR="0052070B">
        <w:t>.</w:t>
      </w:r>
    </w:p>
    <w:p w14:paraId="77ADAAEE" w14:textId="6E199311" w:rsidR="0052070B" w:rsidRDefault="0052070B" w:rsidP="005A1070">
      <w:pPr>
        <w:pStyle w:val="Paragrsimple"/>
        <w:widowControl w:val="0"/>
      </w:pPr>
      <w:r>
        <w:t>Enfin, il ajoute qu’il n’a jamais raté un tir lors d’une chasse à l’arbalète et n’a jamais eu à utiliser plus d’une flèche pour atteindre un animal</w:t>
      </w:r>
      <w:r w:rsidR="00CC1691">
        <w:rPr>
          <w:rStyle w:val="Appelnotedebasdep"/>
        </w:rPr>
        <w:footnoteReference w:id="196"/>
      </w:r>
      <w:r>
        <w:t>.</w:t>
      </w:r>
    </w:p>
    <w:p w14:paraId="4588DC35" w14:textId="33D4374A" w:rsidR="00D47A26" w:rsidRPr="00466307" w:rsidRDefault="00466307" w:rsidP="00F13839">
      <w:pPr>
        <w:pStyle w:val="Titre4"/>
      </w:pPr>
      <w:bookmarkStart w:id="74" w:name="_Toc144367255"/>
      <w:bookmarkEnd w:id="3"/>
      <w:r w:rsidRPr="00466307">
        <w:t>Discussion</w:t>
      </w:r>
      <w:bookmarkEnd w:id="74"/>
    </w:p>
    <w:p w14:paraId="2B6098D7" w14:textId="42FC8FEA" w:rsidR="00466307" w:rsidRDefault="00720174" w:rsidP="005A1070">
      <w:pPr>
        <w:pStyle w:val="Paragrsimple"/>
        <w:widowControl w:val="0"/>
      </w:pPr>
      <w:r>
        <w:t xml:space="preserve">Le Tribunal </w:t>
      </w:r>
      <w:r w:rsidR="00007292">
        <w:t>conclut</w:t>
      </w:r>
      <w:r>
        <w:t xml:space="preserve"> que les demandeurs et </w:t>
      </w:r>
      <w:r w:rsidR="00CC3FCD">
        <w:t>la SPCA</w:t>
      </w:r>
      <w:r>
        <w:t xml:space="preserve"> </w:t>
      </w:r>
      <w:r w:rsidR="00007292">
        <w:t>ne démontrent</w:t>
      </w:r>
      <w:r>
        <w:t xml:space="preserve"> </w:t>
      </w:r>
      <w:r w:rsidR="00007292">
        <w:t xml:space="preserve">pas </w:t>
      </w:r>
      <w:r>
        <w:t>que la Résolution et la délivrance du Permis SEG sont déraisonnables. Ces décisions figurent parmi les issues possibles en regard des contraintes factuelles et juridiques qui s’imposaient à la Ville et au MFFP.</w:t>
      </w:r>
    </w:p>
    <w:p w14:paraId="34206551" w14:textId="37A5C115" w:rsidR="008C6899" w:rsidRDefault="008C6899" w:rsidP="005A1070">
      <w:pPr>
        <w:pStyle w:val="Paragrsimple"/>
        <w:widowControl w:val="0"/>
      </w:pPr>
      <w:r>
        <w:t xml:space="preserve">Fondamentalement, </w:t>
      </w:r>
      <w:r w:rsidR="00007292">
        <w:t>ils</w:t>
      </w:r>
      <w:r>
        <w:t xml:space="preserve"> plaident que la Résolution et la délivrance du Permis SEG sont déraisonnables parce que contraire</w:t>
      </w:r>
      <w:r w:rsidR="00154721">
        <w:t>s</w:t>
      </w:r>
      <w:r>
        <w:t xml:space="preserve"> à l’art</w:t>
      </w:r>
      <w:r w:rsidR="00F9348A">
        <w:t>icle</w:t>
      </w:r>
      <w:r>
        <w:t xml:space="preserve"> 898.1 C.c.Q.</w:t>
      </w:r>
    </w:p>
    <w:p w14:paraId="5F551A1F" w14:textId="28D374B0" w:rsidR="008C6899" w:rsidRDefault="008C6899" w:rsidP="005A1070">
      <w:pPr>
        <w:pStyle w:val="Paragrsimple"/>
        <w:widowControl w:val="0"/>
      </w:pPr>
      <w:r>
        <w:t>L’essentiel de leur argument repose sur la prémisse que la nature sensible des cerfs exige que, lorsque possible, on doi</w:t>
      </w:r>
      <w:r w:rsidR="00154721">
        <w:t>ve</w:t>
      </w:r>
      <w:r>
        <w:t xml:space="preserve"> privilégier les méthodes de contrôle qui permettent de les maintenir en vie aux méthodes létales, envisageables qu’en dernier recours. En écartant les méthodes qui permettraient de les garder en vie, telle que la relocalisation, la Ville et le MFFP ne considèrent pas, comme ils le doivent, l’intérêt des cerfs à vivre</w:t>
      </w:r>
      <w:r>
        <w:rPr>
          <w:rStyle w:val="Appelnotedebasdep"/>
        </w:rPr>
        <w:footnoteReference w:id="197"/>
      </w:r>
      <w:r>
        <w:t>.</w:t>
      </w:r>
    </w:p>
    <w:p w14:paraId="024B9B75" w14:textId="55C2D970" w:rsidR="008C6899" w:rsidRDefault="008C6899" w:rsidP="005A1070">
      <w:pPr>
        <w:pStyle w:val="Paragrsimple"/>
        <w:widowControl w:val="0"/>
      </w:pPr>
      <w:r>
        <w:t>Ils ont tort.</w:t>
      </w:r>
    </w:p>
    <w:p w14:paraId="2F1C76DB" w14:textId="7ACCE566" w:rsidR="008C6899" w:rsidRDefault="00F9348A" w:rsidP="005A1070">
      <w:pPr>
        <w:pStyle w:val="Paragrsimple"/>
        <w:widowControl w:val="0"/>
      </w:pPr>
      <w:r>
        <w:t>Si l</w:t>
      </w:r>
      <w:r w:rsidR="008C6899">
        <w:t>’art</w:t>
      </w:r>
      <w:r>
        <w:t>icle</w:t>
      </w:r>
      <w:r w:rsidR="008C6899">
        <w:t xml:space="preserve"> 898.1 C.c.Q. </w:t>
      </w:r>
      <w:r>
        <w:t xml:space="preserve">reconnaît que les animaux sont des êtres doués de sensibilité, il </w:t>
      </w:r>
      <w:r w:rsidR="008C6899">
        <w:t xml:space="preserve">ne reconnaît pas </w:t>
      </w:r>
      <w:r>
        <w:t>tou</w:t>
      </w:r>
      <w:r w:rsidR="00124B7A">
        <w:t>tefois</w:t>
      </w:r>
      <w:r>
        <w:t xml:space="preserve"> </w:t>
      </w:r>
      <w:r w:rsidR="008C6899">
        <w:t>le</w:t>
      </w:r>
      <w:r>
        <w:t>ur</w:t>
      </w:r>
      <w:r w:rsidR="008C6899">
        <w:t xml:space="preserve"> droit ou </w:t>
      </w:r>
      <w:r>
        <w:t xml:space="preserve">leur </w:t>
      </w:r>
      <w:r w:rsidR="008C6899">
        <w:t>intérêt à vivre. Il n’impose pas non plus de privilégier des méthodes de contrôle qui assure leur maintien en vie aux méthodes létales. Nous l’avons vu, cette disposition a valeur de norme comportementale qui dicte la conduite de toute personne interagissant avec eux</w:t>
      </w:r>
      <w:r w:rsidR="008C6899">
        <w:rPr>
          <w:rStyle w:val="Appelnotedebasdep"/>
        </w:rPr>
        <w:footnoteReference w:id="198"/>
      </w:r>
      <w:r w:rsidR="008C6899">
        <w:t>.</w:t>
      </w:r>
    </w:p>
    <w:p w14:paraId="30A0CD23" w14:textId="1A9C1B82" w:rsidR="008C6899" w:rsidRDefault="008C6899" w:rsidP="005A1070">
      <w:pPr>
        <w:pStyle w:val="Paragrsimple"/>
        <w:widowControl w:val="0"/>
      </w:pPr>
      <w:r>
        <w:t xml:space="preserve">Ainsi, </w:t>
      </w:r>
      <w:r w:rsidR="00CC76E0">
        <w:t>e</w:t>
      </w:r>
      <w:r>
        <w:t>l</w:t>
      </w:r>
      <w:r w:rsidR="00CC76E0">
        <w:t>le</w:t>
      </w:r>
      <w:r>
        <w:t xml:space="preserve"> n’interdit pas, en soi, l’abattage ou l’euthanasie d’un animal qui constitue une nuisance ou présente un danger indu. </w:t>
      </w:r>
      <w:r w:rsidR="00F9348A">
        <w:t>Cependant</w:t>
      </w:r>
      <w:r>
        <w:t>, dans ces cas, on ne peut utiliser le moyen le plus cruel ou le plus douloureux</w:t>
      </w:r>
      <w:r>
        <w:rPr>
          <w:rStyle w:val="Appelnotedebasdep"/>
        </w:rPr>
        <w:footnoteReference w:id="199"/>
      </w:r>
      <w:r w:rsidR="00204EAB">
        <w:t>.</w:t>
      </w:r>
    </w:p>
    <w:p w14:paraId="7978F134" w14:textId="606EFEF5" w:rsidR="00204EAB" w:rsidRDefault="00204EAB" w:rsidP="005A1070">
      <w:pPr>
        <w:pStyle w:val="Paragrsimple"/>
        <w:widowControl w:val="0"/>
      </w:pPr>
      <w:r>
        <w:t xml:space="preserve">La portée de cette disposition s’apparente à celles contenues dans la </w:t>
      </w:r>
      <w:r w:rsidRPr="00F6596D">
        <w:rPr>
          <w:i/>
          <w:iCs/>
        </w:rPr>
        <w:t xml:space="preserve">Loi sur le bien-être et la sécurité de l’animal </w:t>
      </w:r>
      <w:r>
        <w:t xml:space="preserve">qui a pour objet d’établir des règles pour protéger les animaux dans une optique visant à garantir leur bien-être et leur sécurité tout au long de leur vie. Dans </w:t>
      </w:r>
      <w:r w:rsidRPr="00815D19">
        <w:rPr>
          <w:i/>
          <w:iCs/>
        </w:rPr>
        <w:t>Road to Home</w:t>
      </w:r>
      <w:r>
        <w:rPr>
          <w:rStyle w:val="Appelnotedebasdep"/>
        </w:rPr>
        <w:footnoteReference w:id="200"/>
      </w:r>
      <w:r>
        <w:t xml:space="preserve">, </w:t>
      </w:r>
      <w:r w:rsidR="009F40C9">
        <w:t>la Cour d’appel conclut que l’intention du législateur en adoptant cette loi n’est pas d’interdire en toutes circonstances de mettre fin à la vie des animaux. Il s’agit plutôt de s’assurer qu’on le fasse dans le respect de leur sensibilité et d’une manière qui soit aussi douce et rapide que possible.</w:t>
      </w:r>
    </w:p>
    <w:p w14:paraId="1D37F544" w14:textId="24A645A8" w:rsidR="009F40C9" w:rsidRDefault="00F6596D" w:rsidP="005A1070">
      <w:pPr>
        <w:pStyle w:val="Paragrsimple"/>
        <w:widowControl w:val="0"/>
      </w:pPr>
      <w:r>
        <w:t>Cette interprétation de l’art</w:t>
      </w:r>
      <w:r w:rsidR="00F9348A">
        <w:t>icle</w:t>
      </w:r>
      <w:r>
        <w:t xml:space="preserve"> 898</w:t>
      </w:r>
      <w:r w:rsidR="00CC76E0">
        <w:t>.</w:t>
      </w:r>
      <w:r>
        <w:t xml:space="preserve">1 C.c.Q. s’harmonise avec la LCVMF et ses règlements qui autorisent la chasse </w:t>
      </w:r>
      <w:r w:rsidR="00520274">
        <w:t>et</w:t>
      </w:r>
      <w:r>
        <w:t xml:space="preserve"> l’encadre</w:t>
      </w:r>
      <w:r w:rsidR="00520274">
        <w:t>nt</w:t>
      </w:r>
      <w:r>
        <w:t xml:space="preserve"> notamment pour des fins de sécurité, de conservation et de protection de la faune. C’est ainsi que l’art</w:t>
      </w:r>
      <w:r w:rsidR="00F9348A">
        <w:t>icle</w:t>
      </w:r>
      <w:r>
        <w:t xml:space="preserve"> 47 LCMVF prévoit la délivrance d’un Permis SEG en application d’une directive interne qui reconnaît la valeur de norme comportementale énoncée à l’art</w:t>
      </w:r>
      <w:r w:rsidR="00F9348A">
        <w:t>icle</w:t>
      </w:r>
      <w:r>
        <w:t xml:space="preserve"> 898.1 C.c.Q.</w:t>
      </w:r>
    </w:p>
    <w:p w14:paraId="1862EA6F" w14:textId="723B9C8B" w:rsidR="00F6596D" w:rsidRDefault="00F6596D" w:rsidP="005A1070">
      <w:pPr>
        <w:pStyle w:val="Paragrsimple"/>
        <w:widowControl w:val="0"/>
      </w:pPr>
      <w:r>
        <w:t xml:space="preserve">Cela dit, </w:t>
      </w:r>
      <w:r w:rsidR="00693EC4">
        <w:t>examinons</w:t>
      </w:r>
      <w:r>
        <w:t xml:space="preserve"> maintenant le</w:t>
      </w:r>
      <w:r w:rsidR="00693EC4">
        <w:t xml:space="preserve">s motifs invoqués par les demandeurs et </w:t>
      </w:r>
      <w:r w:rsidR="00CC3FCD">
        <w:t>la SPCA</w:t>
      </w:r>
      <w:r w:rsidR="00693EC4">
        <w:t xml:space="preserve"> pour attaquer la Résolution et la délivrance du Permis SEG</w:t>
      </w:r>
      <w:r>
        <w:t>.</w:t>
      </w:r>
    </w:p>
    <w:p w14:paraId="4F573CFA" w14:textId="12E0DE28" w:rsidR="005E598D" w:rsidRPr="00A14BDC" w:rsidRDefault="00A14BDC" w:rsidP="00F13839">
      <w:pPr>
        <w:pStyle w:val="Titre5"/>
      </w:pPr>
      <w:bookmarkStart w:id="76" w:name="_Toc144367256"/>
      <w:r w:rsidRPr="00A14BDC">
        <w:t>Incohérence du raisonnement</w:t>
      </w:r>
      <w:bookmarkEnd w:id="76"/>
    </w:p>
    <w:p w14:paraId="3B127EF8" w14:textId="240639A8" w:rsidR="00A14BDC" w:rsidRDefault="009321C0" w:rsidP="005A1070">
      <w:pPr>
        <w:pStyle w:val="Paragrsimple"/>
        <w:widowControl w:val="0"/>
      </w:pPr>
      <w:r>
        <w:t>Les demandeurs reprochent à la Ville son inaction pendant de nombreuses années alors qu’elle était parfaitement consciente de l’augmentation de la population de cerfs</w:t>
      </w:r>
      <w:r>
        <w:rPr>
          <w:rStyle w:val="Appelnotedebasdep"/>
        </w:rPr>
        <w:footnoteReference w:id="201"/>
      </w:r>
      <w:r>
        <w:t xml:space="preserve">. Ce n’est qu’en 2020 qu’elle entreprend une opération de réduction du cheptel alors qu’elle sait depuis au moins 2012 que </w:t>
      </w:r>
      <w:r w:rsidR="00124B7A">
        <w:t>s</w:t>
      </w:r>
      <w:r>
        <w:t>a taille excède la capacité d’accueil du Parc.</w:t>
      </w:r>
    </w:p>
    <w:p w14:paraId="10D99D72" w14:textId="68DD7BAA" w:rsidR="009321C0" w:rsidRDefault="009321C0" w:rsidP="005A1070">
      <w:pPr>
        <w:pStyle w:val="Paragrsimple"/>
        <w:widowControl w:val="0"/>
      </w:pPr>
      <w:r>
        <w:t xml:space="preserve">Cette affirmation </w:t>
      </w:r>
      <w:r w:rsidR="00C301AF">
        <w:t>appelle des nuances</w:t>
      </w:r>
      <w:r>
        <w:t xml:space="preserve">. À partir de 2008, la Ville adopte de nombreuses mesures visant à atténuer l’impact attribuable </w:t>
      </w:r>
      <w:r w:rsidR="00A677F3">
        <w:t>à la présence des cerfs tel qu’un règlement interdisant le</w:t>
      </w:r>
      <w:r w:rsidR="00520274">
        <w:t xml:space="preserve">ur </w:t>
      </w:r>
      <w:r w:rsidR="00A677F3">
        <w:t>nourrissage ou l’installation d’exclos</w:t>
      </w:r>
      <w:r w:rsidR="00A677F3">
        <w:rPr>
          <w:rStyle w:val="Appelnotedebasdep"/>
        </w:rPr>
        <w:footnoteReference w:id="202"/>
      </w:r>
      <w:r w:rsidR="00A677F3">
        <w:t>.</w:t>
      </w:r>
    </w:p>
    <w:p w14:paraId="245168AC" w14:textId="36EE5F20" w:rsidR="00A677F3" w:rsidRDefault="00A677F3" w:rsidP="005A1070">
      <w:pPr>
        <w:pStyle w:val="Paragrsimple"/>
        <w:widowControl w:val="0"/>
      </w:pPr>
      <w:r>
        <w:t xml:space="preserve">Cela </w:t>
      </w:r>
      <w:r w:rsidR="00E078B0">
        <w:t>étant</w:t>
      </w:r>
      <w:r>
        <w:t>, le Tribunal ne peut y voir une incohérence dans le raisonnement de la Ville. Même en acceptant qu’elle ait fait preuve de laxisme jusqu’en 2020</w:t>
      </w:r>
      <w:r w:rsidR="00E078B0">
        <w:t>, cela</w:t>
      </w:r>
      <w:r>
        <w:t xml:space="preserve"> ne </w:t>
      </w:r>
      <w:r w:rsidR="00E078B0">
        <w:t>suffit</w:t>
      </w:r>
      <w:r>
        <w:t xml:space="preserve"> pas </w:t>
      </w:r>
      <w:r w:rsidR="00E078B0">
        <w:t>pour</w:t>
      </w:r>
      <w:r>
        <w:t xml:space="preserve"> conclure au caractère déraisonnable de la </w:t>
      </w:r>
      <w:r w:rsidR="00520274">
        <w:t>Résolution</w:t>
      </w:r>
      <w:r>
        <w:t>.</w:t>
      </w:r>
    </w:p>
    <w:p w14:paraId="65C53EAF" w14:textId="4A2D83FA" w:rsidR="00A677F3" w:rsidRDefault="00A677F3" w:rsidP="005A1070">
      <w:pPr>
        <w:pStyle w:val="Paragrsimple"/>
        <w:widowControl w:val="0"/>
      </w:pPr>
      <w:r>
        <w:t xml:space="preserve">Ils </w:t>
      </w:r>
      <w:r w:rsidR="00E078B0">
        <w:t>f</w:t>
      </w:r>
      <w:r>
        <w:t xml:space="preserve">ont valoir également l’incohérence du raisonnement suivie par la Ville menant à l’adoption de la Résolution. Après avoir choisi la </w:t>
      </w:r>
      <w:r w:rsidR="00E078B0">
        <w:t xml:space="preserve">méthode de </w:t>
      </w:r>
      <w:r>
        <w:t xml:space="preserve">capture-euthanasie, elle se ravise pour </w:t>
      </w:r>
      <w:r w:rsidR="00E078B0">
        <w:t xml:space="preserve">celle de </w:t>
      </w:r>
      <w:r>
        <w:t>la relocalisation pour finalement opter pour la chasse contrôlée à l’arbalète</w:t>
      </w:r>
      <w:r>
        <w:rPr>
          <w:rStyle w:val="Appelnotedebasdep"/>
        </w:rPr>
        <w:footnoteReference w:id="203"/>
      </w:r>
      <w:r>
        <w:t>.</w:t>
      </w:r>
    </w:p>
    <w:p w14:paraId="545D9351" w14:textId="1AF38C0B" w:rsidR="00FC283B" w:rsidRDefault="00FC283B" w:rsidP="005A1070">
      <w:pPr>
        <w:pStyle w:val="Paragrsimple"/>
        <w:widowControl w:val="0"/>
      </w:pPr>
      <w:r>
        <w:t>Or, c’est à la demande de SSA que la Ville suspend son opération de capture-euthanasie pour lui permettre d’entreprendre des démarches pour relocaliser les cerfs. Nous l’avons vu, cette démarche échou</w:t>
      </w:r>
      <w:r w:rsidR="00124B7A">
        <w:t>e</w:t>
      </w:r>
      <w:r>
        <w:t>. De là, la Table recommand</w:t>
      </w:r>
      <w:r w:rsidR="00C301AF">
        <w:t>e</w:t>
      </w:r>
      <w:r>
        <w:t xml:space="preserve"> l’application d’une méthode létale, en l’occurrence la capture-euthanasie. Toutefois, un inventaire subséquent change la donne : le cheptel s’est accru rendant inefficace</w:t>
      </w:r>
      <w:r w:rsidR="00E078B0">
        <w:t xml:space="preserve"> l’opération de</w:t>
      </w:r>
      <w:r>
        <w:t xml:space="preserve"> capture-euthanasie</w:t>
      </w:r>
      <w:r w:rsidR="00E078B0">
        <w:t xml:space="preserve"> envisagée</w:t>
      </w:r>
      <w:r>
        <w:t>. C’est pourquoi la Ville adopte la chasse contrôlée à l’arbalète, une autre solution létale. Dans cette optique, on ne peut qualifier</w:t>
      </w:r>
      <w:r w:rsidR="00D25990">
        <w:t xml:space="preserve"> </w:t>
      </w:r>
      <w:r w:rsidR="00154721">
        <w:t xml:space="preserve">d’incohérent </w:t>
      </w:r>
      <w:r w:rsidR="00520274">
        <w:t xml:space="preserve">le raisonnement </w:t>
      </w:r>
      <w:r w:rsidR="00154721">
        <w:t>menant</w:t>
      </w:r>
      <w:r w:rsidR="00520274">
        <w:t xml:space="preserve"> à l’adoption de </w:t>
      </w:r>
      <w:r w:rsidR="00D25990">
        <w:t>la Résolution</w:t>
      </w:r>
      <w:r>
        <w:t>.</w:t>
      </w:r>
    </w:p>
    <w:p w14:paraId="3118D08E" w14:textId="095004B7" w:rsidR="00A677F3" w:rsidRDefault="00FC283B" w:rsidP="005A1070">
      <w:pPr>
        <w:pStyle w:val="Paragrsimple"/>
        <w:widowControl w:val="0"/>
      </w:pPr>
      <w:r>
        <w:t>Ils avancent enfin qu’on ne peut se fier au raisonnement de la Ville et du MFFP, chacun s’appuyant sur la décision de l’autre pour justifier la sienne. Ainsi, il est impossible « d’identifier clairement l’entité responsable de cette prise de décision »</w:t>
      </w:r>
      <w:r>
        <w:rPr>
          <w:rStyle w:val="Appelnotedebasdep"/>
        </w:rPr>
        <w:footnoteReference w:id="204"/>
      </w:r>
      <w:r>
        <w:t>.</w:t>
      </w:r>
    </w:p>
    <w:p w14:paraId="5DD18592" w14:textId="66B1297D" w:rsidR="00FC283B" w:rsidRDefault="00FC283B" w:rsidP="005A1070">
      <w:pPr>
        <w:pStyle w:val="Paragrsimple"/>
        <w:widowControl w:val="0"/>
      </w:pPr>
      <w:r>
        <w:t>Cette proposition est inexacte. La preuve révèle plutôt que les deux travaill</w:t>
      </w:r>
      <w:r w:rsidR="00520274">
        <w:t>ent</w:t>
      </w:r>
      <w:r>
        <w:t xml:space="preserve"> en étroite collaboration et en mettant en commun leurs connaissances dans le but d’identifier la meilleure méthode dans les limites de leur</w:t>
      </w:r>
      <w:r w:rsidR="00154721">
        <w:t>s</w:t>
      </w:r>
      <w:r>
        <w:t xml:space="preserve"> compétences respectives. Le Tribunal n’y voit rien d’incohérent ou de r</w:t>
      </w:r>
      <w:r w:rsidR="00154721">
        <w:t>é</w:t>
      </w:r>
      <w:r>
        <w:t xml:space="preserve">préhensible. </w:t>
      </w:r>
      <w:r w:rsidR="00F903E0">
        <w:t>Bien a</w:t>
      </w:r>
      <w:r>
        <w:t>u contraire.</w:t>
      </w:r>
    </w:p>
    <w:p w14:paraId="4BB0EE20" w14:textId="255D12AA" w:rsidR="00FC283B" w:rsidRDefault="00FC283B" w:rsidP="00F13839">
      <w:pPr>
        <w:pStyle w:val="Titre5"/>
      </w:pPr>
      <w:bookmarkStart w:id="77" w:name="_Toc144367257"/>
      <w:r w:rsidRPr="00D87D12">
        <w:t xml:space="preserve">Le choix </w:t>
      </w:r>
      <w:r w:rsidR="00D87D12">
        <w:t>de la méthode de la chasse contrôlée à l’arbalète</w:t>
      </w:r>
      <w:bookmarkEnd w:id="77"/>
    </w:p>
    <w:p w14:paraId="2115F2F9" w14:textId="2B59E5D9" w:rsidR="00D87D12" w:rsidRPr="00D87D12" w:rsidRDefault="002E6EBD" w:rsidP="005A1070">
      <w:pPr>
        <w:pStyle w:val="Paragrsimple"/>
        <w:widowControl w:val="0"/>
        <w:rPr>
          <w:b/>
          <w:bCs/>
        </w:rPr>
      </w:pPr>
      <w:r>
        <w:t xml:space="preserve">Selon les demandeurs et </w:t>
      </w:r>
      <w:r w:rsidR="00CC3FCD">
        <w:t>la SPCA</w:t>
      </w:r>
      <w:r>
        <w:t xml:space="preserve">, rien ne justifiait l’adoption de cette méthode pour réduire la taille du cheptel. D’abord, avant même de la retenir, les décideurs se devaient d’évaluer les méthodes alternatives non létales en faisant appel à des experts </w:t>
      </w:r>
      <w:r w:rsidR="00124B7A">
        <w:t xml:space="preserve">indépendants </w:t>
      </w:r>
      <w:r>
        <w:t>en bien</w:t>
      </w:r>
      <w:r>
        <w:noBreakHyphen/>
        <w:t xml:space="preserve">être animal. Ensuite, le choix de cette méthode est, en soi, déraisonnable </w:t>
      </w:r>
      <w:r w:rsidR="00E078B0">
        <w:t>particulièrement en ce qu’elle ne prend pas en compte le</w:t>
      </w:r>
      <w:r>
        <w:t xml:space="preserve"> bien-être animal.</w:t>
      </w:r>
    </w:p>
    <w:p w14:paraId="7FF930BE" w14:textId="02214276" w:rsidR="00691EC7" w:rsidRPr="00EA35FA" w:rsidRDefault="00691EC7" w:rsidP="00F13839">
      <w:pPr>
        <w:pStyle w:val="Titre6"/>
      </w:pPr>
      <w:bookmarkStart w:id="78" w:name="_Toc144367258"/>
      <w:r w:rsidRPr="00EA35FA">
        <w:t>Méthodes alternatives</w:t>
      </w:r>
      <w:bookmarkEnd w:id="78"/>
    </w:p>
    <w:p w14:paraId="50FF5A18" w14:textId="7967417B" w:rsidR="00691EC7" w:rsidRDefault="005F5EDD" w:rsidP="005A1070">
      <w:pPr>
        <w:pStyle w:val="Paragrsimple"/>
        <w:widowControl w:val="0"/>
      </w:pPr>
      <w:r w:rsidRPr="006323B0">
        <w:t>D’abord</w:t>
      </w:r>
      <w:r>
        <w:t>, ils reprochent à la Ville et au MFFP d’avoir omis de considérer des méthodes alternatives à la chasse contrôlée à l’arbalète et, à cette fin, de faire appel à des experts. Cette proposition est inexacte.</w:t>
      </w:r>
    </w:p>
    <w:p w14:paraId="09480273" w14:textId="5F6F20EF" w:rsidR="00354F69" w:rsidRDefault="006323B0" w:rsidP="005A1070">
      <w:pPr>
        <w:pStyle w:val="Paragrsimple"/>
        <w:widowControl w:val="0"/>
      </w:pPr>
      <w:r>
        <w:t>N</w:t>
      </w:r>
      <w:r w:rsidR="00354F69">
        <w:t xml:space="preserve">ous l’avons vu, la Ville et le MFFP n’avaient pas à faire appel à un expert </w:t>
      </w:r>
      <w:r w:rsidR="00B411C7">
        <w:t xml:space="preserve">indépendant </w:t>
      </w:r>
      <w:r w:rsidR="00354F69">
        <w:t xml:space="preserve">en bien-être animal avant de décider de la méthode à retenir pour réduire la taille du cheptel. </w:t>
      </w:r>
      <w:r w:rsidR="00B411C7">
        <w:t>Néanmoins</w:t>
      </w:r>
      <w:r w:rsidR="00354F69">
        <w:t>, ils ont analysé plusieurs méthodes en mettant à profit de nombreuses ressources scientifiques.</w:t>
      </w:r>
    </w:p>
    <w:p w14:paraId="1BA7E741" w14:textId="57B274E6" w:rsidR="002A422C" w:rsidRDefault="005D7025" w:rsidP="007C5E13">
      <w:pPr>
        <w:pStyle w:val="Paragrsimple"/>
        <w:keepNext/>
      </w:pPr>
      <w:r>
        <w:t>D</w:t>
      </w:r>
      <w:r w:rsidR="001D1FAF">
        <w:t xml:space="preserve">ès l’automne 2020, la Ville analyse différentes </w:t>
      </w:r>
      <w:r w:rsidR="00D80C7F">
        <w:t>méthodes</w:t>
      </w:r>
      <w:r w:rsidR="001D1FAF">
        <w:t xml:space="preserve"> pour contrôler le cheptel</w:t>
      </w:r>
      <w:r w:rsidR="001D1FAF">
        <w:rPr>
          <w:rStyle w:val="Appelnotedebasdep"/>
        </w:rPr>
        <w:footnoteReference w:id="205"/>
      </w:r>
      <w:r w:rsidR="001D1FAF">
        <w:t> :</w:t>
      </w:r>
    </w:p>
    <w:p w14:paraId="4AD8C078" w14:textId="764F220F" w:rsidR="001D1FAF" w:rsidRDefault="001D1FAF" w:rsidP="007C5E13">
      <w:pPr>
        <w:pStyle w:val="Paragrdouble"/>
        <w:widowControl w:val="0"/>
        <w:numPr>
          <w:ilvl w:val="0"/>
          <w:numId w:val="22"/>
        </w:numPr>
        <w:spacing w:before="0" w:line="240" w:lineRule="auto"/>
        <w:ind w:left="1088" w:hanging="357"/>
      </w:pPr>
      <w:r>
        <w:t>Chasse contrôlée;</w:t>
      </w:r>
    </w:p>
    <w:p w14:paraId="6B68A1DC" w14:textId="36087CB6" w:rsidR="001D1FAF" w:rsidRDefault="001D1FAF" w:rsidP="007C5E13">
      <w:pPr>
        <w:pStyle w:val="Paragrdouble"/>
        <w:widowControl w:val="0"/>
        <w:numPr>
          <w:ilvl w:val="0"/>
          <w:numId w:val="22"/>
        </w:numPr>
        <w:spacing w:before="0" w:line="240" w:lineRule="auto"/>
        <w:ind w:left="1088" w:hanging="357"/>
      </w:pPr>
      <w:r>
        <w:t xml:space="preserve">Déplacement des cerfs au </w:t>
      </w:r>
      <w:r w:rsidR="00D53A23">
        <w:t>boisé Du Tremblay</w:t>
      </w:r>
      <w:r>
        <w:t xml:space="preserve"> où la chasse est permise et intensification de cette chasse;</w:t>
      </w:r>
    </w:p>
    <w:p w14:paraId="0D708CA7" w14:textId="6098F52C" w:rsidR="001D1FAF" w:rsidRDefault="001D1FAF" w:rsidP="007C5E13">
      <w:pPr>
        <w:pStyle w:val="Paragrdouble"/>
        <w:widowControl w:val="0"/>
        <w:numPr>
          <w:ilvl w:val="0"/>
          <w:numId w:val="22"/>
        </w:numPr>
        <w:spacing w:before="0" w:line="240" w:lineRule="auto"/>
        <w:ind w:left="1088" w:hanging="357"/>
      </w:pPr>
      <w:r>
        <w:t>Déploiement des cerfs dans les Laurentides;</w:t>
      </w:r>
    </w:p>
    <w:p w14:paraId="5A70D70B" w14:textId="67855196" w:rsidR="001D1FAF" w:rsidRDefault="001D1FAF" w:rsidP="007C5E13">
      <w:pPr>
        <w:pStyle w:val="Paragrdouble"/>
        <w:widowControl w:val="0"/>
        <w:numPr>
          <w:ilvl w:val="0"/>
          <w:numId w:val="22"/>
        </w:numPr>
        <w:spacing w:before="0" w:line="240" w:lineRule="auto"/>
        <w:ind w:left="1088" w:hanging="357"/>
      </w:pPr>
      <w:r>
        <w:t>Capture et euthanasie des cerfs.</w:t>
      </w:r>
    </w:p>
    <w:p w14:paraId="0097C71B" w14:textId="0B7F2CEE" w:rsidR="001D1FAF" w:rsidRDefault="00201C15" w:rsidP="005A1070">
      <w:pPr>
        <w:pStyle w:val="Paragrsimple"/>
        <w:widowControl w:val="0"/>
      </w:pPr>
      <w:r>
        <w:t xml:space="preserve">Elle retient cette dernière option après avoir soupesé les avantages et les inconvénients propres à chacune, incluant le bien-être des cerfs. Toutefois, </w:t>
      </w:r>
      <w:r w:rsidR="00C934BE">
        <w:t>elle suspend sa mise en œuvre pour permettre à SSA d’aller de l’avant avec sa proposition de relocalisation qui, nous l’avons vu, ne s’est jamais concrétisée.</w:t>
      </w:r>
    </w:p>
    <w:p w14:paraId="73FB3BEF" w14:textId="3591923A" w:rsidR="00354F69" w:rsidRDefault="00093091" w:rsidP="005A1070">
      <w:pPr>
        <w:pStyle w:val="Paragrsimple"/>
        <w:widowControl w:val="0"/>
        <w:rPr>
          <w:lang w:eastAsia="fr-CA"/>
        </w:rPr>
      </w:pPr>
      <w:r>
        <w:t>Puis, la Ville met sur pied la Table avec pour mandat de proposer des solutions durables notamment aux enjeux posés par la surpopulation de cerfs. Pendant six mois, ses membres</w:t>
      </w:r>
      <w:r w:rsidR="00154721">
        <w:t>,</w:t>
      </w:r>
      <w:r>
        <w:t xml:space="preserve"> dont Provost et Lamoureux, consultent des experts et des intervenants ainsi qu’une abondante littérature scientifique. Ils prennent le soin d’analyser en détail les avantages et les inconvénients de toutes les options possibles, létales ou non</w:t>
      </w:r>
      <w:r w:rsidR="00354F69">
        <w:rPr>
          <w:rStyle w:val="Appelnotedebasdep"/>
        </w:rPr>
        <w:footnoteReference w:id="206"/>
      </w:r>
      <w:r w:rsidR="00354F69">
        <w:t>.</w:t>
      </w:r>
    </w:p>
    <w:p w14:paraId="6F536389" w14:textId="1B50509A" w:rsidR="00093091" w:rsidRDefault="00057D35" w:rsidP="005A1070">
      <w:pPr>
        <w:pStyle w:val="Paragrsimple"/>
        <w:widowControl w:val="0"/>
      </w:pPr>
      <w:r>
        <w:t xml:space="preserve">Parmi les méthodes non létales considérées figurent la stérilisation et la relocalisation, deux méthodes que privilégient les demandeurs et </w:t>
      </w:r>
      <w:r w:rsidR="00CC3FCD">
        <w:t>la SPCA</w:t>
      </w:r>
      <w:r>
        <w:t xml:space="preserve"> à toutes solutions létales.</w:t>
      </w:r>
    </w:p>
    <w:p w14:paraId="6EBE16C2" w14:textId="1AE15070" w:rsidR="00057D35" w:rsidRDefault="00057D35" w:rsidP="005A1070">
      <w:pPr>
        <w:pStyle w:val="Paragrsimple"/>
        <w:widowControl w:val="0"/>
      </w:pPr>
      <w:r>
        <w:t xml:space="preserve">Or, la stérilisation pourrait s’avérer une méthode efficace dans la mesure où on procède d’abord à une réduction </w:t>
      </w:r>
      <w:r w:rsidR="00D101A9">
        <w:t xml:space="preserve">de la taille </w:t>
      </w:r>
      <w:r>
        <w:t>du cheptel</w:t>
      </w:r>
      <w:r>
        <w:rPr>
          <w:rStyle w:val="Appelnotedebasdep"/>
        </w:rPr>
        <w:footnoteReference w:id="207"/>
      </w:r>
      <w:r>
        <w:t>.</w:t>
      </w:r>
    </w:p>
    <w:p w14:paraId="66BD0755" w14:textId="3D010AA6" w:rsidR="00057D35" w:rsidRDefault="00057D35" w:rsidP="005A1070">
      <w:pPr>
        <w:pStyle w:val="Paragrsimple"/>
        <w:widowControl w:val="0"/>
      </w:pPr>
      <w:r>
        <w:t xml:space="preserve">Quant au scénario de relocalisation, la Ville </w:t>
      </w:r>
      <w:r w:rsidR="00D101A9">
        <w:t>l’</w:t>
      </w:r>
      <w:r>
        <w:t>envisage une première fois avec la proposition de SSA</w:t>
      </w:r>
      <w:r w:rsidR="00354F69">
        <w:rPr>
          <w:rStyle w:val="Appelnotedebasdep"/>
        </w:rPr>
        <w:footnoteReference w:id="208"/>
      </w:r>
      <w:r>
        <w:t xml:space="preserve">. </w:t>
      </w:r>
      <w:r w:rsidR="00354F69">
        <w:t>Puis, elle l’examine à nouveau en 2021 à la suite du dépôt du rapport de la Table</w:t>
      </w:r>
      <w:r>
        <w:rPr>
          <w:rStyle w:val="Appelnotedebasdep"/>
        </w:rPr>
        <w:footnoteReference w:id="209"/>
      </w:r>
      <w:r>
        <w:t>.</w:t>
      </w:r>
      <w:r w:rsidR="00354F69">
        <w:t xml:space="preserve"> Enfin, dans son analyse de la demande de la Ville pour la délivrance d’un permis SEG, Lamoureux se penche également sur la faisabilité de cette méthode.</w:t>
      </w:r>
    </w:p>
    <w:p w14:paraId="6C0254F3" w14:textId="67829B05" w:rsidR="00354F69" w:rsidRDefault="00354F69" w:rsidP="007C5E13">
      <w:pPr>
        <w:pStyle w:val="Paragrsimple"/>
        <w:keepNext/>
      </w:pPr>
      <w:r>
        <w:t xml:space="preserve">Qu’il s’agisse du CÉUA, des membres de la Table, de la Ville ou du MFFP, tous parviennent à la même conclusion : la relocalisation n’offre qu’une solution à court terme et présente des risques élevés de morbidité, de blessures et de stress pour le cerf relocalisé. Lors de la rencontre tenue le 19 août 2021 avec les membres de la Table et d’autres experts, Dussault lui-même </w:t>
      </w:r>
      <w:r w:rsidR="006323B0">
        <w:t xml:space="preserve">reconnaît </w:t>
      </w:r>
      <w:r>
        <w:t>que l’augmentation de la population de cerfs dans le Parc rend impraticable leur déplacement</w:t>
      </w:r>
      <w:r>
        <w:rPr>
          <w:rStyle w:val="Appelnotedebasdep"/>
        </w:rPr>
        <w:footnoteReference w:id="210"/>
      </w:r>
      <w:r>
        <w:t>.</w:t>
      </w:r>
    </w:p>
    <w:p w14:paraId="3827A154" w14:textId="35F8828F" w:rsidR="00D101A9" w:rsidRDefault="00D101A9" w:rsidP="005A1070">
      <w:pPr>
        <w:pStyle w:val="Paragrsimple"/>
        <w:widowControl w:val="0"/>
      </w:pPr>
      <w:r>
        <w:t xml:space="preserve">Toutefois, les demandeurs et </w:t>
      </w:r>
      <w:r w:rsidR="00CC3FCD">
        <w:t>la SPCA</w:t>
      </w:r>
      <w:r>
        <w:t xml:space="preserve"> </w:t>
      </w:r>
      <w:r w:rsidR="00295062">
        <w:t>persistent à faire</w:t>
      </w:r>
      <w:r>
        <w:t xml:space="preserve"> valoir que la relocalisation et la stérilisation constituent des alternatives valables à une méthode létale. Ils s‘appuient sur des articles scientifiques</w:t>
      </w:r>
      <w:r>
        <w:rPr>
          <w:rStyle w:val="Appelnotedebasdep"/>
        </w:rPr>
        <w:footnoteReference w:id="211"/>
      </w:r>
      <w:r>
        <w:t xml:space="preserve"> ainsi que sur le Rapport Autenne.</w:t>
      </w:r>
    </w:p>
    <w:p w14:paraId="6364D59A" w14:textId="76A77EFA" w:rsidR="00D101A9" w:rsidRDefault="00D101A9" w:rsidP="005A1070">
      <w:pPr>
        <w:pStyle w:val="Paragrsimple"/>
        <w:widowControl w:val="0"/>
      </w:pPr>
      <w:r>
        <w:t xml:space="preserve">Or, le Tribunal a </w:t>
      </w:r>
      <w:r w:rsidR="00385081">
        <w:t>accueilli</w:t>
      </w:r>
      <w:r>
        <w:t xml:space="preserve"> l’objection à l’égard du contenu des articles scientifiques </w:t>
      </w:r>
      <w:r w:rsidR="003B11A1">
        <w:t>I</w:t>
      </w:r>
      <w:r>
        <w:t xml:space="preserve">-14 et </w:t>
      </w:r>
      <w:r w:rsidR="003B11A1">
        <w:t>I</w:t>
      </w:r>
      <w:r>
        <w:t>-15.</w:t>
      </w:r>
    </w:p>
    <w:p w14:paraId="42A11176" w14:textId="3C9D274B" w:rsidR="00D101A9" w:rsidRDefault="00D101A9" w:rsidP="005A1070">
      <w:pPr>
        <w:pStyle w:val="Paragrsimple"/>
        <w:widowControl w:val="0"/>
      </w:pPr>
      <w:r>
        <w:t>Par ailleurs, le fait que le Rapport Autenne privilégie la méthode de la relocalisation ou de la stérilisation à celle de la chasse contrôlée à l’arbalète</w:t>
      </w:r>
      <w:r w:rsidR="00295062">
        <w:t xml:space="preserve"> ne suffit pas à</w:t>
      </w:r>
      <w:r>
        <w:t xml:space="preserve"> rendre la Résolution ou la délivrance du Permis SEG déraisonnable. Le raisonnement de la Ville et du MFFP les menant à écarter ces méthodes s’appuie sur une abondante preuve scientifique.</w:t>
      </w:r>
    </w:p>
    <w:p w14:paraId="6E259704" w14:textId="437F0E31" w:rsidR="00D101A9" w:rsidRDefault="00D101A9" w:rsidP="005A1070">
      <w:pPr>
        <w:pStyle w:val="Paragrsimple"/>
        <w:widowControl w:val="0"/>
      </w:pPr>
      <w:r>
        <w:t>De toute évidence, dans ce domaine comme dans bien d’autres, il existe des divergences scientifiques sur les approch</w:t>
      </w:r>
      <w:r w:rsidR="00A81196">
        <w:t xml:space="preserve">es à </w:t>
      </w:r>
      <w:r w:rsidR="00295062">
        <w:t>préconiser</w:t>
      </w:r>
      <w:r w:rsidR="00A81196">
        <w:t>. Toutefois, le rôle du Tribunal consiste à contrôler la légalité des décisions et non leur opportunité et le choix de la Ville et du MFFP d’écarter ces méthodes était justifié.</w:t>
      </w:r>
    </w:p>
    <w:p w14:paraId="7F9D521C" w14:textId="71CB7DD2" w:rsidR="007C507A" w:rsidRDefault="007C507A" w:rsidP="005A1070">
      <w:pPr>
        <w:pStyle w:val="Paragrsimple"/>
        <w:widowControl w:val="0"/>
      </w:pPr>
      <w:r>
        <w:t xml:space="preserve">Somme toute, les demandeurs et </w:t>
      </w:r>
      <w:r w:rsidR="00CC3FCD">
        <w:t>la SPCA</w:t>
      </w:r>
      <w:r>
        <w:t xml:space="preserve"> </w:t>
      </w:r>
      <w:r w:rsidR="003B11A1">
        <w:t>ne</w:t>
      </w:r>
      <w:r>
        <w:t xml:space="preserve"> démontr</w:t>
      </w:r>
      <w:r w:rsidR="003B11A1">
        <w:t>ent pas</w:t>
      </w:r>
      <w:r>
        <w:t xml:space="preserve"> que la Résolution et la délivrance du Permis SEG sont déraisonnables en ce que la Ville et le MFFP ont fait défaut de considérer des méthodes de contrôle non létales. Dans cette optique, la chasse contrôlée à l’arbalète fait partie des </w:t>
      </w:r>
      <w:r w:rsidR="00A81196">
        <w:t>issues</w:t>
      </w:r>
      <w:r>
        <w:t xml:space="preserve"> possibles en regard des faits à la connaissance des décideurs.</w:t>
      </w:r>
    </w:p>
    <w:p w14:paraId="7D468604" w14:textId="183F0D7F" w:rsidR="00712CC1" w:rsidRDefault="006323B0" w:rsidP="00F13839">
      <w:pPr>
        <w:pStyle w:val="Titre6"/>
      </w:pPr>
      <w:bookmarkStart w:id="79" w:name="_Toc144367259"/>
      <w:r>
        <w:t>Une décision raisonnable</w:t>
      </w:r>
      <w:bookmarkEnd w:id="79"/>
    </w:p>
    <w:p w14:paraId="45F57FB4" w14:textId="55D0D238" w:rsidR="00572476" w:rsidRPr="00572476" w:rsidRDefault="00572476" w:rsidP="00B36C05">
      <w:pPr>
        <w:pStyle w:val="Paragrsimple"/>
      </w:pPr>
      <w:r>
        <w:t>Pour différents motifs, les demandeur</w:t>
      </w:r>
      <w:r w:rsidR="00FC2886">
        <w:t>s</w:t>
      </w:r>
      <w:r>
        <w:t xml:space="preserve"> et la SPCA plaident que le choix de la méth</w:t>
      </w:r>
      <w:r w:rsidR="00FC2886">
        <w:t xml:space="preserve">ode de la chasse </w:t>
      </w:r>
      <w:r w:rsidR="00FC2886" w:rsidRPr="00B2700C">
        <w:t>con</w:t>
      </w:r>
      <w:r w:rsidR="00B2700C">
        <w:t>trôlée</w:t>
      </w:r>
      <w:r w:rsidR="00FC2886">
        <w:t xml:space="preserve"> à l’arbalète est déraisonnable</w:t>
      </w:r>
      <w:r w:rsidR="00B36C05">
        <w:t>.</w:t>
      </w:r>
    </w:p>
    <w:p w14:paraId="35588D56" w14:textId="7CDE5973" w:rsidR="00724F72" w:rsidRDefault="00A10EB9" w:rsidP="005A1070">
      <w:pPr>
        <w:pStyle w:val="Paragrsimple"/>
        <w:widowControl w:val="0"/>
      </w:pPr>
      <w:r>
        <w:t>D’abord, les demandeurs font valoir que l’inventaire conduit en février 2022 et sur lequel la Ville et le MFFP s’appuie</w:t>
      </w:r>
      <w:r w:rsidR="00520274">
        <w:t>nt</w:t>
      </w:r>
      <w:r>
        <w:t xml:space="preserve"> pour justifier l’adoption de la chasse contrôlée à l’arbalète est erroné. </w:t>
      </w:r>
      <w:r w:rsidR="00851775">
        <w:t>Le Tribunal</w:t>
      </w:r>
      <w:r>
        <w:t xml:space="preserve"> </w:t>
      </w:r>
      <w:r w:rsidR="00851775">
        <w:t xml:space="preserve">a </w:t>
      </w:r>
      <w:r>
        <w:t>déjà traité cette question</w:t>
      </w:r>
      <w:r w:rsidR="00851775">
        <w:t xml:space="preserve"> et </w:t>
      </w:r>
      <w:r>
        <w:t>a conclu à l’inutilité et à la</w:t>
      </w:r>
      <w:r w:rsidR="00851775">
        <w:t> </w:t>
      </w:r>
      <w:r>
        <w:t>faible valeur probante du Rapport Stand et à la fiabilité du Rapport Cadieux-de Bellefeuille qui confirme les résultats de cet inventaire.</w:t>
      </w:r>
    </w:p>
    <w:p w14:paraId="1290991F" w14:textId="469ED19D" w:rsidR="00A10EB9" w:rsidRDefault="00E27774" w:rsidP="00154721">
      <w:pPr>
        <w:pStyle w:val="Paragrsimple"/>
        <w:keepNext/>
      </w:pPr>
      <w:r>
        <w:t xml:space="preserve">Ils </w:t>
      </w:r>
      <w:r w:rsidR="00520274">
        <w:t>invoqu</w:t>
      </w:r>
      <w:r>
        <w:t xml:space="preserve">ent également l’absence de preuve que les cerfs constituent une nuisance justifiant une opération de chasse contrôlée à l’arbalète. De fait, ils font grand cas que </w:t>
      </w:r>
      <w:r w:rsidR="00295062">
        <w:t>l’on puisse</w:t>
      </w:r>
      <w:r>
        <w:t xml:space="preserve"> même réduire les cerfs au rang de nuisance </w:t>
      </w:r>
      <w:r w:rsidR="00295062">
        <w:t>puisqu</w:t>
      </w:r>
      <w:r w:rsidR="006323B0">
        <w:t>e le législateur</w:t>
      </w:r>
      <w:r>
        <w:t xml:space="preserve"> </w:t>
      </w:r>
      <w:r w:rsidR="00EA35FA">
        <w:t xml:space="preserve">reconnaît </w:t>
      </w:r>
      <w:r>
        <w:t xml:space="preserve">désormais </w:t>
      </w:r>
      <w:r w:rsidR="00554A8C">
        <w:t xml:space="preserve">qu’ils </w:t>
      </w:r>
      <w:r w:rsidR="00EE72A3">
        <w:t>s</w:t>
      </w:r>
      <w:r w:rsidR="00554A8C">
        <w:t xml:space="preserve">ont </w:t>
      </w:r>
      <w:r>
        <w:t>des êtres sensibles dotés d’impératifs biologiques</w:t>
      </w:r>
      <w:r>
        <w:rPr>
          <w:rStyle w:val="Appelnotedebasdep"/>
        </w:rPr>
        <w:footnoteReference w:id="212"/>
      </w:r>
      <w:r>
        <w:t>.</w:t>
      </w:r>
    </w:p>
    <w:p w14:paraId="58D1AA57" w14:textId="5D05D3FB" w:rsidR="00E27774" w:rsidRDefault="00E27774" w:rsidP="005A1070">
      <w:pPr>
        <w:pStyle w:val="Paragrsimple"/>
        <w:widowControl w:val="0"/>
      </w:pPr>
      <w:r>
        <w:t>Or, au risque de redite, qu’ils soient doués de sensibilité n’empêche pas que les cerfs p</w:t>
      </w:r>
      <w:r w:rsidR="00154721">
        <w:t>uissent</w:t>
      </w:r>
      <w:r>
        <w:t xml:space="preserve"> constituer une nuisance et, dans ces cas, l’art</w:t>
      </w:r>
      <w:r w:rsidR="00B411C7">
        <w:t>icle</w:t>
      </w:r>
      <w:r>
        <w:t xml:space="preserve"> 898.1 C.c.Q. n’interdit pas l’abattage ou l’euthanasie</w:t>
      </w:r>
      <w:r w:rsidR="00796381">
        <w:rPr>
          <w:rStyle w:val="Appelnotedebasdep"/>
        </w:rPr>
        <w:footnoteReference w:id="213"/>
      </w:r>
      <w:r w:rsidR="00796381">
        <w:t>.</w:t>
      </w:r>
    </w:p>
    <w:p w14:paraId="6AB78E02" w14:textId="04D7A39B" w:rsidR="00796381" w:rsidRDefault="00796381" w:rsidP="005A1070">
      <w:pPr>
        <w:pStyle w:val="Paragrsimple"/>
        <w:widowControl w:val="0"/>
      </w:pPr>
      <w:r>
        <w:t xml:space="preserve">En l’espèce, la preuve ne laisse aucun doute : les cerfs constituent une nuisance et leur nombre pose des risques sérieux pour les citoyens, l’équilibre écologique du </w:t>
      </w:r>
      <w:r w:rsidR="00EE72A3">
        <w:t>Par</w:t>
      </w:r>
      <w:r w:rsidR="006323B0">
        <w:t>c</w:t>
      </w:r>
      <w:r w:rsidR="00EE72A3">
        <w:t xml:space="preserve"> et met</w:t>
      </w:r>
      <w:r>
        <w:t xml:space="preserve"> même en péril </w:t>
      </w:r>
      <w:r w:rsidR="00851775">
        <w:t>leur propre existence</w:t>
      </w:r>
      <w:r>
        <w:t>.</w:t>
      </w:r>
    </w:p>
    <w:p w14:paraId="2CD55F28" w14:textId="1C5AA5AB" w:rsidR="00796381" w:rsidRDefault="00796381" w:rsidP="005A1070">
      <w:pPr>
        <w:pStyle w:val="Paragrsimple"/>
        <w:widowControl w:val="0"/>
      </w:pPr>
      <w:r>
        <w:t xml:space="preserve">Par ailleurs, les demandeurs et </w:t>
      </w:r>
      <w:r w:rsidR="00CC3FCD">
        <w:t>la SPCA</w:t>
      </w:r>
      <w:r>
        <w:t xml:space="preserve"> font état de l’absence de preuve de mesures correctives ou préventives mises en place par la Ville pour éliminer la source des problèmes.</w:t>
      </w:r>
    </w:p>
    <w:p w14:paraId="538AC277" w14:textId="4231190F" w:rsidR="00796381" w:rsidRDefault="00EE72A3" w:rsidP="005A1070">
      <w:pPr>
        <w:pStyle w:val="Paragrsimple"/>
        <w:widowControl w:val="0"/>
      </w:pPr>
      <w:r>
        <w:t>Cette assertion est inexacte.</w:t>
      </w:r>
      <w:r w:rsidR="00376022">
        <w:t xml:space="preserve"> </w:t>
      </w:r>
      <w:r>
        <w:t>N</w:t>
      </w:r>
      <w:r w:rsidR="00376022">
        <w:t>ous</w:t>
      </w:r>
      <w:r>
        <w:t xml:space="preserve"> </w:t>
      </w:r>
      <w:r w:rsidR="00376022">
        <w:t>l’avons vu, la Ville a notamment adopté nombre de mesures pour contrôler le cheptel</w:t>
      </w:r>
      <w:r w:rsidR="00376022">
        <w:rPr>
          <w:rStyle w:val="Appelnotedebasdep"/>
        </w:rPr>
        <w:footnoteReference w:id="214"/>
      </w:r>
      <w:r w:rsidR="00C02C36">
        <w:t xml:space="preserve">. Le MFFP lui a également délivré deux permis SEG </w:t>
      </w:r>
      <w:r>
        <w:t>qui n’ont</w:t>
      </w:r>
      <w:r w:rsidR="00C02C36">
        <w:t xml:space="preserve"> pu </w:t>
      </w:r>
      <w:r>
        <w:t>être mis</w:t>
      </w:r>
      <w:r w:rsidR="00C02C36">
        <w:t xml:space="preserve"> en œuvre.</w:t>
      </w:r>
    </w:p>
    <w:p w14:paraId="22C333DB" w14:textId="4ECD6233" w:rsidR="00C02C36" w:rsidRDefault="00C02C36" w:rsidP="005A1070">
      <w:pPr>
        <w:pStyle w:val="Paragrsimple"/>
        <w:widowControl w:val="0"/>
      </w:pPr>
      <w:r>
        <w:t xml:space="preserve">De plus, contrairement à ce que plaident les demandeurs et </w:t>
      </w:r>
      <w:r w:rsidR="00CC3FCD">
        <w:t>la SPCA</w:t>
      </w:r>
      <w:r>
        <w:t xml:space="preserve">, </w:t>
      </w:r>
      <w:r w:rsidR="00EE72A3">
        <w:t>en marge de la demande de délivrance d’un Permis SEG</w:t>
      </w:r>
      <w:r w:rsidR="00EA35FA">
        <w:t>,</w:t>
      </w:r>
      <w:r w:rsidR="00EE72A3">
        <w:t xml:space="preserve"> </w:t>
      </w:r>
      <w:r>
        <w:t>la Ville s’active.</w:t>
      </w:r>
    </w:p>
    <w:p w14:paraId="3EF34307" w14:textId="7BBD23D7" w:rsidR="00C02C36" w:rsidRDefault="00C02C36" w:rsidP="005A1070">
      <w:pPr>
        <w:pStyle w:val="Paragrsimple"/>
        <w:widowControl w:val="0"/>
      </w:pPr>
      <w:r>
        <w:t xml:space="preserve">Ainsi, elle optimise la chasse aux cerfs dans le boisé Du Tremblay, un espace vert connecté au Parc. </w:t>
      </w:r>
      <w:r w:rsidR="00EE72A3">
        <w:t>De fait,</w:t>
      </w:r>
      <w:r w:rsidR="006323B0">
        <w:t xml:space="preserve"> en 2021,</w:t>
      </w:r>
      <w:r w:rsidR="00EE72A3">
        <w:t xml:space="preserve"> la Ville obt</w:t>
      </w:r>
      <w:r w:rsidR="006323B0">
        <w:t>i</w:t>
      </w:r>
      <w:r w:rsidR="00EE72A3">
        <w:t>en</w:t>
      </w:r>
      <w:r w:rsidR="006323B0">
        <w:t>t</w:t>
      </w:r>
      <w:r w:rsidR="00EE72A3">
        <w:t xml:space="preserve"> un permis SEG permettant une chasse contrôlée dans ce boisé et </w:t>
      </w:r>
      <w:r w:rsidR="006323B0">
        <w:t xml:space="preserve">qu’elle </w:t>
      </w:r>
      <w:r w:rsidR="00EE72A3">
        <w:t>m</w:t>
      </w:r>
      <w:r w:rsidR="006323B0">
        <w:t>et</w:t>
      </w:r>
      <w:r w:rsidR="00EE72A3">
        <w:t xml:space="preserve"> en œuvre à l’automne 2021. </w:t>
      </w:r>
      <w:r>
        <w:t xml:space="preserve">Aussi, à la fin de l’année 2021, </w:t>
      </w:r>
      <w:r w:rsidR="006323B0">
        <w:t xml:space="preserve">elle installe </w:t>
      </w:r>
      <w:r>
        <w:t>des caméras de chasse entre les deux sites pour documenter les mouvements des cerfs de l’un à l’autre</w:t>
      </w:r>
      <w:r>
        <w:rPr>
          <w:rStyle w:val="Appelnotedebasdep"/>
        </w:rPr>
        <w:footnoteReference w:id="215"/>
      </w:r>
      <w:r>
        <w:t>.</w:t>
      </w:r>
    </w:p>
    <w:p w14:paraId="52B190F1" w14:textId="586D1639" w:rsidR="00C02C36" w:rsidRDefault="00C02C36" w:rsidP="005A1070">
      <w:pPr>
        <w:pStyle w:val="Paragrsimple"/>
        <w:widowControl w:val="0"/>
      </w:pPr>
      <w:r>
        <w:t>Également, à l’anne</w:t>
      </w:r>
      <w:r w:rsidR="00EE72A3">
        <w:t>xe</w:t>
      </w:r>
      <w:r>
        <w:t xml:space="preserve"> jointe à la demande de </w:t>
      </w:r>
      <w:r w:rsidR="006323B0">
        <w:t>P</w:t>
      </w:r>
      <w:r>
        <w:t>ermis SEG</w:t>
      </w:r>
      <w:r>
        <w:rPr>
          <w:rStyle w:val="Appelnotedebasdep"/>
        </w:rPr>
        <w:footnoteReference w:id="216"/>
      </w:r>
      <w:r>
        <w:t>, la Ville fait état des suivis scientifiques en élaboration sur l’incidence de la présence des cerfs sur l’abondance de tiques au Parc, la stérilisation de femelles cerfs et les suivis de population de cerfs en Montér</w:t>
      </w:r>
      <w:r w:rsidR="00F23FD2">
        <w:t>égie.</w:t>
      </w:r>
    </w:p>
    <w:p w14:paraId="0F175C6F" w14:textId="06C7FFEE" w:rsidR="00F23FD2" w:rsidRDefault="00F23FD2" w:rsidP="005A1070">
      <w:pPr>
        <w:pStyle w:val="Paragrsimple"/>
        <w:widowControl w:val="0"/>
      </w:pPr>
      <w:r>
        <w:t xml:space="preserve">Enfin, dans </w:t>
      </w:r>
      <w:r w:rsidR="00EE72A3">
        <w:t>un</w:t>
      </w:r>
      <w:r>
        <w:t xml:space="preserve"> communiqué de presse daté du 20 juillet 2022, le cabinet de la mairesse annonce qu’« une fois le cheptel réduit à la capacité de soutien du parc, nous pourrons envisager des méthodes de contrôle à long terme, comme la stérilisation, comme le prévoit la Table de concertation »</w:t>
      </w:r>
      <w:r>
        <w:rPr>
          <w:rStyle w:val="Appelnotedebasdep"/>
        </w:rPr>
        <w:footnoteReference w:id="217"/>
      </w:r>
      <w:r w:rsidR="004C7ACD">
        <w:t>.</w:t>
      </w:r>
    </w:p>
    <w:p w14:paraId="304AD28D" w14:textId="7AB88035" w:rsidR="004C7ACD" w:rsidRDefault="006323B0" w:rsidP="00154721">
      <w:pPr>
        <w:pStyle w:val="Paragrsimple"/>
        <w:keepNext/>
      </w:pPr>
      <w:r>
        <w:t>Ultimement, l</w:t>
      </w:r>
      <w:r w:rsidR="00794CA9">
        <w:t xml:space="preserve">es demandeurs et </w:t>
      </w:r>
      <w:r w:rsidR="00CC3FCD">
        <w:t>la SPCA</w:t>
      </w:r>
      <w:r w:rsidR="00794CA9">
        <w:t xml:space="preserve"> avancent qu</w:t>
      </w:r>
      <w:r w:rsidR="00EE72A3">
        <w:t>’</w:t>
      </w:r>
      <w:r w:rsidR="00794CA9">
        <w:t xml:space="preserve">aucune preuve </w:t>
      </w:r>
      <w:r w:rsidR="008A3E0F">
        <w:t>n’</w:t>
      </w:r>
      <w:r w:rsidR="00794CA9">
        <w:t>établit l</w:t>
      </w:r>
      <w:r w:rsidR="00851775">
        <w:t>e caractère</w:t>
      </w:r>
      <w:r w:rsidR="00794CA9">
        <w:t xml:space="preserve"> raisonnab</w:t>
      </w:r>
      <w:r w:rsidR="00851775">
        <w:t>le</w:t>
      </w:r>
      <w:r w:rsidR="00794CA9">
        <w:t xml:space="preserve"> du choix de privilégier l’arbalète pour la chasse contrôlée des cerfs et </w:t>
      </w:r>
      <w:r w:rsidR="00EE72A3">
        <w:t xml:space="preserve">que </w:t>
      </w:r>
      <w:r w:rsidR="00794CA9">
        <w:t>rien ne démontre l’efficacité de cette arme comme méthode de gestion.</w:t>
      </w:r>
    </w:p>
    <w:p w14:paraId="6DDC133B" w14:textId="6AAE3810" w:rsidR="00794CA9" w:rsidRDefault="00794CA9" w:rsidP="005A1070">
      <w:pPr>
        <w:pStyle w:val="Paragrsimple"/>
        <w:widowControl w:val="0"/>
      </w:pPr>
      <w:r>
        <w:t xml:space="preserve">Plus particulièrement, </w:t>
      </w:r>
      <w:r w:rsidR="006323B0">
        <w:t xml:space="preserve">plaident-ils, </w:t>
      </w:r>
      <w:r>
        <w:t>la preuve est silencieuse à l’égard de toute forme d’analyse que la chasse contrôlée à l’arbalète tient compte du bien-être de l’animal et minimise ses souffrances au moment de l’opération. Il appartenait à la Ville et au MFFP de s’en assurer préalablement à la prise de décision e</w:t>
      </w:r>
      <w:r w:rsidR="00EE72A3">
        <w:t>n</w:t>
      </w:r>
      <w:r>
        <w:t xml:space="preserve"> recourant aux services d’experts indépendants.</w:t>
      </w:r>
    </w:p>
    <w:p w14:paraId="28F55EFF" w14:textId="68B12A89" w:rsidR="00794CA9" w:rsidRDefault="00A25CF0" w:rsidP="005A1070">
      <w:pPr>
        <w:pStyle w:val="Paragrsimple"/>
        <w:widowControl w:val="0"/>
      </w:pPr>
      <w:r>
        <w:t>La proposition des demandeurs et</w:t>
      </w:r>
      <w:r w:rsidR="006323B0">
        <w:t xml:space="preserve"> de</w:t>
      </w:r>
      <w:r>
        <w:t xml:space="preserve"> </w:t>
      </w:r>
      <w:r w:rsidR="00CC3FCD">
        <w:t>la SPCA</w:t>
      </w:r>
      <w:r>
        <w:t xml:space="preserve"> repose sur des prémisses erronées. D’abord, </w:t>
      </w:r>
      <w:r w:rsidR="00851775">
        <w:t>tel q</w:t>
      </w:r>
      <w:r w:rsidR="00A146F6">
        <w:t>ue discuté</w:t>
      </w:r>
      <w:r w:rsidR="00851775">
        <w:t xml:space="preserve"> auparavant</w:t>
      </w:r>
      <w:r>
        <w:t>, les dispositions de l’art</w:t>
      </w:r>
      <w:r w:rsidR="00A146F6">
        <w:t>icle</w:t>
      </w:r>
      <w:r>
        <w:t xml:space="preserve"> 898.1 C.c.Q. n’ont pas pour effet de contraindre le décideur à faire appel à un expert indépendant préalablement à la prise de décision susceptible d’affecter le bien-être animal.</w:t>
      </w:r>
    </w:p>
    <w:p w14:paraId="39187497" w14:textId="7D6688FC" w:rsidR="00A25CF0" w:rsidRDefault="001233DC" w:rsidP="005A1070">
      <w:pPr>
        <w:pStyle w:val="Paragrsimple"/>
        <w:widowControl w:val="0"/>
      </w:pPr>
      <w:r>
        <w:t xml:space="preserve">Ensuite, il n’appartient pas à la Ville et au MFFP de démontrer </w:t>
      </w:r>
      <w:r w:rsidR="00851775">
        <w:t>le caractère raisonnable</w:t>
      </w:r>
      <w:r>
        <w:t xml:space="preserve"> de leur décision. Il revient plutôt aux demandeurs et à </w:t>
      </w:r>
      <w:r w:rsidR="00CC3FCD">
        <w:t>la SPCA</w:t>
      </w:r>
      <w:r>
        <w:t xml:space="preserve"> d</w:t>
      </w:r>
      <w:r w:rsidR="00520274">
        <w:t xml:space="preserve">’en </w:t>
      </w:r>
      <w:r w:rsidR="00851775">
        <w:t>démontr</w:t>
      </w:r>
      <w:r>
        <w:t xml:space="preserve">er le caractère déraisonnable </w:t>
      </w:r>
      <w:r w:rsidR="00520274">
        <w:t>et ils n’y parviennent pas.</w:t>
      </w:r>
    </w:p>
    <w:p w14:paraId="22ADF260" w14:textId="2FD2BC6A" w:rsidR="001233DC" w:rsidRDefault="00401D32" w:rsidP="005A1070">
      <w:pPr>
        <w:pStyle w:val="Paragrsimple"/>
        <w:widowControl w:val="0"/>
      </w:pPr>
      <w:r>
        <w:t>En premier lieu</w:t>
      </w:r>
      <w:r w:rsidR="001233DC">
        <w:t xml:space="preserve">, ils font valoir que la chasse à l’arbalète se caractérise par un taux de blessure très élevé en ce que plusieurs animaux atteints par une flèche ne meurent pas sur le coup. À cet égard, </w:t>
      </w:r>
      <w:r w:rsidR="00CC3FCD">
        <w:t>la SPCA</w:t>
      </w:r>
      <w:r w:rsidR="001233DC">
        <w:t xml:space="preserve"> s’appuie sur un article de revue scientifique</w:t>
      </w:r>
      <w:r w:rsidR="001233DC">
        <w:rPr>
          <w:rStyle w:val="Appelnotedebasdep"/>
        </w:rPr>
        <w:footnoteReference w:id="218"/>
      </w:r>
      <w:r w:rsidR="001233DC">
        <w:t xml:space="preserve"> et un article paru dans le Journal de Montréal</w:t>
      </w:r>
      <w:r w:rsidR="001233DC">
        <w:rPr>
          <w:rStyle w:val="Appelnotedebasdep"/>
        </w:rPr>
        <w:footnoteReference w:id="219"/>
      </w:r>
      <w:r>
        <w:t xml:space="preserve"> dont le Tribunal a refusé d’admettre </w:t>
      </w:r>
      <w:r w:rsidR="00124B7A">
        <w:t>la preuve du</w:t>
      </w:r>
      <w:r>
        <w:t xml:space="preserve"> contenu</w:t>
      </w:r>
      <w:r w:rsidR="00A146F6">
        <w:rPr>
          <w:rStyle w:val="Appelnotedebasdep"/>
        </w:rPr>
        <w:footnoteReference w:id="220"/>
      </w:r>
      <w:r w:rsidR="00A146F6">
        <w:t>.</w:t>
      </w:r>
    </w:p>
    <w:p w14:paraId="6F54ED27" w14:textId="20AB325B" w:rsidR="001233DC" w:rsidRDefault="001233DC" w:rsidP="005A1070">
      <w:pPr>
        <w:pStyle w:val="Paragrsimple"/>
        <w:widowControl w:val="0"/>
      </w:pPr>
      <w:r>
        <w:t xml:space="preserve">Par ailleurs, </w:t>
      </w:r>
      <w:r w:rsidR="00401D32">
        <w:t>ils</w:t>
      </w:r>
      <w:r>
        <w:t xml:space="preserve"> mettent de l’avant le Rapport Autenne et le témoignage de </w:t>
      </w:r>
      <w:r w:rsidR="00401D32">
        <w:t>son auteur</w:t>
      </w:r>
      <w:r>
        <w:t xml:space="preserve"> selon qui la chasse à l’arbalète est contre-indiquée en raison de son manque d’efficacité et du stress et de la souffrance qu’elle cause inévitablement à l’animal. Ici encore, </w:t>
      </w:r>
      <w:r w:rsidR="00401D32">
        <w:t>il s’ag</w:t>
      </w:r>
      <w:r w:rsidR="008A3E0F">
        <w:t>i</w:t>
      </w:r>
      <w:r w:rsidR="00401D32">
        <w:t>t d’éléments de preuve non admis par le Tribunal</w:t>
      </w:r>
      <w:r w:rsidR="00A146F6">
        <w:rPr>
          <w:rStyle w:val="Appelnotedebasdep"/>
        </w:rPr>
        <w:footnoteReference w:id="221"/>
      </w:r>
    </w:p>
    <w:p w14:paraId="0B6B875B" w14:textId="55538F23" w:rsidR="001233DC" w:rsidRDefault="001233DC" w:rsidP="005A1070">
      <w:pPr>
        <w:pStyle w:val="Paragrsimple"/>
        <w:widowControl w:val="0"/>
      </w:pPr>
      <w:r>
        <w:t xml:space="preserve">Aussi, </w:t>
      </w:r>
      <w:r w:rsidR="00CC3FCD">
        <w:t>la SPCA</w:t>
      </w:r>
      <w:r>
        <w:t xml:space="preserve"> plaide que la Ville elle-même reconnaît dans son protocole de capture datée du 8 décembre 2021</w:t>
      </w:r>
      <w:r>
        <w:rPr>
          <w:rStyle w:val="Appelnotedebasdep"/>
        </w:rPr>
        <w:footnoteReference w:id="222"/>
      </w:r>
      <w:r>
        <w:t xml:space="preserve"> </w:t>
      </w:r>
      <w:r w:rsidR="00EE72A3">
        <w:t xml:space="preserve">que la chasse contrôlée à l’arbalète </w:t>
      </w:r>
      <w:r>
        <w:t>comporte plusieurs inconvénients. Entre autres, puisqu’elle fait appel à des compétences humaines, il y a possibilité d’erreurs. De plus, il y a « risque de cerfs blessés errants ».</w:t>
      </w:r>
    </w:p>
    <w:p w14:paraId="6E05CEF3" w14:textId="0FEBFE43" w:rsidR="001233DC" w:rsidRDefault="00D37884" w:rsidP="005A1070">
      <w:pPr>
        <w:pStyle w:val="Paragrsimple"/>
        <w:widowControl w:val="0"/>
      </w:pPr>
      <w:r>
        <w:t xml:space="preserve">Toutefois, le fait que cette méthode </w:t>
      </w:r>
      <w:r w:rsidR="001233DC">
        <w:t xml:space="preserve">ne soit pas infaillible ne rend pas son adoption déraisonnable. D’ailleurs, </w:t>
      </w:r>
      <w:r>
        <w:t>la preuve révèle qu’il en est ainsi des autres méthodes tel</w:t>
      </w:r>
      <w:r w:rsidR="008A3E0F">
        <w:t>les</w:t>
      </w:r>
      <w:r>
        <w:t xml:space="preserve"> que la capture-euthanasie ou la relocalisation qui pose</w:t>
      </w:r>
      <w:r w:rsidR="005A23F1">
        <w:t>nt</w:t>
      </w:r>
      <w:r>
        <w:t xml:space="preserve"> des risques élevés de stress, de blessures ou de morbidité.</w:t>
      </w:r>
    </w:p>
    <w:p w14:paraId="4407B016" w14:textId="54AB5B67" w:rsidR="00D37884" w:rsidRDefault="00D37884" w:rsidP="005A1070">
      <w:pPr>
        <w:pStyle w:val="Paragrsimple"/>
        <w:widowControl w:val="0"/>
      </w:pPr>
      <w:r>
        <w:t xml:space="preserve">Enfin, les demandeurs et </w:t>
      </w:r>
      <w:r w:rsidR="00CC3FCD">
        <w:t>la SPCA</w:t>
      </w:r>
      <w:r>
        <w:t xml:space="preserve"> invoquent également le caractère déraisonnable </w:t>
      </w:r>
      <w:r w:rsidR="00A146F6">
        <w:t xml:space="preserve">de la délivrance </w:t>
      </w:r>
      <w:r>
        <w:t>du Permis SEG en ce qu’elle n’a pas été pré</w:t>
      </w:r>
      <w:r w:rsidR="00EE72A3">
        <w:t>céd</w:t>
      </w:r>
      <w:r>
        <w:t>é</w:t>
      </w:r>
      <w:r w:rsidR="00EE72A3">
        <w:t>e</w:t>
      </w:r>
      <w:r>
        <w:t xml:space="preserve"> par la délivrance du certificat de bons soins aux animaux comme l’exige la Directive</w:t>
      </w:r>
      <w:r>
        <w:rPr>
          <w:rStyle w:val="Appelnotedebasdep"/>
        </w:rPr>
        <w:footnoteReference w:id="223"/>
      </w:r>
      <w:r>
        <w:t>. Ce certificat est requis lorsque les mani</w:t>
      </w:r>
      <w:r w:rsidR="00EE72A3">
        <w:t>pula</w:t>
      </w:r>
      <w:r>
        <w:t>tions réalisées dans le cadre d’un permis SEG posent un plus grand risque pour le bien-être animal.</w:t>
      </w:r>
    </w:p>
    <w:p w14:paraId="01E26466" w14:textId="749FC5E0" w:rsidR="00D37884" w:rsidRDefault="009659DD" w:rsidP="005A1070">
      <w:pPr>
        <w:pStyle w:val="Paragrsimple"/>
        <w:widowControl w:val="0"/>
      </w:pPr>
      <w:r>
        <w:t>À cet égard, Lamoureux explique que, puisque la chasse ne requiert aucun soin ni aucune manipulation alors que l’animal est vivant, ce certificat n’est pas requis pour la délivrance du Permis SEG. Le Tribunal ne peut conclure que cette lecture de la Directive, au demeurant non contraignante</w:t>
      </w:r>
      <w:r>
        <w:rPr>
          <w:rStyle w:val="Appelnotedebasdep"/>
        </w:rPr>
        <w:footnoteReference w:id="224"/>
      </w:r>
      <w:r>
        <w:t>, soit déraisonnable.</w:t>
      </w:r>
    </w:p>
    <w:p w14:paraId="30772234" w14:textId="26C6175F" w:rsidR="009659DD" w:rsidRDefault="003C7F5B" w:rsidP="005A1070">
      <w:pPr>
        <w:pStyle w:val="Paragrsimple"/>
        <w:widowControl w:val="0"/>
      </w:pPr>
      <w:r>
        <w:t xml:space="preserve">Cela dit, le Tribunal </w:t>
      </w:r>
      <w:r w:rsidR="006C6AB9">
        <w:t>conclut</w:t>
      </w:r>
      <w:r>
        <w:t xml:space="preserve"> que la Ville et </w:t>
      </w:r>
      <w:r w:rsidR="00CC3FCD">
        <w:t>l</w:t>
      </w:r>
      <w:r w:rsidR="006323B0">
        <w:t xml:space="preserve">e MFFP </w:t>
      </w:r>
      <w:r>
        <w:t>démontr</w:t>
      </w:r>
      <w:r w:rsidR="006C6AB9">
        <w:t>ent le caractère raisonnable</w:t>
      </w:r>
      <w:r>
        <w:t xml:space="preserve"> de leur décision respective au regard du bien-être animal.</w:t>
      </w:r>
    </w:p>
    <w:p w14:paraId="65DD167A" w14:textId="4CA3BCF6" w:rsidR="003C7F5B" w:rsidRDefault="00124B7A" w:rsidP="005A1070">
      <w:pPr>
        <w:pStyle w:val="Paragrsimple"/>
        <w:widowControl w:val="0"/>
      </w:pPr>
      <w:r>
        <w:t>L</w:t>
      </w:r>
      <w:r w:rsidR="003C7F5B">
        <w:t xml:space="preserve">a chasse </w:t>
      </w:r>
      <w:r w:rsidR="005A23F1">
        <w:t>se veut</w:t>
      </w:r>
      <w:r w:rsidR="003C7F5B">
        <w:t xml:space="preserve"> une méthode de gestion</w:t>
      </w:r>
      <w:r w:rsidR="006C6AB9">
        <w:t xml:space="preserve"> de la faune</w:t>
      </w:r>
      <w:r w:rsidR="003C7F5B">
        <w:t xml:space="preserve"> reconnue et largement répandue. De fait, s’appuyant sur des études scientifiques, le Plan de gestion du cerf de Virginie 2020</w:t>
      </w:r>
      <w:r w:rsidR="003C7F5B">
        <w:noBreakHyphen/>
        <w:t xml:space="preserve">2027 exprime l’avis qu’il s’agit de la meilleure méthode de gestion </w:t>
      </w:r>
      <w:r w:rsidR="006C6AB9">
        <w:t>de cette espèce</w:t>
      </w:r>
      <w:r w:rsidR="001D2C79">
        <w:rPr>
          <w:rStyle w:val="Appelnotedebasdep"/>
        </w:rPr>
        <w:footnoteReference w:id="225"/>
      </w:r>
      <w:r w:rsidR="001D2C79">
        <w:t>. Dans le Rapport sur la situation du cerf de Virginie dans l’est de Montréal, des biologistes universitaires décrivent la méthode de chasse contrôlée comme une opération de courte durée qui engendre peu de stress aux animaux</w:t>
      </w:r>
      <w:r w:rsidR="004B7DF0">
        <w:rPr>
          <w:rStyle w:val="Appelnotedebasdep"/>
        </w:rPr>
        <w:footnoteReference w:id="226"/>
      </w:r>
      <w:r w:rsidR="004B7DF0">
        <w:t>. C’est d’ailleurs la méthode appliquée pour contrôler le cheptel présent dans le boisé Du Tremblay.</w:t>
      </w:r>
    </w:p>
    <w:p w14:paraId="1C700188" w14:textId="77777777" w:rsidR="00B75525" w:rsidRDefault="00B75525" w:rsidP="005A1070">
      <w:pPr>
        <w:pStyle w:val="Paragrsimple"/>
        <w:widowControl w:val="0"/>
      </w:pPr>
      <w:r>
        <w:t>Incidemment, la chasse demeure une activité légale et reconnue en dépit de l’adoption de l’article 898.1 C.c.Q. Au cours de la saison de chasse 2021, on rapporte la récolte de plus de 52 000 cerfs dans l’ensemble du Québec dont 9 642 par l’arbalète</w:t>
      </w:r>
      <w:r>
        <w:rPr>
          <w:rStyle w:val="Appelnotedebasdep"/>
        </w:rPr>
        <w:footnoteReference w:id="227"/>
      </w:r>
      <w:r>
        <w:t>.</w:t>
      </w:r>
    </w:p>
    <w:p w14:paraId="0F33E2FC" w14:textId="034EAD71" w:rsidR="004B7DF0" w:rsidRDefault="004B7DF0" w:rsidP="005A1070">
      <w:pPr>
        <w:pStyle w:val="Paragrsimple"/>
        <w:widowControl w:val="0"/>
      </w:pPr>
      <w:r>
        <w:t>Par ailleurs, l’arbalète fait partie des engins de chasse reconnus pour la chasse aux cerfs</w:t>
      </w:r>
      <w:r>
        <w:rPr>
          <w:rStyle w:val="Appelnotedebasdep"/>
        </w:rPr>
        <w:footnoteReference w:id="228"/>
      </w:r>
      <w:r>
        <w:t xml:space="preserve">. Aussi, </w:t>
      </w:r>
      <w:r w:rsidR="006C6AB9">
        <w:t>on</w:t>
      </w:r>
      <w:r>
        <w:t xml:space="preserve"> </w:t>
      </w:r>
      <w:r w:rsidR="00B75525">
        <w:t>l’</w:t>
      </w:r>
      <w:r>
        <w:t>utilise à de nombreuses reprises dans le cadre d’opération de chasse contrôlée</w:t>
      </w:r>
      <w:r w:rsidR="00083FD6">
        <w:t>,</w:t>
      </w:r>
      <w:r>
        <w:t xml:space="preserve"> notamment dans certains états américains</w:t>
      </w:r>
      <w:r w:rsidR="00DA4C46">
        <w:rPr>
          <w:rStyle w:val="Appelnotedebasdep"/>
        </w:rPr>
        <w:footnoteReference w:id="229"/>
      </w:r>
      <w:r w:rsidR="00082743">
        <w:t>.</w:t>
      </w:r>
    </w:p>
    <w:p w14:paraId="33A1F19C" w14:textId="7C607BE6" w:rsidR="00082743" w:rsidRDefault="00082743" w:rsidP="005A1070">
      <w:pPr>
        <w:pStyle w:val="Paragrsimple"/>
        <w:widowControl w:val="0"/>
      </w:pPr>
      <w:r>
        <w:t>Ensuite, la Ville et le MFFP conjugu</w:t>
      </w:r>
      <w:r w:rsidR="00083FD6">
        <w:t>ent</w:t>
      </w:r>
      <w:r>
        <w:t xml:space="preserve"> leurs efforts afin de mettre en place une opération efficace encadré</w:t>
      </w:r>
      <w:r w:rsidR="00B75525">
        <w:t>e</w:t>
      </w:r>
      <w:r>
        <w:t xml:space="preserve"> par le plan préliminaire d’intervention préparé par la Ville et qui réduit au maximum les risques de stress ou de blessure pour le cerf. À cette fin, le Permis SEG</w:t>
      </w:r>
      <w:r>
        <w:rPr>
          <w:rStyle w:val="Appelnotedebasdep"/>
        </w:rPr>
        <w:footnoteReference w:id="230"/>
      </w:r>
      <w:r>
        <w:t xml:space="preserve"> prévoit plusieurs conditions particulières décrites aux paragraphes 88 et suivants de la déclaration sous serment de Lamoureux</w:t>
      </w:r>
      <w:r w:rsidR="00610220">
        <w:t xml:space="preserve"> et que nous avons déjà examinées.</w:t>
      </w:r>
    </w:p>
    <w:p w14:paraId="14F86972" w14:textId="40A450DD" w:rsidR="00F24AD1" w:rsidRDefault="00610220" w:rsidP="007C5E13">
      <w:pPr>
        <w:pStyle w:val="Paragrsimple"/>
        <w:keepNext/>
      </w:pPr>
      <w:r>
        <w:t xml:space="preserve">Bref, la Ville et le MFFP ont tout mis en place </w:t>
      </w:r>
      <w:r w:rsidRPr="006323B0">
        <w:t>afin</w:t>
      </w:r>
      <w:r>
        <w:t xml:space="preserve"> que l’opération de chasse contrôlée à l’arbalète s’exécute dans le respect de la sensibilité des cerfs </w:t>
      </w:r>
      <w:r w:rsidR="006323B0">
        <w:t>permettant</w:t>
      </w:r>
      <w:r>
        <w:t xml:space="preserve"> qu’il soit mis fin à leur vie d’une manière aussi douce et rapide que possible.</w:t>
      </w:r>
    </w:p>
    <w:p w14:paraId="0C9E081C" w14:textId="199AE7AD" w:rsidR="00610220" w:rsidRPr="003950F2" w:rsidRDefault="003950F2" w:rsidP="007C5E13">
      <w:pPr>
        <w:pStyle w:val="Titre1"/>
        <w:numPr>
          <w:ilvl w:val="0"/>
          <w:numId w:val="23"/>
        </w:numPr>
      </w:pPr>
      <w:bookmarkStart w:id="80" w:name="_Toc144367260"/>
      <w:r w:rsidRPr="003950F2">
        <w:t>CONCLUSION</w:t>
      </w:r>
      <w:bookmarkEnd w:id="80"/>
    </w:p>
    <w:p w14:paraId="538A5DAC" w14:textId="59963E93" w:rsidR="003950F2" w:rsidRDefault="003950F2" w:rsidP="005A1070">
      <w:pPr>
        <w:pStyle w:val="Paragrsimple"/>
        <w:widowControl w:val="0"/>
      </w:pPr>
      <w:r>
        <w:t xml:space="preserve">Les demandeurs et l’intervenante </w:t>
      </w:r>
      <w:r w:rsidR="00083FD6">
        <w:t>ne parviennent pas à démontrer</w:t>
      </w:r>
      <w:r>
        <w:t xml:space="preserve"> le caractère déraisonnable de la Résolution et de la délivrance du Permis SEG.</w:t>
      </w:r>
    </w:p>
    <w:p w14:paraId="046622BA" w14:textId="6CE2D27A" w:rsidR="003950F2" w:rsidRDefault="003950F2" w:rsidP="005A1070">
      <w:pPr>
        <w:pStyle w:val="Paragrsimple"/>
        <w:widowControl w:val="0"/>
      </w:pPr>
      <w:r>
        <w:t>La Résolution s’inscrit dans l’exercice légitime des pouvoirs que la loi attribue à la Ville en matière de parcs, d’environnement, de nuisances, de salubrité et de sécurité. Elle est intimement liée à la surpopulation de cerfs dans le Parc</w:t>
      </w:r>
      <w:r w:rsidR="00AA09DF">
        <w:t xml:space="preserve"> </w:t>
      </w:r>
      <w:r>
        <w:t xml:space="preserve">et aux </w:t>
      </w:r>
      <w:r w:rsidR="00AA09DF">
        <w:t>nombreux</w:t>
      </w:r>
      <w:r>
        <w:t xml:space="preserve"> enjeux qu</w:t>
      </w:r>
      <w:r w:rsidR="00AA09DF">
        <w:t>’elle soulève</w:t>
      </w:r>
      <w:r>
        <w:t>. Elle est également le fruit d’un long processus de consultation et de réflexion qui intègre des considérations importantes pour le bien-être et la sensibilité des cerfs.</w:t>
      </w:r>
    </w:p>
    <w:p w14:paraId="183E53D5" w14:textId="42B509E0" w:rsidR="003950F2" w:rsidRDefault="00AA09DF" w:rsidP="005A1070">
      <w:pPr>
        <w:pStyle w:val="Paragrsimple"/>
        <w:widowControl w:val="0"/>
      </w:pPr>
      <w:r>
        <w:t>Quant à elle, l</w:t>
      </w:r>
      <w:r w:rsidR="003950F2">
        <w:t>a délivrance du Permis SEG par le MFFP résulte d’une analyse approfondie qui examine toutes les options. Une fois la décision arrêtée de procéder par la chasse contrôlée à l’arbalète, le MFFP s’assure que le Permis SEG comprenne toutes les conditions permettant une exécution de l’opération respectueuse de la sensibilité animale.</w:t>
      </w:r>
    </w:p>
    <w:p w14:paraId="5D5464A6" w14:textId="77777777" w:rsidR="00691EC7" w:rsidRPr="00691EC7" w:rsidRDefault="00691EC7" w:rsidP="00477D5C">
      <w:pPr>
        <w:pStyle w:val="Paragrdouble"/>
        <w:widowControl w:val="0"/>
        <w:numPr>
          <w:ilvl w:val="0"/>
          <w:numId w:val="0"/>
        </w:numPr>
        <w:spacing w:line="360" w:lineRule="auto"/>
        <w:rPr>
          <w:b/>
          <w:bCs/>
        </w:rPr>
      </w:pPr>
      <w:r w:rsidRPr="00691EC7">
        <w:rPr>
          <w:b/>
          <w:bCs/>
        </w:rPr>
        <w:t>POUR CES MOTIFS, LE TRIBUNAL :</w:t>
      </w:r>
    </w:p>
    <w:p w14:paraId="66D3A0B1" w14:textId="75328B9A" w:rsidR="00691EC7" w:rsidRDefault="00DC754E" w:rsidP="00E55585">
      <w:pPr>
        <w:pStyle w:val="Paragrsimple"/>
        <w:widowControl w:val="0"/>
      </w:pPr>
      <w:r w:rsidRPr="00DC754E">
        <w:rPr>
          <w:b/>
          <w:bCs/>
        </w:rPr>
        <w:t>REJETTE</w:t>
      </w:r>
      <w:r>
        <w:t xml:space="preserve"> le Pourvoi en contrôle judiciaire remodifié;</w:t>
      </w:r>
    </w:p>
    <w:p w14:paraId="71F36D28" w14:textId="06553DD7" w:rsidR="00DC754E" w:rsidRDefault="00DC754E" w:rsidP="00E55585">
      <w:pPr>
        <w:pStyle w:val="Paragrsimple"/>
        <w:widowControl w:val="0"/>
      </w:pPr>
      <w:r w:rsidRPr="00DC754E">
        <w:rPr>
          <w:b/>
          <w:bCs/>
        </w:rPr>
        <w:t>REJETTE</w:t>
      </w:r>
      <w:r>
        <w:t xml:space="preserve"> l’acte d’intervention volontaire modifié;</w:t>
      </w:r>
    </w:p>
    <w:p w14:paraId="0F321DCD" w14:textId="2A31F832" w:rsidR="00DC754E" w:rsidRPr="00772542" w:rsidRDefault="00083FD6" w:rsidP="00E55585">
      <w:pPr>
        <w:pStyle w:val="Paragrsimple"/>
        <w:widowControl w:val="0"/>
      </w:pPr>
      <w:r w:rsidRPr="00083FD6">
        <w:t>Avec frais de justice incluant les frais d’experts</w:t>
      </w:r>
      <w:r w:rsidR="00DC754E">
        <w:rPr>
          <w:b/>
          <w:bCs/>
        </w:rPr>
        <w:t>.</w:t>
      </w: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121A72" w14:paraId="08D10079" w14:textId="77777777" w:rsidTr="00BA153A">
        <w:trPr>
          <w:trHeight w:val="576"/>
        </w:trPr>
        <w:tc>
          <w:tcPr>
            <w:tcW w:w="9505" w:type="dxa"/>
            <w:gridSpan w:val="3"/>
          </w:tcPr>
          <w:p w14:paraId="09BF3E98" w14:textId="77777777" w:rsidR="00121A72" w:rsidRDefault="00121A72" w:rsidP="00D26929">
            <w:pPr>
              <w:keepNext/>
              <w:keepLines/>
            </w:pPr>
          </w:p>
        </w:tc>
      </w:tr>
      <w:tr w:rsidR="00121A72" w:rsidRPr="00F4770B" w14:paraId="2B9E5E78" w14:textId="77777777" w:rsidTr="00BA153A">
        <w:tblPrEx>
          <w:tblCellMar>
            <w:left w:w="0" w:type="dxa"/>
            <w:right w:w="0" w:type="dxa"/>
          </w:tblCellMar>
        </w:tblPrEx>
        <w:trPr>
          <w:cantSplit/>
        </w:trPr>
        <w:tc>
          <w:tcPr>
            <w:tcW w:w="4867" w:type="dxa"/>
            <w:gridSpan w:val="2"/>
          </w:tcPr>
          <w:p w14:paraId="550BDEB9" w14:textId="77777777" w:rsidR="00121A72" w:rsidRDefault="00121A72" w:rsidP="00D26929"/>
        </w:tc>
        <w:tc>
          <w:tcPr>
            <w:tcW w:w="4638" w:type="dxa"/>
          </w:tcPr>
          <w:p w14:paraId="436C44F6" w14:textId="2242B9BA" w:rsidR="00121A72" w:rsidRPr="00F4770B" w:rsidRDefault="00121A72" w:rsidP="00E33144">
            <w:pPr>
              <w:pStyle w:val="zSoquijdatSignature3Juge"/>
              <w:jc w:val="center"/>
            </w:pPr>
            <w:r>
              <w:t>___</w:t>
            </w:r>
            <w:r w:rsidR="00F4770B">
              <w:t>_______________________________</w:t>
            </w:r>
            <w:r w:rsidR="00E33144">
              <w:rPr>
                <w:caps/>
              </w:rPr>
              <w:t xml:space="preserve">BERNARD JOLIN, </w:t>
            </w:r>
            <w:r w:rsidR="00CE5A4C" w:rsidRPr="00F4770B">
              <w:rPr>
                <w:caps/>
              </w:rPr>
              <w:t>j.c.s.</w:t>
            </w:r>
          </w:p>
        </w:tc>
      </w:tr>
      <w:tr w:rsidR="00121A72" w:rsidRPr="00F4770B" w14:paraId="55258913" w14:textId="77777777" w:rsidTr="00BA153A">
        <w:tc>
          <w:tcPr>
            <w:tcW w:w="9505" w:type="dxa"/>
            <w:gridSpan w:val="3"/>
          </w:tcPr>
          <w:p w14:paraId="759AF7E8" w14:textId="0418AEFD" w:rsidR="0052070B" w:rsidRPr="00F4770B" w:rsidRDefault="0052070B" w:rsidP="00D26929"/>
        </w:tc>
      </w:tr>
      <w:tr w:rsidR="002D0F62" w14:paraId="0C20031D" w14:textId="77777777" w:rsidTr="00BA153A">
        <w:trPr>
          <w:cantSplit/>
        </w:trPr>
        <w:tc>
          <w:tcPr>
            <w:tcW w:w="9505" w:type="dxa"/>
            <w:gridSpan w:val="3"/>
          </w:tcPr>
          <w:p w14:paraId="1C08793E" w14:textId="4D1841FB" w:rsidR="002D0F62" w:rsidRDefault="002D0F62" w:rsidP="002D0F62">
            <w:pPr>
              <w:pStyle w:val="zSoquijdatNomProcureurDem"/>
            </w:pPr>
            <w:r w:rsidRPr="00DC7891">
              <w:rPr>
                <w:rFonts w:cs="Arial"/>
                <w:color w:val="000000"/>
              </w:rPr>
              <w:t>Me Anne-France Goldwater</w:t>
            </w:r>
          </w:p>
        </w:tc>
      </w:tr>
      <w:tr w:rsidR="002D0F62" w14:paraId="21C0F52E" w14:textId="77777777" w:rsidTr="00BA153A">
        <w:trPr>
          <w:cantSplit/>
        </w:trPr>
        <w:tc>
          <w:tcPr>
            <w:tcW w:w="9505" w:type="dxa"/>
            <w:gridSpan w:val="3"/>
          </w:tcPr>
          <w:p w14:paraId="17228124" w14:textId="1732D8BE" w:rsidR="002D0F62" w:rsidRPr="00DC7891" w:rsidRDefault="002D0F62" w:rsidP="002D0F62">
            <w:pPr>
              <w:pStyle w:val="zSoquijdatNomProcureurDem"/>
              <w:rPr>
                <w:rFonts w:cs="Arial"/>
                <w:color w:val="000000"/>
              </w:rPr>
            </w:pPr>
            <w:r>
              <w:rPr>
                <w:rFonts w:cs="Arial"/>
                <w:color w:val="000000"/>
                <w:shd w:val="clear" w:color="auto" w:fill="FFFFFF"/>
              </w:rPr>
              <w:t>Me Louis Cornillaut</w:t>
            </w:r>
          </w:p>
        </w:tc>
      </w:tr>
      <w:tr w:rsidR="00121A72" w:rsidRPr="002D0F62" w14:paraId="5B74465D" w14:textId="77777777" w:rsidTr="00BA153A">
        <w:trPr>
          <w:cantSplit/>
        </w:trPr>
        <w:tc>
          <w:tcPr>
            <w:tcW w:w="9505" w:type="dxa"/>
            <w:gridSpan w:val="3"/>
          </w:tcPr>
          <w:p w14:paraId="43241CDE" w14:textId="33EDF34E" w:rsidR="00121A72" w:rsidRPr="002D0F62" w:rsidRDefault="00163445" w:rsidP="00D26929">
            <w:pPr>
              <w:pStyle w:val="zSoquijdatCabinetProcureurDem"/>
              <w:rPr>
                <w:smallCaps/>
              </w:rPr>
            </w:pPr>
            <w:r>
              <w:rPr>
                <w:smallCaps/>
              </w:rPr>
              <w:t>g</w:t>
            </w:r>
            <w:r w:rsidR="002D0F62" w:rsidRPr="002D0F62">
              <w:rPr>
                <w:smallCaps/>
              </w:rPr>
              <w:t xml:space="preserve">oldwater </w:t>
            </w:r>
            <w:r w:rsidR="005A0B06">
              <w:rPr>
                <w:smallCaps/>
              </w:rPr>
              <w:t>d</w:t>
            </w:r>
            <w:r w:rsidR="002D0F62" w:rsidRPr="002D0F62">
              <w:rPr>
                <w:smallCaps/>
              </w:rPr>
              <w:t>ubé</w:t>
            </w:r>
          </w:p>
        </w:tc>
      </w:tr>
      <w:tr w:rsidR="00121A72" w14:paraId="52439208" w14:textId="77777777" w:rsidTr="00BA153A">
        <w:trPr>
          <w:cantSplit/>
        </w:trPr>
        <w:tc>
          <w:tcPr>
            <w:tcW w:w="9505" w:type="dxa"/>
            <w:gridSpan w:val="3"/>
          </w:tcPr>
          <w:p w14:paraId="16BC5633" w14:textId="67C36299" w:rsidR="00121A72" w:rsidRDefault="0025577E" w:rsidP="00D26929">
            <w:pPr>
              <w:pStyle w:val="zSoquijlblProcureurDem"/>
            </w:pPr>
            <w:r>
              <w:t>Avocat</w:t>
            </w:r>
            <w:r w:rsidR="00083FD6">
              <w:t>(e)</w:t>
            </w:r>
            <w:r w:rsidR="00E145D7">
              <w:t>s</w:t>
            </w:r>
            <w:r>
              <w:t xml:space="preserve"> de </w:t>
            </w:r>
            <w:r w:rsidR="002D0F62">
              <w:t>Service Sauvetage Animal</w:t>
            </w:r>
          </w:p>
        </w:tc>
      </w:tr>
      <w:tr w:rsidR="005C2EEC" w14:paraId="2D697517" w14:textId="77777777" w:rsidTr="00BA153A">
        <w:trPr>
          <w:cantSplit/>
        </w:trPr>
        <w:tc>
          <w:tcPr>
            <w:tcW w:w="9505" w:type="dxa"/>
            <w:gridSpan w:val="3"/>
          </w:tcPr>
          <w:p w14:paraId="21AAB834" w14:textId="77777777" w:rsidR="005C2EEC" w:rsidRDefault="005C2EEC" w:rsidP="00D26929"/>
        </w:tc>
      </w:tr>
      <w:tr w:rsidR="002D0F62" w14:paraId="742F9608" w14:textId="77777777" w:rsidTr="00BA153A">
        <w:trPr>
          <w:cantSplit/>
        </w:trPr>
        <w:tc>
          <w:tcPr>
            <w:tcW w:w="9505" w:type="dxa"/>
            <w:gridSpan w:val="3"/>
          </w:tcPr>
          <w:p w14:paraId="3EB656E0" w14:textId="62D14678" w:rsidR="002D0F62" w:rsidRDefault="002D0F62" w:rsidP="002D0F62">
            <w:pPr>
              <w:pStyle w:val="zSoquijdatNomProcureurDef"/>
            </w:pPr>
            <w:r w:rsidRPr="00043013">
              <w:rPr>
                <w:rFonts w:cs="Arial"/>
                <w:color w:val="000000"/>
                <w:shd w:val="clear" w:color="auto" w:fill="FFFFFF"/>
              </w:rPr>
              <w:t>Me Simon Vincent</w:t>
            </w:r>
          </w:p>
        </w:tc>
      </w:tr>
      <w:tr w:rsidR="00083FD6" w14:paraId="04BCD9C6" w14:textId="77777777" w:rsidTr="00BA153A">
        <w:trPr>
          <w:cantSplit/>
        </w:trPr>
        <w:tc>
          <w:tcPr>
            <w:tcW w:w="9505" w:type="dxa"/>
            <w:gridSpan w:val="3"/>
          </w:tcPr>
          <w:p w14:paraId="1753CBC4" w14:textId="6306CE49" w:rsidR="00083FD6" w:rsidRPr="00043013" w:rsidRDefault="00083FD6" w:rsidP="002D0F62">
            <w:pPr>
              <w:pStyle w:val="zSoquijdatNomProcureurDef"/>
              <w:rPr>
                <w:rFonts w:cs="Arial"/>
                <w:color w:val="000000"/>
                <w:shd w:val="clear" w:color="auto" w:fill="FFFFFF"/>
              </w:rPr>
            </w:pPr>
            <w:r>
              <w:rPr>
                <w:rFonts w:cs="Arial"/>
                <w:color w:val="000000"/>
                <w:shd w:val="clear" w:color="auto" w:fill="FFFFFF"/>
              </w:rPr>
              <w:t xml:space="preserve">Me </w:t>
            </w:r>
            <w:r w:rsidRPr="00083FD6">
              <w:rPr>
                <w:rFonts w:cs="Arial"/>
                <w:color w:val="000000"/>
                <w:shd w:val="clear" w:color="auto" w:fill="FFFFFF"/>
              </w:rPr>
              <w:t>Jean-Pierre Baldassare</w:t>
            </w:r>
          </w:p>
        </w:tc>
      </w:tr>
      <w:tr w:rsidR="002D0F62" w:rsidRPr="002D0F62" w14:paraId="4BCD2032" w14:textId="77777777" w:rsidTr="00BA153A">
        <w:trPr>
          <w:cantSplit/>
        </w:trPr>
        <w:tc>
          <w:tcPr>
            <w:tcW w:w="9505" w:type="dxa"/>
            <w:gridSpan w:val="3"/>
          </w:tcPr>
          <w:p w14:paraId="609B95C2" w14:textId="0E7052AA" w:rsidR="002D0F62" w:rsidRPr="002D0F62" w:rsidRDefault="005A0B06" w:rsidP="002D0F62">
            <w:pPr>
              <w:pStyle w:val="zSoquijdatCabinetProcureurDef"/>
              <w:rPr>
                <w:rFonts w:cs="Arial"/>
                <w:smallCaps/>
              </w:rPr>
            </w:pPr>
            <w:r>
              <w:rPr>
                <w:rFonts w:cs="Arial"/>
                <w:smallCaps/>
                <w:color w:val="000000"/>
              </w:rPr>
              <w:t>b</w:t>
            </w:r>
            <w:r w:rsidR="002D0F62" w:rsidRPr="002D0F62">
              <w:rPr>
                <w:rFonts w:cs="Arial"/>
                <w:smallCaps/>
                <w:color w:val="000000"/>
              </w:rPr>
              <w:t xml:space="preserve">élanger </w:t>
            </w:r>
            <w:r>
              <w:rPr>
                <w:rFonts w:cs="Arial"/>
                <w:smallCaps/>
                <w:color w:val="000000"/>
              </w:rPr>
              <w:t>s</w:t>
            </w:r>
            <w:r w:rsidR="002D0F62" w:rsidRPr="002D0F62">
              <w:rPr>
                <w:rFonts w:cs="Arial"/>
                <w:smallCaps/>
                <w:color w:val="000000"/>
              </w:rPr>
              <w:t xml:space="preserve">auvé </w:t>
            </w:r>
            <w:r>
              <w:rPr>
                <w:rFonts w:cs="Arial"/>
                <w:smallCaps/>
                <w:color w:val="000000"/>
              </w:rPr>
              <w:t>s e n c r l</w:t>
            </w:r>
          </w:p>
        </w:tc>
      </w:tr>
      <w:tr w:rsidR="00121A72" w14:paraId="4E680AEB" w14:textId="77777777" w:rsidTr="00BA153A">
        <w:trPr>
          <w:cantSplit/>
        </w:trPr>
        <w:tc>
          <w:tcPr>
            <w:tcW w:w="9505" w:type="dxa"/>
            <w:gridSpan w:val="3"/>
          </w:tcPr>
          <w:p w14:paraId="17590D83" w14:textId="1724B09F" w:rsidR="00121A72" w:rsidRDefault="002D0F62" w:rsidP="00D26929">
            <w:pPr>
              <w:pStyle w:val="zSoquijlblProcureurDef"/>
            </w:pPr>
            <w:r>
              <w:t>Avocat</w:t>
            </w:r>
            <w:r w:rsidR="00083FD6">
              <w:t>s</w:t>
            </w:r>
            <w:r>
              <w:t xml:space="preserve"> de la Ville de Longueuil</w:t>
            </w:r>
          </w:p>
        </w:tc>
      </w:tr>
      <w:tr w:rsidR="002D0F62" w14:paraId="5ED33FDF" w14:textId="77777777" w:rsidTr="00BA153A">
        <w:trPr>
          <w:cantSplit/>
        </w:trPr>
        <w:tc>
          <w:tcPr>
            <w:tcW w:w="9505" w:type="dxa"/>
            <w:gridSpan w:val="3"/>
          </w:tcPr>
          <w:p w14:paraId="3D96D76D" w14:textId="77777777" w:rsidR="002D0F62" w:rsidRDefault="002D0F62" w:rsidP="00D26929">
            <w:pPr>
              <w:pStyle w:val="zSoquijlblProcureurDef"/>
            </w:pPr>
          </w:p>
        </w:tc>
      </w:tr>
      <w:tr w:rsidR="002D0F62" w14:paraId="2A52F51D" w14:textId="77777777" w:rsidTr="00BA153A">
        <w:trPr>
          <w:cantSplit/>
        </w:trPr>
        <w:tc>
          <w:tcPr>
            <w:tcW w:w="9505" w:type="dxa"/>
            <w:gridSpan w:val="3"/>
          </w:tcPr>
          <w:p w14:paraId="38C1F614" w14:textId="77777777" w:rsidR="002D0F62" w:rsidRDefault="002D0F62" w:rsidP="002D0F62">
            <w:pPr>
              <w:pStyle w:val="NormalWeb"/>
              <w:shd w:val="clear" w:color="auto" w:fill="FFFFFF"/>
              <w:spacing w:before="0" w:beforeAutospacing="0" w:after="0" w:afterAutospacing="0"/>
              <w:rPr>
                <w:color w:val="000000"/>
              </w:rPr>
            </w:pPr>
            <w:r>
              <w:rPr>
                <w:rFonts w:ascii="Arial" w:hAnsi="Arial" w:cs="Arial"/>
                <w:color w:val="000000"/>
              </w:rPr>
              <w:t>Me Stéphanie Garon</w:t>
            </w:r>
          </w:p>
          <w:p w14:paraId="040A3D7A" w14:textId="77777777" w:rsidR="002D0F62" w:rsidRDefault="002D0F62" w:rsidP="002D0F62">
            <w:pPr>
              <w:pStyle w:val="NormalWeb"/>
              <w:shd w:val="clear" w:color="auto" w:fill="FFFFFF"/>
              <w:spacing w:before="0" w:beforeAutospacing="0" w:after="0" w:afterAutospacing="0"/>
              <w:rPr>
                <w:color w:val="000000"/>
              </w:rPr>
            </w:pPr>
            <w:r>
              <w:rPr>
                <w:rFonts w:ascii="Arial" w:hAnsi="Arial" w:cs="Arial"/>
                <w:color w:val="000000"/>
              </w:rPr>
              <w:t>Me Simon Larose</w:t>
            </w:r>
          </w:p>
          <w:p w14:paraId="17E52D7E" w14:textId="76582F64" w:rsidR="002D0F62" w:rsidRPr="00E145D7" w:rsidRDefault="005A0B06" w:rsidP="002D0F62">
            <w:pPr>
              <w:pStyle w:val="NormalWeb"/>
              <w:shd w:val="clear" w:color="auto" w:fill="FFFFFF"/>
              <w:spacing w:before="0" w:beforeAutospacing="0" w:after="0" w:afterAutospacing="0"/>
              <w:rPr>
                <w:smallCaps/>
                <w:color w:val="000000"/>
              </w:rPr>
            </w:pPr>
            <w:r>
              <w:rPr>
                <w:rFonts w:ascii="Arial" w:hAnsi="Arial" w:cs="Arial"/>
                <w:smallCaps/>
                <w:color w:val="000000"/>
              </w:rPr>
              <w:t>b</w:t>
            </w:r>
            <w:r w:rsidR="00E145D7" w:rsidRPr="00E145D7">
              <w:rPr>
                <w:rFonts w:ascii="Arial" w:hAnsi="Arial" w:cs="Arial"/>
                <w:smallCaps/>
                <w:color w:val="000000"/>
              </w:rPr>
              <w:t>ernard-</w:t>
            </w:r>
            <w:r>
              <w:rPr>
                <w:rFonts w:ascii="Arial" w:hAnsi="Arial" w:cs="Arial"/>
                <w:smallCaps/>
                <w:color w:val="000000"/>
              </w:rPr>
              <w:t>r</w:t>
            </w:r>
            <w:r w:rsidR="00E145D7" w:rsidRPr="00E145D7">
              <w:rPr>
                <w:rFonts w:ascii="Arial" w:hAnsi="Arial" w:cs="Arial"/>
                <w:smallCaps/>
                <w:color w:val="000000"/>
              </w:rPr>
              <w:t>oy (</w:t>
            </w:r>
            <w:r>
              <w:rPr>
                <w:rFonts w:ascii="Arial" w:hAnsi="Arial" w:cs="Arial"/>
                <w:smallCaps/>
                <w:color w:val="000000"/>
              </w:rPr>
              <w:t>j</w:t>
            </w:r>
            <w:r w:rsidR="00E145D7" w:rsidRPr="00E145D7">
              <w:rPr>
                <w:rFonts w:ascii="Arial" w:hAnsi="Arial" w:cs="Arial"/>
                <w:smallCaps/>
                <w:color w:val="000000"/>
              </w:rPr>
              <w:t>ustice-</w:t>
            </w:r>
            <w:r>
              <w:rPr>
                <w:rFonts w:ascii="Arial" w:hAnsi="Arial" w:cs="Arial"/>
                <w:smallCaps/>
                <w:color w:val="000000"/>
              </w:rPr>
              <w:t>q</w:t>
            </w:r>
            <w:r w:rsidR="00E145D7" w:rsidRPr="00E145D7">
              <w:rPr>
                <w:rFonts w:ascii="Arial" w:hAnsi="Arial" w:cs="Arial"/>
                <w:smallCaps/>
                <w:color w:val="000000"/>
              </w:rPr>
              <w:t>uébec)</w:t>
            </w:r>
          </w:p>
          <w:p w14:paraId="2D05085D" w14:textId="2EB0398C" w:rsidR="002D0F62" w:rsidRDefault="00E145D7" w:rsidP="002D0F62">
            <w:pPr>
              <w:pStyle w:val="NormalWeb"/>
              <w:shd w:val="clear" w:color="auto" w:fill="FFFFFF"/>
              <w:spacing w:before="0" w:beforeAutospacing="0" w:after="0" w:afterAutospacing="0"/>
              <w:rPr>
                <w:color w:val="000000"/>
              </w:rPr>
            </w:pPr>
            <w:r>
              <w:rPr>
                <w:rFonts w:ascii="Arial" w:hAnsi="Arial" w:cs="Arial"/>
                <w:color w:val="000000"/>
              </w:rPr>
              <w:t>A</w:t>
            </w:r>
            <w:r w:rsidR="002D0F62">
              <w:rPr>
                <w:rFonts w:ascii="Arial" w:hAnsi="Arial" w:cs="Arial"/>
                <w:color w:val="000000"/>
              </w:rPr>
              <w:t>vocat</w:t>
            </w:r>
            <w:r w:rsidR="00083FD6">
              <w:rPr>
                <w:rFonts w:ascii="Arial" w:hAnsi="Arial" w:cs="Arial"/>
                <w:color w:val="000000"/>
              </w:rPr>
              <w:t>(e)</w:t>
            </w:r>
            <w:r w:rsidR="002D0F62">
              <w:rPr>
                <w:rFonts w:ascii="Arial" w:hAnsi="Arial" w:cs="Arial"/>
                <w:color w:val="000000"/>
              </w:rPr>
              <w:t>s du Procureur général du Québec</w:t>
            </w:r>
          </w:p>
          <w:p w14:paraId="2E2A5D88" w14:textId="77777777" w:rsidR="002D0F62" w:rsidRDefault="002D0F62" w:rsidP="00D26929">
            <w:pPr>
              <w:pStyle w:val="zSoquijlblProcureurDef"/>
            </w:pPr>
          </w:p>
        </w:tc>
      </w:tr>
      <w:tr w:rsidR="009961AB" w14:paraId="126E06B0" w14:textId="77777777" w:rsidTr="00BA153A">
        <w:trPr>
          <w:cantSplit/>
        </w:trPr>
        <w:tc>
          <w:tcPr>
            <w:tcW w:w="9505" w:type="dxa"/>
            <w:gridSpan w:val="3"/>
          </w:tcPr>
          <w:p w14:paraId="7D827FCE" w14:textId="76CC4736" w:rsidR="009961AB" w:rsidRDefault="009961AB" w:rsidP="00D26929">
            <w:pPr>
              <w:pStyle w:val="zSoquijlblProcureurDef"/>
            </w:pPr>
            <w:r>
              <w:t>Me Marie-Claude St-Amant</w:t>
            </w:r>
          </w:p>
        </w:tc>
      </w:tr>
      <w:tr w:rsidR="00121A72" w:rsidRPr="002D0F62" w14:paraId="740BC5D0" w14:textId="77777777" w:rsidTr="00BA153A">
        <w:tc>
          <w:tcPr>
            <w:tcW w:w="9505" w:type="dxa"/>
            <w:gridSpan w:val="3"/>
          </w:tcPr>
          <w:p w14:paraId="0877B948" w14:textId="6B155E0A" w:rsidR="00121A72" w:rsidRPr="002D0F62" w:rsidRDefault="005A0B06" w:rsidP="00D26929">
            <w:pPr>
              <w:rPr>
                <w:smallCaps/>
              </w:rPr>
            </w:pPr>
            <w:r>
              <w:rPr>
                <w:smallCaps/>
              </w:rPr>
              <w:t>m</w:t>
            </w:r>
            <w:r w:rsidR="009961AB" w:rsidRPr="002D0F62">
              <w:rPr>
                <w:smallCaps/>
              </w:rPr>
              <w:t xml:space="preserve">elançon </w:t>
            </w:r>
            <w:r>
              <w:rPr>
                <w:smallCaps/>
              </w:rPr>
              <w:t>m</w:t>
            </w:r>
            <w:r w:rsidR="009961AB" w:rsidRPr="002D0F62">
              <w:rPr>
                <w:smallCaps/>
              </w:rPr>
              <w:t xml:space="preserve">arceau </w:t>
            </w:r>
            <w:r>
              <w:rPr>
                <w:smallCaps/>
              </w:rPr>
              <w:t>g</w:t>
            </w:r>
            <w:r w:rsidR="009961AB" w:rsidRPr="002D0F62">
              <w:rPr>
                <w:smallCaps/>
              </w:rPr>
              <w:t xml:space="preserve">renier </w:t>
            </w:r>
            <w:r>
              <w:rPr>
                <w:smallCaps/>
              </w:rPr>
              <w:t>c</w:t>
            </w:r>
            <w:r w:rsidR="009961AB" w:rsidRPr="002D0F62">
              <w:rPr>
                <w:smallCaps/>
              </w:rPr>
              <w:t>ohen s.e.n.c</w:t>
            </w:r>
          </w:p>
        </w:tc>
      </w:tr>
      <w:tr w:rsidR="009961AB" w14:paraId="1D6170C3" w14:textId="77777777" w:rsidTr="00BA153A">
        <w:tc>
          <w:tcPr>
            <w:tcW w:w="9505" w:type="dxa"/>
            <w:gridSpan w:val="3"/>
          </w:tcPr>
          <w:p w14:paraId="7921B674" w14:textId="34F24038" w:rsidR="009961AB" w:rsidRDefault="009961AB" w:rsidP="00D26929">
            <w:r>
              <w:t>Avocate de la tierce intervenante</w:t>
            </w:r>
          </w:p>
        </w:tc>
      </w:tr>
      <w:tr w:rsidR="009961AB" w14:paraId="6224C3A3" w14:textId="77777777" w:rsidTr="00BA153A">
        <w:tc>
          <w:tcPr>
            <w:tcW w:w="9505" w:type="dxa"/>
            <w:gridSpan w:val="3"/>
          </w:tcPr>
          <w:p w14:paraId="44FABCAB" w14:textId="77777777" w:rsidR="009961AB" w:rsidRDefault="009961AB" w:rsidP="00D26929"/>
        </w:tc>
      </w:tr>
      <w:tr w:rsidR="00D07797" w14:paraId="127BE0B8" w14:textId="77777777" w:rsidTr="00BA153A">
        <w:tc>
          <w:tcPr>
            <w:tcW w:w="9505" w:type="dxa"/>
            <w:gridSpan w:val="3"/>
          </w:tcPr>
          <w:p w14:paraId="64C5C74E" w14:textId="77777777" w:rsidR="00D07797" w:rsidRDefault="00D07797" w:rsidP="00D26929"/>
        </w:tc>
      </w:tr>
      <w:tr w:rsidR="00121A72" w14:paraId="5DD23C6A" w14:textId="77777777" w:rsidTr="00BA153A">
        <w:tc>
          <w:tcPr>
            <w:tcW w:w="2197" w:type="dxa"/>
          </w:tcPr>
          <w:p w14:paraId="02B0A16C" w14:textId="628F88CD" w:rsidR="00121A72" w:rsidRDefault="00121A72" w:rsidP="00D26929">
            <w:pPr>
              <w:pStyle w:val="zSoquijlblDateAudience"/>
            </w:pPr>
            <w:r>
              <w:t>Date</w:t>
            </w:r>
            <w:r w:rsidR="00E145D7">
              <w:t>s</w:t>
            </w:r>
            <w:r>
              <w:t xml:space="preserve"> d’audience :</w:t>
            </w:r>
          </w:p>
        </w:tc>
        <w:tc>
          <w:tcPr>
            <w:tcW w:w="7308" w:type="dxa"/>
            <w:gridSpan w:val="2"/>
          </w:tcPr>
          <w:p w14:paraId="4D2D4C3A" w14:textId="15B47EB5" w:rsidR="00121A72" w:rsidRDefault="00E145D7" w:rsidP="00D26929">
            <w:pPr>
              <w:pStyle w:val="zSoquijdatDateAudience"/>
            </w:pPr>
            <w:r>
              <w:t>24, 25, 26</w:t>
            </w:r>
            <w:r w:rsidR="005A0B06">
              <w:t xml:space="preserve"> et </w:t>
            </w:r>
            <w:r>
              <w:t>27 avril 2023</w:t>
            </w:r>
          </w:p>
        </w:tc>
      </w:tr>
    </w:tbl>
    <w:p w14:paraId="051024C6" w14:textId="77777777" w:rsidR="00D92A8E" w:rsidRDefault="00D92A8E" w:rsidP="00D26929"/>
    <w:sectPr w:rsidR="00D92A8E" w:rsidSect="00E163B6">
      <w:headerReference w:type="default" r:id="rId13"/>
      <w:footerReference w:type="even" r:id="rId14"/>
      <w:footnotePr>
        <w:numRestart w:val="eachSect"/>
      </w:footnotePr>
      <w:pgSz w:w="12242" w:h="15842" w:code="1"/>
      <w:pgMar w:top="1440" w:right="992" w:bottom="1440" w:left="1701" w:header="144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EC02" w14:textId="77777777" w:rsidR="00B7345B" w:rsidRDefault="00B7345B">
      <w:r>
        <w:separator/>
      </w:r>
    </w:p>
  </w:endnote>
  <w:endnote w:type="continuationSeparator" w:id="0">
    <w:p w14:paraId="3901B8F9" w14:textId="77777777" w:rsidR="00B7345B" w:rsidRDefault="00B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28E1" w14:textId="77777777" w:rsidR="00121A72" w:rsidRDefault="00121A72">
    <w:pPr>
      <w:framePr w:wrap="around" w:vAnchor="text" w:hAnchor="margin" w:xAlign="right" w:y="1"/>
    </w:pPr>
    <w:r>
      <w:fldChar w:fldCharType="begin"/>
    </w:r>
    <w:r>
      <w:instrText xml:space="preserve">PAGE  </w:instrText>
    </w:r>
    <w:r>
      <w:fldChar w:fldCharType="end"/>
    </w:r>
  </w:p>
  <w:p w14:paraId="18B43E5F" w14:textId="77777777" w:rsidR="00121A72" w:rsidRDefault="00121A7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DF20" w14:textId="77777777" w:rsidR="00B7345B" w:rsidRDefault="00B7345B">
      <w:r>
        <w:separator/>
      </w:r>
    </w:p>
  </w:footnote>
  <w:footnote w:type="continuationSeparator" w:id="0">
    <w:p w14:paraId="31F46327" w14:textId="77777777" w:rsidR="00B7345B" w:rsidRDefault="00B7345B">
      <w:r>
        <w:continuationSeparator/>
      </w:r>
    </w:p>
  </w:footnote>
  <w:footnote w:id="1">
    <w:p w14:paraId="5D70FD2B" w14:textId="406F4536" w:rsidR="00CF3093" w:rsidRDefault="00CF3093">
      <w:pPr>
        <w:pStyle w:val="Notedebasdepage"/>
      </w:pPr>
      <w:r>
        <w:rPr>
          <w:rStyle w:val="Appelnotedebasdep"/>
        </w:rPr>
        <w:footnoteRef/>
      </w:r>
      <w:r>
        <w:t xml:space="preserve"> </w:t>
      </w:r>
      <w:r>
        <w:tab/>
        <w:t>Aujourd’hui désigné ministère de l’Environnement, de la Lutte contre les changements climatiques, de la Faune et des Parcs.</w:t>
      </w:r>
    </w:p>
  </w:footnote>
  <w:footnote w:id="2">
    <w:p w14:paraId="7754CA9D" w14:textId="463176B9" w:rsidR="00CF3093" w:rsidRDefault="00CF3093">
      <w:pPr>
        <w:pStyle w:val="Notedebasdepage"/>
      </w:pPr>
      <w:r>
        <w:rPr>
          <w:rStyle w:val="Appelnotedebasdep"/>
        </w:rPr>
        <w:footnoteRef/>
      </w:r>
      <w:r>
        <w:t xml:space="preserve"> </w:t>
      </w:r>
      <w:r>
        <w:tab/>
        <w:t>Pièce P-29.</w:t>
      </w:r>
    </w:p>
  </w:footnote>
  <w:footnote w:id="3">
    <w:p w14:paraId="12A46680" w14:textId="0016861F" w:rsidR="00CF3093" w:rsidRDefault="00CF3093">
      <w:pPr>
        <w:pStyle w:val="Notedebasdepage"/>
      </w:pPr>
      <w:r>
        <w:rPr>
          <w:rStyle w:val="Appelnotedebasdep"/>
        </w:rPr>
        <w:footnoteRef/>
      </w:r>
      <w:r>
        <w:t xml:space="preserve"> </w:t>
      </w:r>
      <w:r>
        <w:tab/>
        <w:t xml:space="preserve">Pièce </w:t>
      </w:r>
      <w:r w:rsidR="00BC7B79">
        <w:t>P-</w:t>
      </w:r>
      <w:r w:rsidR="0057050D">
        <w:t>33.</w:t>
      </w:r>
    </w:p>
  </w:footnote>
  <w:footnote w:id="4">
    <w:p w14:paraId="3380130F" w14:textId="262F990A" w:rsidR="0002076F" w:rsidRDefault="0002076F">
      <w:pPr>
        <w:pStyle w:val="Notedebasdepage"/>
      </w:pPr>
      <w:r>
        <w:rPr>
          <w:rStyle w:val="Appelnotedebasdep"/>
        </w:rPr>
        <w:footnoteRef/>
      </w:r>
      <w:r>
        <w:t xml:space="preserve"> </w:t>
      </w:r>
      <w:r>
        <w:tab/>
        <w:t>L’utilisation, selon le cas, des seuls prénoms ou noms de famille, dans le présent jugement a pour but d’alléger le texte et d’en faciliter la compréhension et l’on voudra bien n’y voir aucune discourtoisie à l’égard des personnes concernées.</w:t>
      </w:r>
    </w:p>
  </w:footnote>
  <w:footnote w:id="5">
    <w:p w14:paraId="7720490A" w14:textId="77777777" w:rsidR="00BF6A51" w:rsidRPr="00FE6219" w:rsidRDefault="00BF6A51" w:rsidP="00BF6A51">
      <w:pPr>
        <w:pStyle w:val="Notedebasdepage"/>
      </w:pPr>
      <w:r>
        <w:rPr>
          <w:rStyle w:val="Appelnotedebasdep"/>
        </w:rPr>
        <w:footnoteRef/>
      </w:r>
      <w:r w:rsidRPr="00FE6219">
        <w:t xml:space="preserve"> </w:t>
      </w:r>
      <w:r w:rsidRPr="00FE6219">
        <w:tab/>
        <w:t>Pièces DV-1 et DV-2.</w:t>
      </w:r>
    </w:p>
  </w:footnote>
  <w:footnote w:id="6">
    <w:p w14:paraId="2C9EFEEB" w14:textId="77777777" w:rsidR="00BF6A51" w:rsidRDefault="00BF6A51" w:rsidP="00BF6A51">
      <w:pPr>
        <w:pStyle w:val="Notedebasdepage"/>
      </w:pPr>
      <w:r>
        <w:rPr>
          <w:rStyle w:val="Appelnotedebasdep"/>
        </w:rPr>
        <w:footnoteRef/>
      </w:r>
      <w:r>
        <w:t xml:space="preserve"> </w:t>
      </w:r>
      <w:r>
        <w:tab/>
        <w:t>Pièce P-3.</w:t>
      </w:r>
    </w:p>
  </w:footnote>
  <w:footnote w:id="7">
    <w:p w14:paraId="6AA641A1" w14:textId="77777777" w:rsidR="00BF6A51" w:rsidRDefault="00BF6A51" w:rsidP="00BF6A51">
      <w:pPr>
        <w:pStyle w:val="Notedebasdepage"/>
      </w:pPr>
      <w:r>
        <w:rPr>
          <w:rStyle w:val="Appelnotedebasdep"/>
        </w:rPr>
        <w:footnoteRef/>
      </w:r>
      <w:r>
        <w:t xml:space="preserve"> </w:t>
      </w:r>
      <w:r>
        <w:tab/>
        <w:t>Pièce P-6.</w:t>
      </w:r>
    </w:p>
  </w:footnote>
  <w:footnote w:id="8">
    <w:p w14:paraId="0730A98A" w14:textId="77777777" w:rsidR="00BF6A51" w:rsidRDefault="00BF6A51" w:rsidP="00BF6A51">
      <w:pPr>
        <w:pStyle w:val="Notedebasdepage"/>
      </w:pPr>
      <w:r>
        <w:rPr>
          <w:rStyle w:val="Appelnotedebasdep"/>
        </w:rPr>
        <w:footnoteRef/>
      </w:r>
      <w:r>
        <w:t xml:space="preserve"> </w:t>
      </w:r>
      <w:r>
        <w:tab/>
        <w:t>Pièces P-7, P-8, P-9.</w:t>
      </w:r>
    </w:p>
  </w:footnote>
  <w:footnote w:id="9">
    <w:p w14:paraId="70E4C3C2" w14:textId="6A8CDA40" w:rsidR="00BF6A51" w:rsidRDefault="00BF6A51" w:rsidP="00BF6A51">
      <w:pPr>
        <w:pStyle w:val="Notedebasdepage"/>
      </w:pPr>
      <w:r>
        <w:rPr>
          <w:rStyle w:val="Appelnotedebasdep"/>
        </w:rPr>
        <w:footnoteRef/>
      </w:r>
      <w:r>
        <w:t xml:space="preserve"> </w:t>
      </w:r>
      <w:r>
        <w:tab/>
        <w:t>Pièces P-10; PG</w:t>
      </w:r>
      <w:r w:rsidR="00AF448C">
        <w:t>Q</w:t>
      </w:r>
      <w:r>
        <w:t>-1.</w:t>
      </w:r>
    </w:p>
  </w:footnote>
  <w:footnote w:id="10">
    <w:p w14:paraId="1336E543" w14:textId="77777777" w:rsidR="00BF6A51" w:rsidRDefault="00BF6A51" w:rsidP="00BF6A51">
      <w:pPr>
        <w:pStyle w:val="Notedebasdepage"/>
      </w:pPr>
      <w:r>
        <w:rPr>
          <w:rStyle w:val="Appelnotedebasdep"/>
        </w:rPr>
        <w:footnoteRef/>
      </w:r>
      <w:r>
        <w:t xml:space="preserve"> </w:t>
      </w:r>
      <w:r>
        <w:tab/>
        <w:t>Pièce P-13.</w:t>
      </w:r>
    </w:p>
  </w:footnote>
  <w:footnote w:id="11">
    <w:p w14:paraId="3C05F183" w14:textId="389DB359" w:rsidR="00BF6A51" w:rsidRDefault="00BF6A51" w:rsidP="00BF6A51">
      <w:pPr>
        <w:pStyle w:val="Notedebasdepage"/>
      </w:pPr>
      <w:r>
        <w:rPr>
          <w:rStyle w:val="Appelnotedebasdep"/>
        </w:rPr>
        <w:footnoteRef/>
      </w:r>
      <w:r>
        <w:t xml:space="preserve"> </w:t>
      </w:r>
      <w:r>
        <w:tab/>
        <w:t>Pièce PG</w:t>
      </w:r>
      <w:r w:rsidR="00AF448C">
        <w:t>Q</w:t>
      </w:r>
      <w:r>
        <w:t>-2.</w:t>
      </w:r>
    </w:p>
  </w:footnote>
  <w:footnote w:id="12">
    <w:p w14:paraId="4B0F14F1" w14:textId="77777777" w:rsidR="00BF6A51" w:rsidRDefault="00BF6A51" w:rsidP="00BF6A51">
      <w:pPr>
        <w:pStyle w:val="Notedebasdepage"/>
      </w:pPr>
      <w:r>
        <w:rPr>
          <w:rStyle w:val="Appelnotedebasdep"/>
        </w:rPr>
        <w:footnoteRef/>
      </w:r>
      <w:r>
        <w:t xml:space="preserve"> </w:t>
      </w:r>
      <w:r>
        <w:tab/>
        <w:t>Pièce P-15.</w:t>
      </w:r>
    </w:p>
  </w:footnote>
  <w:footnote w:id="13">
    <w:p w14:paraId="1CA3400A" w14:textId="77777777" w:rsidR="00BF6A51" w:rsidRDefault="00BF6A51" w:rsidP="00BF6A51">
      <w:pPr>
        <w:pStyle w:val="Notedebasdepage"/>
      </w:pPr>
      <w:r>
        <w:rPr>
          <w:rStyle w:val="Appelnotedebasdep"/>
        </w:rPr>
        <w:footnoteRef/>
      </w:r>
      <w:r>
        <w:t xml:space="preserve"> </w:t>
      </w:r>
      <w:r>
        <w:tab/>
        <w:t>Pièce P-17.</w:t>
      </w:r>
    </w:p>
  </w:footnote>
  <w:footnote w:id="14">
    <w:p w14:paraId="3DDC74FB" w14:textId="77777777" w:rsidR="00BF6A51" w:rsidRDefault="00BF6A51" w:rsidP="00BF6A51">
      <w:pPr>
        <w:pStyle w:val="Notedebasdepage"/>
      </w:pPr>
      <w:r>
        <w:rPr>
          <w:rStyle w:val="Appelnotedebasdep"/>
        </w:rPr>
        <w:footnoteRef/>
      </w:r>
      <w:r>
        <w:t xml:space="preserve"> </w:t>
      </w:r>
      <w:r>
        <w:tab/>
        <w:t>Pièce P-17, p. 19.</w:t>
      </w:r>
    </w:p>
  </w:footnote>
  <w:footnote w:id="15">
    <w:p w14:paraId="4D80A79C" w14:textId="77777777" w:rsidR="00BF6A51" w:rsidRDefault="00BF6A51" w:rsidP="00BF6A51">
      <w:pPr>
        <w:pStyle w:val="Notedebasdepage"/>
      </w:pPr>
      <w:r>
        <w:rPr>
          <w:rStyle w:val="Appelnotedebasdep"/>
        </w:rPr>
        <w:footnoteRef/>
      </w:r>
      <w:r>
        <w:t xml:space="preserve"> </w:t>
      </w:r>
      <w:r>
        <w:tab/>
        <w:t>Pièce P-17, p. 20.</w:t>
      </w:r>
    </w:p>
  </w:footnote>
  <w:footnote w:id="16">
    <w:p w14:paraId="5BAAF120" w14:textId="77777777" w:rsidR="00BF6A51" w:rsidRDefault="00BF6A51" w:rsidP="00BF6A51">
      <w:pPr>
        <w:pStyle w:val="Notedebasdepage"/>
      </w:pPr>
      <w:r>
        <w:rPr>
          <w:rStyle w:val="Appelnotedebasdep"/>
        </w:rPr>
        <w:footnoteRef/>
      </w:r>
      <w:r>
        <w:t xml:space="preserve"> </w:t>
      </w:r>
      <w:r>
        <w:tab/>
        <w:t>Pièce P-17, p. 20.</w:t>
      </w:r>
    </w:p>
  </w:footnote>
  <w:footnote w:id="17">
    <w:p w14:paraId="47F13037" w14:textId="77777777" w:rsidR="00BF6A51" w:rsidRDefault="00BF6A51" w:rsidP="00BF6A51">
      <w:pPr>
        <w:pStyle w:val="Notedebasdepage"/>
      </w:pPr>
      <w:r>
        <w:rPr>
          <w:rStyle w:val="Appelnotedebasdep"/>
        </w:rPr>
        <w:footnoteRef/>
      </w:r>
      <w:r>
        <w:t xml:space="preserve"> </w:t>
      </w:r>
      <w:r>
        <w:tab/>
        <w:t>Sommaire décisionnel SD-2021-3898, Pièce P-22.</w:t>
      </w:r>
    </w:p>
  </w:footnote>
  <w:footnote w:id="18">
    <w:p w14:paraId="0AD394C9" w14:textId="77777777" w:rsidR="00BF6A51" w:rsidRDefault="00BF6A51" w:rsidP="00BF6A51">
      <w:pPr>
        <w:pStyle w:val="Notedebasdepage"/>
      </w:pPr>
      <w:r>
        <w:rPr>
          <w:rStyle w:val="Appelnotedebasdep"/>
        </w:rPr>
        <w:footnoteRef/>
      </w:r>
      <w:r>
        <w:t xml:space="preserve"> </w:t>
      </w:r>
      <w:r>
        <w:tab/>
        <w:t>Déclaration sous serment de Stéphane Lamoureux du 20 janvier 2023, par. 8 c).</w:t>
      </w:r>
    </w:p>
  </w:footnote>
  <w:footnote w:id="19">
    <w:p w14:paraId="71FF9E96" w14:textId="77777777" w:rsidR="00BF6A51" w:rsidRDefault="00BF6A51" w:rsidP="00BF6A51">
      <w:pPr>
        <w:pStyle w:val="Notedebasdepage"/>
      </w:pPr>
      <w:r>
        <w:rPr>
          <w:rStyle w:val="Appelnotedebasdep"/>
        </w:rPr>
        <w:footnoteRef/>
      </w:r>
      <w:r>
        <w:t xml:space="preserve"> </w:t>
      </w:r>
      <w:r>
        <w:tab/>
        <w:t>Pièce P-20.</w:t>
      </w:r>
    </w:p>
  </w:footnote>
  <w:footnote w:id="20">
    <w:p w14:paraId="15F71B4B" w14:textId="07EBD5FB" w:rsidR="00FF2ACC" w:rsidRDefault="00FF2ACC">
      <w:pPr>
        <w:pStyle w:val="Notedebasdepage"/>
      </w:pPr>
      <w:r>
        <w:rPr>
          <w:rStyle w:val="Appelnotedebasdep"/>
        </w:rPr>
        <w:footnoteRef/>
      </w:r>
      <w:r>
        <w:t xml:space="preserve"> </w:t>
      </w:r>
      <w:r>
        <w:tab/>
        <w:t xml:space="preserve">Pièce </w:t>
      </w:r>
      <w:r w:rsidR="004D7FDA">
        <w:t>I</w:t>
      </w:r>
      <w:r>
        <w:t>-3.</w:t>
      </w:r>
    </w:p>
  </w:footnote>
  <w:footnote w:id="21">
    <w:p w14:paraId="05A15A60" w14:textId="7E135408" w:rsidR="00FF2ACC" w:rsidRDefault="00FF2ACC">
      <w:pPr>
        <w:pStyle w:val="Notedebasdepage"/>
      </w:pPr>
      <w:r>
        <w:rPr>
          <w:rStyle w:val="Appelnotedebasdep"/>
        </w:rPr>
        <w:footnoteRef/>
      </w:r>
      <w:r>
        <w:t xml:space="preserve"> </w:t>
      </w:r>
      <w:r>
        <w:tab/>
        <w:t>Pièce P-19.</w:t>
      </w:r>
    </w:p>
  </w:footnote>
  <w:footnote w:id="22">
    <w:p w14:paraId="7673C9D7" w14:textId="77777777" w:rsidR="00BF6A51" w:rsidRDefault="00BF6A51" w:rsidP="00BF6A51">
      <w:pPr>
        <w:pStyle w:val="Notedebasdepage"/>
      </w:pPr>
      <w:r>
        <w:rPr>
          <w:rStyle w:val="Appelnotedebasdep"/>
        </w:rPr>
        <w:footnoteRef/>
      </w:r>
      <w:r>
        <w:t xml:space="preserve"> </w:t>
      </w:r>
      <w:r>
        <w:tab/>
        <w:t>Pièce P-22.</w:t>
      </w:r>
    </w:p>
  </w:footnote>
  <w:footnote w:id="23">
    <w:p w14:paraId="531325EE" w14:textId="1AF6B840" w:rsidR="00BF6A51" w:rsidRDefault="00BF6A51" w:rsidP="00BF6A51">
      <w:pPr>
        <w:pStyle w:val="Notedebasdepage"/>
      </w:pPr>
      <w:r>
        <w:rPr>
          <w:rStyle w:val="Appelnotedebasdep"/>
        </w:rPr>
        <w:footnoteRef/>
      </w:r>
      <w:r>
        <w:t xml:space="preserve"> </w:t>
      </w:r>
      <w:r>
        <w:tab/>
        <w:t>Déclaration sous serment de Provost du 20 janvier 2023, par. 31</w:t>
      </w:r>
      <w:r>
        <w:rPr>
          <w:vertAlign w:val="superscript"/>
        </w:rPr>
        <w:t xml:space="preserve"> </w:t>
      </w:r>
      <w:r>
        <w:t>et 32.</w:t>
      </w:r>
    </w:p>
  </w:footnote>
  <w:footnote w:id="24">
    <w:p w14:paraId="0F092E05" w14:textId="2C0F1681" w:rsidR="008F6DF9" w:rsidRDefault="008F6DF9">
      <w:pPr>
        <w:pStyle w:val="Notedebasdepage"/>
      </w:pPr>
      <w:r>
        <w:rPr>
          <w:rStyle w:val="Appelnotedebasdep"/>
        </w:rPr>
        <w:footnoteRef/>
      </w:r>
      <w:r>
        <w:t xml:space="preserve"> </w:t>
      </w:r>
      <w:r>
        <w:tab/>
      </w:r>
      <w:r w:rsidRPr="008F6DF9">
        <w:rPr>
          <w:i/>
          <w:iCs/>
        </w:rPr>
        <w:t>Id</w:t>
      </w:r>
      <w:r>
        <w:t>., par. 33.</w:t>
      </w:r>
    </w:p>
  </w:footnote>
  <w:footnote w:id="25">
    <w:p w14:paraId="20A2F9CC" w14:textId="77777777" w:rsidR="00BF6A51" w:rsidRDefault="00BF6A51" w:rsidP="00BF6A51">
      <w:pPr>
        <w:pStyle w:val="Notedebasdepage"/>
      </w:pPr>
      <w:r>
        <w:rPr>
          <w:rStyle w:val="Appelnotedebasdep"/>
        </w:rPr>
        <w:footnoteRef/>
      </w:r>
      <w:r>
        <w:t xml:space="preserve"> </w:t>
      </w:r>
      <w:r>
        <w:tab/>
        <w:t>Pièce P-29.</w:t>
      </w:r>
    </w:p>
  </w:footnote>
  <w:footnote w:id="26">
    <w:p w14:paraId="2755D4E3" w14:textId="77777777" w:rsidR="00BF6A51" w:rsidRDefault="00BF6A51" w:rsidP="00BF6A51">
      <w:pPr>
        <w:pStyle w:val="Notedebasdepage"/>
      </w:pPr>
      <w:r>
        <w:rPr>
          <w:rStyle w:val="Appelnotedebasdep"/>
        </w:rPr>
        <w:footnoteRef/>
      </w:r>
      <w:r>
        <w:t xml:space="preserve"> </w:t>
      </w:r>
      <w:r>
        <w:tab/>
        <w:t>Pièce DV-9.</w:t>
      </w:r>
    </w:p>
  </w:footnote>
  <w:footnote w:id="27">
    <w:p w14:paraId="63EFFD18" w14:textId="554ED424" w:rsidR="00365444" w:rsidRPr="00365444" w:rsidRDefault="00365444">
      <w:pPr>
        <w:pStyle w:val="Notedebasdepage"/>
      </w:pPr>
      <w:r>
        <w:rPr>
          <w:rStyle w:val="Appelnotedebasdep"/>
        </w:rPr>
        <w:footnoteRef/>
      </w:r>
      <w:r>
        <w:t xml:space="preserve"> </w:t>
      </w:r>
      <w:r>
        <w:tab/>
      </w:r>
      <w:r>
        <w:rPr>
          <w:i/>
        </w:rPr>
        <w:t>Dunsmuir</w:t>
      </w:r>
      <w:r>
        <w:t xml:space="preserve"> c. </w:t>
      </w:r>
      <w:r>
        <w:rPr>
          <w:i/>
        </w:rPr>
        <w:t>Nouveau-Brunswick</w:t>
      </w:r>
      <w:r>
        <w:t>, 2008 CSC 9, par. 79 e</w:t>
      </w:r>
      <w:r w:rsidR="00301B20">
        <w:t>t</w:t>
      </w:r>
      <w:r>
        <w:t xml:space="preserve"> 90.</w:t>
      </w:r>
    </w:p>
  </w:footnote>
  <w:footnote w:id="28">
    <w:p w14:paraId="2EB852B2" w14:textId="362B54B6" w:rsidR="00582263" w:rsidRPr="00582263" w:rsidRDefault="00582263">
      <w:pPr>
        <w:pStyle w:val="Notedebasdepage"/>
      </w:pPr>
      <w:r>
        <w:rPr>
          <w:rStyle w:val="Appelnotedebasdep"/>
        </w:rPr>
        <w:footnoteRef/>
      </w:r>
      <w:r w:rsidRPr="00582263">
        <w:t xml:space="preserve"> </w:t>
      </w:r>
      <w:r w:rsidRPr="00582263">
        <w:tab/>
      </w:r>
      <w:r w:rsidRPr="00582263">
        <w:rPr>
          <w:i/>
        </w:rPr>
        <w:t>Knight</w:t>
      </w:r>
      <w:r w:rsidRPr="00582263">
        <w:t xml:space="preserve"> c. </w:t>
      </w:r>
      <w:r w:rsidRPr="00582263">
        <w:rPr>
          <w:i/>
        </w:rPr>
        <w:t>Indian Head School Division No. 19</w:t>
      </w:r>
      <w:r w:rsidRPr="00582263">
        <w:t xml:space="preserve">, [1990] 1 R.C.S. 653, p. 682-683; </w:t>
      </w:r>
      <w:r w:rsidRPr="00582263">
        <w:rPr>
          <w:i/>
        </w:rPr>
        <w:t>Cardinal</w:t>
      </w:r>
      <w:r w:rsidRPr="00582263">
        <w:t xml:space="preserve"> c. </w:t>
      </w:r>
      <w:r w:rsidRPr="00582263">
        <w:rPr>
          <w:i/>
        </w:rPr>
        <w:t>Directeur de l'établissement Kent</w:t>
      </w:r>
      <w:r w:rsidRPr="00582263">
        <w:t>, [1985] 2 R.C.S. 643</w:t>
      </w:r>
      <w:r>
        <w:t xml:space="preserve">, p. 654; </w:t>
      </w:r>
      <w:r>
        <w:rPr>
          <w:i/>
        </w:rPr>
        <w:t>Baker</w:t>
      </w:r>
      <w:r>
        <w:t xml:space="preserve"> c. </w:t>
      </w:r>
      <w:r>
        <w:rPr>
          <w:i/>
        </w:rPr>
        <w:t>Canada (Ministre de la Citoyenneté et de l'Immigration)</w:t>
      </w:r>
      <w:r>
        <w:t>, [1999] 2 R.C.S. 817, par. 21.</w:t>
      </w:r>
    </w:p>
  </w:footnote>
  <w:footnote w:id="29">
    <w:p w14:paraId="2341941E" w14:textId="77777777" w:rsidR="00D64839" w:rsidRDefault="00D64839" w:rsidP="00D64839">
      <w:pPr>
        <w:pStyle w:val="Notedebasdepage"/>
      </w:pPr>
      <w:r>
        <w:rPr>
          <w:rStyle w:val="Appelnotedebasdep"/>
        </w:rPr>
        <w:footnoteRef/>
      </w:r>
      <w:r>
        <w:t xml:space="preserve"> </w:t>
      </w:r>
      <w:r>
        <w:tab/>
        <w:t xml:space="preserve">Patricia BLAIR et Alexandre OUELLET, « Notion d’équité procédurale », </w:t>
      </w:r>
      <w:r w:rsidRPr="00681AFF">
        <w:t xml:space="preserve">dans JurisClasseur Québec, coll. « Droit </w:t>
      </w:r>
      <w:r>
        <w:t>public</w:t>
      </w:r>
      <w:r w:rsidRPr="00681AFF">
        <w:t xml:space="preserve"> », </w:t>
      </w:r>
      <w:r w:rsidRPr="00681AFF">
        <w:rPr>
          <w:i/>
          <w:iCs/>
        </w:rPr>
        <w:t>Droit administratif</w:t>
      </w:r>
      <w:r w:rsidRPr="00681AFF">
        <w:t>, fasc. 1</w:t>
      </w:r>
      <w:r>
        <w:t>3</w:t>
      </w:r>
      <w:r w:rsidRPr="00681AFF">
        <w:t xml:space="preserve">, Montréal, LexisNexis Canada, feuilles mobiles, à jour au </w:t>
      </w:r>
      <w:r>
        <w:t>1</w:t>
      </w:r>
      <w:r w:rsidRPr="00681AFF">
        <w:rPr>
          <w:vertAlign w:val="superscript"/>
        </w:rPr>
        <w:t>er</w:t>
      </w:r>
      <w:r>
        <w:t> octobre </w:t>
      </w:r>
      <w:r w:rsidRPr="00681AFF">
        <w:t xml:space="preserve">2020, </w:t>
      </w:r>
      <w:r>
        <w:t xml:space="preserve">par. 16. Voir également, </w:t>
      </w:r>
      <w:r w:rsidRPr="00750A7B">
        <w:rPr>
          <w:i/>
          <w:iCs/>
        </w:rPr>
        <w:t>Canada (Ministre de la Citoyenneté et de l’Immigration)</w:t>
      </w:r>
      <w:r w:rsidRPr="004729AC">
        <w:t xml:space="preserve"> c. </w:t>
      </w:r>
      <w:r w:rsidRPr="00750A7B">
        <w:rPr>
          <w:i/>
          <w:iCs/>
        </w:rPr>
        <w:t>Vavilov</w:t>
      </w:r>
      <w:r w:rsidRPr="004729AC">
        <w:t>, 2019 CSC 65</w:t>
      </w:r>
      <w:r>
        <w:t xml:space="preserve">, par. 77; </w:t>
      </w:r>
      <w:r w:rsidRPr="004729AC">
        <w:rPr>
          <w:i/>
          <w:iCs/>
        </w:rPr>
        <w:t>Baker</w:t>
      </w:r>
      <w:r w:rsidRPr="004729AC">
        <w:t xml:space="preserve"> c. </w:t>
      </w:r>
      <w:r w:rsidRPr="004729AC">
        <w:rPr>
          <w:i/>
          <w:iCs/>
        </w:rPr>
        <w:t>Canada (Ministre de la Citoyenneté et de l'Immigration)</w:t>
      </w:r>
      <w:r w:rsidRPr="004729AC">
        <w:t>, [1999] 2</w:t>
      </w:r>
      <w:r>
        <w:t> </w:t>
      </w:r>
      <w:r w:rsidRPr="004729AC">
        <w:t>RCS 817</w:t>
      </w:r>
      <w:r>
        <w:t xml:space="preserve">, par. 22-27; </w:t>
      </w:r>
      <w:r w:rsidRPr="00750A7B">
        <w:rPr>
          <w:i/>
          <w:iCs/>
        </w:rPr>
        <w:t>Congrégation des témoins de Jéhovah de St-Jérôme-Lafontaine</w:t>
      </w:r>
      <w:r w:rsidRPr="00750A7B">
        <w:t xml:space="preserve"> c. </w:t>
      </w:r>
      <w:r w:rsidRPr="00750A7B">
        <w:rPr>
          <w:i/>
          <w:iCs/>
        </w:rPr>
        <w:t>Lafontaine (Village)</w:t>
      </w:r>
      <w:r w:rsidRPr="00750A7B">
        <w:t>, 2004 CSC 48</w:t>
      </w:r>
      <w:r>
        <w:t>, par. 5.</w:t>
      </w:r>
    </w:p>
  </w:footnote>
  <w:footnote w:id="30">
    <w:p w14:paraId="5F989907" w14:textId="5353745F" w:rsidR="005A2B4D" w:rsidRPr="005A2B4D" w:rsidRDefault="005A2B4D">
      <w:pPr>
        <w:pStyle w:val="Notedebasdepage"/>
      </w:pPr>
      <w:r>
        <w:rPr>
          <w:rStyle w:val="Appelnotedebasdep"/>
        </w:rPr>
        <w:footnoteRef/>
      </w:r>
      <w:r>
        <w:t xml:space="preserve"> </w:t>
      </w:r>
      <w:r>
        <w:tab/>
        <w:t>2020 QCCA 146.</w:t>
      </w:r>
    </w:p>
  </w:footnote>
  <w:footnote w:id="31">
    <w:p w14:paraId="36D8ADF5" w14:textId="5C57AEEF" w:rsidR="00B74030" w:rsidRDefault="00B74030">
      <w:pPr>
        <w:pStyle w:val="Notedebasdepage"/>
      </w:pPr>
      <w:r>
        <w:rPr>
          <w:rStyle w:val="Appelnotedebasdep"/>
        </w:rPr>
        <w:footnoteRef/>
      </w:r>
      <w:r>
        <w:t xml:space="preserve"> </w:t>
      </w:r>
      <w:r>
        <w:tab/>
      </w:r>
      <w:r w:rsidRPr="00440ACC">
        <w:rPr>
          <w:i/>
          <w:iCs/>
        </w:rPr>
        <w:t>Municipalité de Saint-Colomban</w:t>
      </w:r>
      <w:r w:rsidRPr="00AA5CB6">
        <w:t xml:space="preserve"> c. </w:t>
      </w:r>
      <w:r w:rsidRPr="00440ACC">
        <w:rPr>
          <w:i/>
          <w:iCs/>
        </w:rPr>
        <w:t>Boutique de golf Gilles Gareau inc.</w:t>
      </w:r>
      <w:r w:rsidRPr="00AA5CB6">
        <w:t>, 2019 QCCA 1402</w:t>
      </w:r>
      <w:r>
        <w:t xml:space="preserve"> (demande d’autorisation d’appeler rejetée, </w:t>
      </w:r>
      <w:r w:rsidRPr="00B478E3">
        <w:t>2020-04-09</w:t>
      </w:r>
      <w:r>
        <w:t xml:space="preserve">, 38886), par. 51; </w:t>
      </w:r>
      <w:r w:rsidRPr="006E709A">
        <w:rPr>
          <w:i/>
          <w:iCs/>
        </w:rPr>
        <w:t>Transport en commun La Québécoise inc.</w:t>
      </w:r>
      <w:r w:rsidRPr="006E709A">
        <w:t xml:space="preserve"> c. </w:t>
      </w:r>
      <w:r w:rsidRPr="006E709A">
        <w:rPr>
          <w:i/>
          <w:iCs/>
        </w:rPr>
        <w:t>Réseau de transport métropolitain</w:t>
      </w:r>
      <w:r w:rsidRPr="006E709A">
        <w:t>, 2019 QCCA 752</w:t>
      </w:r>
      <w:r>
        <w:t xml:space="preserve"> (demande d’autorisation d’appeler rejetée, C.S.C., </w:t>
      </w:r>
      <w:r w:rsidRPr="006E709A">
        <w:t>2020</w:t>
      </w:r>
      <w:r>
        <w:noBreakHyphen/>
      </w:r>
      <w:r w:rsidRPr="006E709A">
        <w:t>02-06</w:t>
      </w:r>
      <w:r>
        <w:t xml:space="preserve">, no. 38709), par. 39-40; </w:t>
      </w:r>
      <w:r w:rsidRPr="00F948D9">
        <w:rPr>
          <w:i/>
          <w:iCs/>
        </w:rPr>
        <w:t>MRC de Vaudreuil Soulanges</w:t>
      </w:r>
      <w:r w:rsidRPr="00584456">
        <w:t xml:space="preserve"> c. </w:t>
      </w:r>
      <w:r w:rsidRPr="00F948D9">
        <w:rPr>
          <w:i/>
          <w:iCs/>
        </w:rPr>
        <w:t>Compagnie de recyclage de papiers MD inc.</w:t>
      </w:r>
      <w:r w:rsidRPr="00584456">
        <w:t>, 2019 QCCA 202</w:t>
      </w:r>
      <w:r>
        <w:t xml:space="preserve">2, par. 4; </w:t>
      </w:r>
      <w:r w:rsidRPr="00F948D9">
        <w:rPr>
          <w:i/>
          <w:iCs/>
        </w:rPr>
        <w:t>Ville de Québec</w:t>
      </w:r>
      <w:r w:rsidRPr="00753B95">
        <w:t xml:space="preserve"> c. </w:t>
      </w:r>
      <w:r w:rsidRPr="00F948D9">
        <w:rPr>
          <w:i/>
          <w:iCs/>
        </w:rPr>
        <w:t>Ville de l'Ancienne-Lorette</w:t>
      </w:r>
      <w:r w:rsidRPr="00753B95">
        <w:t>, 2021 QCCA 1344</w:t>
      </w:r>
      <w:r>
        <w:t xml:space="preserve">, par. 69; </w:t>
      </w:r>
      <w:r w:rsidR="00111B5A" w:rsidRPr="0009532C">
        <w:rPr>
          <w:i/>
          <w:iCs/>
        </w:rPr>
        <w:t>Fraternité des policiers de Châteauguay inc.</w:t>
      </w:r>
      <w:r w:rsidR="00111B5A" w:rsidRPr="00584456">
        <w:t xml:space="preserve"> c. </w:t>
      </w:r>
      <w:r w:rsidR="00111B5A" w:rsidRPr="0009532C">
        <w:rPr>
          <w:i/>
          <w:iCs/>
        </w:rPr>
        <w:t>Ville de Mercier</w:t>
      </w:r>
      <w:r w:rsidR="00111B5A" w:rsidRPr="00584456">
        <w:t>, 2017 QCCA 125</w:t>
      </w:r>
      <w:r w:rsidR="00111B5A">
        <w:t>1.</w:t>
      </w:r>
    </w:p>
  </w:footnote>
  <w:footnote w:id="32">
    <w:p w14:paraId="474C36AC" w14:textId="0F769631" w:rsidR="00111B5A" w:rsidRDefault="00111B5A">
      <w:pPr>
        <w:pStyle w:val="Notedebasdepage"/>
      </w:pPr>
      <w:r>
        <w:rPr>
          <w:rStyle w:val="Appelnotedebasdep"/>
        </w:rPr>
        <w:footnoteRef/>
      </w:r>
      <w:r>
        <w:t xml:space="preserve"> </w:t>
      </w:r>
      <w:r>
        <w:tab/>
        <w:t>RLRQ c.J-3.</w:t>
      </w:r>
    </w:p>
  </w:footnote>
  <w:footnote w:id="33">
    <w:p w14:paraId="544BB437" w14:textId="76BA2537" w:rsidR="00C4250E" w:rsidRPr="00C4250E" w:rsidRDefault="00C4250E">
      <w:pPr>
        <w:pStyle w:val="Notedebasdepage"/>
      </w:pPr>
      <w:r>
        <w:rPr>
          <w:rStyle w:val="Appelnotedebasdep"/>
        </w:rPr>
        <w:footnoteRef/>
      </w:r>
      <w:r>
        <w:t xml:space="preserve"> </w:t>
      </w:r>
      <w:r>
        <w:tab/>
      </w:r>
      <w:r w:rsidRPr="00500AF1">
        <w:t>Jean-Yves BRIÈRE</w:t>
      </w:r>
      <w:r>
        <w:t>, « </w:t>
      </w:r>
      <w:r w:rsidRPr="00C4250E">
        <w:rPr>
          <w:i/>
          <w:iCs/>
        </w:rPr>
        <w:t>Justice administrative</w:t>
      </w:r>
      <w:r>
        <w:t> » dans Collection de droit 2022-2023, École du Barreau du Québec, vol. 8</w:t>
      </w:r>
      <w:r w:rsidR="00CF3BCC">
        <w:t>,</w:t>
      </w:r>
      <w:r>
        <w:t xml:space="preserve"> Droit public et administratif, Montréal, Éditions Yvon Blais, 2022, p. 172; </w:t>
      </w:r>
      <w:r>
        <w:rPr>
          <w:i/>
        </w:rPr>
        <w:t>Berthiaume</w:t>
      </w:r>
      <w:r>
        <w:t xml:space="preserve"> c. </w:t>
      </w:r>
      <w:r>
        <w:rPr>
          <w:i/>
        </w:rPr>
        <w:t>Réseau de transport de Longueuil</w:t>
      </w:r>
      <w:r>
        <w:t>, 2018 QCCS 5997, par. 68.</w:t>
      </w:r>
    </w:p>
  </w:footnote>
  <w:footnote w:id="34">
    <w:p w14:paraId="48FDC9C1" w14:textId="5FCE758B" w:rsidR="00BB167F" w:rsidRDefault="00BB167F">
      <w:pPr>
        <w:pStyle w:val="Notedebasdepage"/>
      </w:pPr>
      <w:r>
        <w:rPr>
          <w:rStyle w:val="Appelnotedebasdep"/>
        </w:rPr>
        <w:footnoteRef/>
      </w:r>
      <w:r>
        <w:t xml:space="preserve"> </w:t>
      </w:r>
      <w:r>
        <w:tab/>
        <w:t>RLRQ, c.C-19.</w:t>
      </w:r>
    </w:p>
  </w:footnote>
  <w:footnote w:id="35">
    <w:p w14:paraId="1704F29D" w14:textId="19CD84E7" w:rsidR="00852101" w:rsidRDefault="00852101">
      <w:pPr>
        <w:pStyle w:val="Notedebasdepage"/>
      </w:pPr>
      <w:r>
        <w:rPr>
          <w:rStyle w:val="Appelnotedebasdep"/>
        </w:rPr>
        <w:footnoteRef/>
      </w:r>
      <w:r>
        <w:t xml:space="preserve"> </w:t>
      </w:r>
      <w:r>
        <w:tab/>
        <w:t>RLRQ, c.C-47.1.</w:t>
      </w:r>
    </w:p>
  </w:footnote>
  <w:footnote w:id="36">
    <w:p w14:paraId="07039836" w14:textId="1E2CB2AF" w:rsidR="00EB3425" w:rsidRPr="00EB3425" w:rsidRDefault="00EB3425">
      <w:pPr>
        <w:pStyle w:val="Notedebasdepage"/>
      </w:pPr>
      <w:r>
        <w:rPr>
          <w:rStyle w:val="Appelnotedebasdep"/>
        </w:rPr>
        <w:footnoteRef/>
      </w:r>
      <w:r>
        <w:t xml:space="preserve"> </w:t>
      </w:r>
      <w:r>
        <w:tab/>
      </w:r>
      <w:r>
        <w:rPr>
          <w:i/>
        </w:rPr>
        <w:t>Pavages Chenail inc.</w:t>
      </w:r>
      <w:r>
        <w:t xml:space="preserve"> c. </w:t>
      </w:r>
      <w:r>
        <w:rPr>
          <w:i/>
        </w:rPr>
        <w:t>St-Rémi (Corp. municipale de la ville de)</w:t>
      </w:r>
      <w:r>
        <w:t>, J.E. 2001-2132 (C.A.).</w:t>
      </w:r>
    </w:p>
  </w:footnote>
  <w:footnote w:id="37">
    <w:p w14:paraId="7820396F" w14:textId="6FD4B9DC" w:rsidR="00EB3425" w:rsidRPr="00EB3425" w:rsidRDefault="00EB3425">
      <w:pPr>
        <w:pStyle w:val="Notedebasdepage"/>
      </w:pPr>
      <w:r>
        <w:rPr>
          <w:rStyle w:val="Appelnotedebasdep"/>
        </w:rPr>
        <w:footnoteRef/>
      </w:r>
      <w:r>
        <w:t xml:space="preserve"> </w:t>
      </w:r>
      <w:r>
        <w:tab/>
      </w:r>
      <w:r>
        <w:rPr>
          <w:i/>
        </w:rPr>
        <w:t>Ville de Vaudreuil-Dorion</w:t>
      </w:r>
      <w:r>
        <w:t xml:space="preserve"> c. </w:t>
      </w:r>
      <w:r>
        <w:rPr>
          <w:i/>
        </w:rPr>
        <w:t>Municipalité régionale de comté de Vaudreuil-Soulanges</w:t>
      </w:r>
      <w:r>
        <w:t xml:space="preserve">, 2023 QCCS 2102, par. 102 </w:t>
      </w:r>
      <w:r w:rsidR="00184D64">
        <w:t>à</w:t>
      </w:r>
      <w:r>
        <w:t xml:space="preserve"> 10</w:t>
      </w:r>
      <w:r w:rsidR="00184D64">
        <w:t>5</w:t>
      </w:r>
      <w:r>
        <w:t>.</w:t>
      </w:r>
    </w:p>
  </w:footnote>
  <w:footnote w:id="38">
    <w:p w14:paraId="677ECE41" w14:textId="36F1921C" w:rsidR="00EB3425" w:rsidRPr="00AC449C" w:rsidRDefault="00EB3425">
      <w:pPr>
        <w:pStyle w:val="Notedebasdepage"/>
      </w:pPr>
      <w:r>
        <w:rPr>
          <w:rStyle w:val="Appelnotedebasdep"/>
        </w:rPr>
        <w:footnoteRef/>
      </w:r>
      <w:r>
        <w:t xml:space="preserve"> </w:t>
      </w:r>
      <w:r>
        <w:tab/>
      </w:r>
      <w:r w:rsidR="00AC449C">
        <w:rPr>
          <w:i/>
        </w:rPr>
        <w:t>Ville de Vaudreuil-Dorion</w:t>
      </w:r>
      <w:r w:rsidR="00AC449C">
        <w:t xml:space="preserve"> c. </w:t>
      </w:r>
      <w:r w:rsidR="00AC449C">
        <w:rPr>
          <w:i/>
        </w:rPr>
        <w:t>Municipalité régionale de comté de Vaudreuil-Soulanges</w:t>
      </w:r>
      <w:r w:rsidR="00AC449C">
        <w:t>, 2023 QCCS 2102</w:t>
      </w:r>
      <w:r w:rsidR="00D229A5">
        <w:t>.</w:t>
      </w:r>
    </w:p>
  </w:footnote>
  <w:footnote w:id="39">
    <w:p w14:paraId="1AF64049" w14:textId="3902BF73" w:rsidR="00D229A5" w:rsidRDefault="00D229A5">
      <w:pPr>
        <w:pStyle w:val="Notedebasdepage"/>
      </w:pPr>
      <w:r>
        <w:rPr>
          <w:rStyle w:val="Appelnotedebasdep"/>
        </w:rPr>
        <w:footnoteRef/>
      </w:r>
      <w:r>
        <w:t xml:space="preserve"> </w:t>
      </w:r>
      <w:r>
        <w:tab/>
        <w:t xml:space="preserve">Selon le professeur Denis Lemieux, l’application de l’obligation d’équité procédurale suivant la LJA implique que la </w:t>
      </w:r>
      <w:r w:rsidR="00D536BE">
        <w:t xml:space="preserve">Résolution </w:t>
      </w:r>
      <w:r>
        <w:t>de l’administration gouvernementale comporte « des conséquences juridiques » pour l’administré; Denis LEMIEUX, Justice administrative : Loi commentée, 3</w:t>
      </w:r>
      <w:r w:rsidRPr="00500AF1">
        <w:rPr>
          <w:vertAlign w:val="superscript"/>
        </w:rPr>
        <w:t>e</w:t>
      </w:r>
      <w:r>
        <w:t xml:space="preserve"> éd. Brossard, Éditions CCH, 2009, p. 83.</w:t>
      </w:r>
    </w:p>
  </w:footnote>
  <w:footnote w:id="40">
    <w:p w14:paraId="3443F2D7" w14:textId="77777777" w:rsidR="00CC3113" w:rsidRDefault="00CC3113" w:rsidP="00CC3113">
      <w:pPr>
        <w:pStyle w:val="Notedebasdepage"/>
      </w:pPr>
      <w:r>
        <w:rPr>
          <w:rStyle w:val="Appelnotedebasdep"/>
        </w:rPr>
        <w:footnoteRef/>
      </w:r>
      <w:r>
        <w:t xml:space="preserve"> </w:t>
      </w:r>
      <w:r>
        <w:tab/>
        <w:t>2011 QCCS 760; appel accueilli pour un autre motif 2013 QCCA 1348.</w:t>
      </w:r>
    </w:p>
  </w:footnote>
  <w:footnote w:id="41">
    <w:p w14:paraId="2DC7E757" w14:textId="79D5118E" w:rsidR="00CC3113" w:rsidRPr="00F54ECE" w:rsidRDefault="00CC3113" w:rsidP="00CC3113">
      <w:pPr>
        <w:pStyle w:val="Notedebasdepage"/>
      </w:pPr>
      <w:r>
        <w:rPr>
          <w:rStyle w:val="Appelnotedebasdep"/>
        </w:rPr>
        <w:footnoteRef/>
      </w:r>
      <w:r w:rsidRPr="00F54ECE">
        <w:t xml:space="preserve"> </w:t>
      </w:r>
      <w:r w:rsidRPr="00F54ECE">
        <w:tab/>
        <w:t>2008 QCCS 5925.</w:t>
      </w:r>
    </w:p>
  </w:footnote>
  <w:footnote w:id="42">
    <w:p w14:paraId="1A059F9E" w14:textId="77777777" w:rsidR="00D229A5" w:rsidRPr="00F54ECE" w:rsidRDefault="00D229A5" w:rsidP="00D229A5">
      <w:pPr>
        <w:pStyle w:val="Notedebasdepage"/>
      </w:pPr>
      <w:r>
        <w:rPr>
          <w:rStyle w:val="Appelnotedebasdep"/>
        </w:rPr>
        <w:footnoteRef/>
      </w:r>
      <w:r w:rsidRPr="00F54ECE">
        <w:t xml:space="preserve"> </w:t>
      </w:r>
      <w:r w:rsidRPr="00F54ECE">
        <w:tab/>
      </w:r>
      <w:r w:rsidRPr="00F54ECE">
        <w:rPr>
          <w:i/>
        </w:rPr>
        <w:t>Kachkar (Re)</w:t>
      </w:r>
      <w:r w:rsidRPr="00F54ECE">
        <w:t>, 2014 ONCA 250, par. 44-46.</w:t>
      </w:r>
    </w:p>
  </w:footnote>
  <w:footnote w:id="43">
    <w:p w14:paraId="12E0DEC2" w14:textId="7A3FC2FF" w:rsidR="00247187" w:rsidRPr="00247187" w:rsidRDefault="00247187">
      <w:pPr>
        <w:pStyle w:val="Notedebasdepage"/>
      </w:pPr>
      <w:r>
        <w:rPr>
          <w:rStyle w:val="Appelnotedebasdep"/>
        </w:rPr>
        <w:footnoteRef/>
      </w:r>
      <w:r>
        <w:t xml:space="preserve"> </w:t>
      </w:r>
      <w:r>
        <w:tab/>
      </w:r>
      <w:r>
        <w:rPr>
          <w:i/>
        </w:rPr>
        <w:t>Société de l'assurance automobile du Québec</w:t>
      </w:r>
      <w:r>
        <w:t xml:space="preserve"> c. </w:t>
      </w:r>
      <w:r>
        <w:rPr>
          <w:i/>
        </w:rPr>
        <w:t>Cyr</w:t>
      </w:r>
      <w:r>
        <w:t>, 2008 CSC 13, par. 48.</w:t>
      </w:r>
    </w:p>
  </w:footnote>
  <w:footnote w:id="44">
    <w:p w14:paraId="6A6207D1" w14:textId="50289635" w:rsidR="00247187" w:rsidRPr="00247187" w:rsidRDefault="00247187">
      <w:pPr>
        <w:pStyle w:val="Notedebasdepage"/>
        <w:rPr>
          <w:lang w:val="en-CA"/>
        </w:rPr>
      </w:pPr>
      <w:r>
        <w:rPr>
          <w:rStyle w:val="Appelnotedebasdep"/>
        </w:rPr>
        <w:footnoteRef/>
      </w:r>
      <w:r w:rsidRPr="00247187">
        <w:rPr>
          <w:lang w:val="en-CA"/>
        </w:rPr>
        <w:t xml:space="preserve"> </w:t>
      </w:r>
      <w:r w:rsidRPr="00247187">
        <w:rPr>
          <w:lang w:val="en-CA"/>
        </w:rPr>
        <w:tab/>
        <w:t>Art. 898</w:t>
      </w:r>
      <w:r w:rsidR="00CB7252">
        <w:rPr>
          <w:lang w:val="en-CA"/>
        </w:rPr>
        <w:t>.</w:t>
      </w:r>
      <w:r w:rsidRPr="00247187">
        <w:rPr>
          <w:lang w:val="en-CA"/>
        </w:rPr>
        <w:t xml:space="preserve">1, al. 2; </w:t>
      </w:r>
      <w:r w:rsidR="001F66F4">
        <w:rPr>
          <w:i/>
          <w:iCs/>
          <w:lang w:val="en-CA"/>
        </w:rPr>
        <w:t>Road to Home Rescue Support</w:t>
      </w:r>
      <w:r w:rsidR="001F66F4">
        <w:rPr>
          <w:iCs/>
          <w:lang w:val="en-CA"/>
        </w:rPr>
        <w:t xml:space="preserve"> c. </w:t>
      </w:r>
      <w:r w:rsidR="001F66F4">
        <w:rPr>
          <w:i/>
          <w:iCs/>
          <w:lang w:val="en-CA"/>
        </w:rPr>
        <w:t>Ville de Montréal</w:t>
      </w:r>
      <w:r w:rsidR="001F66F4">
        <w:rPr>
          <w:iCs/>
          <w:lang w:val="en-CA"/>
        </w:rPr>
        <w:t>, 2019 QCCA 2187</w:t>
      </w:r>
      <w:r>
        <w:rPr>
          <w:lang w:val="en-CA"/>
        </w:rPr>
        <w:t>, par. 22.</w:t>
      </w:r>
    </w:p>
  </w:footnote>
  <w:footnote w:id="45">
    <w:p w14:paraId="7517889F" w14:textId="45B6F068" w:rsidR="00FE6219" w:rsidRPr="00567B68" w:rsidRDefault="00FE6219">
      <w:pPr>
        <w:pStyle w:val="Notedebasdepage"/>
        <w:rPr>
          <w:lang w:val="en-CA"/>
        </w:rPr>
      </w:pPr>
      <w:r>
        <w:rPr>
          <w:rStyle w:val="Appelnotedebasdep"/>
        </w:rPr>
        <w:footnoteRef/>
      </w:r>
      <w:r w:rsidRPr="00567B68">
        <w:rPr>
          <w:lang w:val="en-CA"/>
        </w:rPr>
        <w:t xml:space="preserve"> </w:t>
      </w:r>
      <w:r w:rsidRPr="00567B68">
        <w:rPr>
          <w:lang w:val="en-CA"/>
        </w:rPr>
        <w:tab/>
        <w:t>Art. 2864, al. 2 C.c.Q.</w:t>
      </w:r>
    </w:p>
  </w:footnote>
  <w:footnote w:id="46">
    <w:p w14:paraId="2A29CD92" w14:textId="784BE9DC" w:rsidR="00FE6219" w:rsidRPr="00567B68" w:rsidRDefault="00FE6219">
      <w:pPr>
        <w:pStyle w:val="Notedebasdepage"/>
        <w:rPr>
          <w:lang w:val="en-CA"/>
        </w:rPr>
      </w:pPr>
      <w:r>
        <w:rPr>
          <w:rStyle w:val="Appelnotedebasdep"/>
        </w:rPr>
        <w:footnoteRef/>
      </w:r>
      <w:r w:rsidRPr="00567B68">
        <w:rPr>
          <w:lang w:val="en-CA"/>
        </w:rPr>
        <w:t xml:space="preserve"> </w:t>
      </w:r>
      <w:r w:rsidRPr="00567B68">
        <w:rPr>
          <w:lang w:val="en-CA"/>
        </w:rPr>
        <w:tab/>
        <w:t>Art. 1466 C.c.Q.</w:t>
      </w:r>
    </w:p>
  </w:footnote>
  <w:footnote w:id="47">
    <w:p w14:paraId="35AEEA8B" w14:textId="51630376" w:rsidR="00FE6219" w:rsidRPr="00FE6219" w:rsidRDefault="00FE6219">
      <w:pPr>
        <w:pStyle w:val="Notedebasdepage"/>
      </w:pPr>
      <w:r>
        <w:rPr>
          <w:rStyle w:val="Appelnotedebasdep"/>
        </w:rPr>
        <w:footnoteRef/>
      </w:r>
      <w:r>
        <w:t xml:space="preserve"> </w:t>
      </w:r>
      <w:r>
        <w:tab/>
      </w:r>
      <w:r w:rsidR="00477C5B" w:rsidRPr="00477C5B">
        <w:rPr>
          <w:i/>
          <w:iCs/>
        </w:rPr>
        <w:t>Road to Home Rescue Support</w:t>
      </w:r>
      <w:r w:rsidR="00477C5B" w:rsidRPr="00477C5B">
        <w:rPr>
          <w:iCs/>
        </w:rPr>
        <w:t xml:space="preserve"> c. </w:t>
      </w:r>
      <w:r w:rsidR="00477C5B" w:rsidRPr="00477C5B">
        <w:rPr>
          <w:i/>
          <w:iCs/>
        </w:rPr>
        <w:t>Ville de Montréal</w:t>
      </w:r>
      <w:r w:rsidR="00477C5B" w:rsidRPr="00477C5B">
        <w:rPr>
          <w:iCs/>
        </w:rPr>
        <w:t>,</w:t>
      </w:r>
      <w:r w:rsidR="00477C5B">
        <w:rPr>
          <w:iCs/>
        </w:rPr>
        <w:t xml:space="preserve"> préc. Note 4</w:t>
      </w:r>
      <w:r w:rsidR="003C2DD8">
        <w:rPr>
          <w:iCs/>
        </w:rPr>
        <w:t>4</w:t>
      </w:r>
      <w:r w:rsidR="00477C5B">
        <w:rPr>
          <w:iCs/>
        </w:rPr>
        <w:t>,</w:t>
      </w:r>
      <w:r>
        <w:t xml:space="preserve"> par. 73; </w:t>
      </w:r>
      <w:r>
        <w:rPr>
          <w:i/>
        </w:rPr>
        <w:t>Trahan</w:t>
      </w:r>
      <w:r>
        <w:t xml:space="preserve"> c. </w:t>
      </w:r>
      <w:r>
        <w:rPr>
          <w:i/>
        </w:rPr>
        <w:t>Ville de Montréal</w:t>
      </w:r>
      <w:r>
        <w:t xml:space="preserve">, 2019 QCCS 4607, par. 17; </w:t>
      </w:r>
      <w:r>
        <w:rPr>
          <w:i/>
        </w:rPr>
        <w:t>Auclair</w:t>
      </w:r>
      <w:r>
        <w:t xml:space="preserve"> c. </w:t>
      </w:r>
      <w:r>
        <w:rPr>
          <w:i/>
        </w:rPr>
        <w:t>Ville de Montréal</w:t>
      </w:r>
      <w:r>
        <w:t>, 2018 QCCS 3937, par. 6,7.</w:t>
      </w:r>
    </w:p>
  </w:footnote>
  <w:footnote w:id="48">
    <w:p w14:paraId="002E75D3" w14:textId="73DD5857" w:rsidR="00FE6219" w:rsidRDefault="00FE6219">
      <w:pPr>
        <w:pStyle w:val="Notedebasdepage"/>
      </w:pPr>
      <w:r>
        <w:rPr>
          <w:rStyle w:val="Appelnotedebasdep"/>
        </w:rPr>
        <w:footnoteRef/>
      </w:r>
      <w:r>
        <w:t xml:space="preserve"> </w:t>
      </w:r>
      <w:r>
        <w:tab/>
        <w:t>Au par</w:t>
      </w:r>
      <w:r w:rsidR="00CB7252">
        <w:t>agraphe</w:t>
      </w:r>
      <w:r>
        <w:t xml:space="preserve"> 12 du Pourvoi, les demandeurs allèguent </w:t>
      </w:r>
      <w:r w:rsidR="0097734A">
        <w:t xml:space="preserve">d’ailleurs </w:t>
      </w:r>
      <w:r>
        <w:t>que les cerfs ne sont pas la propriété de personne.</w:t>
      </w:r>
    </w:p>
  </w:footnote>
  <w:footnote w:id="49">
    <w:p w14:paraId="5810D4EE" w14:textId="22DB8F02" w:rsidR="00FE6219" w:rsidRDefault="00FE6219">
      <w:pPr>
        <w:pStyle w:val="Notedebasdepage"/>
      </w:pPr>
      <w:r>
        <w:rPr>
          <w:rStyle w:val="Appelnotedebasdep"/>
        </w:rPr>
        <w:footnoteRef/>
      </w:r>
      <w:r>
        <w:t xml:space="preserve"> </w:t>
      </w:r>
      <w:r>
        <w:tab/>
        <w:t xml:space="preserve">Pierre-Claude LAFOND, </w:t>
      </w:r>
      <w:r w:rsidR="00292E2A" w:rsidRPr="004F2960">
        <w:rPr>
          <w:i/>
          <w:iCs/>
        </w:rPr>
        <w:t>P</w:t>
      </w:r>
      <w:r w:rsidRPr="004F2960">
        <w:rPr>
          <w:i/>
          <w:iCs/>
        </w:rPr>
        <w:t>récis de</w:t>
      </w:r>
      <w:r w:rsidR="00292E2A" w:rsidRPr="004F2960">
        <w:rPr>
          <w:i/>
          <w:iCs/>
        </w:rPr>
        <w:t xml:space="preserve"> droit des biens</w:t>
      </w:r>
      <w:r w:rsidR="00292E2A">
        <w:t>, 2</w:t>
      </w:r>
      <w:r w:rsidR="00292E2A" w:rsidRPr="00292E2A">
        <w:rPr>
          <w:vertAlign w:val="superscript"/>
        </w:rPr>
        <w:t>e</w:t>
      </w:r>
      <w:r w:rsidR="00292E2A">
        <w:t xml:space="preserve"> éd., Montréal, Éditions Thémis, 2008, par. 2350; voir également </w:t>
      </w:r>
      <w:r w:rsidR="00292E2A" w:rsidRPr="00E86D63">
        <w:t>Mariève LACROIX, « </w:t>
      </w:r>
      <w:r w:rsidR="00292E2A" w:rsidRPr="00E86D63">
        <w:rPr>
          <w:i/>
          <w:iCs/>
        </w:rPr>
        <w:t>Commentaires sur l’art. 934 C.c.Q.</w:t>
      </w:r>
      <w:r w:rsidR="00E86D63">
        <w:t> », dans Commentaires sur le Code civil du Québec (DCQ), Cowansville, Éditions Yvon Blais, 2007, par. 934-555</w:t>
      </w:r>
      <w:r w:rsidR="004F2960">
        <w:t>,</w:t>
      </w:r>
      <w:r w:rsidR="00E86D63">
        <w:t xml:space="preserve"> EYB20078DCQ997 (la Référence).</w:t>
      </w:r>
    </w:p>
  </w:footnote>
  <w:footnote w:id="50">
    <w:p w14:paraId="37FEF5FF" w14:textId="3B18CC47" w:rsidR="00221418" w:rsidRDefault="00221418">
      <w:pPr>
        <w:pStyle w:val="Notedebasdepage"/>
      </w:pPr>
      <w:r>
        <w:rPr>
          <w:rStyle w:val="Appelnotedebasdep"/>
        </w:rPr>
        <w:footnoteRef/>
      </w:r>
      <w:r>
        <w:t xml:space="preserve"> </w:t>
      </w:r>
      <w:r>
        <w:tab/>
      </w:r>
      <w:r w:rsidR="0035241A" w:rsidRPr="00477C5B">
        <w:rPr>
          <w:i/>
          <w:iCs/>
        </w:rPr>
        <w:t>Road to Home Rescue Support</w:t>
      </w:r>
      <w:r w:rsidR="0035241A" w:rsidRPr="00477C5B">
        <w:rPr>
          <w:iCs/>
        </w:rPr>
        <w:t xml:space="preserve"> c. </w:t>
      </w:r>
      <w:r w:rsidR="0035241A" w:rsidRPr="00477C5B">
        <w:rPr>
          <w:i/>
          <w:iCs/>
        </w:rPr>
        <w:t>Ville de Montréal</w:t>
      </w:r>
      <w:r w:rsidR="0035241A" w:rsidRPr="00477C5B">
        <w:rPr>
          <w:iCs/>
        </w:rPr>
        <w:t>,</w:t>
      </w:r>
      <w:r w:rsidR="0035241A">
        <w:rPr>
          <w:iCs/>
        </w:rPr>
        <w:t xml:space="preserve"> préc. Note 4</w:t>
      </w:r>
      <w:r w:rsidR="003C2DD8">
        <w:rPr>
          <w:iCs/>
        </w:rPr>
        <w:t>4</w:t>
      </w:r>
      <w:r w:rsidR="0035241A">
        <w:rPr>
          <w:iCs/>
        </w:rPr>
        <w:t>,</w:t>
      </w:r>
      <w:r w:rsidR="0035241A">
        <w:t xml:space="preserve"> </w:t>
      </w:r>
      <w:r>
        <w:t>par. 57.</w:t>
      </w:r>
    </w:p>
  </w:footnote>
  <w:footnote w:id="51">
    <w:p w14:paraId="1E4E6F1B" w14:textId="66118E61" w:rsidR="00E961B3" w:rsidRDefault="00E961B3">
      <w:pPr>
        <w:pStyle w:val="Notedebasdepage"/>
      </w:pPr>
      <w:r>
        <w:rPr>
          <w:rStyle w:val="Appelnotedebasdep"/>
        </w:rPr>
        <w:footnoteRef/>
      </w:r>
      <w:r>
        <w:t xml:space="preserve"> </w:t>
      </w:r>
      <w:r>
        <w:tab/>
      </w:r>
      <w:r w:rsidR="00B7342E" w:rsidRPr="00B7342E">
        <w:rPr>
          <w:i/>
          <w:iCs/>
        </w:rPr>
        <w:t>Service Sauvetage Animal et al.</w:t>
      </w:r>
      <w:r w:rsidR="00B7342E">
        <w:t xml:space="preserve"> c. </w:t>
      </w:r>
      <w:r w:rsidR="00B7342E" w:rsidRPr="00B7342E">
        <w:rPr>
          <w:i/>
          <w:iCs/>
        </w:rPr>
        <w:t>Ville de Longueuil et al.</w:t>
      </w:r>
      <w:r w:rsidR="00B7342E" w:rsidRPr="00B7342E">
        <w:t xml:space="preserve">, </w:t>
      </w:r>
      <w:r w:rsidR="00030967">
        <w:t>7</w:t>
      </w:r>
      <w:r w:rsidR="00B7342E">
        <w:t xml:space="preserve"> décembre 2022</w:t>
      </w:r>
      <w:r>
        <w:t>, p. 15-16.</w:t>
      </w:r>
    </w:p>
  </w:footnote>
  <w:footnote w:id="52">
    <w:p w14:paraId="35E5259C" w14:textId="5F39AEAE" w:rsidR="00C60817" w:rsidRDefault="00C60817">
      <w:pPr>
        <w:pStyle w:val="Notedebasdepage"/>
      </w:pPr>
      <w:r>
        <w:rPr>
          <w:rStyle w:val="Appelnotedebasdep"/>
        </w:rPr>
        <w:footnoteRef/>
      </w:r>
      <w:r>
        <w:t xml:space="preserve"> </w:t>
      </w:r>
      <w:r>
        <w:tab/>
        <w:t>Pièce P-18.</w:t>
      </w:r>
    </w:p>
  </w:footnote>
  <w:footnote w:id="53">
    <w:p w14:paraId="7747A9C7" w14:textId="4111790A" w:rsidR="00F1717C" w:rsidRDefault="00F1717C">
      <w:pPr>
        <w:pStyle w:val="Notedebasdepage"/>
      </w:pPr>
      <w:r>
        <w:rPr>
          <w:rStyle w:val="Appelnotedebasdep"/>
        </w:rPr>
        <w:footnoteRef/>
      </w:r>
      <w:r>
        <w:t xml:space="preserve"> </w:t>
      </w:r>
      <w:r>
        <w:tab/>
        <w:t>Par. 77 du Pourvoi du 12 mai 2022.</w:t>
      </w:r>
    </w:p>
  </w:footnote>
  <w:footnote w:id="54">
    <w:p w14:paraId="39B8EA2C" w14:textId="37F4BA1B" w:rsidR="00F1717C" w:rsidRDefault="00F1717C">
      <w:pPr>
        <w:pStyle w:val="Notedebasdepage"/>
      </w:pPr>
      <w:r>
        <w:rPr>
          <w:rStyle w:val="Appelnotedebasdep"/>
        </w:rPr>
        <w:footnoteRef/>
      </w:r>
      <w:r>
        <w:t xml:space="preserve"> </w:t>
      </w:r>
      <w:r>
        <w:tab/>
        <w:t>Par. 88 du Pourvoi du 12 mai 2022.</w:t>
      </w:r>
    </w:p>
  </w:footnote>
  <w:footnote w:id="55">
    <w:p w14:paraId="7B4C0EC4" w14:textId="10D4A01F" w:rsidR="00450248" w:rsidRDefault="00450248">
      <w:pPr>
        <w:pStyle w:val="Notedebasdepage"/>
      </w:pPr>
      <w:r>
        <w:rPr>
          <w:rStyle w:val="Appelnotedebasdep"/>
        </w:rPr>
        <w:footnoteRef/>
      </w:r>
      <w:r>
        <w:t xml:space="preserve"> </w:t>
      </w:r>
      <w:r>
        <w:tab/>
        <w:t xml:space="preserve">Pièce </w:t>
      </w:r>
      <w:r w:rsidR="00030967">
        <w:t>I</w:t>
      </w:r>
      <w:r>
        <w:t>-3.</w:t>
      </w:r>
    </w:p>
  </w:footnote>
  <w:footnote w:id="56">
    <w:p w14:paraId="3D16BBE8" w14:textId="77777777" w:rsidR="00FF2ACC" w:rsidRDefault="00FF2ACC" w:rsidP="00FF2ACC">
      <w:pPr>
        <w:pStyle w:val="Notedebasdepage"/>
      </w:pPr>
      <w:r>
        <w:rPr>
          <w:rStyle w:val="Appelnotedebasdep"/>
        </w:rPr>
        <w:footnoteRef/>
      </w:r>
      <w:r>
        <w:t xml:space="preserve"> </w:t>
      </w:r>
      <w:r>
        <w:tab/>
      </w:r>
      <w:r>
        <w:rPr>
          <w:i/>
        </w:rPr>
        <w:t>Canada (Ministre de la Citoyenneté et de l'Immigration)</w:t>
      </w:r>
      <w:r>
        <w:t xml:space="preserve"> c. </w:t>
      </w:r>
      <w:r>
        <w:rPr>
          <w:i/>
        </w:rPr>
        <w:t>Vavilov</w:t>
      </w:r>
      <w:r>
        <w:t>, 2019 CSC 65, par. 16 et 17.</w:t>
      </w:r>
    </w:p>
  </w:footnote>
  <w:footnote w:id="57">
    <w:p w14:paraId="2C3382EE" w14:textId="77777777" w:rsidR="00FF2ACC" w:rsidRDefault="00FF2ACC" w:rsidP="00FF2ACC">
      <w:pPr>
        <w:pStyle w:val="Notedebasdepage"/>
      </w:pPr>
      <w:r>
        <w:rPr>
          <w:rStyle w:val="Appelnotedebasdep"/>
        </w:rPr>
        <w:footnoteRef/>
      </w:r>
      <w:r>
        <w:t xml:space="preserve"> </w:t>
      </w:r>
      <w:r>
        <w:tab/>
      </w:r>
      <w:r w:rsidRPr="00EF33BA">
        <w:rPr>
          <w:i/>
          <w:iCs/>
        </w:rPr>
        <w:t>Id</w:t>
      </w:r>
      <w:r>
        <w:t>., par. 83.</w:t>
      </w:r>
    </w:p>
  </w:footnote>
  <w:footnote w:id="58">
    <w:p w14:paraId="4F32C185" w14:textId="77777777" w:rsidR="00FF2ACC" w:rsidRDefault="00FF2ACC" w:rsidP="00FF2ACC">
      <w:pPr>
        <w:pStyle w:val="Notedebasdepage"/>
      </w:pPr>
      <w:r>
        <w:rPr>
          <w:rStyle w:val="Appelnotedebasdep"/>
        </w:rPr>
        <w:footnoteRef/>
      </w:r>
      <w:r>
        <w:t xml:space="preserve"> </w:t>
      </w:r>
      <w:r>
        <w:tab/>
      </w:r>
      <w:r w:rsidRPr="00EF33BA">
        <w:rPr>
          <w:i/>
          <w:iCs/>
        </w:rPr>
        <w:t>Id</w:t>
      </w:r>
      <w:r>
        <w:t>., par. 101.</w:t>
      </w:r>
    </w:p>
  </w:footnote>
  <w:footnote w:id="59">
    <w:p w14:paraId="6936FC15" w14:textId="77777777" w:rsidR="00FF2ACC" w:rsidRDefault="00FF2ACC" w:rsidP="00FF2ACC">
      <w:pPr>
        <w:pStyle w:val="Notedebasdepage"/>
      </w:pPr>
      <w:r>
        <w:rPr>
          <w:rStyle w:val="Appelnotedebasdep"/>
        </w:rPr>
        <w:footnoteRef/>
      </w:r>
      <w:r>
        <w:t xml:space="preserve"> </w:t>
      </w:r>
      <w:r>
        <w:tab/>
      </w:r>
      <w:r w:rsidRPr="00EF33BA">
        <w:rPr>
          <w:i/>
          <w:iCs/>
        </w:rPr>
        <w:t>Id</w:t>
      </w:r>
      <w:r>
        <w:t>., par. 106.</w:t>
      </w:r>
    </w:p>
  </w:footnote>
  <w:footnote w:id="60">
    <w:p w14:paraId="7D7199A0" w14:textId="77777777" w:rsidR="00FF2ACC" w:rsidRDefault="00FF2ACC" w:rsidP="00FF2ACC">
      <w:pPr>
        <w:pStyle w:val="Notedebasdepage"/>
      </w:pPr>
      <w:r>
        <w:rPr>
          <w:rStyle w:val="Appelnotedebasdep"/>
        </w:rPr>
        <w:footnoteRef/>
      </w:r>
      <w:r>
        <w:t xml:space="preserve"> </w:t>
      </w:r>
      <w:r>
        <w:tab/>
      </w:r>
      <w:r w:rsidRPr="00EF33BA">
        <w:rPr>
          <w:i/>
          <w:iCs/>
        </w:rPr>
        <w:t>Id</w:t>
      </w:r>
      <w:r>
        <w:t>., par. 100.</w:t>
      </w:r>
    </w:p>
  </w:footnote>
  <w:footnote w:id="61">
    <w:p w14:paraId="0A1F93D4" w14:textId="77777777" w:rsidR="00FF2ACC" w:rsidRDefault="00FF2ACC" w:rsidP="00FF2ACC">
      <w:pPr>
        <w:pStyle w:val="Notedebasdepage"/>
      </w:pPr>
      <w:r>
        <w:rPr>
          <w:rStyle w:val="Appelnotedebasdep"/>
        </w:rPr>
        <w:footnoteRef/>
      </w:r>
      <w:r>
        <w:t xml:space="preserve"> </w:t>
      </w:r>
      <w:r>
        <w:tab/>
      </w:r>
      <w:r w:rsidRPr="000F34F6">
        <w:rPr>
          <w:i/>
          <w:iCs/>
        </w:rPr>
        <w:t>Id</w:t>
      </w:r>
      <w:r w:rsidRPr="00EF33BA">
        <w:rPr>
          <w:i/>
          <w:iCs/>
        </w:rPr>
        <w:t>.,</w:t>
      </w:r>
      <w:r>
        <w:t xml:space="preserve"> par. 137.</w:t>
      </w:r>
    </w:p>
  </w:footnote>
  <w:footnote w:id="62">
    <w:p w14:paraId="7876D380" w14:textId="77777777" w:rsidR="00FF2ACC" w:rsidRPr="0054273B" w:rsidRDefault="00FF2ACC" w:rsidP="00FF2ACC">
      <w:pPr>
        <w:pStyle w:val="Notedebasdepage"/>
      </w:pPr>
      <w:r>
        <w:rPr>
          <w:rStyle w:val="Appelnotedebasdep"/>
        </w:rPr>
        <w:footnoteRef/>
      </w:r>
      <w:r>
        <w:t xml:space="preserve"> </w:t>
      </w:r>
      <w:r>
        <w:tab/>
      </w:r>
      <w:r>
        <w:rPr>
          <w:i/>
        </w:rPr>
        <w:t>Ville de Brossard</w:t>
      </w:r>
      <w:r>
        <w:t xml:space="preserve"> c. </w:t>
      </w:r>
      <w:r>
        <w:rPr>
          <w:i/>
        </w:rPr>
        <w:t>Ville de Longueuil</w:t>
      </w:r>
      <w:r>
        <w:t>, 2022 QCCA 1139, par. 50.</w:t>
      </w:r>
    </w:p>
  </w:footnote>
  <w:footnote w:id="63">
    <w:p w14:paraId="019CCB24" w14:textId="77777777" w:rsidR="00FF2ACC" w:rsidRPr="0054273B" w:rsidRDefault="00FF2ACC" w:rsidP="00FF2ACC">
      <w:pPr>
        <w:pStyle w:val="Notedebasdepage"/>
        <w:rPr>
          <w:lang w:val="en-CA"/>
        </w:rPr>
      </w:pPr>
      <w:r>
        <w:rPr>
          <w:rStyle w:val="Appelnotedebasdep"/>
        </w:rPr>
        <w:footnoteRef/>
      </w:r>
      <w:r w:rsidRPr="0054273B">
        <w:rPr>
          <w:lang w:val="en-CA"/>
        </w:rPr>
        <w:t xml:space="preserve"> </w:t>
      </w:r>
      <w:r w:rsidRPr="0054273B">
        <w:rPr>
          <w:lang w:val="en-CA"/>
        </w:rPr>
        <w:tab/>
      </w:r>
      <w:r w:rsidRPr="0054273B">
        <w:rPr>
          <w:i/>
          <w:lang w:val="en-CA"/>
        </w:rPr>
        <w:t>Catalyst Paper Corp.</w:t>
      </w:r>
      <w:r w:rsidRPr="0054273B">
        <w:rPr>
          <w:lang w:val="en-CA"/>
        </w:rPr>
        <w:t xml:space="preserve"> c. </w:t>
      </w:r>
      <w:r w:rsidRPr="0054273B">
        <w:rPr>
          <w:i/>
          <w:lang w:val="en-CA"/>
        </w:rPr>
        <w:t>North Cowichan (District)</w:t>
      </w:r>
      <w:r w:rsidRPr="0054273B">
        <w:rPr>
          <w:lang w:val="en-CA"/>
        </w:rPr>
        <w:t>, 2012 CSC 2</w:t>
      </w:r>
      <w:r>
        <w:rPr>
          <w:lang w:val="en-CA"/>
        </w:rPr>
        <w:t>.</w:t>
      </w:r>
    </w:p>
  </w:footnote>
  <w:footnote w:id="64">
    <w:p w14:paraId="7729DE72" w14:textId="77777777" w:rsidR="00FF2ACC" w:rsidRPr="0054273B" w:rsidRDefault="00FF2ACC" w:rsidP="00FF2ACC">
      <w:pPr>
        <w:pStyle w:val="Notedebasdepage"/>
      </w:pPr>
      <w:r>
        <w:rPr>
          <w:rStyle w:val="Appelnotedebasdep"/>
        </w:rPr>
        <w:footnoteRef/>
      </w:r>
      <w:r>
        <w:t xml:space="preserve"> </w:t>
      </w:r>
      <w:r>
        <w:tab/>
      </w:r>
      <w:r w:rsidRPr="0054273B">
        <w:rPr>
          <w:i/>
          <w:iCs/>
        </w:rPr>
        <w:t>Id</w:t>
      </w:r>
      <w:r>
        <w:t xml:space="preserve">., par. 19.; </w:t>
      </w:r>
      <w:r>
        <w:rPr>
          <w:i/>
        </w:rPr>
        <w:t>Ville de Brossard</w:t>
      </w:r>
      <w:r>
        <w:t xml:space="preserve"> c. </w:t>
      </w:r>
      <w:r>
        <w:rPr>
          <w:i/>
        </w:rPr>
        <w:t>Ville de Longueuil</w:t>
      </w:r>
      <w:r>
        <w:t>, 2022 QCCA 1139, par. 55.</w:t>
      </w:r>
    </w:p>
  </w:footnote>
  <w:footnote w:id="65">
    <w:p w14:paraId="1C47A85D" w14:textId="77777777" w:rsidR="00FF2ACC" w:rsidRPr="0054273B" w:rsidRDefault="00FF2ACC" w:rsidP="00FF2ACC">
      <w:pPr>
        <w:pStyle w:val="Notedebasdepage"/>
      </w:pPr>
      <w:r>
        <w:rPr>
          <w:rStyle w:val="Appelnotedebasdep"/>
        </w:rPr>
        <w:footnoteRef/>
      </w:r>
      <w:r>
        <w:t xml:space="preserve"> </w:t>
      </w:r>
      <w:r>
        <w:tab/>
      </w:r>
      <w:r>
        <w:rPr>
          <w:i/>
        </w:rPr>
        <w:t>Bellefleur</w:t>
      </w:r>
      <w:r>
        <w:t xml:space="preserve"> c. </w:t>
      </w:r>
      <w:r>
        <w:rPr>
          <w:i/>
        </w:rPr>
        <w:t>Québec (Procureur général)</w:t>
      </w:r>
      <w:r>
        <w:t xml:space="preserve">, J.E. 93-719 (C.A.), par. 64; </w:t>
      </w:r>
      <w:r>
        <w:rPr>
          <w:i/>
        </w:rPr>
        <w:t>Lemire</w:t>
      </w:r>
      <w:r>
        <w:t xml:space="preserve"> c. </w:t>
      </w:r>
      <w:r>
        <w:rPr>
          <w:i/>
        </w:rPr>
        <w:t>Procureure générale du Québec</w:t>
      </w:r>
      <w:r>
        <w:t>, 2019 QCCS 1842, par. 131.</w:t>
      </w:r>
    </w:p>
  </w:footnote>
  <w:footnote w:id="66">
    <w:p w14:paraId="0412BADA" w14:textId="77777777" w:rsidR="00FF2ACC" w:rsidRDefault="00FF2ACC" w:rsidP="00FF2ACC">
      <w:pPr>
        <w:pStyle w:val="Notedebasdepage"/>
      </w:pPr>
      <w:r>
        <w:rPr>
          <w:rStyle w:val="Appelnotedebasdep"/>
        </w:rPr>
        <w:footnoteRef/>
      </w:r>
      <w:r>
        <w:t xml:space="preserve"> </w:t>
      </w:r>
      <w:r>
        <w:tab/>
      </w:r>
      <w:r>
        <w:rPr>
          <w:i/>
        </w:rPr>
        <w:t>Bellefleur</w:t>
      </w:r>
      <w:r>
        <w:t xml:space="preserve"> c. </w:t>
      </w:r>
      <w:r>
        <w:rPr>
          <w:i/>
        </w:rPr>
        <w:t>Québec (Procureur général)</w:t>
      </w:r>
      <w:r>
        <w:t>, J.E. 93-719 (C.A.), par. 64.</w:t>
      </w:r>
    </w:p>
  </w:footnote>
  <w:footnote w:id="67">
    <w:p w14:paraId="5D96E01C" w14:textId="271A37F0" w:rsidR="00FF2ACC" w:rsidRPr="0054273B" w:rsidRDefault="00FF2ACC" w:rsidP="00FF2ACC">
      <w:pPr>
        <w:pStyle w:val="Notedebasdepage"/>
      </w:pPr>
      <w:r>
        <w:rPr>
          <w:rStyle w:val="Appelnotedebasdep"/>
        </w:rPr>
        <w:footnoteRef/>
      </w:r>
      <w:r>
        <w:tab/>
      </w:r>
      <w:r>
        <w:rPr>
          <w:i/>
        </w:rPr>
        <w:t>Québec (Procureur général)</w:t>
      </w:r>
      <w:r>
        <w:t xml:space="preserve"> c. </w:t>
      </w:r>
      <w:r>
        <w:rPr>
          <w:i/>
        </w:rPr>
        <w:t>Germain Blanchard ltée</w:t>
      </w:r>
      <w:r>
        <w:t xml:space="preserve">, 2005 QCCA 605, par. 47; </w:t>
      </w:r>
      <w:r w:rsidR="0035241A">
        <w:rPr>
          <w:i/>
        </w:rPr>
        <w:t>Bellefleur</w:t>
      </w:r>
      <w:r w:rsidR="0035241A">
        <w:t xml:space="preserve"> c. </w:t>
      </w:r>
      <w:r w:rsidR="0035241A">
        <w:rPr>
          <w:i/>
        </w:rPr>
        <w:t>Québec (Procureur général)</w:t>
      </w:r>
      <w:r w:rsidR="0035241A">
        <w:t>, p</w:t>
      </w:r>
      <w:r w:rsidRPr="0035241A">
        <w:t xml:space="preserve">réc. </w:t>
      </w:r>
      <w:r w:rsidR="0035241A">
        <w:t>n</w:t>
      </w:r>
      <w:r w:rsidRPr="0035241A">
        <w:t xml:space="preserve">ote </w:t>
      </w:r>
      <w:r w:rsidR="0035241A">
        <w:t>6</w:t>
      </w:r>
      <w:r w:rsidRPr="0035241A">
        <w:t>4,</w:t>
      </w:r>
      <w:r>
        <w:t xml:space="preserve"> par. 61.</w:t>
      </w:r>
    </w:p>
  </w:footnote>
  <w:footnote w:id="68">
    <w:p w14:paraId="23CB53B0" w14:textId="4329F5B7" w:rsidR="004F0BA2" w:rsidRPr="004F0BA2" w:rsidRDefault="004F0BA2">
      <w:pPr>
        <w:pStyle w:val="Notedebasdepage"/>
      </w:pPr>
      <w:r>
        <w:rPr>
          <w:rStyle w:val="Appelnotedebasdep"/>
        </w:rPr>
        <w:footnoteRef/>
      </w:r>
      <w:r w:rsidRPr="004F0BA2">
        <w:t xml:space="preserve"> </w:t>
      </w:r>
      <w:r w:rsidRPr="004F0BA2">
        <w:tab/>
        <w:t xml:space="preserve">Pièces P-21, P-28, </w:t>
      </w:r>
      <w:r w:rsidR="000D2CE0">
        <w:t>I</w:t>
      </w:r>
      <w:r w:rsidRPr="004F0BA2">
        <w:t xml:space="preserve">-5, </w:t>
      </w:r>
      <w:r w:rsidR="000D2CE0">
        <w:t>I</w:t>
      </w:r>
      <w:r w:rsidRPr="004F0BA2">
        <w:t>-6 et</w:t>
      </w:r>
      <w:r>
        <w:t xml:space="preserve"> </w:t>
      </w:r>
      <w:r w:rsidR="000D2CE0">
        <w:t>I</w:t>
      </w:r>
      <w:r>
        <w:t>-13.</w:t>
      </w:r>
    </w:p>
  </w:footnote>
  <w:footnote w:id="69">
    <w:p w14:paraId="5661A4D3" w14:textId="763B4C13" w:rsidR="004F0BA2" w:rsidRDefault="004F0BA2">
      <w:pPr>
        <w:pStyle w:val="Notedebasdepage"/>
      </w:pPr>
      <w:r>
        <w:rPr>
          <w:rStyle w:val="Appelnotedebasdep"/>
        </w:rPr>
        <w:footnoteRef/>
      </w:r>
      <w:r>
        <w:t xml:space="preserve"> </w:t>
      </w:r>
      <w:r>
        <w:tab/>
        <w:t xml:space="preserve">Pièces P-32, P-36, </w:t>
      </w:r>
      <w:r w:rsidR="000D2CE0">
        <w:t>I</w:t>
      </w:r>
      <w:r>
        <w:t>-9.</w:t>
      </w:r>
    </w:p>
  </w:footnote>
  <w:footnote w:id="70">
    <w:p w14:paraId="36979F94" w14:textId="61A7232A" w:rsidR="0012211C" w:rsidRPr="0012211C" w:rsidRDefault="0012211C">
      <w:pPr>
        <w:pStyle w:val="Notedebasdepage"/>
      </w:pPr>
      <w:r>
        <w:rPr>
          <w:rStyle w:val="Appelnotedebasdep"/>
        </w:rPr>
        <w:footnoteRef/>
      </w:r>
      <w:r>
        <w:t xml:space="preserve"> </w:t>
      </w:r>
      <w:r>
        <w:tab/>
      </w:r>
      <w:r w:rsidR="002608DF">
        <w:rPr>
          <w:i/>
        </w:rPr>
        <w:t xml:space="preserve">Droit de la famille — </w:t>
      </w:r>
      <w:r w:rsidR="002608DF" w:rsidRPr="002608DF">
        <w:t>22937</w:t>
      </w:r>
      <w:r w:rsidR="002608DF">
        <w:t xml:space="preserve">, 2022 QCCS 2113, par. 122-123; </w:t>
      </w:r>
      <w:r w:rsidRPr="000D2CE0">
        <w:rPr>
          <w:i/>
          <w:iCs/>
        </w:rPr>
        <w:t>Ndiaye</w:t>
      </w:r>
      <w:r>
        <w:t xml:space="preserve"> c. </w:t>
      </w:r>
      <w:r>
        <w:rPr>
          <w:i/>
        </w:rPr>
        <w:t>Adiélou Investissement International Canada inc.</w:t>
      </w:r>
      <w:r>
        <w:t xml:space="preserve">, 2019 QCCS 2726, par. 126; </w:t>
      </w:r>
      <w:r>
        <w:rPr>
          <w:i/>
        </w:rPr>
        <w:t>Fortier</w:t>
      </w:r>
      <w:r>
        <w:t xml:space="preserve"> c. </w:t>
      </w:r>
      <w:r>
        <w:rPr>
          <w:i/>
        </w:rPr>
        <w:t>Québec (Procureur général)</w:t>
      </w:r>
      <w:r>
        <w:t>, 2013 QCCS 591, par. 264; art. 2832 C.c.Q.</w:t>
      </w:r>
    </w:p>
  </w:footnote>
  <w:footnote w:id="71">
    <w:p w14:paraId="6663E9EB" w14:textId="1A2099A5" w:rsidR="0012211C" w:rsidRDefault="0012211C">
      <w:pPr>
        <w:pStyle w:val="Notedebasdepage"/>
      </w:pPr>
      <w:r>
        <w:rPr>
          <w:rStyle w:val="Appelnotedebasdep"/>
        </w:rPr>
        <w:footnoteRef/>
      </w:r>
      <w:r>
        <w:t xml:space="preserve"> </w:t>
      </w:r>
      <w:r>
        <w:tab/>
        <w:t xml:space="preserve">Pièce </w:t>
      </w:r>
      <w:r w:rsidR="000D2CE0">
        <w:t>I</w:t>
      </w:r>
      <w:r>
        <w:t>-4.</w:t>
      </w:r>
    </w:p>
  </w:footnote>
  <w:footnote w:id="72">
    <w:p w14:paraId="213F3836" w14:textId="41F1EEB9" w:rsidR="0012211C" w:rsidRDefault="0012211C">
      <w:pPr>
        <w:pStyle w:val="Notedebasdepage"/>
      </w:pPr>
      <w:r>
        <w:rPr>
          <w:rStyle w:val="Appelnotedebasdep"/>
        </w:rPr>
        <w:footnoteRef/>
      </w:r>
      <w:r>
        <w:t xml:space="preserve"> </w:t>
      </w:r>
      <w:r>
        <w:tab/>
        <w:t xml:space="preserve">Pièce </w:t>
      </w:r>
      <w:r w:rsidR="000D2CE0">
        <w:t>I</w:t>
      </w:r>
      <w:r>
        <w:t>-3.</w:t>
      </w:r>
    </w:p>
  </w:footnote>
  <w:footnote w:id="73">
    <w:p w14:paraId="3648C6B8" w14:textId="7521C6B3" w:rsidR="001F6A24" w:rsidRPr="001F6A24" w:rsidRDefault="001F6A24">
      <w:pPr>
        <w:pStyle w:val="Notedebasdepage"/>
      </w:pPr>
      <w:r>
        <w:rPr>
          <w:rStyle w:val="Appelnotedebasdep"/>
        </w:rPr>
        <w:footnoteRef/>
      </w:r>
      <w:r w:rsidRPr="001F6A24">
        <w:t xml:space="preserve"> </w:t>
      </w:r>
      <w:r w:rsidRPr="001F6A24">
        <w:tab/>
        <w:t>Pièces P-40</w:t>
      </w:r>
      <w:r w:rsidR="004A285F" w:rsidRPr="001F6A24">
        <w:t xml:space="preserve">, P-47, I-12, I-14 </w:t>
      </w:r>
      <w:r w:rsidR="000D2CE0">
        <w:t xml:space="preserve">et </w:t>
      </w:r>
      <w:r w:rsidR="004A285F">
        <w:t>I-15.</w:t>
      </w:r>
    </w:p>
  </w:footnote>
  <w:footnote w:id="74">
    <w:p w14:paraId="31F1DBBE" w14:textId="3E8258E1" w:rsidR="0086245E" w:rsidRPr="002608DF" w:rsidRDefault="0086245E">
      <w:pPr>
        <w:pStyle w:val="Notedebasdepage"/>
      </w:pPr>
      <w:r>
        <w:rPr>
          <w:rStyle w:val="Appelnotedebasdep"/>
        </w:rPr>
        <w:footnoteRef/>
      </w:r>
      <w:r>
        <w:t xml:space="preserve"> </w:t>
      </w:r>
      <w:r>
        <w:tab/>
      </w:r>
      <w:r>
        <w:rPr>
          <w:i/>
        </w:rPr>
        <w:t>Diggs</w:t>
      </w:r>
      <w:r>
        <w:t xml:space="preserve"> c. </w:t>
      </w:r>
      <w:r>
        <w:rPr>
          <w:i/>
        </w:rPr>
        <w:t>Procureur général du Québec</w:t>
      </w:r>
      <w:r>
        <w:t>, 2022 QCCS 1669, par. 11</w:t>
      </w:r>
      <w:r w:rsidR="002608DF">
        <w:t xml:space="preserve">; </w:t>
      </w:r>
      <w:r w:rsidR="002608DF">
        <w:rPr>
          <w:i/>
        </w:rPr>
        <w:t>Carrier</w:t>
      </w:r>
      <w:r w:rsidR="002608DF">
        <w:t xml:space="preserve"> c. </w:t>
      </w:r>
      <w:r w:rsidR="002608DF">
        <w:rPr>
          <w:i/>
        </w:rPr>
        <w:t>Procureur général du Québec</w:t>
      </w:r>
      <w:r w:rsidR="002608DF">
        <w:t xml:space="preserve">, 2022 QCCS 2084, par. 21, 22; </w:t>
      </w:r>
      <w:r w:rsidR="002608DF">
        <w:rPr>
          <w:i/>
        </w:rPr>
        <w:t>Conseil pour la protection des malades</w:t>
      </w:r>
      <w:r w:rsidR="002608DF">
        <w:t xml:space="preserve"> c. </w:t>
      </w:r>
      <w:r w:rsidR="002608DF">
        <w:rPr>
          <w:i/>
        </w:rPr>
        <w:t>Centre intégré de santé et de services sociaux de la Montérégie-Centre</w:t>
      </w:r>
      <w:r w:rsidR="002608DF">
        <w:t>, 2020 QCCS 4016, par. 59 et 64 à 67.</w:t>
      </w:r>
    </w:p>
  </w:footnote>
  <w:footnote w:id="75">
    <w:p w14:paraId="7F11A3E3" w14:textId="39276B56" w:rsidR="000300E4" w:rsidRDefault="000300E4">
      <w:pPr>
        <w:pStyle w:val="Notedebasdepage"/>
      </w:pPr>
      <w:r>
        <w:rPr>
          <w:rStyle w:val="Appelnotedebasdep"/>
        </w:rPr>
        <w:footnoteRef/>
      </w:r>
      <w:r>
        <w:t xml:space="preserve"> </w:t>
      </w:r>
      <w:r>
        <w:tab/>
        <w:t xml:space="preserve">Pièce </w:t>
      </w:r>
      <w:r w:rsidR="004169C6">
        <w:t>I</w:t>
      </w:r>
      <w:r>
        <w:t>-7.</w:t>
      </w:r>
    </w:p>
  </w:footnote>
  <w:footnote w:id="76">
    <w:p w14:paraId="0F19A2CB" w14:textId="1897219E" w:rsidR="000300E4" w:rsidRDefault="000300E4">
      <w:pPr>
        <w:pStyle w:val="Notedebasdepage"/>
      </w:pPr>
      <w:r>
        <w:rPr>
          <w:rStyle w:val="Appelnotedebasdep"/>
        </w:rPr>
        <w:footnoteRef/>
      </w:r>
      <w:r>
        <w:t xml:space="preserve"> </w:t>
      </w:r>
      <w:r>
        <w:tab/>
        <w:t>Pièce P-48.</w:t>
      </w:r>
    </w:p>
  </w:footnote>
  <w:footnote w:id="77">
    <w:p w14:paraId="361A5C86" w14:textId="0F36B43D" w:rsidR="000300E4" w:rsidRDefault="000300E4">
      <w:pPr>
        <w:pStyle w:val="Notedebasdepage"/>
      </w:pPr>
      <w:r>
        <w:rPr>
          <w:rStyle w:val="Appelnotedebasdep"/>
        </w:rPr>
        <w:footnoteRef/>
      </w:r>
      <w:r>
        <w:t xml:space="preserve"> </w:t>
      </w:r>
      <w:r>
        <w:tab/>
        <w:t>Art. 2843 C.c.Q.</w:t>
      </w:r>
    </w:p>
  </w:footnote>
  <w:footnote w:id="78">
    <w:p w14:paraId="16C3515A" w14:textId="2CA1A1C8" w:rsidR="00E94D30" w:rsidRDefault="00E94D30">
      <w:pPr>
        <w:pStyle w:val="Notedebasdepage"/>
      </w:pPr>
      <w:r>
        <w:rPr>
          <w:rStyle w:val="Appelnotedebasdep"/>
        </w:rPr>
        <w:footnoteRef/>
      </w:r>
      <w:r>
        <w:t xml:space="preserve"> </w:t>
      </w:r>
      <w:r>
        <w:tab/>
        <w:t xml:space="preserve">Pièce </w:t>
      </w:r>
      <w:r w:rsidR="004A285F">
        <w:t>I</w:t>
      </w:r>
      <w:r>
        <w:t>-12.</w:t>
      </w:r>
    </w:p>
  </w:footnote>
  <w:footnote w:id="79">
    <w:p w14:paraId="0071DCE4" w14:textId="09B0A703" w:rsidR="00E94D30" w:rsidRDefault="00E94D30">
      <w:pPr>
        <w:pStyle w:val="Notedebasdepage"/>
      </w:pPr>
      <w:r>
        <w:rPr>
          <w:rStyle w:val="Appelnotedebasdep"/>
        </w:rPr>
        <w:footnoteRef/>
      </w:r>
      <w:r>
        <w:t xml:space="preserve"> </w:t>
      </w:r>
      <w:r>
        <w:tab/>
        <w:t>Pièce</w:t>
      </w:r>
      <w:r w:rsidR="004A285F">
        <w:t xml:space="preserve"> I</w:t>
      </w:r>
      <w:r>
        <w:t>-13.</w:t>
      </w:r>
    </w:p>
  </w:footnote>
  <w:footnote w:id="80">
    <w:p w14:paraId="694D27F5" w14:textId="659AFFC9" w:rsidR="00CA341A" w:rsidRDefault="00CA341A">
      <w:pPr>
        <w:pStyle w:val="Notedebasdepage"/>
      </w:pPr>
      <w:r>
        <w:rPr>
          <w:rStyle w:val="Appelnotedebasdep"/>
        </w:rPr>
        <w:footnoteRef/>
      </w:r>
      <w:r>
        <w:t xml:space="preserve"> </w:t>
      </w:r>
      <w:r>
        <w:tab/>
        <w:t>Pièce P-34.</w:t>
      </w:r>
    </w:p>
  </w:footnote>
  <w:footnote w:id="81">
    <w:p w14:paraId="4D82A4C5" w14:textId="363F1167" w:rsidR="00036A5E" w:rsidRDefault="00036A5E">
      <w:pPr>
        <w:pStyle w:val="Notedebasdepage"/>
      </w:pPr>
      <w:r>
        <w:rPr>
          <w:rStyle w:val="Appelnotedebasdep"/>
        </w:rPr>
        <w:footnoteRef/>
      </w:r>
      <w:r>
        <w:t xml:space="preserve"> </w:t>
      </w:r>
      <w:r>
        <w:tab/>
        <w:t xml:space="preserve">Pièce </w:t>
      </w:r>
      <w:r w:rsidR="00853DD8">
        <w:t>I</w:t>
      </w:r>
      <w:r>
        <w:t>-11.</w:t>
      </w:r>
    </w:p>
  </w:footnote>
  <w:footnote w:id="82">
    <w:p w14:paraId="1355E5DD" w14:textId="261FEBB4" w:rsidR="00B92E90" w:rsidRDefault="00B92E90">
      <w:pPr>
        <w:pStyle w:val="Notedebasdepage"/>
      </w:pPr>
      <w:r>
        <w:rPr>
          <w:rStyle w:val="Appelnotedebasdep"/>
        </w:rPr>
        <w:footnoteRef/>
      </w:r>
      <w:r>
        <w:t xml:space="preserve"> </w:t>
      </w:r>
      <w:r>
        <w:tab/>
        <w:t>Pièce PGQ-22.</w:t>
      </w:r>
    </w:p>
  </w:footnote>
  <w:footnote w:id="83">
    <w:p w14:paraId="32F64169" w14:textId="1B1BCEEB" w:rsidR="008F17C0" w:rsidRPr="008F17C0" w:rsidRDefault="008F17C0">
      <w:pPr>
        <w:pStyle w:val="Notedebasdepage"/>
      </w:pPr>
      <w:r>
        <w:rPr>
          <w:rStyle w:val="Appelnotedebasdep"/>
        </w:rPr>
        <w:footnoteRef/>
      </w:r>
      <w:r>
        <w:t xml:space="preserve"> </w:t>
      </w:r>
      <w:r>
        <w:tab/>
      </w:r>
      <w:r>
        <w:rPr>
          <w:i/>
        </w:rPr>
        <w:t>Procureure générale du Québec</w:t>
      </w:r>
      <w:r>
        <w:t xml:space="preserve"> c. </w:t>
      </w:r>
      <w:r>
        <w:rPr>
          <w:i/>
        </w:rPr>
        <w:t>Association des juristes de l'État</w:t>
      </w:r>
      <w:r>
        <w:t xml:space="preserve">, 2018 QCCA 1763, par. 28 à 31; </w:t>
      </w:r>
      <w:r>
        <w:rPr>
          <w:i/>
        </w:rPr>
        <w:t>Dupont</w:t>
      </w:r>
      <w:r>
        <w:t xml:space="preserve"> c. </w:t>
      </w:r>
      <w:r>
        <w:rPr>
          <w:i/>
        </w:rPr>
        <w:t>Université du Québec à Trois-Rivières</w:t>
      </w:r>
      <w:r>
        <w:t>, 2008 QCCA 2204</w:t>
      </w:r>
      <w:r w:rsidR="00451BFD">
        <w:t>, pa</w:t>
      </w:r>
      <w:r>
        <w:t>r</w:t>
      </w:r>
      <w:r w:rsidR="0035241A">
        <w:t>.</w:t>
      </w:r>
      <w:r>
        <w:t xml:space="preserve"> 56 à 58; </w:t>
      </w:r>
      <w:r>
        <w:rPr>
          <w:i/>
        </w:rPr>
        <w:t>Prud'homme</w:t>
      </w:r>
      <w:r>
        <w:t xml:space="preserve"> c. </w:t>
      </w:r>
      <w:r>
        <w:rPr>
          <w:i/>
        </w:rPr>
        <w:t>Commission de la fonction publique</w:t>
      </w:r>
      <w:r>
        <w:t>, 2021 QCCS 2935, par. 12 à 19.</w:t>
      </w:r>
    </w:p>
  </w:footnote>
  <w:footnote w:id="84">
    <w:p w14:paraId="70FE434E" w14:textId="198D320A" w:rsidR="005A3779" w:rsidRDefault="005A3779">
      <w:pPr>
        <w:pStyle w:val="Notedebasdepage"/>
      </w:pPr>
      <w:r>
        <w:rPr>
          <w:rStyle w:val="Appelnotedebasdep"/>
        </w:rPr>
        <w:footnoteRef/>
      </w:r>
      <w:r>
        <w:t xml:space="preserve"> </w:t>
      </w:r>
      <w:r>
        <w:tab/>
        <w:t>Pièce P-34, p. 403.</w:t>
      </w:r>
    </w:p>
  </w:footnote>
  <w:footnote w:id="85">
    <w:p w14:paraId="0A43E7E1" w14:textId="27C50D2A" w:rsidR="005A3779" w:rsidRDefault="005A3779">
      <w:pPr>
        <w:pStyle w:val="Notedebasdepage"/>
      </w:pPr>
      <w:r>
        <w:rPr>
          <w:rStyle w:val="Appelnotedebasdep"/>
        </w:rPr>
        <w:footnoteRef/>
      </w:r>
      <w:r>
        <w:t xml:space="preserve"> </w:t>
      </w:r>
      <w:r>
        <w:tab/>
        <w:t>Pièce P-34, p. 396.</w:t>
      </w:r>
    </w:p>
  </w:footnote>
  <w:footnote w:id="86">
    <w:p w14:paraId="79304968" w14:textId="11317819" w:rsidR="0092618C" w:rsidRDefault="0092618C">
      <w:pPr>
        <w:pStyle w:val="Notedebasdepage"/>
      </w:pPr>
      <w:r>
        <w:rPr>
          <w:rStyle w:val="Appelnotedebasdep"/>
        </w:rPr>
        <w:footnoteRef/>
      </w:r>
      <w:r>
        <w:t xml:space="preserve"> </w:t>
      </w:r>
      <w:r>
        <w:tab/>
        <w:t>Pièce P-42.1.</w:t>
      </w:r>
    </w:p>
  </w:footnote>
  <w:footnote w:id="87">
    <w:p w14:paraId="33D85BB6" w14:textId="3A6F2F75" w:rsidR="001C033B" w:rsidRDefault="001C033B">
      <w:pPr>
        <w:pStyle w:val="Notedebasdepage"/>
      </w:pPr>
      <w:r>
        <w:rPr>
          <w:rStyle w:val="Appelnotedebasdep"/>
        </w:rPr>
        <w:footnoteRef/>
      </w:r>
      <w:r>
        <w:t xml:space="preserve"> </w:t>
      </w:r>
      <w:r>
        <w:tab/>
        <w:t>Pièce PG</w:t>
      </w:r>
      <w:r w:rsidR="00FB6452">
        <w:t>Q</w:t>
      </w:r>
      <w:r>
        <w:t>-37.</w:t>
      </w:r>
    </w:p>
  </w:footnote>
  <w:footnote w:id="88">
    <w:p w14:paraId="2CDBB2DA" w14:textId="2B04F9BE" w:rsidR="001C033B" w:rsidRDefault="001C033B">
      <w:pPr>
        <w:pStyle w:val="Notedebasdepage"/>
      </w:pPr>
      <w:r>
        <w:rPr>
          <w:rStyle w:val="Appelnotedebasdep"/>
        </w:rPr>
        <w:footnoteRef/>
      </w:r>
      <w:r>
        <w:t xml:space="preserve"> </w:t>
      </w:r>
      <w:r>
        <w:tab/>
        <w:t>Pièce P-42, p. 9 à 14.</w:t>
      </w:r>
    </w:p>
  </w:footnote>
  <w:footnote w:id="89">
    <w:p w14:paraId="57FD1D4C" w14:textId="3FAC2D32" w:rsidR="00950A1B" w:rsidRDefault="00950A1B">
      <w:pPr>
        <w:pStyle w:val="Notedebasdepage"/>
      </w:pPr>
      <w:r>
        <w:rPr>
          <w:rStyle w:val="Appelnotedebasdep"/>
        </w:rPr>
        <w:footnoteRef/>
      </w:r>
      <w:r>
        <w:t xml:space="preserve"> </w:t>
      </w:r>
      <w:r>
        <w:tab/>
      </w:r>
      <w:r w:rsidRPr="00AE22FF">
        <w:rPr>
          <w:i/>
          <w:iCs/>
        </w:rPr>
        <w:t>Id</w:t>
      </w:r>
      <w:r>
        <w:t>. p.15 et ss.</w:t>
      </w:r>
    </w:p>
  </w:footnote>
  <w:footnote w:id="90">
    <w:p w14:paraId="50F7B008" w14:textId="360CCA80" w:rsidR="0097734A" w:rsidRDefault="0097734A">
      <w:pPr>
        <w:pStyle w:val="Notedebasdepage"/>
      </w:pPr>
      <w:r>
        <w:rPr>
          <w:rStyle w:val="Appelnotedebasdep"/>
        </w:rPr>
        <w:footnoteRef/>
      </w:r>
      <w:r>
        <w:t xml:space="preserve"> </w:t>
      </w:r>
      <w:r>
        <w:tab/>
        <w:t>Pièce P-17.</w:t>
      </w:r>
    </w:p>
  </w:footnote>
  <w:footnote w:id="91">
    <w:p w14:paraId="3C58F04B" w14:textId="77777777" w:rsidR="006760D5" w:rsidRDefault="006760D5" w:rsidP="006760D5">
      <w:pPr>
        <w:pStyle w:val="Notedebasdepage"/>
      </w:pPr>
      <w:r>
        <w:rPr>
          <w:rStyle w:val="Appelnotedebasdep"/>
        </w:rPr>
        <w:footnoteRef/>
      </w:r>
      <w:r>
        <w:t xml:space="preserve"> </w:t>
      </w:r>
      <w:r>
        <w:tab/>
        <w:t>Pièce PGQ-30.</w:t>
      </w:r>
    </w:p>
  </w:footnote>
  <w:footnote w:id="92">
    <w:p w14:paraId="3B074DC1" w14:textId="77777777" w:rsidR="006760D5" w:rsidRDefault="006760D5" w:rsidP="006760D5">
      <w:pPr>
        <w:pStyle w:val="Notedebasdepage"/>
      </w:pPr>
      <w:r>
        <w:rPr>
          <w:rStyle w:val="Appelnotedebasdep"/>
        </w:rPr>
        <w:footnoteRef/>
      </w:r>
      <w:r>
        <w:t xml:space="preserve"> </w:t>
      </w:r>
      <w:r>
        <w:tab/>
        <w:t>Pièce PGQ-34.</w:t>
      </w:r>
    </w:p>
  </w:footnote>
  <w:footnote w:id="93">
    <w:p w14:paraId="223EBD28" w14:textId="77777777" w:rsidR="006760D5" w:rsidRDefault="006760D5" w:rsidP="006760D5">
      <w:pPr>
        <w:pStyle w:val="Notedebasdepage"/>
      </w:pPr>
      <w:r>
        <w:rPr>
          <w:rStyle w:val="Appelnotedebasdep"/>
        </w:rPr>
        <w:footnoteRef/>
      </w:r>
      <w:r>
        <w:t xml:space="preserve"> </w:t>
      </w:r>
      <w:r>
        <w:tab/>
        <w:t>Pièce PGQ-35.</w:t>
      </w:r>
    </w:p>
  </w:footnote>
  <w:footnote w:id="94">
    <w:p w14:paraId="38206D51" w14:textId="3D417713" w:rsidR="00236674" w:rsidRPr="00236674" w:rsidRDefault="00236674">
      <w:pPr>
        <w:pStyle w:val="Notedebasdepage"/>
      </w:pPr>
      <w:r>
        <w:rPr>
          <w:rStyle w:val="Appelnotedebasdep"/>
        </w:rPr>
        <w:footnoteRef/>
      </w:r>
      <w:r>
        <w:t xml:space="preserve"> </w:t>
      </w:r>
      <w:r>
        <w:tab/>
      </w:r>
      <w:r>
        <w:rPr>
          <w:i/>
        </w:rPr>
        <w:t>Mouvement laïque québécois</w:t>
      </w:r>
      <w:r>
        <w:t xml:space="preserve"> c. </w:t>
      </w:r>
      <w:r>
        <w:rPr>
          <w:i/>
        </w:rPr>
        <w:t>Saguenay (Ville)</w:t>
      </w:r>
      <w:r>
        <w:t>, 2015 CSC 16, par. 106.</w:t>
      </w:r>
    </w:p>
  </w:footnote>
  <w:footnote w:id="95">
    <w:p w14:paraId="6437F754" w14:textId="40B6C6BD" w:rsidR="00236674" w:rsidRPr="00236674" w:rsidRDefault="00236674">
      <w:pPr>
        <w:pStyle w:val="Notedebasdepage"/>
      </w:pPr>
      <w:r>
        <w:rPr>
          <w:rStyle w:val="Appelnotedebasdep"/>
        </w:rPr>
        <w:footnoteRef/>
      </w:r>
      <w:r>
        <w:t xml:space="preserve"> </w:t>
      </w:r>
      <w:r>
        <w:tab/>
      </w:r>
      <w:r>
        <w:rPr>
          <w:i/>
        </w:rPr>
        <w:t>Paintwell Ltd.</w:t>
      </w:r>
      <w:r>
        <w:t xml:space="preserve"> c. </w:t>
      </w:r>
      <w:r>
        <w:rPr>
          <w:i/>
        </w:rPr>
        <w:t>Entreprises Géraldeau et Fils inc.</w:t>
      </w:r>
      <w:r>
        <w:t>, 2023 QCCS 2257, par. 108.</w:t>
      </w:r>
    </w:p>
  </w:footnote>
  <w:footnote w:id="96">
    <w:p w14:paraId="38D855CE" w14:textId="34F1425B" w:rsidR="00236674" w:rsidRDefault="00236674">
      <w:pPr>
        <w:pStyle w:val="Notedebasdepage"/>
      </w:pPr>
      <w:r>
        <w:rPr>
          <w:rStyle w:val="Appelnotedebasdep"/>
        </w:rPr>
        <w:footnoteRef/>
      </w:r>
      <w:r>
        <w:t xml:space="preserve"> </w:t>
      </w:r>
      <w:r>
        <w:tab/>
        <w:t xml:space="preserve">Pièce </w:t>
      </w:r>
      <w:r w:rsidR="00B73F43">
        <w:t>I</w:t>
      </w:r>
      <w:r>
        <w:t>-11, p. 2.</w:t>
      </w:r>
    </w:p>
  </w:footnote>
  <w:footnote w:id="97">
    <w:p w14:paraId="5AADA29A" w14:textId="4BA2D22A" w:rsidR="00015145" w:rsidRDefault="00015145">
      <w:pPr>
        <w:pStyle w:val="Notedebasdepage"/>
      </w:pPr>
      <w:r>
        <w:rPr>
          <w:rStyle w:val="Appelnotedebasdep"/>
        </w:rPr>
        <w:footnoteRef/>
      </w:r>
      <w:r>
        <w:t xml:space="preserve"> </w:t>
      </w:r>
      <w:r>
        <w:tab/>
        <w:t xml:space="preserve">Pièce </w:t>
      </w:r>
      <w:r w:rsidR="00B73F43">
        <w:t>I</w:t>
      </w:r>
      <w:r>
        <w:t>-11, p. 6.</w:t>
      </w:r>
    </w:p>
  </w:footnote>
  <w:footnote w:id="98">
    <w:p w14:paraId="72514E2B" w14:textId="1126A5A6" w:rsidR="00015145" w:rsidRDefault="00015145">
      <w:pPr>
        <w:pStyle w:val="Notedebasdepage"/>
      </w:pPr>
      <w:r>
        <w:rPr>
          <w:rStyle w:val="Appelnotedebasdep"/>
        </w:rPr>
        <w:footnoteRef/>
      </w:r>
      <w:r>
        <w:t xml:space="preserve"> </w:t>
      </w:r>
      <w:r>
        <w:tab/>
        <w:t xml:space="preserve">Plan d’argumentation </w:t>
      </w:r>
      <w:r w:rsidR="0097734A">
        <w:t xml:space="preserve">de </w:t>
      </w:r>
      <w:r w:rsidR="00CC3FCD">
        <w:t>la SPCA</w:t>
      </w:r>
      <w:r>
        <w:t>, par. 97.</w:t>
      </w:r>
    </w:p>
  </w:footnote>
  <w:footnote w:id="99">
    <w:p w14:paraId="0D85FCDF" w14:textId="398CAE04" w:rsidR="00015145" w:rsidRPr="00015145" w:rsidRDefault="00015145">
      <w:pPr>
        <w:pStyle w:val="Notedebasdepage"/>
      </w:pPr>
      <w:r>
        <w:rPr>
          <w:rStyle w:val="Appelnotedebasdep"/>
        </w:rPr>
        <w:footnoteRef/>
      </w:r>
      <w:r>
        <w:t xml:space="preserve"> </w:t>
      </w:r>
      <w:r>
        <w:tab/>
      </w:r>
      <w:r>
        <w:rPr>
          <w:i/>
        </w:rPr>
        <w:t>Raymond Chabot Grant Thornton</w:t>
      </w:r>
      <w:r>
        <w:t xml:space="preserve"> c. </w:t>
      </w:r>
      <w:r>
        <w:rPr>
          <w:i/>
        </w:rPr>
        <w:t>Directeur général des élections du Québec</w:t>
      </w:r>
      <w:r>
        <w:t>, 2018 QCCS 5697, par. 31.</w:t>
      </w:r>
    </w:p>
  </w:footnote>
  <w:footnote w:id="100">
    <w:p w14:paraId="3B324C63" w14:textId="5F1F8649" w:rsidR="00EF7868" w:rsidRPr="00EF7868" w:rsidRDefault="00EF7868">
      <w:pPr>
        <w:pStyle w:val="Notedebasdepage"/>
      </w:pPr>
      <w:r>
        <w:rPr>
          <w:rStyle w:val="Appelnotedebasdep"/>
        </w:rPr>
        <w:footnoteRef/>
      </w:r>
      <w:r w:rsidRPr="00EF7868">
        <w:t xml:space="preserve"> </w:t>
      </w:r>
      <w:r w:rsidRPr="00EF7868">
        <w:tab/>
        <w:t xml:space="preserve">Plan d’argumentation </w:t>
      </w:r>
      <w:r w:rsidR="001E3E81">
        <w:t xml:space="preserve">de </w:t>
      </w:r>
      <w:r w:rsidR="00CC3FCD">
        <w:t>la SPCA</w:t>
      </w:r>
      <w:r w:rsidRPr="00EF7868">
        <w:t>, par</w:t>
      </w:r>
      <w:r>
        <w:t>. 41.</w:t>
      </w:r>
    </w:p>
  </w:footnote>
  <w:footnote w:id="101">
    <w:p w14:paraId="39A01619" w14:textId="526403DC" w:rsidR="005377A3" w:rsidRPr="005377A3" w:rsidRDefault="005377A3">
      <w:pPr>
        <w:pStyle w:val="Notedebasdepage"/>
      </w:pPr>
      <w:r w:rsidRPr="00D6740C">
        <w:rPr>
          <w:rStyle w:val="Appelnotedebasdep"/>
        </w:rPr>
        <w:footnoteRef/>
      </w:r>
      <w:r w:rsidRPr="00D6740C">
        <w:t xml:space="preserve"> </w:t>
      </w:r>
      <w:r w:rsidRPr="00D6740C">
        <w:tab/>
      </w:r>
      <w:r w:rsidR="00D6740C" w:rsidRPr="00D6740C">
        <w:rPr>
          <w:i/>
        </w:rPr>
        <w:t>Wallot</w:t>
      </w:r>
      <w:r w:rsidR="00D6740C" w:rsidRPr="00D6740C">
        <w:t xml:space="preserve"> c. </w:t>
      </w:r>
      <w:r w:rsidR="00D6740C" w:rsidRPr="00D6740C">
        <w:rPr>
          <w:i/>
        </w:rPr>
        <w:t>Québec (Ville de)</w:t>
      </w:r>
      <w:r w:rsidR="00D6740C" w:rsidRPr="00D6740C">
        <w:t>, 2011 QCCA 1165</w:t>
      </w:r>
      <w:r w:rsidRPr="00D6740C">
        <w:t>, par. 30.</w:t>
      </w:r>
    </w:p>
  </w:footnote>
  <w:footnote w:id="102">
    <w:p w14:paraId="20A4634B" w14:textId="585A299B" w:rsidR="00CE2A0C" w:rsidRPr="00CE2A0C" w:rsidRDefault="00CE2A0C">
      <w:pPr>
        <w:pStyle w:val="Notedebasdepage"/>
      </w:pPr>
      <w:r>
        <w:rPr>
          <w:rStyle w:val="Appelnotedebasdep"/>
        </w:rPr>
        <w:footnoteRef/>
      </w:r>
      <w:r>
        <w:t xml:space="preserve"> </w:t>
      </w:r>
      <w:r>
        <w:tab/>
      </w:r>
      <w:r>
        <w:rPr>
          <w:i/>
        </w:rPr>
        <w:t>Ontario</w:t>
      </w:r>
      <w:r>
        <w:t xml:space="preserve"> c. </w:t>
      </w:r>
      <w:r>
        <w:rPr>
          <w:i/>
        </w:rPr>
        <w:t>Canadien Pacifique ltée</w:t>
      </w:r>
      <w:r>
        <w:t xml:space="preserve">, [1995] 2 R.C.S. 1031; </w:t>
      </w:r>
      <w:r w:rsidRPr="00D6740C">
        <w:rPr>
          <w:i/>
          <w:iCs/>
        </w:rPr>
        <w:t>Wallot</w:t>
      </w:r>
      <w:r w:rsidR="00D6740C">
        <w:t xml:space="preserve"> c. </w:t>
      </w:r>
      <w:r w:rsidR="00D6740C" w:rsidRPr="00D6740C">
        <w:rPr>
          <w:i/>
          <w:iCs/>
        </w:rPr>
        <w:t>Québec (Ville de</w:t>
      </w:r>
      <w:r w:rsidR="00D6740C">
        <w:t>)</w:t>
      </w:r>
      <w:r w:rsidRPr="00D6740C">
        <w:t>, par. 31;</w:t>
      </w:r>
      <w:r>
        <w:t xml:space="preserve"> </w:t>
      </w:r>
      <w:r>
        <w:rPr>
          <w:i/>
        </w:rPr>
        <w:t>Abattoir Agri-Bio inc.</w:t>
      </w:r>
      <w:r>
        <w:t xml:space="preserve"> c. </w:t>
      </w:r>
      <w:r>
        <w:rPr>
          <w:i/>
        </w:rPr>
        <w:t>Municipalité de Saint-Agapit</w:t>
      </w:r>
      <w:r>
        <w:t>, 2022 QCCS 3330, par. 73.</w:t>
      </w:r>
    </w:p>
  </w:footnote>
  <w:footnote w:id="103">
    <w:p w14:paraId="0B61505A" w14:textId="3FE15482" w:rsidR="009C6BA5" w:rsidRPr="00E17B90" w:rsidRDefault="009C6BA5">
      <w:pPr>
        <w:pStyle w:val="Notedebasdepage"/>
      </w:pPr>
      <w:r>
        <w:rPr>
          <w:rStyle w:val="Appelnotedebasdep"/>
        </w:rPr>
        <w:footnoteRef/>
      </w:r>
      <w:r>
        <w:t xml:space="preserve"> </w:t>
      </w:r>
      <w:r>
        <w:tab/>
      </w:r>
      <w:r>
        <w:rPr>
          <w:i/>
        </w:rPr>
        <w:t>Road to Home Rescue Support</w:t>
      </w:r>
      <w:r>
        <w:t xml:space="preserve"> c. </w:t>
      </w:r>
      <w:r>
        <w:rPr>
          <w:i/>
        </w:rPr>
        <w:t>Ville de Montréal</w:t>
      </w:r>
      <w:r>
        <w:t xml:space="preserve">, </w:t>
      </w:r>
      <w:r w:rsidR="00853DD8">
        <w:t>préc. note 44</w:t>
      </w:r>
      <w:r>
        <w:t xml:space="preserve">, par. 56; </w:t>
      </w:r>
      <w:r w:rsidR="00E17B90">
        <w:rPr>
          <w:i/>
        </w:rPr>
        <w:t>Doucet</w:t>
      </w:r>
      <w:r w:rsidR="00E17B90">
        <w:t xml:space="preserve"> c. </w:t>
      </w:r>
      <w:r w:rsidR="00E17B90">
        <w:rPr>
          <w:i/>
        </w:rPr>
        <w:t>Ville de Saint-Eustache</w:t>
      </w:r>
      <w:r w:rsidR="00E17B90">
        <w:t>, 2018 QCCA 282,</w:t>
      </w:r>
      <w:r w:rsidR="00E17B90" w:rsidRPr="00E17B90">
        <w:t xml:space="preserve"> </w:t>
      </w:r>
      <w:r w:rsidR="00E17B90">
        <w:t>par. 54-56.</w:t>
      </w:r>
    </w:p>
  </w:footnote>
  <w:footnote w:id="104">
    <w:p w14:paraId="376BA9E5" w14:textId="27CF2157" w:rsidR="008260D4" w:rsidRDefault="008260D4">
      <w:pPr>
        <w:pStyle w:val="Notedebasdepage"/>
      </w:pPr>
      <w:r>
        <w:rPr>
          <w:rStyle w:val="Appelnotedebasdep"/>
        </w:rPr>
        <w:footnoteRef/>
      </w:r>
      <w:r>
        <w:t xml:space="preserve"> </w:t>
      </w:r>
      <w:r>
        <w:tab/>
        <w:t>Pièce PGQ-12.</w:t>
      </w:r>
    </w:p>
  </w:footnote>
  <w:footnote w:id="105">
    <w:p w14:paraId="156F2104" w14:textId="4B8B8441" w:rsidR="008260D4" w:rsidRDefault="008260D4">
      <w:pPr>
        <w:pStyle w:val="Notedebasdepage"/>
      </w:pPr>
      <w:r>
        <w:rPr>
          <w:rStyle w:val="Appelnotedebasdep"/>
        </w:rPr>
        <w:footnoteRef/>
      </w:r>
      <w:r>
        <w:t xml:space="preserve"> </w:t>
      </w:r>
      <w:r>
        <w:tab/>
      </w:r>
      <w:r w:rsidR="006717FB">
        <w:t>RLRQ c. C-61.1.</w:t>
      </w:r>
      <w:r w:rsidR="006717FB" w:rsidRPr="006717FB">
        <w:t xml:space="preserve"> </w:t>
      </w:r>
    </w:p>
  </w:footnote>
  <w:footnote w:id="106">
    <w:p w14:paraId="2ADBAB39" w14:textId="45A635C1" w:rsidR="00EE6567" w:rsidRPr="00424C0F" w:rsidRDefault="00EE6567">
      <w:pPr>
        <w:pStyle w:val="Notedebasdepage"/>
        <w:rPr>
          <w:lang w:val="en-CA"/>
        </w:rPr>
      </w:pPr>
      <w:r>
        <w:rPr>
          <w:rStyle w:val="Appelnotedebasdep"/>
        </w:rPr>
        <w:footnoteRef/>
      </w:r>
      <w:r w:rsidRPr="00424C0F">
        <w:rPr>
          <w:lang w:val="en-CA"/>
        </w:rPr>
        <w:t xml:space="preserve"> </w:t>
      </w:r>
      <w:r w:rsidRPr="00424C0F">
        <w:rPr>
          <w:lang w:val="en-CA"/>
        </w:rPr>
        <w:tab/>
        <w:t>RLRQ. C-61.1, r.-12.</w:t>
      </w:r>
    </w:p>
  </w:footnote>
  <w:footnote w:id="107">
    <w:p w14:paraId="39346A3A" w14:textId="1C92F218" w:rsidR="00EE6567" w:rsidRPr="00567B68" w:rsidRDefault="00EE6567">
      <w:pPr>
        <w:pStyle w:val="Notedebasdepage"/>
        <w:rPr>
          <w:lang w:val="en-CA"/>
        </w:rPr>
      </w:pPr>
      <w:r>
        <w:rPr>
          <w:rStyle w:val="Appelnotedebasdep"/>
        </w:rPr>
        <w:footnoteRef/>
      </w:r>
      <w:r w:rsidRPr="00567B68">
        <w:rPr>
          <w:lang w:val="en-CA"/>
        </w:rPr>
        <w:t xml:space="preserve"> </w:t>
      </w:r>
      <w:r w:rsidRPr="00567B68">
        <w:rPr>
          <w:lang w:val="en-CA"/>
        </w:rPr>
        <w:tab/>
        <w:t xml:space="preserve">Art. 38 </w:t>
      </w:r>
      <w:r w:rsidR="00734E9E" w:rsidRPr="00567B68">
        <w:rPr>
          <w:lang w:val="en-CA"/>
        </w:rPr>
        <w:t>L</w:t>
      </w:r>
      <w:r w:rsidRPr="00567B68">
        <w:rPr>
          <w:lang w:val="en-CA"/>
        </w:rPr>
        <w:t>CMVF.</w:t>
      </w:r>
    </w:p>
  </w:footnote>
  <w:footnote w:id="108">
    <w:p w14:paraId="571651A2" w14:textId="5EE3BEF6" w:rsidR="0055726C" w:rsidRDefault="0055726C">
      <w:pPr>
        <w:pStyle w:val="Notedebasdepage"/>
      </w:pPr>
      <w:r>
        <w:rPr>
          <w:rStyle w:val="Appelnotedebasdep"/>
        </w:rPr>
        <w:footnoteRef/>
      </w:r>
      <w:r>
        <w:t xml:space="preserve"> </w:t>
      </w:r>
      <w:r>
        <w:tab/>
        <w:t>Pièce PGQ-5.</w:t>
      </w:r>
    </w:p>
  </w:footnote>
  <w:footnote w:id="109">
    <w:p w14:paraId="117B91BA" w14:textId="50810D35" w:rsidR="00F20EE2" w:rsidRDefault="00F20EE2">
      <w:pPr>
        <w:pStyle w:val="Notedebasdepage"/>
      </w:pPr>
      <w:r>
        <w:rPr>
          <w:rStyle w:val="Appelnotedebasdep"/>
        </w:rPr>
        <w:footnoteRef/>
      </w:r>
      <w:r>
        <w:t xml:space="preserve"> </w:t>
      </w:r>
      <w:r>
        <w:tab/>
      </w:r>
      <w:r w:rsidR="00466025">
        <w:t xml:space="preserve">Pièce </w:t>
      </w:r>
      <w:r>
        <w:t>PGQ</w:t>
      </w:r>
      <w:r w:rsidR="00A256FC">
        <w:t>-5</w:t>
      </w:r>
      <w:r w:rsidR="00466025">
        <w:t>.</w:t>
      </w:r>
    </w:p>
  </w:footnote>
  <w:footnote w:id="110">
    <w:p w14:paraId="0112E117" w14:textId="38950306" w:rsidR="00E10309" w:rsidRPr="00E10309" w:rsidRDefault="00E10309">
      <w:pPr>
        <w:pStyle w:val="Notedebasdepage"/>
      </w:pPr>
      <w:r>
        <w:rPr>
          <w:rStyle w:val="Appelnotedebasdep"/>
        </w:rPr>
        <w:footnoteRef/>
      </w:r>
      <w:r>
        <w:t xml:space="preserve"> </w:t>
      </w:r>
      <w:r w:rsidR="00B00B12">
        <w:tab/>
      </w:r>
      <w:r>
        <w:rPr>
          <w:i/>
        </w:rPr>
        <w:t>Raymond</w:t>
      </w:r>
      <w:r>
        <w:t xml:space="preserve"> c. </w:t>
      </w:r>
      <w:r>
        <w:rPr>
          <w:i/>
        </w:rPr>
        <w:t>Centre vétérinaire Groupe Dimension Multi Vétérinaire inc.</w:t>
      </w:r>
      <w:r>
        <w:t xml:space="preserve">, 2023 QCCS 77, par. 41-43; Martine </w:t>
      </w:r>
      <w:r w:rsidR="00B00B12">
        <w:t>LACHANCE « </w:t>
      </w:r>
      <w:r w:rsidR="00B00B12" w:rsidRPr="00B00B12">
        <w:rPr>
          <w:i/>
          <w:iCs/>
        </w:rPr>
        <w:t>Le nouveau statut juridique de l’animal au Québec</w:t>
      </w:r>
      <w:r w:rsidR="008543EE">
        <w:t> »</w:t>
      </w:r>
      <w:r w:rsidR="00510469">
        <w:t>.</w:t>
      </w:r>
    </w:p>
  </w:footnote>
  <w:footnote w:id="111">
    <w:p w14:paraId="790322F5" w14:textId="59987287" w:rsidR="00C5769E" w:rsidRDefault="00C5769E">
      <w:pPr>
        <w:pStyle w:val="Notedebasdepage"/>
      </w:pPr>
      <w:r>
        <w:rPr>
          <w:rStyle w:val="Appelnotedebasdep"/>
        </w:rPr>
        <w:footnoteRef/>
      </w:r>
      <w:r>
        <w:t xml:space="preserve"> </w:t>
      </w:r>
      <w:r>
        <w:tab/>
        <w:t>RLRQ c. B-3.1.</w:t>
      </w:r>
    </w:p>
  </w:footnote>
  <w:footnote w:id="112">
    <w:p w14:paraId="7FE0497C" w14:textId="12F07F2C" w:rsidR="00C5769E" w:rsidRDefault="00C5769E">
      <w:pPr>
        <w:pStyle w:val="Notedebasdepage"/>
      </w:pPr>
      <w:r w:rsidRPr="00923659">
        <w:rPr>
          <w:rStyle w:val="Appelnotedebasdep"/>
        </w:rPr>
        <w:footnoteRef/>
      </w:r>
      <w:r w:rsidRPr="00923659">
        <w:t xml:space="preserve"> </w:t>
      </w:r>
      <w:r w:rsidRPr="00923659">
        <w:tab/>
      </w:r>
      <w:r w:rsidR="00923659">
        <w:rPr>
          <w:i/>
        </w:rPr>
        <w:t>Trahan</w:t>
      </w:r>
      <w:r w:rsidR="00923659">
        <w:t xml:space="preserve"> c. </w:t>
      </w:r>
      <w:r w:rsidR="00923659">
        <w:rPr>
          <w:i/>
        </w:rPr>
        <w:t>Ville de Montréal</w:t>
      </w:r>
      <w:r w:rsidR="00923659">
        <w:t>, 2019 QCCS 4607, par. 29-30</w:t>
      </w:r>
      <w:r w:rsidR="00784428" w:rsidRPr="00923659">
        <w:t>.</w:t>
      </w:r>
    </w:p>
  </w:footnote>
  <w:footnote w:id="113">
    <w:p w14:paraId="2D356BA5" w14:textId="78606BCD" w:rsidR="00EF211A" w:rsidRPr="00EF211A" w:rsidRDefault="00EF211A">
      <w:pPr>
        <w:pStyle w:val="Notedebasdepage"/>
      </w:pPr>
      <w:r>
        <w:rPr>
          <w:rStyle w:val="Appelnotedebasdep"/>
        </w:rPr>
        <w:footnoteRef/>
      </w:r>
      <w:r>
        <w:t xml:space="preserve"> </w:t>
      </w:r>
      <w:r>
        <w:tab/>
      </w:r>
      <w:r w:rsidR="000A7123" w:rsidRPr="00477C5B">
        <w:rPr>
          <w:i/>
          <w:iCs/>
        </w:rPr>
        <w:t>Road to Home Rescue Support</w:t>
      </w:r>
      <w:r w:rsidR="000A7123" w:rsidRPr="00477C5B">
        <w:rPr>
          <w:iCs/>
        </w:rPr>
        <w:t xml:space="preserve"> c. </w:t>
      </w:r>
      <w:r w:rsidR="000A7123" w:rsidRPr="00477C5B">
        <w:rPr>
          <w:i/>
          <w:iCs/>
        </w:rPr>
        <w:t>Ville de Montréal</w:t>
      </w:r>
      <w:r w:rsidR="000A7123" w:rsidRPr="00477C5B">
        <w:rPr>
          <w:iCs/>
        </w:rPr>
        <w:t>,</w:t>
      </w:r>
      <w:r w:rsidR="000A7123">
        <w:rPr>
          <w:iCs/>
        </w:rPr>
        <w:t xml:space="preserve"> préc. note 4</w:t>
      </w:r>
      <w:r w:rsidR="00853DD8">
        <w:rPr>
          <w:iCs/>
        </w:rPr>
        <w:t>4</w:t>
      </w:r>
      <w:r>
        <w:t xml:space="preserve">, par. </w:t>
      </w:r>
      <w:r w:rsidR="0030517E">
        <w:t>56</w:t>
      </w:r>
      <w:r>
        <w:t xml:space="preserve"> et </w:t>
      </w:r>
      <w:r w:rsidR="0030517E">
        <w:t>5</w:t>
      </w:r>
      <w:r>
        <w:t>7.</w:t>
      </w:r>
    </w:p>
  </w:footnote>
  <w:footnote w:id="114">
    <w:p w14:paraId="1531E486" w14:textId="44F81F87" w:rsidR="00AF19D6" w:rsidRDefault="00AF19D6">
      <w:pPr>
        <w:pStyle w:val="Notedebasdepage"/>
      </w:pPr>
      <w:r>
        <w:rPr>
          <w:rStyle w:val="Appelnotedebasdep"/>
        </w:rPr>
        <w:footnoteRef/>
      </w:r>
      <w:r>
        <w:t xml:space="preserve"> </w:t>
      </w:r>
      <w:r>
        <w:tab/>
        <w:t>Chapitre B-3.1.</w:t>
      </w:r>
    </w:p>
  </w:footnote>
  <w:footnote w:id="115">
    <w:p w14:paraId="58B5015C" w14:textId="005BEA65" w:rsidR="00B00B12" w:rsidRPr="00B00B12" w:rsidRDefault="00B00B12">
      <w:pPr>
        <w:pStyle w:val="Notedebasdepage"/>
      </w:pPr>
      <w:r>
        <w:rPr>
          <w:rStyle w:val="Appelnotedebasdep"/>
        </w:rPr>
        <w:footnoteRef/>
      </w:r>
      <w:r>
        <w:t xml:space="preserve"> </w:t>
      </w:r>
      <w:r>
        <w:tab/>
      </w:r>
      <w:r w:rsidR="000A7123" w:rsidRPr="00477C5B">
        <w:rPr>
          <w:i/>
          <w:iCs/>
        </w:rPr>
        <w:t>Road to Home Rescue Support</w:t>
      </w:r>
      <w:r w:rsidR="000A7123" w:rsidRPr="00477C5B">
        <w:rPr>
          <w:iCs/>
        </w:rPr>
        <w:t xml:space="preserve"> c. </w:t>
      </w:r>
      <w:r w:rsidR="000A7123" w:rsidRPr="00477C5B">
        <w:rPr>
          <w:i/>
          <w:iCs/>
        </w:rPr>
        <w:t>Ville de Montréal</w:t>
      </w:r>
      <w:r w:rsidR="000A7123" w:rsidRPr="00477C5B">
        <w:rPr>
          <w:iCs/>
        </w:rPr>
        <w:t>,</w:t>
      </w:r>
      <w:r w:rsidR="000A7123">
        <w:rPr>
          <w:iCs/>
        </w:rPr>
        <w:t xml:space="preserve"> préc. note 4</w:t>
      </w:r>
      <w:r w:rsidR="00853DD8">
        <w:rPr>
          <w:iCs/>
        </w:rPr>
        <w:t>4</w:t>
      </w:r>
      <w:r>
        <w:t xml:space="preserve">, par. 52; </w:t>
      </w:r>
    </w:p>
  </w:footnote>
  <w:footnote w:id="116">
    <w:p w14:paraId="75D26F31" w14:textId="54157625" w:rsidR="00DE4705" w:rsidRDefault="00DE4705">
      <w:pPr>
        <w:pStyle w:val="Notedebasdepage"/>
      </w:pPr>
      <w:r>
        <w:rPr>
          <w:rStyle w:val="Appelnotedebasdep"/>
        </w:rPr>
        <w:footnoteRef/>
      </w:r>
      <w:r>
        <w:t xml:space="preserve"> </w:t>
      </w:r>
      <w:r>
        <w:tab/>
      </w:r>
      <w:r>
        <w:rPr>
          <w:i/>
        </w:rPr>
        <w:t>Doucet</w:t>
      </w:r>
      <w:r>
        <w:t xml:space="preserve"> c. </w:t>
      </w:r>
      <w:r>
        <w:rPr>
          <w:i/>
        </w:rPr>
        <w:t>Ville de Saint-Eustache</w:t>
      </w:r>
      <w:r>
        <w:t>, 2018 QCCA 282, par. 59.</w:t>
      </w:r>
    </w:p>
  </w:footnote>
  <w:footnote w:id="117">
    <w:p w14:paraId="227E0AC9" w14:textId="77777777" w:rsidR="007A7C79" w:rsidRDefault="007A7C79" w:rsidP="007A7C79">
      <w:pPr>
        <w:pStyle w:val="Notedebasdepage"/>
      </w:pPr>
      <w:r>
        <w:rPr>
          <w:rStyle w:val="Appelnotedebasdep"/>
        </w:rPr>
        <w:footnoteRef/>
      </w:r>
      <w:r>
        <w:t xml:space="preserve"> </w:t>
      </w:r>
      <w:r>
        <w:tab/>
      </w:r>
      <w:r w:rsidRPr="00AD2866">
        <w:t xml:space="preserve">Michaël LESSARD et Romane BONENFANT, « Euthanasie, abattage et mise à mort d’animaux : comment interpréter la </w:t>
      </w:r>
      <w:r w:rsidRPr="00AD2866">
        <w:rPr>
          <w:i/>
          <w:iCs/>
        </w:rPr>
        <w:t>Loi sur le bien-être et la sécurité de l’animal</w:t>
      </w:r>
      <w:r w:rsidRPr="00AD2866">
        <w:t xml:space="preserve">? Commentaire sur </w:t>
      </w:r>
      <w:r w:rsidRPr="00AD2866">
        <w:rPr>
          <w:i/>
          <w:iCs/>
        </w:rPr>
        <w:t>Road to Home Rescue Support</w:t>
      </w:r>
      <w:r w:rsidRPr="00AD2866">
        <w:t xml:space="preserve"> c </w:t>
      </w:r>
      <w:r w:rsidRPr="00AD2866">
        <w:rPr>
          <w:i/>
          <w:iCs/>
        </w:rPr>
        <w:t>Ville de Montréal</w:t>
      </w:r>
      <w:r w:rsidRPr="00AD2866">
        <w:t xml:space="preserve"> », 2020 </w:t>
      </w:r>
      <w:r>
        <w:t>(</w:t>
      </w:r>
      <w:r w:rsidRPr="00AD2866">
        <w:t>50-1</w:t>
      </w:r>
      <w:r>
        <w:t>)</w:t>
      </w:r>
      <w:r w:rsidRPr="00AD2866">
        <w:t xml:space="preserve"> </w:t>
      </w:r>
      <w:r w:rsidRPr="000000DC">
        <w:rPr>
          <w:i/>
          <w:iCs/>
        </w:rPr>
        <w:t>Revue générale de droit</w:t>
      </w:r>
      <w:r w:rsidRPr="00AD2866">
        <w:t xml:space="preserve"> 319, </w:t>
      </w:r>
      <w:r>
        <w:t>p. 326.</w:t>
      </w:r>
    </w:p>
  </w:footnote>
  <w:footnote w:id="118">
    <w:p w14:paraId="58707BC3" w14:textId="77777777" w:rsidR="007A7C79" w:rsidRDefault="007A7C79" w:rsidP="007A7C79">
      <w:pPr>
        <w:pStyle w:val="Notedebasdepage"/>
      </w:pPr>
      <w:r>
        <w:rPr>
          <w:rStyle w:val="Appelnotedebasdep"/>
        </w:rPr>
        <w:footnoteRef/>
      </w:r>
      <w:r>
        <w:t xml:space="preserve"> </w:t>
      </w:r>
      <w:r>
        <w:tab/>
      </w:r>
      <w:r w:rsidRPr="00582A64">
        <w:t xml:space="preserve">Martine LACHANCE, « Le nouveau statut juridique de l'animal au Québec » (2018) </w:t>
      </w:r>
      <w:r w:rsidRPr="00582A64">
        <w:rPr>
          <w:i/>
          <w:iCs/>
        </w:rPr>
        <w:t>R. du N.</w:t>
      </w:r>
      <w:r w:rsidRPr="00582A64">
        <w:t xml:space="preserve">, vol 120-2, p. 335, à la page </w:t>
      </w:r>
      <w:r>
        <w:t>346</w:t>
      </w:r>
      <w:r w:rsidRPr="00582A64">
        <w:t>.</w:t>
      </w:r>
    </w:p>
  </w:footnote>
  <w:footnote w:id="119">
    <w:p w14:paraId="6E48D143" w14:textId="77777777" w:rsidR="007A7C79" w:rsidRPr="00BF4F44" w:rsidRDefault="007A7C79" w:rsidP="007A7C79">
      <w:pPr>
        <w:pStyle w:val="Notedebasdepage"/>
      </w:pPr>
      <w:r>
        <w:rPr>
          <w:rStyle w:val="Appelnotedebasdep"/>
        </w:rPr>
        <w:footnoteRef/>
      </w:r>
      <w:r>
        <w:t xml:space="preserve"> </w:t>
      </w:r>
      <w:r>
        <w:tab/>
      </w:r>
      <w:r>
        <w:rPr>
          <w:i/>
          <w:iCs/>
        </w:rPr>
        <w:t>Id</w:t>
      </w:r>
      <w:r>
        <w:t>., p. 347-349.</w:t>
      </w:r>
    </w:p>
  </w:footnote>
  <w:footnote w:id="120">
    <w:p w14:paraId="24FCEAD5" w14:textId="5171C510" w:rsidR="004646D3" w:rsidRPr="0007749B" w:rsidRDefault="004646D3" w:rsidP="004646D3">
      <w:pPr>
        <w:pStyle w:val="Notedebasdepage"/>
      </w:pPr>
      <w:r>
        <w:rPr>
          <w:rStyle w:val="Appelnotedebasdep"/>
        </w:rPr>
        <w:footnoteRef/>
      </w:r>
      <w:r>
        <w:t xml:space="preserve"> </w:t>
      </w:r>
      <w:r>
        <w:tab/>
      </w:r>
      <w:r w:rsidRPr="00B51E9C">
        <w:rPr>
          <w:i/>
          <w:iCs/>
        </w:rPr>
        <w:t>Road to Home Rescue Support</w:t>
      </w:r>
      <w:r w:rsidRPr="00B51E9C">
        <w:t xml:space="preserve"> c. </w:t>
      </w:r>
      <w:r w:rsidRPr="00B51E9C">
        <w:rPr>
          <w:i/>
          <w:iCs/>
        </w:rPr>
        <w:t>Ville de Montréal</w:t>
      </w:r>
      <w:r w:rsidRPr="00B51E9C">
        <w:t xml:space="preserve">, </w:t>
      </w:r>
      <w:r w:rsidR="000A7123">
        <w:t>préc. Note 4</w:t>
      </w:r>
      <w:r w:rsidR="006D7E08">
        <w:t>4</w:t>
      </w:r>
      <w:r>
        <w:t xml:space="preserve">, par. 65. </w:t>
      </w:r>
    </w:p>
  </w:footnote>
  <w:footnote w:id="121">
    <w:p w14:paraId="0AA841D3" w14:textId="662E7366" w:rsidR="005D25FC" w:rsidRDefault="005D25FC">
      <w:pPr>
        <w:pStyle w:val="Notedebasdepage"/>
      </w:pPr>
      <w:r>
        <w:rPr>
          <w:rStyle w:val="Appelnotedebasdep"/>
        </w:rPr>
        <w:footnoteRef/>
      </w:r>
      <w:r>
        <w:t xml:space="preserve"> </w:t>
      </w:r>
      <w:r>
        <w:tab/>
        <w:t>Pièce PGQ-9.</w:t>
      </w:r>
    </w:p>
  </w:footnote>
  <w:footnote w:id="122">
    <w:p w14:paraId="326F4520" w14:textId="02EB1FE1" w:rsidR="00EE45C2" w:rsidRDefault="00EE45C2">
      <w:pPr>
        <w:pStyle w:val="Notedebasdepage"/>
      </w:pPr>
      <w:r>
        <w:rPr>
          <w:rStyle w:val="Appelnotedebasdep"/>
        </w:rPr>
        <w:footnoteRef/>
      </w:r>
      <w:r>
        <w:t xml:space="preserve"> </w:t>
      </w:r>
      <w:r>
        <w:tab/>
        <w:t>Pièce P-22, p. 4.</w:t>
      </w:r>
    </w:p>
  </w:footnote>
  <w:footnote w:id="123">
    <w:p w14:paraId="248233E6" w14:textId="3EE45960" w:rsidR="00C7512B" w:rsidRDefault="00C7512B">
      <w:pPr>
        <w:pStyle w:val="Notedebasdepage"/>
      </w:pPr>
      <w:r>
        <w:rPr>
          <w:rStyle w:val="Appelnotedebasdep"/>
        </w:rPr>
        <w:footnoteRef/>
      </w:r>
      <w:r>
        <w:t xml:space="preserve"> </w:t>
      </w:r>
      <w:r>
        <w:tab/>
      </w:r>
      <w:r w:rsidR="005D748D">
        <w:t>Interrogatoire au préalable de Provost du 31 janvier 2023</w:t>
      </w:r>
      <w:r>
        <w:t>, p. 40.</w:t>
      </w:r>
    </w:p>
  </w:footnote>
  <w:footnote w:id="124">
    <w:p w14:paraId="67CD3FDC" w14:textId="6E8C859B" w:rsidR="006D6916" w:rsidRDefault="006D6916">
      <w:pPr>
        <w:pStyle w:val="Notedebasdepage"/>
      </w:pPr>
      <w:r>
        <w:rPr>
          <w:rStyle w:val="Appelnotedebasdep"/>
        </w:rPr>
        <w:footnoteRef/>
      </w:r>
      <w:r>
        <w:t xml:space="preserve"> </w:t>
      </w:r>
      <w:r>
        <w:tab/>
        <w:t>Pièce DV-2, p. 17.</w:t>
      </w:r>
    </w:p>
  </w:footnote>
  <w:footnote w:id="125">
    <w:p w14:paraId="44EFAACD" w14:textId="6CB558EF" w:rsidR="00447E8B" w:rsidRDefault="00447E8B">
      <w:pPr>
        <w:pStyle w:val="Notedebasdepage"/>
      </w:pPr>
      <w:r>
        <w:rPr>
          <w:rStyle w:val="Appelnotedebasdep"/>
        </w:rPr>
        <w:footnoteRef/>
      </w:r>
      <w:r>
        <w:t xml:space="preserve"> </w:t>
      </w:r>
      <w:r>
        <w:tab/>
        <w:t>Pièce P-22, p. 5.</w:t>
      </w:r>
    </w:p>
  </w:footnote>
  <w:footnote w:id="126">
    <w:p w14:paraId="052EE8F5" w14:textId="5C52C99C" w:rsidR="00000074" w:rsidRDefault="00000074">
      <w:pPr>
        <w:pStyle w:val="Notedebasdepage"/>
      </w:pPr>
      <w:r>
        <w:rPr>
          <w:rStyle w:val="Appelnotedebasdep"/>
        </w:rPr>
        <w:footnoteRef/>
      </w:r>
      <w:r>
        <w:t xml:space="preserve"> </w:t>
      </w:r>
      <w:r>
        <w:tab/>
        <w:t>Pièce PGQ-10.</w:t>
      </w:r>
    </w:p>
  </w:footnote>
  <w:footnote w:id="127">
    <w:p w14:paraId="0AB6DFB2" w14:textId="1AEB57E6" w:rsidR="00C349A9" w:rsidRDefault="00C349A9">
      <w:pPr>
        <w:pStyle w:val="Notedebasdepage"/>
      </w:pPr>
      <w:r>
        <w:rPr>
          <w:rStyle w:val="Appelnotedebasdep"/>
        </w:rPr>
        <w:footnoteRef/>
      </w:r>
      <w:r>
        <w:t xml:space="preserve"> </w:t>
      </w:r>
      <w:r>
        <w:tab/>
        <w:t>Pièce P-22, p. 6.</w:t>
      </w:r>
    </w:p>
  </w:footnote>
  <w:footnote w:id="128">
    <w:p w14:paraId="02ADC8A8" w14:textId="39C3B341" w:rsidR="00FD5E9B" w:rsidRDefault="00FD5E9B">
      <w:pPr>
        <w:pStyle w:val="Notedebasdepage"/>
      </w:pPr>
      <w:r>
        <w:rPr>
          <w:rStyle w:val="Appelnotedebasdep"/>
        </w:rPr>
        <w:footnoteRef/>
      </w:r>
      <w:r>
        <w:t xml:space="preserve"> </w:t>
      </w:r>
      <w:r>
        <w:tab/>
        <w:t>Pièces</w:t>
      </w:r>
      <w:r w:rsidRPr="00FD5E9B">
        <w:t xml:space="preserve"> </w:t>
      </w:r>
      <w:r>
        <w:t>DV-5 et DV-5.1.</w:t>
      </w:r>
    </w:p>
  </w:footnote>
  <w:footnote w:id="129">
    <w:p w14:paraId="30C6B704" w14:textId="4A80917D" w:rsidR="002A3E5B" w:rsidRDefault="002A3E5B">
      <w:pPr>
        <w:pStyle w:val="Notedebasdepage"/>
      </w:pPr>
      <w:r>
        <w:rPr>
          <w:rStyle w:val="Appelnotedebasdep"/>
        </w:rPr>
        <w:footnoteRef/>
      </w:r>
      <w:r>
        <w:t xml:space="preserve"> </w:t>
      </w:r>
      <w:r>
        <w:tab/>
        <w:t>Pièce DV-1.</w:t>
      </w:r>
    </w:p>
  </w:footnote>
  <w:footnote w:id="130">
    <w:p w14:paraId="13587FE7" w14:textId="58776B76" w:rsidR="002718BF" w:rsidRDefault="002718BF">
      <w:pPr>
        <w:pStyle w:val="Notedebasdepage"/>
      </w:pPr>
      <w:r>
        <w:rPr>
          <w:rStyle w:val="Appelnotedebasdep"/>
        </w:rPr>
        <w:footnoteRef/>
      </w:r>
      <w:r>
        <w:t xml:space="preserve"> </w:t>
      </w:r>
      <w:r>
        <w:tab/>
        <w:t>Pièce DV-2.</w:t>
      </w:r>
    </w:p>
  </w:footnote>
  <w:footnote w:id="131">
    <w:p w14:paraId="693715E2" w14:textId="202E5DA7" w:rsidR="006F768A" w:rsidRDefault="006F768A">
      <w:pPr>
        <w:pStyle w:val="Notedebasdepage"/>
      </w:pPr>
      <w:r>
        <w:rPr>
          <w:rStyle w:val="Appelnotedebasdep"/>
        </w:rPr>
        <w:footnoteRef/>
      </w:r>
      <w:r>
        <w:t xml:space="preserve"> </w:t>
      </w:r>
      <w:r>
        <w:tab/>
        <w:t>Interrogatoire au préalable de Provost du 31 janvier 2023, p. 68, 86, 87.</w:t>
      </w:r>
    </w:p>
  </w:footnote>
  <w:footnote w:id="132">
    <w:p w14:paraId="208671E7" w14:textId="74986ADD" w:rsidR="00266F6D" w:rsidRDefault="00266F6D">
      <w:pPr>
        <w:pStyle w:val="Notedebasdepage"/>
      </w:pPr>
      <w:r>
        <w:rPr>
          <w:rStyle w:val="Appelnotedebasdep"/>
        </w:rPr>
        <w:footnoteRef/>
      </w:r>
      <w:r>
        <w:t xml:space="preserve"> </w:t>
      </w:r>
      <w:r>
        <w:tab/>
        <w:t>Pièce DV-2, p. 11.</w:t>
      </w:r>
    </w:p>
  </w:footnote>
  <w:footnote w:id="133">
    <w:p w14:paraId="3472050D" w14:textId="59B06521" w:rsidR="00C24B48" w:rsidRDefault="00C24B48">
      <w:pPr>
        <w:pStyle w:val="Notedebasdepage"/>
      </w:pPr>
      <w:r>
        <w:rPr>
          <w:rStyle w:val="Appelnotedebasdep"/>
        </w:rPr>
        <w:footnoteRef/>
      </w:r>
      <w:r>
        <w:t xml:space="preserve"> </w:t>
      </w:r>
      <w:r>
        <w:tab/>
        <w:t>Pièce P-2.</w:t>
      </w:r>
    </w:p>
  </w:footnote>
  <w:footnote w:id="134">
    <w:p w14:paraId="5A429B8F" w14:textId="65B6C865" w:rsidR="00B93BD2" w:rsidRDefault="00B93BD2">
      <w:pPr>
        <w:pStyle w:val="Notedebasdepage"/>
      </w:pPr>
      <w:r>
        <w:rPr>
          <w:rStyle w:val="Appelnotedebasdep"/>
        </w:rPr>
        <w:footnoteRef/>
      </w:r>
      <w:r>
        <w:t xml:space="preserve"> </w:t>
      </w:r>
      <w:r>
        <w:tab/>
        <w:t>Pièce P-17, p. 19.</w:t>
      </w:r>
    </w:p>
  </w:footnote>
  <w:footnote w:id="135">
    <w:p w14:paraId="6E59AF13" w14:textId="7B7175BA" w:rsidR="00600E26" w:rsidRDefault="00600E26">
      <w:pPr>
        <w:pStyle w:val="Notedebasdepage"/>
      </w:pPr>
      <w:r>
        <w:rPr>
          <w:rStyle w:val="Appelnotedebasdep"/>
        </w:rPr>
        <w:footnoteRef/>
      </w:r>
      <w:r>
        <w:t xml:space="preserve"> </w:t>
      </w:r>
      <w:r>
        <w:tab/>
        <w:t>Pièce DV-2, p. 21 et suiv.</w:t>
      </w:r>
    </w:p>
  </w:footnote>
  <w:footnote w:id="136">
    <w:p w14:paraId="09BBB2FF" w14:textId="109C90F8" w:rsidR="00293629" w:rsidRDefault="00293629">
      <w:pPr>
        <w:pStyle w:val="Notedebasdepage"/>
      </w:pPr>
      <w:r>
        <w:rPr>
          <w:rStyle w:val="Appelnotedebasdep"/>
        </w:rPr>
        <w:footnoteRef/>
      </w:r>
      <w:r>
        <w:t xml:space="preserve"> </w:t>
      </w:r>
      <w:r>
        <w:tab/>
        <w:t>Pièce DV-2, p. 24.</w:t>
      </w:r>
    </w:p>
  </w:footnote>
  <w:footnote w:id="137">
    <w:p w14:paraId="293E80FE" w14:textId="095FCC77" w:rsidR="00266DAC" w:rsidRDefault="00266DAC">
      <w:pPr>
        <w:pStyle w:val="Notedebasdepage"/>
      </w:pPr>
      <w:r>
        <w:rPr>
          <w:rStyle w:val="Appelnotedebasdep"/>
        </w:rPr>
        <w:footnoteRef/>
      </w:r>
      <w:r>
        <w:t xml:space="preserve"> </w:t>
      </w:r>
      <w:r>
        <w:tab/>
        <w:t>Pièce P-2.</w:t>
      </w:r>
    </w:p>
  </w:footnote>
  <w:footnote w:id="138">
    <w:p w14:paraId="24FE316B" w14:textId="03E2640A" w:rsidR="005F60E6" w:rsidRDefault="005F60E6">
      <w:pPr>
        <w:pStyle w:val="Notedebasdepage"/>
      </w:pPr>
      <w:r>
        <w:rPr>
          <w:rStyle w:val="Appelnotedebasdep"/>
        </w:rPr>
        <w:footnoteRef/>
      </w:r>
      <w:r>
        <w:t xml:space="preserve"> </w:t>
      </w:r>
      <w:r>
        <w:tab/>
        <w:t>Pièce P-13.</w:t>
      </w:r>
    </w:p>
  </w:footnote>
  <w:footnote w:id="139">
    <w:p w14:paraId="3B408B8A" w14:textId="641238A9" w:rsidR="0015108E" w:rsidRDefault="0015108E">
      <w:pPr>
        <w:pStyle w:val="Notedebasdepage"/>
      </w:pPr>
      <w:r>
        <w:rPr>
          <w:rStyle w:val="Appelnotedebasdep"/>
        </w:rPr>
        <w:footnoteRef/>
      </w:r>
      <w:r>
        <w:t xml:space="preserve"> </w:t>
      </w:r>
      <w:r>
        <w:tab/>
        <w:t>Pièce P-22, p. 6.</w:t>
      </w:r>
    </w:p>
  </w:footnote>
  <w:footnote w:id="140">
    <w:p w14:paraId="3CF12BBF" w14:textId="25FAF63B" w:rsidR="009153E3" w:rsidRDefault="009153E3">
      <w:pPr>
        <w:pStyle w:val="Notedebasdepage"/>
      </w:pPr>
      <w:r>
        <w:rPr>
          <w:rStyle w:val="Appelnotedebasdep"/>
        </w:rPr>
        <w:footnoteRef/>
      </w:r>
      <w:r>
        <w:t xml:space="preserve"> </w:t>
      </w:r>
      <w:r>
        <w:tab/>
        <w:t>Pièce DV-3.</w:t>
      </w:r>
    </w:p>
  </w:footnote>
  <w:footnote w:id="141">
    <w:p w14:paraId="7A3642AF" w14:textId="6FD81827" w:rsidR="000B7B5D" w:rsidRDefault="000B7B5D">
      <w:pPr>
        <w:pStyle w:val="Notedebasdepage"/>
      </w:pPr>
      <w:r>
        <w:rPr>
          <w:rStyle w:val="Appelnotedebasdep"/>
        </w:rPr>
        <w:footnoteRef/>
      </w:r>
      <w:r>
        <w:t xml:space="preserve"> </w:t>
      </w:r>
      <w:r>
        <w:tab/>
        <w:t>Pièce P-17, p. 25-28.</w:t>
      </w:r>
    </w:p>
  </w:footnote>
  <w:footnote w:id="142">
    <w:p w14:paraId="06590ECE" w14:textId="42912AE3" w:rsidR="007C365F" w:rsidRDefault="007C365F">
      <w:pPr>
        <w:pStyle w:val="Notedebasdepage"/>
      </w:pPr>
      <w:r>
        <w:rPr>
          <w:rStyle w:val="Appelnotedebasdep"/>
        </w:rPr>
        <w:footnoteRef/>
      </w:r>
      <w:r>
        <w:t xml:space="preserve"> </w:t>
      </w:r>
      <w:r>
        <w:tab/>
        <w:t>Pièce DV-4.</w:t>
      </w:r>
    </w:p>
  </w:footnote>
  <w:footnote w:id="143">
    <w:p w14:paraId="42F1F52A" w14:textId="30CB996C" w:rsidR="0078402F" w:rsidRDefault="0078402F">
      <w:pPr>
        <w:pStyle w:val="Notedebasdepage"/>
      </w:pPr>
      <w:r>
        <w:rPr>
          <w:rStyle w:val="Appelnotedebasdep"/>
        </w:rPr>
        <w:footnoteRef/>
      </w:r>
      <w:r>
        <w:t xml:space="preserve"> </w:t>
      </w:r>
      <w:r>
        <w:tab/>
        <w:t xml:space="preserve">Pièce </w:t>
      </w:r>
      <w:r w:rsidR="00883058">
        <w:t>D</w:t>
      </w:r>
      <w:r>
        <w:t>V-4.1, p. 32.</w:t>
      </w:r>
    </w:p>
  </w:footnote>
  <w:footnote w:id="144">
    <w:p w14:paraId="7E7913A6" w14:textId="0746F8AB" w:rsidR="00883058" w:rsidRDefault="00883058">
      <w:pPr>
        <w:pStyle w:val="Notedebasdepage"/>
      </w:pPr>
      <w:r>
        <w:rPr>
          <w:rStyle w:val="Appelnotedebasdep"/>
        </w:rPr>
        <w:footnoteRef/>
      </w:r>
      <w:r>
        <w:t xml:space="preserve"> </w:t>
      </w:r>
      <w:r>
        <w:tab/>
        <w:t>Pièce DV-4.</w:t>
      </w:r>
    </w:p>
  </w:footnote>
  <w:footnote w:id="145">
    <w:p w14:paraId="75010860" w14:textId="7B4D5F94" w:rsidR="00D309EA" w:rsidRDefault="00D309EA">
      <w:pPr>
        <w:pStyle w:val="Notedebasdepage"/>
      </w:pPr>
      <w:r>
        <w:rPr>
          <w:rStyle w:val="Appelnotedebasdep"/>
        </w:rPr>
        <w:footnoteRef/>
      </w:r>
      <w:r>
        <w:t xml:space="preserve"> </w:t>
      </w:r>
      <w:r>
        <w:tab/>
        <w:t>Interrogatoire au préalable de Provost du 31 janvier 2023, p. 161-162.</w:t>
      </w:r>
    </w:p>
  </w:footnote>
  <w:footnote w:id="146">
    <w:p w14:paraId="116DC3F6" w14:textId="170D9829" w:rsidR="001D6419" w:rsidRDefault="001D6419">
      <w:pPr>
        <w:pStyle w:val="Notedebasdepage"/>
      </w:pPr>
      <w:r>
        <w:rPr>
          <w:rStyle w:val="Appelnotedebasdep"/>
        </w:rPr>
        <w:footnoteRef/>
      </w:r>
      <w:r>
        <w:t xml:space="preserve"> </w:t>
      </w:r>
      <w:r>
        <w:tab/>
        <w:t>Pièce DV-4.1, p. 4.</w:t>
      </w:r>
    </w:p>
  </w:footnote>
  <w:footnote w:id="147">
    <w:p w14:paraId="40834F95" w14:textId="03B6AB77" w:rsidR="001D32C1" w:rsidRDefault="001D32C1">
      <w:pPr>
        <w:pStyle w:val="Notedebasdepage"/>
      </w:pPr>
      <w:r>
        <w:rPr>
          <w:rStyle w:val="Appelnotedebasdep"/>
        </w:rPr>
        <w:footnoteRef/>
      </w:r>
      <w:r>
        <w:t xml:space="preserve"> </w:t>
      </w:r>
      <w:r>
        <w:tab/>
        <w:t>Pièce P-17, p. 19.</w:t>
      </w:r>
    </w:p>
  </w:footnote>
  <w:footnote w:id="148">
    <w:p w14:paraId="11B54A9C" w14:textId="3A7E35B6" w:rsidR="001B065C" w:rsidRDefault="001B065C">
      <w:pPr>
        <w:pStyle w:val="Notedebasdepage"/>
      </w:pPr>
      <w:r>
        <w:rPr>
          <w:rStyle w:val="Appelnotedebasdep"/>
        </w:rPr>
        <w:footnoteRef/>
      </w:r>
      <w:r>
        <w:t xml:space="preserve"> </w:t>
      </w:r>
      <w:r>
        <w:tab/>
        <w:t>Pièce P-17, p. 19-20.</w:t>
      </w:r>
    </w:p>
  </w:footnote>
  <w:footnote w:id="149">
    <w:p w14:paraId="7EF79D2E" w14:textId="77777777" w:rsidR="002F3B78" w:rsidRDefault="002F3B78" w:rsidP="002F3B78">
      <w:pPr>
        <w:pStyle w:val="Notedebasdepage"/>
      </w:pPr>
      <w:r>
        <w:rPr>
          <w:rStyle w:val="Appelnotedebasdep"/>
        </w:rPr>
        <w:footnoteRef/>
      </w:r>
      <w:r>
        <w:t xml:space="preserve"> </w:t>
      </w:r>
      <w:r>
        <w:tab/>
        <w:t>Pièce PGQ-11.</w:t>
      </w:r>
    </w:p>
  </w:footnote>
  <w:footnote w:id="150">
    <w:p w14:paraId="1C12F09B" w14:textId="6CA25F8D" w:rsidR="00652AB2" w:rsidRDefault="00652AB2">
      <w:pPr>
        <w:pStyle w:val="Notedebasdepage"/>
      </w:pPr>
      <w:r>
        <w:rPr>
          <w:rStyle w:val="Appelnotedebasdep"/>
        </w:rPr>
        <w:footnoteRef/>
      </w:r>
      <w:r>
        <w:t xml:space="preserve"> </w:t>
      </w:r>
      <w:r>
        <w:tab/>
        <w:t xml:space="preserve">Déclaration </w:t>
      </w:r>
      <w:r w:rsidR="00EF4E78">
        <w:t xml:space="preserve">sous serment </w:t>
      </w:r>
      <w:r>
        <w:t>de Lamoureux</w:t>
      </w:r>
      <w:r w:rsidR="00EF4E78">
        <w:t xml:space="preserve"> du 20 janvier 2023</w:t>
      </w:r>
      <w:r>
        <w:t>, par. 31 et 32; Interrogatoire de Lamoureux, p. 87 et 88.</w:t>
      </w:r>
    </w:p>
  </w:footnote>
  <w:footnote w:id="151">
    <w:p w14:paraId="7C29EC47" w14:textId="2127D9F3" w:rsidR="00B865FB" w:rsidRDefault="00B865FB">
      <w:pPr>
        <w:pStyle w:val="Notedebasdepage"/>
      </w:pPr>
      <w:r>
        <w:rPr>
          <w:rStyle w:val="Appelnotedebasdep"/>
        </w:rPr>
        <w:footnoteRef/>
      </w:r>
      <w:r>
        <w:t xml:space="preserve"> </w:t>
      </w:r>
      <w:r>
        <w:tab/>
        <w:t>Pièces DV-5, DV-5.1.</w:t>
      </w:r>
    </w:p>
  </w:footnote>
  <w:footnote w:id="152">
    <w:p w14:paraId="0F296824" w14:textId="39A1C60F" w:rsidR="0009418A" w:rsidRDefault="0009418A">
      <w:pPr>
        <w:pStyle w:val="Notedebasdepage"/>
      </w:pPr>
      <w:r>
        <w:rPr>
          <w:rStyle w:val="Appelnotedebasdep"/>
        </w:rPr>
        <w:footnoteRef/>
      </w:r>
      <w:r>
        <w:t xml:space="preserve"> </w:t>
      </w:r>
      <w:r>
        <w:tab/>
        <w:t xml:space="preserve">Déclaration </w:t>
      </w:r>
      <w:r w:rsidR="003A4397">
        <w:t xml:space="preserve">sous serment </w:t>
      </w:r>
      <w:r w:rsidR="00B2081B">
        <w:t xml:space="preserve">de </w:t>
      </w:r>
      <w:r>
        <w:t>Provost, par. 31.</w:t>
      </w:r>
    </w:p>
  </w:footnote>
  <w:footnote w:id="153">
    <w:p w14:paraId="48765971" w14:textId="25E0C014" w:rsidR="00C91A36" w:rsidRDefault="00C91A36">
      <w:pPr>
        <w:pStyle w:val="Notedebasdepage"/>
      </w:pPr>
      <w:r>
        <w:rPr>
          <w:rStyle w:val="Appelnotedebasdep"/>
        </w:rPr>
        <w:footnoteRef/>
      </w:r>
      <w:r>
        <w:t xml:space="preserve"> </w:t>
      </w:r>
      <w:r>
        <w:tab/>
      </w:r>
      <w:r w:rsidR="00EF4E78" w:rsidRPr="00EF4E78">
        <w:rPr>
          <w:i/>
          <w:iCs/>
        </w:rPr>
        <w:t>Id</w:t>
      </w:r>
      <w:r w:rsidR="00EF4E78">
        <w:t>.</w:t>
      </w:r>
      <w:r>
        <w:t>, par. 32.</w:t>
      </w:r>
    </w:p>
  </w:footnote>
  <w:footnote w:id="154">
    <w:p w14:paraId="39756142" w14:textId="3448D98B" w:rsidR="009E6F9D" w:rsidRDefault="009E6F9D">
      <w:pPr>
        <w:pStyle w:val="Notedebasdepage"/>
      </w:pPr>
      <w:r>
        <w:rPr>
          <w:rStyle w:val="Appelnotedebasdep"/>
        </w:rPr>
        <w:footnoteRef/>
      </w:r>
      <w:r>
        <w:t xml:space="preserve"> </w:t>
      </w:r>
      <w:r>
        <w:tab/>
        <w:t xml:space="preserve">Interrogatoire </w:t>
      </w:r>
      <w:r w:rsidR="00B2081B">
        <w:t xml:space="preserve">au préalable de </w:t>
      </w:r>
      <w:r>
        <w:t>Provost</w:t>
      </w:r>
      <w:r w:rsidR="00B2081B">
        <w:t xml:space="preserve"> du 31 janvier 2023</w:t>
      </w:r>
      <w:r>
        <w:t>, p. 190-193.</w:t>
      </w:r>
    </w:p>
  </w:footnote>
  <w:footnote w:id="155">
    <w:p w14:paraId="27B8065B" w14:textId="0827E71A" w:rsidR="009439BE" w:rsidRDefault="009439BE">
      <w:pPr>
        <w:pStyle w:val="Notedebasdepage"/>
      </w:pPr>
      <w:r>
        <w:rPr>
          <w:rStyle w:val="Appelnotedebasdep"/>
        </w:rPr>
        <w:footnoteRef/>
      </w:r>
      <w:r>
        <w:t xml:space="preserve"> </w:t>
      </w:r>
      <w:r>
        <w:tab/>
        <w:t>Déclaration sous serment de Provost, par. 33.</w:t>
      </w:r>
    </w:p>
  </w:footnote>
  <w:footnote w:id="156">
    <w:p w14:paraId="6C40AB26" w14:textId="6EFD8A41" w:rsidR="00B2081B" w:rsidRDefault="00B2081B">
      <w:pPr>
        <w:pStyle w:val="Notedebasdepage"/>
      </w:pPr>
      <w:r>
        <w:rPr>
          <w:rStyle w:val="Appelnotedebasdep"/>
        </w:rPr>
        <w:footnoteRef/>
      </w:r>
      <w:r>
        <w:t xml:space="preserve"> </w:t>
      </w:r>
      <w:r>
        <w:tab/>
        <w:t>Pièce DV-7.</w:t>
      </w:r>
    </w:p>
  </w:footnote>
  <w:footnote w:id="157">
    <w:p w14:paraId="61636D88" w14:textId="2CDEF60E" w:rsidR="00544A00" w:rsidRDefault="00544A00">
      <w:pPr>
        <w:pStyle w:val="Notedebasdepage"/>
      </w:pPr>
      <w:r>
        <w:rPr>
          <w:rStyle w:val="Appelnotedebasdep"/>
        </w:rPr>
        <w:footnoteRef/>
      </w:r>
      <w:r>
        <w:t xml:space="preserve"> </w:t>
      </w:r>
      <w:r>
        <w:tab/>
        <w:t>Déclaration sous serment de Lamoureux du 20 janvier 2023, par. 16 et 17.</w:t>
      </w:r>
    </w:p>
  </w:footnote>
  <w:footnote w:id="158">
    <w:p w14:paraId="35626B8B" w14:textId="5E06F09B" w:rsidR="00B21862" w:rsidRDefault="00B21862">
      <w:pPr>
        <w:pStyle w:val="Notedebasdepage"/>
      </w:pPr>
      <w:r>
        <w:rPr>
          <w:rStyle w:val="Appelnotedebasdep"/>
        </w:rPr>
        <w:footnoteRef/>
      </w:r>
      <w:r>
        <w:t xml:space="preserve"> </w:t>
      </w:r>
      <w:r>
        <w:tab/>
        <w:t>Pièce P-17.</w:t>
      </w:r>
    </w:p>
  </w:footnote>
  <w:footnote w:id="159">
    <w:p w14:paraId="49CF7F0F" w14:textId="236C14F3" w:rsidR="00B857FA" w:rsidRDefault="00B857FA">
      <w:pPr>
        <w:pStyle w:val="Notedebasdepage"/>
      </w:pPr>
      <w:r>
        <w:rPr>
          <w:rStyle w:val="Appelnotedebasdep"/>
        </w:rPr>
        <w:footnoteRef/>
      </w:r>
      <w:r>
        <w:t xml:space="preserve"> </w:t>
      </w:r>
      <w:r>
        <w:tab/>
        <w:t>Pièce PGQ-6.</w:t>
      </w:r>
    </w:p>
  </w:footnote>
  <w:footnote w:id="160">
    <w:p w14:paraId="18074593" w14:textId="0985833C" w:rsidR="00FC764D" w:rsidRDefault="00FC764D">
      <w:pPr>
        <w:pStyle w:val="Notedebasdepage"/>
      </w:pPr>
      <w:r>
        <w:rPr>
          <w:rStyle w:val="Appelnotedebasdep"/>
        </w:rPr>
        <w:footnoteRef/>
      </w:r>
      <w:r>
        <w:t xml:space="preserve"> </w:t>
      </w:r>
      <w:r>
        <w:tab/>
        <w:t>Pièce PGQ-7.</w:t>
      </w:r>
    </w:p>
  </w:footnote>
  <w:footnote w:id="161">
    <w:p w14:paraId="6CE01C8A" w14:textId="3E9C1827" w:rsidR="00FC764D" w:rsidRDefault="00FC764D">
      <w:pPr>
        <w:pStyle w:val="Notedebasdepage"/>
      </w:pPr>
      <w:r>
        <w:rPr>
          <w:rStyle w:val="Appelnotedebasdep"/>
        </w:rPr>
        <w:footnoteRef/>
      </w:r>
      <w:r>
        <w:t xml:space="preserve"> </w:t>
      </w:r>
      <w:r>
        <w:tab/>
        <w:t>Pièce PGQ-8.</w:t>
      </w:r>
    </w:p>
  </w:footnote>
  <w:footnote w:id="162">
    <w:p w14:paraId="4F495E04" w14:textId="084515A1" w:rsidR="008966C6" w:rsidRDefault="008966C6">
      <w:pPr>
        <w:pStyle w:val="Notedebasdepage"/>
      </w:pPr>
      <w:r>
        <w:rPr>
          <w:rStyle w:val="Appelnotedebasdep"/>
        </w:rPr>
        <w:footnoteRef/>
      </w:r>
      <w:r>
        <w:t xml:space="preserve"> </w:t>
      </w:r>
      <w:r>
        <w:tab/>
        <w:t>Pièce PGQ-9.</w:t>
      </w:r>
    </w:p>
  </w:footnote>
  <w:footnote w:id="163">
    <w:p w14:paraId="785FABE7" w14:textId="022C10F1" w:rsidR="008966C6" w:rsidRDefault="008966C6">
      <w:pPr>
        <w:pStyle w:val="Notedebasdepage"/>
      </w:pPr>
      <w:r>
        <w:rPr>
          <w:rStyle w:val="Appelnotedebasdep"/>
        </w:rPr>
        <w:footnoteRef/>
      </w:r>
      <w:r>
        <w:t xml:space="preserve"> </w:t>
      </w:r>
      <w:r>
        <w:tab/>
        <w:t>Pièce PGQ-10.</w:t>
      </w:r>
    </w:p>
  </w:footnote>
  <w:footnote w:id="164">
    <w:p w14:paraId="20C579FA" w14:textId="69BC55C4" w:rsidR="00474671" w:rsidRDefault="00474671">
      <w:pPr>
        <w:pStyle w:val="Notedebasdepage"/>
      </w:pPr>
      <w:r>
        <w:rPr>
          <w:rStyle w:val="Appelnotedebasdep"/>
        </w:rPr>
        <w:footnoteRef/>
      </w:r>
      <w:r>
        <w:t xml:space="preserve"> </w:t>
      </w:r>
      <w:r>
        <w:tab/>
        <w:t>Déclaration sous serment de Lamoureux du 20 janvier 2023, par. 19-20; Pièce P-19, p. 25 à 28.</w:t>
      </w:r>
    </w:p>
  </w:footnote>
  <w:footnote w:id="165">
    <w:p w14:paraId="0E41FF03" w14:textId="67921D7C" w:rsidR="007E2AEE" w:rsidRDefault="007E2AEE">
      <w:pPr>
        <w:pStyle w:val="Notedebasdepage"/>
      </w:pPr>
      <w:r>
        <w:rPr>
          <w:rStyle w:val="Appelnotedebasdep"/>
        </w:rPr>
        <w:footnoteRef/>
      </w:r>
      <w:r>
        <w:t xml:space="preserve"> </w:t>
      </w:r>
      <w:r>
        <w:tab/>
      </w:r>
      <w:r w:rsidR="00E54417" w:rsidRPr="00E54417">
        <w:rPr>
          <w:i/>
          <w:iCs/>
        </w:rPr>
        <w:t>Id</w:t>
      </w:r>
      <w:r w:rsidR="00E54417">
        <w:t>., p</w:t>
      </w:r>
      <w:r>
        <w:t>ar. 23.</w:t>
      </w:r>
    </w:p>
  </w:footnote>
  <w:footnote w:id="166">
    <w:p w14:paraId="3C3AB80E" w14:textId="704B1442" w:rsidR="007E2AEE" w:rsidRDefault="007E2AEE">
      <w:pPr>
        <w:pStyle w:val="Notedebasdepage"/>
      </w:pPr>
      <w:r>
        <w:rPr>
          <w:rStyle w:val="Appelnotedebasdep"/>
        </w:rPr>
        <w:footnoteRef/>
      </w:r>
      <w:r>
        <w:t xml:space="preserve"> </w:t>
      </w:r>
      <w:r>
        <w:tab/>
      </w:r>
      <w:r w:rsidR="00E54417" w:rsidRPr="00E54417">
        <w:rPr>
          <w:i/>
          <w:iCs/>
        </w:rPr>
        <w:t>Id</w:t>
      </w:r>
      <w:r w:rsidR="00E54417">
        <w:t>., p</w:t>
      </w:r>
      <w:r>
        <w:t>ar. 24.</w:t>
      </w:r>
    </w:p>
  </w:footnote>
  <w:footnote w:id="167">
    <w:p w14:paraId="36BAE473" w14:textId="14E8FD00" w:rsidR="005C31C1" w:rsidRDefault="005C31C1">
      <w:pPr>
        <w:pStyle w:val="Notedebasdepage"/>
      </w:pPr>
      <w:r>
        <w:rPr>
          <w:rStyle w:val="Appelnotedebasdep"/>
        </w:rPr>
        <w:footnoteRef/>
      </w:r>
      <w:r>
        <w:t xml:space="preserve"> </w:t>
      </w:r>
      <w:r>
        <w:tab/>
      </w:r>
      <w:r w:rsidR="00E54417" w:rsidRPr="00E54417">
        <w:rPr>
          <w:i/>
          <w:iCs/>
        </w:rPr>
        <w:t>Id</w:t>
      </w:r>
      <w:r w:rsidR="00E54417">
        <w:t>., p</w:t>
      </w:r>
      <w:r>
        <w:t>ar. 25; Pièce P-17, p. 19.</w:t>
      </w:r>
    </w:p>
  </w:footnote>
  <w:footnote w:id="168">
    <w:p w14:paraId="6C95B55D" w14:textId="58C88B21" w:rsidR="003B204E" w:rsidRDefault="003B204E">
      <w:pPr>
        <w:pStyle w:val="Notedebasdepage"/>
      </w:pPr>
      <w:r>
        <w:rPr>
          <w:rStyle w:val="Appelnotedebasdep"/>
        </w:rPr>
        <w:footnoteRef/>
      </w:r>
      <w:r>
        <w:t xml:space="preserve"> </w:t>
      </w:r>
      <w:r>
        <w:tab/>
      </w:r>
      <w:r w:rsidR="00E54417" w:rsidRPr="00E54417">
        <w:rPr>
          <w:i/>
          <w:iCs/>
        </w:rPr>
        <w:t>Id</w:t>
      </w:r>
      <w:r w:rsidR="00E54417">
        <w:t>., p</w:t>
      </w:r>
      <w:r>
        <w:t>ar, 26; Pièce P-17, p. 20.</w:t>
      </w:r>
    </w:p>
  </w:footnote>
  <w:footnote w:id="169">
    <w:p w14:paraId="6615D819" w14:textId="3BD51629" w:rsidR="00502561" w:rsidRDefault="00502561">
      <w:pPr>
        <w:pStyle w:val="Notedebasdepage"/>
      </w:pPr>
      <w:r>
        <w:rPr>
          <w:rStyle w:val="Appelnotedebasdep"/>
        </w:rPr>
        <w:footnoteRef/>
      </w:r>
      <w:r>
        <w:t xml:space="preserve"> </w:t>
      </w:r>
      <w:r>
        <w:tab/>
      </w:r>
      <w:r w:rsidR="00E54417">
        <w:t>Déclaration sous serment de Lamoureux du 20 janvier 2023, p</w:t>
      </w:r>
      <w:r>
        <w:t>ar. 27, 28, 29.</w:t>
      </w:r>
    </w:p>
  </w:footnote>
  <w:footnote w:id="170">
    <w:p w14:paraId="22238B27" w14:textId="24201F3A" w:rsidR="00F1030D" w:rsidRDefault="00F1030D">
      <w:pPr>
        <w:pStyle w:val="Notedebasdepage"/>
      </w:pPr>
      <w:r>
        <w:rPr>
          <w:rStyle w:val="Appelnotedebasdep"/>
        </w:rPr>
        <w:footnoteRef/>
      </w:r>
      <w:r>
        <w:t xml:space="preserve"> </w:t>
      </w:r>
      <w:r>
        <w:tab/>
      </w:r>
      <w:r w:rsidR="003A4397" w:rsidRPr="003A4397">
        <w:rPr>
          <w:i/>
          <w:iCs/>
        </w:rPr>
        <w:t>Id</w:t>
      </w:r>
      <w:r w:rsidR="003A4397">
        <w:t>., p</w:t>
      </w:r>
      <w:r>
        <w:t>ar. 30, 31, 32.</w:t>
      </w:r>
    </w:p>
  </w:footnote>
  <w:footnote w:id="171">
    <w:p w14:paraId="32AFE136" w14:textId="4B805302" w:rsidR="003A4397" w:rsidRDefault="003A4397">
      <w:pPr>
        <w:pStyle w:val="Notedebasdepage"/>
      </w:pPr>
      <w:r>
        <w:rPr>
          <w:rStyle w:val="Appelnotedebasdep"/>
        </w:rPr>
        <w:footnoteRef/>
      </w:r>
      <w:r>
        <w:t xml:space="preserve"> </w:t>
      </w:r>
      <w:r>
        <w:tab/>
      </w:r>
      <w:r w:rsidRPr="003A4397">
        <w:rPr>
          <w:i/>
          <w:iCs/>
        </w:rPr>
        <w:t>Id</w:t>
      </w:r>
      <w:r>
        <w:t>., par. 34 et suiv.</w:t>
      </w:r>
    </w:p>
  </w:footnote>
  <w:footnote w:id="172">
    <w:p w14:paraId="36723257" w14:textId="39932DB2" w:rsidR="003A4397" w:rsidRDefault="003A4397">
      <w:pPr>
        <w:pStyle w:val="Notedebasdepage"/>
      </w:pPr>
      <w:r>
        <w:rPr>
          <w:rStyle w:val="Appelnotedebasdep"/>
        </w:rPr>
        <w:footnoteRef/>
      </w:r>
      <w:r>
        <w:t xml:space="preserve"> </w:t>
      </w:r>
      <w:r>
        <w:tab/>
        <w:t>Pièce PGQ-6, p. 23.</w:t>
      </w:r>
    </w:p>
  </w:footnote>
  <w:footnote w:id="173">
    <w:p w14:paraId="4CD518D8" w14:textId="7E5DF1E9" w:rsidR="008C5591" w:rsidRDefault="008C5591">
      <w:pPr>
        <w:pStyle w:val="Notedebasdepage"/>
      </w:pPr>
      <w:r>
        <w:rPr>
          <w:rStyle w:val="Appelnotedebasdep"/>
        </w:rPr>
        <w:footnoteRef/>
      </w:r>
      <w:r>
        <w:t xml:space="preserve"> </w:t>
      </w:r>
      <w:r>
        <w:tab/>
        <w:t>Pièce PGQ-8.</w:t>
      </w:r>
    </w:p>
  </w:footnote>
  <w:footnote w:id="174">
    <w:p w14:paraId="3A1A46AD" w14:textId="3E7EFE2E" w:rsidR="008C5591" w:rsidRDefault="008C5591">
      <w:pPr>
        <w:pStyle w:val="Notedebasdepage"/>
      </w:pPr>
      <w:r>
        <w:rPr>
          <w:rStyle w:val="Appelnotedebasdep"/>
        </w:rPr>
        <w:footnoteRef/>
      </w:r>
      <w:r>
        <w:t xml:space="preserve"> </w:t>
      </w:r>
      <w:r>
        <w:tab/>
        <w:t>Pièce PGQ-22</w:t>
      </w:r>
      <w:r w:rsidR="00FE70ED">
        <w:t>; Déclaration sous serment de Lamoureux du 20 janvier 2023, par. 50 et ss.</w:t>
      </w:r>
    </w:p>
  </w:footnote>
  <w:footnote w:id="175">
    <w:p w14:paraId="3528F53F" w14:textId="308DE38D" w:rsidR="008C5591" w:rsidRDefault="008C5591">
      <w:pPr>
        <w:pStyle w:val="Notedebasdepage"/>
      </w:pPr>
      <w:r>
        <w:rPr>
          <w:rStyle w:val="Appelnotedebasdep"/>
        </w:rPr>
        <w:footnoteRef/>
      </w:r>
      <w:r>
        <w:t xml:space="preserve"> </w:t>
      </w:r>
      <w:r>
        <w:tab/>
        <w:t>Déclaration sous serment de Lamoureux du 20 janvier 2023, par. 60</w:t>
      </w:r>
      <w:r w:rsidR="00CE1B29">
        <w:t>;</w:t>
      </w:r>
      <w:r>
        <w:t xml:space="preserve"> Pièce PGQ-13.</w:t>
      </w:r>
    </w:p>
  </w:footnote>
  <w:footnote w:id="176">
    <w:p w14:paraId="03266D6F" w14:textId="30771C9B" w:rsidR="00696B49" w:rsidRDefault="00696B49">
      <w:pPr>
        <w:pStyle w:val="Notedebasdepage"/>
      </w:pPr>
      <w:r>
        <w:rPr>
          <w:rStyle w:val="Appelnotedebasdep"/>
        </w:rPr>
        <w:footnoteRef/>
      </w:r>
      <w:r>
        <w:t xml:space="preserve"> </w:t>
      </w:r>
      <w:r>
        <w:tab/>
      </w:r>
      <w:r w:rsidRPr="00696B49">
        <w:rPr>
          <w:i/>
          <w:iCs/>
        </w:rPr>
        <w:t>Id</w:t>
      </w:r>
      <w:r>
        <w:t>., par. 22</w:t>
      </w:r>
      <w:r w:rsidR="00CE1B29">
        <w:t xml:space="preserve"> et</w:t>
      </w:r>
      <w:r>
        <w:t xml:space="preserve"> 60; Pièce PGQ-14.</w:t>
      </w:r>
    </w:p>
  </w:footnote>
  <w:footnote w:id="177">
    <w:p w14:paraId="06100028" w14:textId="163EF65A" w:rsidR="00696B49" w:rsidRDefault="00696B49">
      <w:pPr>
        <w:pStyle w:val="Notedebasdepage"/>
      </w:pPr>
      <w:r>
        <w:rPr>
          <w:rStyle w:val="Appelnotedebasdep"/>
        </w:rPr>
        <w:footnoteRef/>
      </w:r>
      <w:r>
        <w:t xml:space="preserve"> </w:t>
      </w:r>
      <w:r>
        <w:tab/>
        <w:t>Pièce P-17, p. 19 à 21.</w:t>
      </w:r>
    </w:p>
  </w:footnote>
  <w:footnote w:id="178">
    <w:p w14:paraId="03F28A43" w14:textId="7C697DEA" w:rsidR="00696B49" w:rsidRDefault="00696B49">
      <w:pPr>
        <w:pStyle w:val="Notedebasdepage"/>
      </w:pPr>
      <w:r>
        <w:rPr>
          <w:rStyle w:val="Appelnotedebasdep"/>
        </w:rPr>
        <w:footnoteRef/>
      </w:r>
      <w:r>
        <w:t xml:space="preserve"> </w:t>
      </w:r>
      <w:r>
        <w:tab/>
        <w:t>Déclaration sous serment de Lamoureux du 20 janvier 2023, par. 63.</w:t>
      </w:r>
    </w:p>
  </w:footnote>
  <w:footnote w:id="179">
    <w:p w14:paraId="6272780A" w14:textId="7225722C" w:rsidR="00F93CD0" w:rsidRDefault="00F93CD0">
      <w:pPr>
        <w:pStyle w:val="Notedebasdepage"/>
      </w:pPr>
      <w:r>
        <w:rPr>
          <w:rStyle w:val="Appelnotedebasdep"/>
        </w:rPr>
        <w:footnoteRef/>
      </w:r>
      <w:r>
        <w:t xml:space="preserve"> </w:t>
      </w:r>
      <w:r>
        <w:tab/>
      </w:r>
      <w:r w:rsidRPr="00F93CD0">
        <w:rPr>
          <w:i/>
          <w:iCs/>
        </w:rPr>
        <w:t>Id</w:t>
      </w:r>
      <w:r>
        <w:t>., par. 65.</w:t>
      </w:r>
    </w:p>
  </w:footnote>
  <w:footnote w:id="180">
    <w:p w14:paraId="41D2634C" w14:textId="256A2B90" w:rsidR="00F93CD0" w:rsidRDefault="00F93CD0">
      <w:pPr>
        <w:pStyle w:val="Notedebasdepage"/>
      </w:pPr>
      <w:r>
        <w:rPr>
          <w:rStyle w:val="Appelnotedebasdep"/>
        </w:rPr>
        <w:footnoteRef/>
      </w:r>
      <w:r>
        <w:t xml:space="preserve"> </w:t>
      </w:r>
      <w:r>
        <w:tab/>
        <w:t>Pièces DV-1, DV-2 et P-19, p. 28.</w:t>
      </w:r>
    </w:p>
  </w:footnote>
  <w:footnote w:id="181">
    <w:p w14:paraId="13A0A106" w14:textId="564C7312" w:rsidR="00F93CD0" w:rsidRDefault="00F93CD0">
      <w:pPr>
        <w:pStyle w:val="Notedebasdepage"/>
      </w:pPr>
      <w:r>
        <w:rPr>
          <w:rStyle w:val="Appelnotedebasdep"/>
        </w:rPr>
        <w:footnoteRef/>
      </w:r>
      <w:r>
        <w:t xml:space="preserve"> </w:t>
      </w:r>
      <w:r>
        <w:tab/>
        <w:t>Déclaration sous serment de Lamoureux du 20 janvier 2023, par. 67.</w:t>
      </w:r>
    </w:p>
  </w:footnote>
  <w:footnote w:id="182">
    <w:p w14:paraId="35493DB8" w14:textId="6D486BC5" w:rsidR="000216D1" w:rsidRDefault="000216D1">
      <w:pPr>
        <w:pStyle w:val="Notedebasdepage"/>
      </w:pPr>
      <w:r>
        <w:rPr>
          <w:rStyle w:val="Appelnotedebasdep"/>
        </w:rPr>
        <w:footnoteRef/>
      </w:r>
      <w:r>
        <w:t xml:space="preserve"> </w:t>
      </w:r>
      <w:r>
        <w:tab/>
        <w:t>Pièces PGQ-16, PGQ-17, PGQ-18.</w:t>
      </w:r>
    </w:p>
  </w:footnote>
  <w:footnote w:id="183">
    <w:p w14:paraId="787EEE98" w14:textId="0536EE6A" w:rsidR="000216D1" w:rsidRDefault="000216D1">
      <w:pPr>
        <w:pStyle w:val="Notedebasdepage"/>
      </w:pPr>
      <w:r>
        <w:rPr>
          <w:rStyle w:val="Appelnotedebasdep"/>
        </w:rPr>
        <w:footnoteRef/>
      </w:r>
      <w:r>
        <w:t xml:space="preserve"> </w:t>
      </w:r>
      <w:r>
        <w:tab/>
        <w:t>Déclaration sous serment de Lamoureux du 20 janvier 2023, par. 70 à 77.</w:t>
      </w:r>
    </w:p>
  </w:footnote>
  <w:footnote w:id="184">
    <w:p w14:paraId="6D5386D8" w14:textId="7993029A" w:rsidR="00CB00DC" w:rsidRDefault="00CB00DC">
      <w:pPr>
        <w:pStyle w:val="Notedebasdepage"/>
      </w:pPr>
      <w:r>
        <w:rPr>
          <w:rStyle w:val="Appelnotedebasdep"/>
        </w:rPr>
        <w:footnoteRef/>
      </w:r>
      <w:r>
        <w:t xml:space="preserve"> </w:t>
      </w:r>
      <w:r>
        <w:tab/>
      </w:r>
      <w:r w:rsidRPr="00CB00DC">
        <w:rPr>
          <w:i/>
          <w:iCs/>
        </w:rPr>
        <w:t>Id</w:t>
      </w:r>
      <w:r>
        <w:t>., par. 70 à 80; Pièce PGQ-16.</w:t>
      </w:r>
    </w:p>
  </w:footnote>
  <w:footnote w:id="185">
    <w:p w14:paraId="543AAAC5" w14:textId="07F5D9E4" w:rsidR="00CB00DC" w:rsidRDefault="00CB00DC">
      <w:pPr>
        <w:pStyle w:val="Notedebasdepage"/>
      </w:pPr>
      <w:r>
        <w:rPr>
          <w:rStyle w:val="Appelnotedebasdep"/>
        </w:rPr>
        <w:footnoteRef/>
      </w:r>
      <w:r>
        <w:t xml:space="preserve"> </w:t>
      </w:r>
      <w:r>
        <w:tab/>
      </w:r>
      <w:r w:rsidRPr="00AE22FF">
        <w:rPr>
          <w:i/>
          <w:iCs/>
        </w:rPr>
        <w:t>Id</w:t>
      </w:r>
      <w:r>
        <w:t>., par. 81-82; Pièces PGQ-20; P-17, p. 20.</w:t>
      </w:r>
    </w:p>
  </w:footnote>
  <w:footnote w:id="186">
    <w:p w14:paraId="1F6CA73C" w14:textId="44D1A210" w:rsidR="000B4BB5" w:rsidRDefault="000B4BB5">
      <w:pPr>
        <w:pStyle w:val="Notedebasdepage"/>
      </w:pPr>
      <w:r>
        <w:rPr>
          <w:rStyle w:val="Appelnotedebasdep"/>
        </w:rPr>
        <w:footnoteRef/>
      </w:r>
      <w:r>
        <w:t xml:space="preserve"> </w:t>
      </w:r>
      <w:r>
        <w:tab/>
      </w:r>
      <w:r w:rsidRPr="000B4BB5">
        <w:rPr>
          <w:i/>
          <w:iCs/>
        </w:rPr>
        <w:t>Id</w:t>
      </w:r>
      <w:r>
        <w:t>., par. 86.</w:t>
      </w:r>
    </w:p>
  </w:footnote>
  <w:footnote w:id="187">
    <w:p w14:paraId="2C2CD0FB" w14:textId="77777777" w:rsidR="00D25990" w:rsidRDefault="00D25990" w:rsidP="00D25990">
      <w:pPr>
        <w:pStyle w:val="Notedebasdepage"/>
      </w:pPr>
      <w:r>
        <w:rPr>
          <w:rStyle w:val="Appelnotedebasdep"/>
        </w:rPr>
        <w:footnoteRef/>
      </w:r>
      <w:r>
        <w:t xml:space="preserve"> </w:t>
      </w:r>
      <w:r>
        <w:tab/>
        <w:t>Les X correspondent à des informations confidentielles comprises dans le Permis SEG.</w:t>
      </w:r>
    </w:p>
  </w:footnote>
  <w:footnote w:id="188">
    <w:p w14:paraId="0F6F6C50" w14:textId="723FACB2" w:rsidR="00E56D08" w:rsidRDefault="00E56D08">
      <w:pPr>
        <w:pStyle w:val="Notedebasdepage"/>
      </w:pPr>
      <w:r>
        <w:rPr>
          <w:rStyle w:val="Appelnotedebasdep"/>
        </w:rPr>
        <w:footnoteRef/>
      </w:r>
      <w:r>
        <w:t xml:space="preserve"> </w:t>
      </w:r>
      <w:r>
        <w:tab/>
      </w:r>
      <w:r w:rsidRPr="00E56D08">
        <w:rPr>
          <w:i/>
          <w:iCs/>
        </w:rPr>
        <w:t>Id</w:t>
      </w:r>
      <w:r>
        <w:t>., par. 90, 91.</w:t>
      </w:r>
    </w:p>
  </w:footnote>
  <w:footnote w:id="189">
    <w:p w14:paraId="257872C3" w14:textId="7F0358E9" w:rsidR="00E56D08" w:rsidRDefault="00E56D08">
      <w:pPr>
        <w:pStyle w:val="Notedebasdepage"/>
      </w:pPr>
      <w:r>
        <w:rPr>
          <w:rStyle w:val="Appelnotedebasdep"/>
        </w:rPr>
        <w:footnoteRef/>
      </w:r>
      <w:r>
        <w:t xml:space="preserve"> </w:t>
      </w:r>
      <w:r>
        <w:tab/>
      </w:r>
      <w:r w:rsidRPr="00E56D08">
        <w:rPr>
          <w:i/>
          <w:iCs/>
        </w:rPr>
        <w:t>Id</w:t>
      </w:r>
      <w:r>
        <w:t>., par. 92, 93.</w:t>
      </w:r>
    </w:p>
  </w:footnote>
  <w:footnote w:id="190">
    <w:p w14:paraId="34200F9E" w14:textId="2E888A8C" w:rsidR="00E56D08" w:rsidRDefault="00E56D08">
      <w:pPr>
        <w:pStyle w:val="Notedebasdepage"/>
      </w:pPr>
      <w:r>
        <w:rPr>
          <w:rStyle w:val="Appelnotedebasdep"/>
        </w:rPr>
        <w:footnoteRef/>
      </w:r>
      <w:r>
        <w:t xml:space="preserve"> </w:t>
      </w:r>
      <w:r>
        <w:tab/>
      </w:r>
      <w:r w:rsidRPr="00E56D08">
        <w:rPr>
          <w:i/>
          <w:iCs/>
        </w:rPr>
        <w:t>Id</w:t>
      </w:r>
      <w:r>
        <w:t>., par. 94 et 95.</w:t>
      </w:r>
    </w:p>
  </w:footnote>
  <w:footnote w:id="191">
    <w:p w14:paraId="30D11E9E" w14:textId="23172F6E" w:rsidR="00E56D08" w:rsidRDefault="00E56D08">
      <w:pPr>
        <w:pStyle w:val="Notedebasdepage"/>
      </w:pPr>
      <w:r>
        <w:rPr>
          <w:rStyle w:val="Appelnotedebasdep"/>
        </w:rPr>
        <w:footnoteRef/>
      </w:r>
      <w:r>
        <w:t xml:space="preserve"> </w:t>
      </w:r>
      <w:r>
        <w:tab/>
      </w:r>
      <w:r w:rsidRPr="009A6BE0">
        <w:rPr>
          <w:i/>
          <w:iCs/>
        </w:rPr>
        <w:t>Id</w:t>
      </w:r>
      <w:r>
        <w:t>., par. 95 et 96; Pièce PGQ-21.</w:t>
      </w:r>
    </w:p>
  </w:footnote>
  <w:footnote w:id="192">
    <w:p w14:paraId="701F65BD" w14:textId="515C999A" w:rsidR="00E56D08" w:rsidRDefault="00E56D08">
      <w:pPr>
        <w:pStyle w:val="Notedebasdepage"/>
      </w:pPr>
      <w:r>
        <w:rPr>
          <w:rStyle w:val="Appelnotedebasdep"/>
        </w:rPr>
        <w:footnoteRef/>
      </w:r>
      <w:r>
        <w:t xml:space="preserve"> </w:t>
      </w:r>
      <w:r>
        <w:tab/>
        <w:t>Déclaration sous serment de Lamoureux du 20 janvier 2023, par. 98, 99.</w:t>
      </w:r>
    </w:p>
  </w:footnote>
  <w:footnote w:id="193">
    <w:p w14:paraId="1A346012" w14:textId="7A336FC6" w:rsidR="00E56D08" w:rsidRDefault="00E56D08">
      <w:pPr>
        <w:pStyle w:val="Notedebasdepage"/>
      </w:pPr>
      <w:r>
        <w:rPr>
          <w:rStyle w:val="Appelnotedebasdep"/>
        </w:rPr>
        <w:footnoteRef/>
      </w:r>
      <w:r>
        <w:t xml:space="preserve"> </w:t>
      </w:r>
      <w:r>
        <w:tab/>
      </w:r>
      <w:r w:rsidRPr="00E56D08">
        <w:rPr>
          <w:i/>
          <w:iCs/>
        </w:rPr>
        <w:t>Id</w:t>
      </w:r>
      <w:r>
        <w:t>., par. 100.</w:t>
      </w:r>
    </w:p>
  </w:footnote>
  <w:footnote w:id="194">
    <w:p w14:paraId="46F97910" w14:textId="2BC91E5E" w:rsidR="00E56D08" w:rsidRDefault="00E56D08">
      <w:pPr>
        <w:pStyle w:val="Notedebasdepage"/>
      </w:pPr>
      <w:r>
        <w:rPr>
          <w:rStyle w:val="Appelnotedebasdep"/>
        </w:rPr>
        <w:footnoteRef/>
      </w:r>
      <w:r>
        <w:t xml:space="preserve"> </w:t>
      </w:r>
      <w:r>
        <w:tab/>
        <w:t xml:space="preserve">Interrogatoire du chasseur par Me Goldwater du 2 février 2023, p. 19 </w:t>
      </w:r>
      <w:r w:rsidR="0052070B">
        <w:t>et suiv.</w:t>
      </w:r>
    </w:p>
  </w:footnote>
  <w:footnote w:id="195">
    <w:p w14:paraId="7DC21183" w14:textId="3AFF16F0" w:rsidR="0052070B" w:rsidRDefault="0052070B">
      <w:pPr>
        <w:pStyle w:val="Notedebasdepage"/>
      </w:pPr>
      <w:r>
        <w:rPr>
          <w:rStyle w:val="Appelnotedebasdep"/>
        </w:rPr>
        <w:footnoteRef/>
      </w:r>
      <w:r>
        <w:t xml:space="preserve"> </w:t>
      </w:r>
      <w:r>
        <w:tab/>
        <w:t>Déclaration sous serment du chasseur</w:t>
      </w:r>
      <w:r w:rsidR="00F9348A">
        <w:t xml:space="preserve"> du 20 janvier 2023</w:t>
      </w:r>
      <w:r>
        <w:t>, par. 17 et 21.</w:t>
      </w:r>
    </w:p>
  </w:footnote>
  <w:footnote w:id="196">
    <w:p w14:paraId="662BE849" w14:textId="103FD005" w:rsidR="00CC1691" w:rsidRDefault="00CC1691">
      <w:pPr>
        <w:pStyle w:val="Notedebasdepage"/>
      </w:pPr>
      <w:r>
        <w:rPr>
          <w:rStyle w:val="Appelnotedebasdep"/>
        </w:rPr>
        <w:footnoteRef/>
      </w:r>
      <w:r>
        <w:t xml:space="preserve"> </w:t>
      </w:r>
      <w:r>
        <w:tab/>
      </w:r>
      <w:r w:rsidR="00F9348A">
        <w:t>Interrogatoire du chasseur par Me Goldwater du 2 février 2023, p. 31; voir également, p. 28 et 32 et Déclaration sous serment du chasseur du 20 janvier 2023, par. 12.</w:t>
      </w:r>
    </w:p>
  </w:footnote>
  <w:footnote w:id="197">
    <w:p w14:paraId="09980E87" w14:textId="255F5D27" w:rsidR="008C6899" w:rsidRPr="008C6899" w:rsidRDefault="008C6899">
      <w:pPr>
        <w:pStyle w:val="Notedebasdepage"/>
      </w:pPr>
      <w:r>
        <w:rPr>
          <w:rStyle w:val="Appelnotedebasdep"/>
        </w:rPr>
        <w:footnoteRef/>
      </w:r>
      <w:r w:rsidRPr="008C6899">
        <w:t xml:space="preserve"> </w:t>
      </w:r>
      <w:r w:rsidRPr="008C6899">
        <w:tab/>
        <w:t>Plan</w:t>
      </w:r>
      <w:r w:rsidR="00007292">
        <w:t xml:space="preserve"> d’argumentation de</w:t>
      </w:r>
      <w:r w:rsidRPr="008C6899">
        <w:t xml:space="preserve"> </w:t>
      </w:r>
      <w:r w:rsidR="00CC3FCD">
        <w:t>la SPCA</w:t>
      </w:r>
      <w:r w:rsidRPr="008C6899">
        <w:t xml:space="preserve">, par. 96, 97, 98; Plan </w:t>
      </w:r>
      <w:r w:rsidR="00F9348A">
        <w:t xml:space="preserve">d’argumentation de </w:t>
      </w:r>
      <w:r w:rsidRPr="008C6899">
        <w:t>SSA, pa</w:t>
      </w:r>
      <w:r>
        <w:t>r. 102.</w:t>
      </w:r>
    </w:p>
  </w:footnote>
  <w:footnote w:id="198">
    <w:p w14:paraId="25C72859" w14:textId="65DA8EE5" w:rsidR="008C6899" w:rsidRPr="00B01EE3" w:rsidRDefault="008C6899">
      <w:pPr>
        <w:pStyle w:val="Notedebasdepage"/>
      </w:pPr>
      <w:r>
        <w:rPr>
          <w:rStyle w:val="Appelnotedebasdep"/>
        </w:rPr>
        <w:footnoteRef/>
      </w:r>
      <w:r w:rsidRPr="00B01EE3">
        <w:t xml:space="preserve"> </w:t>
      </w:r>
      <w:r w:rsidRPr="00B01EE3">
        <w:tab/>
      </w:r>
      <w:r w:rsidRPr="00B01EE3">
        <w:rPr>
          <w:i/>
          <w:iCs/>
        </w:rPr>
        <w:t>Road to Home</w:t>
      </w:r>
      <w:r w:rsidR="00B01EE3" w:rsidRPr="00B01EE3">
        <w:t xml:space="preserve"> </w:t>
      </w:r>
      <w:bookmarkStart w:id="75" w:name="_Hlk144212223"/>
      <w:r w:rsidR="00B01EE3" w:rsidRPr="00B01EE3">
        <w:rPr>
          <w:i/>
          <w:iCs/>
        </w:rPr>
        <w:t>Rescue Support</w:t>
      </w:r>
      <w:r w:rsidR="00B01EE3" w:rsidRPr="00B01EE3">
        <w:t xml:space="preserve"> c. </w:t>
      </w:r>
      <w:r w:rsidR="00B01EE3" w:rsidRPr="00B01EE3">
        <w:rPr>
          <w:i/>
          <w:iCs/>
        </w:rPr>
        <w:t>Ville de Montréal</w:t>
      </w:r>
      <w:r w:rsidR="00B01EE3" w:rsidRPr="00B01EE3">
        <w:t xml:space="preserve">, préc. </w:t>
      </w:r>
      <w:r w:rsidR="00B01EE3">
        <w:t>note 44</w:t>
      </w:r>
      <w:bookmarkEnd w:id="75"/>
      <w:r w:rsidR="00B01EE3">
        <w:t xml:space="preserve">, </w:t>
      </w:r>
      <w:r w:rsidRPr="00B01EE3">
        <w:t>par. 57.</w:t>
      </w:r>
    </w:p>
  </w:footnote>
  <w:footnote w:id="199">
    <w:p w14:paraId="1B49B82F" w14:textId="6D1556A0" w:rsidR="008C6899" w:rsidRPr="00B01EE3" w:rsidRDefault="008C6899">
      <w:pPr>
        <w:pStyle w:val="Notedebasdepage"/>
      </w:pPr>
      <w:r>
        <w:rPr>
          <w:rStyle w:val="Appelnotedebasdep"/>
        </w:rPr>
        <w:footnoteRef/>
      </w:r>
      <w:r w:rsidRPr="00B01EE3">
        <w:t xml:space="preserve"> </w:t>
      </w:r>
      <w:r w:rsidRPr="00B01EE3">
        <w:tab/>
      </w:r>
      <w:r w:rsidRPr="00B01EE3">
        <w:rPr>
          <w:i/>
          <w:iCs/>
        </w:rPr>
        <w:t>Road to Home</w:t>
      </w:r>
      <w:r w:rsidR="00B01EE3" w:rsidRPr="00B01EE3">
        <w:rPr>
          <w:i/>
          <w:iCs/>
        </w:rPr>
        <w:t xml:space="preserve"> Rescue Support</w:t>
      </w:r>
      <w:r w:rsidR="00B01EE3" w:rsidRPr="00B01EE3">
        <w:t xml:space="preserve"> c. </w:t>
      </w:r>
      <w:r w:rsidR="00B01EE3" w:rsidRPr="00B01EE3">
        <w:rPr>
          <w:i/>
          <w:iCs/>
        </w:rPr>
        <w:t>Ville de Montréal</w:t>
      </w:r>
      <w:r w:rsidR="00B01EE3" w:rsidRPr="00B01EE3">
        <w:t xml:space="preserve">, préc. </w:t>
      </w:r>
      <w:r w:rsidR="00B01EE3">
        <w:t>note 44</w:t>
      </w:r>
      <w:r w:rsidRPr="00B01EE3">
        <w:t>, par. 57, 58.</w:t>
      </w:r>
    </w:p>
  </w:footnote>
  <w:footnote w:id="200">
    <w:p w14:paraId="7625F1DE" w14:textId="1C077367" w:rsidR="00204EAB" w:rsidRPr="00F54ECE" w:rsidRDefault="00204EAB">
      <w:pPr>
        <w:pStyle w:val="Notedebasdepage"/>
      </w:pPr>
      <w:r>
        <w:rPr>
          <w:rStyle w:val="Appelnotedebasdep"/>
        </w:rPr>
        <w:footnoteRef/>
      </w:r>
      <w:r w:rsidRPr="00F54ECE">
        <w:t xml:space="preserve"> </w:t>
      </w:r>
      <w:r w:rsidRPr="00F54ECE">
        <w:tab/>
      </w:r>
      <w:r w:rsidRPr="00F54ECE">
        <w:rPr>
          <w:i/>
          <w:iCs/>
        </w:rPr>
        <w:t>Road to Home</w:t>
      </w:r>
      <w:r w:rsidR="00B01EE3" w:rsidRPr="00B01EE3">
        <w:rPr>
          <w:i/>
          <w:iCs/>
        </w:rPr>
        <w:t xml:space="preserve"> Rescue Support</w:t>
      </w:r>
      <w:r w:rsidR="00B01EE3" w:rsidRPr="00B01EE3">
        <w:t xml:space="preserve"> c. </w:t>
      </w:r>
      <w:r w:rsidR="00B01EE3" w:rsidRPr="00B01EE3">
        <w:rPr>
          <w:i/>
          <w:iCs/>
        </w:rPr>
        <w:t>Ville de Montréal</w:t>
      </w:r>
      <w:r w:rsidR="00B01EE3" w:rsidRPr="00B01EE3">
        <w:t xml:space="preserve">, </w:t>
      </w:r>
      <w:r w:rsidR="00B01EE3">
        <w:t>note 44</w:t>
      </w:r>
      <w:r w:rsidRPr="00F54ECE">
        <w:t>, par. 65.</w:t>
      </w:r>
    </w:p>
  </w:footnote>
  <w:footnote w:id="201">
    <w:p w14:paraId="4B37D4B3" w14:textId="3D81F1ED" w:rsidR="009321C0" w:rsidRPr="00F903E0" w:rsidRDefault="009321C0">
      <w:pPr>
        <w:pStyle w:val="Notedebasdepage"/>
      </w:pPr>
      <w:r>
        <w:rPr>
          <w:rStyle w:val="Appelnotedebasdep"/>
        </w:rPr>
        <w:footnoteRef/>
      </w:r>
      <w:r w:rsidRPr="00F903E0">
        <w:t xml:space="preserve"> </w:t>
      </w:r>
      <w:r w:rsidRPr="00F903E0">
        <w:tab/>
        <w:t xml:space="preserve">Plan </w:t>
      </w:r>
      <w:r w:rsidR="00C301AF" w:rsidRPr="00F903E0">
        <w:t>d</w:t>
      </w:r>
      <w:r w:rsidR="00F9348A">
        <w:t>’</w:t>
      </w:r>
      <w:r w:rsidR="00C301AF" w:rsidRPr="00F903E0">
        <w:t xml:space="preserve">argumentation de </w:t>
      </w:r>
      <w:r w:rsidRPr="00F903E0">
        <w:t>SSA, par. 32 à 38.</w:t>
      </w:r>
    </w:p>
  </w:footnote>
  <w:footnote w:id="202">
    <w:p w14:paraId="729D37BC" w14:textId="4DC3E8FA" w:rsidR="00A677F3" w:rsidRDefault="00A677F3">
      <w:pPr>
        <w:pStyle w:val="Notedebasdepage"/>
      </w:pPr>
      <w:r>
        <w:rPr>
          <w:rStyle w:val="Appelnotedebasdep"/>
        </w:rPr>
        <w:footnoteRef/>
      </w:r>
      <w:r>
        <w:t xml:space="preserve"> </w:t>
      </w:r>
      <w:r>
        <w:tab/>
        <w:t>Interrogatoire au préalable de Provost, p. 55 à 73; Pièce DV-2, p. 19.</w:t>
      </w:r>
    </w:p>
  </w:footnote>
  <w:footnote w:id="203">
    <w:p w14:paraId="13394A55" w14:textId="7D9BB05C" w:rsidR="00A677F3" w:rsidRDefault="00A677F3" w:rsidP="00A677F3">
      <w:pPr>
        <w:pStyle w:val="Notedebasdepage"/>
      </w:pPr>
      <w:r>
        <w:rPr>
          <w:rStyle w:val="Appelnotedebasdep"/>
        </w:rPr>
        <w:footnoteRef/>
      </w:r>
      <w:r>
        <w:t xml:space="preserve"> </w:t>
      </w:r>
      <w:r>
        <w:tab/>
        <w:t>Plan d’argumentation de</w:t>
      </w:r>
      <w:r w:rsidR="00F9348A">
        <w:t xml:space="preserve"> SSA</w:t>
      </w:r>
      <w:r>
        <w:t>, par. 44.</w:t>
      </w:r>
    </w:p>
  </w:footnote>
  <w:footnote w:id="204">
    <w:p w14:paraId="3FA55F8E" w14:textId="1F66EDF5" w:rsidR="00FC283B" w:rsidRDefault="00FC283B">
      <w:pPr>
        <w:pStyle w:val="Notedebasdepage"/>
      </w:pPr>
      <w:r>
        <w:rPr>
          <w:rStyle w:val="Appelnotedebasdep"/>
        </w:rPr>
        <w:footnoteRef/>
      </w:r>
      <w:r>
        <w:t xml:space="preserve"> </w:t>
      </w:r>
      <w:r>
        <w:tab/>
      </w:r>
      <w:r w:rsidR="00D25990">
        <w:t>Plan d’argumentation de</w:t>
      </w:r>
      <w:r w:rsidR="00F9348A">
        <w:t xml:space="preserve"> SSA</w:t>
      </w:r>
      <w:r>
        <w:t>, par. 49.</w:t>
      </w:r>
    </w:p>
  </w:footnote>
  <w:footnote w:id="205">
    <w:p w14:paraId="6DFCC9DB" w14:textId="51354C8C" w:rsidR="001D1FAF" w:rsidRDefault="001D1FAF">
      <w:pPr>
        <w:pStyle w:val="Notedebasdepage"/>
      </w:pPr>
      <w:r>
        <w:rPr>
          <w:rStyle w:val="Appelnotedebasdep"/>
        </w:rPr>
        <w:footnoteRef/>
      </w:r>
      <w:r>
        <w:t xml:space="preserve"> </w:t>
      </w:r>
      <w:r>
        <w:tab/>
        <w:t>Pièce DVP-2, p. 20 et suiv.</w:t>
      </w:r>
    </w:p>
  </w:footnote>
  <w:footnote w:id="206">
    <w:p w14:paraId="6D7DF394" w14:textId="2755C5EE" w:rsidR="00354F69" w:rsidRDefault="00354F69">
      <w:pPr>
        <w:pStyle w:val="Notedebasdepage"/>
      </w:pPr>
      <w:r>
        <w:rPr>
          <w:rStyle w:val="Appelnotedebasdep"/>
        </w:rPr>
        <w:footnoteRef/>
      </w:r>
      <w:r>
        <w:t xml:space="preserve"> </w:t>
      </w:r>
      <w:r>
        <w:tab/>
        <w:t>Pièce P-17, p. 19.</w:t>
      </w:r>
    </w:p>
  </w:footnote>
  <w:footnote w:id="207">
    <w:p w14:paraId="0A2D5CB1" w14:textId="2591F955" w:rsidR="00057D35" w:rsidRDefault="00057D35">
      <w:pPr>
        <w:pStyle w:val="Notedebasdepage"/>
      </w:pPr>
      <w:r>
        <w:rPr>
          <w:rStyle w:val="Appelnotedebasdep"/>
        </w:rPr>
        <w:footnoteRef/>
      </w:r>
      <w:r>
        <w:t xml:space="preserve"> </w:t>
      </w:r>
      <w:r>
        <w:tab/>
        <w:t>Déclaration sous serment Lamoureux, par. 81-82; Interrogatoire au préalable de Provost, p. 181.</w:t>
      </w:r>
      <w:r w:rsidR="006323B0" w:rsidRPr="006323B0">
        <w:t xml:space="preserve"> </w:t>
      </w:r>
      <w:r w:rsidR="006323B0">
        <w:t>Pièces PGQ-20; P-17, p. 20.</w:t>
      </w:r>
    </w:p>
  </w:footnote>
  <w:footnote w:id="208">
    <w:p w14:paraId="2CD7D85F" w14:textId="452BD861" w:rsidR="00354F69" w:rsidRDefault="00354F69">
      <w:pPr>
        <w:pStyle w:val="Notedebasdepage"/>
      </w:pPr>
      <w:r>
        <w:rPr>
          <w:rStyle w:val="Appelnotedebasdep"/>
        </w:rPr>
        <w:footnoteRef/>
      </w:r>
      <w:r>
        <w:t xml:space="preserve"> </w:t>
      </w:r>
      <w:r>
        <w:tab/>
        <w:t>Pièce P-2.</w:t>
      </w:r>
    </w:p>
  </w:footnote>
  <w:footnote w:id="209">
    <w:p w14:paraId="0D72E100" w14:textId="510E9378" w:rsidR="00057D35" w:rsidRDefault="00057D35">
      <w:pPr>
        <w:pStyle w:val="Notedebasdepage"/>
      </w:pPr>
      <w:r>
        <w:rPr>
          <w:rStyle w:val="Appelnotedebasdep"/>
        </w:rPr>
        <w:footnoteRef/>
      </w:r>
      <w:r>
        <w:t xml:space="preserve"> </w:t>
      </w:r>
      <w:r>
        <w:tab/>
        <w:t>Pièce P-1</w:t>
      </w:r>
      <w:r w:rsidR="00354F69">
        <w:t>7, p. 20.</w:t>
      </w:r>
    </w:p>
  </w:footnote>
  <w:footnote w:id="210">
    <w:p w14:paraId="166E38CA" w14:textId="62E47142" w:rsidR="00354F69" w:rsidRDefault="00354F69">
      <w:pPr>
        <w:pStyle w:val="Notedebasdepage"/>
      </w:pPr>
      <w:r>
        <w:rPr>
          <w:rStyle w:val="Appelnotedebasdep"/>
        </w:rPr>
        <w:footnoteRef/>
      </w:r>
      <w:r>
        <w:t xml:space="preserve"> </w:t>
      </w:r>
      <w:r>
        <w:tab/>
        <w:t>Pièce DV-4.</w:t>
      </w:r>
    </w:p>
  </w:footnote>
  <w:footnote w:id="211">
    <w:p w14:paraId="2E6356BA" w14:textId="58795636" w:rsidR="00D101A9" w:rsidRDefault="00D101A9" w:rsidP="00D101A9">
      <w:pPr>
        <w:pStyle w:val="Notedebasdepage"/>
      </w:pPr>
      <w:r>
        <w:rPr>
          <w:rStyle w:val="Appelnotedebasdep"/>
        </w:rPr>
        <w:footnoteRef/>
      </w:r>
      <w:r>
        <w:t xml:space="preserve"> </w:t>
      </w:r>
      <w:r>
        <w:tab/>
        <w:t xml:space="preserve">Pièces </w:t>
      </w:r>
      <w:r w:rsidR="003B11A1">
        <w:t>I</w:t>
      </w:r>
      <w:r>
        <w:t xml:space="preserve">-14 et </w:t>
      </w:r>
      <w:r w:rsidR="003B11A1">
        <w:t>I</w:t>
      </w:r>
      <w:r>
        <w:t>-15.</w:t>
      </w:r>
    </w:p>
  </w:footnote>
  <w:footnote w:id="212">
    <w:p w14:paraId="5657E861" w14:textId="298CA864" w:rsidR="00E27774" w:rsidRPr="006323B0" w:rsidRDefault="00E27774">
      <w:pPr>
        <w:pStyle w:val="Notedebasdepage"/>
      </w:pPr>
      <w:r>
        <w:rPr>
          <w:rStyle w:val="Appelnotedebasdep"/>
        </w:rPr>
        <w:footnoteRef/>
      </w:r>
      <w:r w:rsidRPr="006323B0">
        <w:t xml:space="preserve"> </w:t>
      </w:r>
      <w:r w:rsidRPr="006323B0">
        <w:tab/>
      </w:r>
      <w:r w:rsidR="006323B0">
        <w:t>Plan d’argumentation de</w:t>
      </w:r>
      <w:r w:rsidR="00B411C7">
        <w:t xml:space="preserve"> SSA</w:t>
      </w:r>
      <w:r w:rsidRPr="006323B0">
        <w:t>, par. 86, 87.</w:t>
      </w:r>
    </w:p>
  </w:footnote>
  <w:footnote w:id="213">
    <w:p w14:paraId="2CDCE956" w14:textId="4A2242CF" w:rsidR="00796381" w:rsidRPr="00B01EE3" w:rsidRDefault="00796381">
      <w:pPr>
        <w:pStyle w:val="Notedebasdepage"/>
      </w:pPr>
      <w:r>
        <w:rPr>
          <w:rStyle w:val="Appelnotedebasdep"/>
        </w:rPr>
        <w:footnoteRef/>
      </w:r>
      <w:r w:rsidRPr="00B01EE3">
        <w:t xml:space="preserve"> </w:t>
      </w:r>
      <w:r w:rsidRPr="00B01EE3">
        <w:tab/>
      </w:r>
      <w:r w:rsidRPr="00B01EE3">
        <w:rPr>
          <w:i/>
          <w:iCs/>
        </w:rPr>
        <w:t>Road to Home</w:t>
      </w:r>
      <w:r w:rsidR="00B01EE3" w:rsidRPr="00B01EE3">
        <w:rPr>
          <w:i/>
          <w:iCs/>
        </w:rPr>
        <w:t xml:space="preserve"> Rescue Support</w:t>
      </w:r>
      <w:r w:rsidR="00B01EE3" w:rsidRPr="00B01EE3">
        <w:t xml:space="preserve"> c. </w:t>
      </w:r>
      <w:r w:rsidR="00B01EE3" w:rsidRPr="00B01EE3">
        <w:rPr>
          <w:i/>
          <w:iCs/>
        </w:rPr>
        <w:t>Ville de Montréal</w:t>
      </w:r>
      <w:r w:rsidR="00B01EE3" w:rsidRPr="00B01EE3">
        <w:t xml:space="preserve">, préc. </w:t>
      </w:r>
      <w:r w:rsidR="00B01EE3">
        <w:t>note 44</w:t>
      </w:r>
      <w:r w:rsidRPr="00B01EE3">
        <w:t>, par. 56 à 58.</w:t>
      </w:r>
    </w:p>
  </w:footnote>
  <w:footnote w:id="214">
    <w:p w14:paraId="5F1FE7B5" w14:textId="241D256E" w:rsidR="00376022" w:rsidRDefault="00376022">
      <w:pPr>
        <w:pStyle w:val="Notedebasdepage"/>
      </w:pPr>
      <w:r>
        <w:rPr>
          <w:rStyle w:val="Appelnotedebasdep"/>
        </w:rPr>
        <w:footnoteRef/>
      </w:r>
      <w:r>
        <w:t xml:space="preserve"> </w:t>
      </w:r>
      <w:r>
        <w:tab/>
        <w:t>Pièces DV-1, DV-2, P-19, p. 28.</w:t>
      </w:r>
    </w:p>
  </w:footnote>
  <w:footnote w:id="215">
    <w:p w14:paraId="377BE606" w14:textId="1475E9E6" w:rsidR="00C02C36" w:rsidRDefault="00C02C36">
      <w:pPr>
        <w:pStyle w:val="Notedebasdepage"/>
      </w:pPr>
      <w:r>
        <w:rPr>
          <w:rStyle w:val="Appelnotedebasdep"/>
        </w:rPr>
        <w:footnoteRef/>
      </w:r>
      <w:r>
        <w:t xml:space="preserve"> </w:t>
      </w:r>
      <w:r>
        <w:tab/>
        <w:t>Pièce P-33, p. 14.</w:t>
      </w:r>
    </w:p>
  </w:footnote>
  <w:footnote w:id="216">
    <w:p w14:paraId="4E445E25" w14:textId="7EEB9AB4" w:rsidR="00C02C36" w:rsidRDefault="00C02C36">
      <w:pPr>
        <w:pStyle w:val="Notedebasdepage"/>
      </w:pPr>
      <w:r>
        <w:rPr>
          <w:rStyle w:val="Appelnotedebasdep"/>
        </w:rPr>
        <w:footnoteRef/>
      </w:r>
      <w:r>
        <w:t xml:space="preserve"> </w:t>
      </w:r>
      <w:r>
        <w:tab/>
        <w:t>Pièce P-33, p. 16.</w:t>
      </w:r>
    </w:p>
  </w:footnote>
  <w:footnote w:id="217">
    <w:p w14:paraId="76312B25" w14:textId="252A72CD" w:rsidR="00F23FD2" w:rsidRDefault="00F23FD2">
      <w:pPr>
        <w:pStyle w:val="Notedebasdepage"/>
      </w:pPr>
      <w:r>
        <w:rPr>
          <w:rStyle w:val="Appelnotedebasdep"/>
        </w:rPr>
        <w:footnoteRef/>
      </w:r>
      <w:r>
        <w:t xml:space="preserve"> </w:t>
      </w:r>
      <w:r>
        <w:tab/>
        <w:t>Pièce P-31, p. 4.</w:t>
      </w:r>
    </w:p>
  </w:footnote>
  <w:footnote w:id="218">
    <w:p w14:paraId="31F7968D" w14:textId="3027B026" w:rsidR="001233DC" w:rsidRDefault="001233DC">
      <w:pPr>
        <w:pStyle w:val="Notedebasdepage"/>
      </w:pPr>
      <w:r>
        <w:rPr>
          <w:rStyle w:val="Appelnotedebasdep"/>
        </w:rPr>
        <w:footnoteRef/>
      </w:r>
      <w:r>
        <w:t xml:space="preserve"> </w:t>
      </w:r>
      <w:r>
        <w:tab/>
        <w:t xml:space="preserve">Pièce </w:t>
      </w:r>
      <w:r w:rsidR="00401D32">
        <w:t>I</w:t>
      </w:r>
      <w:r>
        <w:t>-12.</w:t>
      </w:r>
    </w:p>
  </w:footnote>
  <w:footnote w:id="219">
    <w:p w14:paraId="2ABC44A8" w14:textId="1C2A6B4C" w:rsidR="001233DC" w:rsidRDefault="001233DC">
      <w:pPr>
        <w:pStyle w:val="Notedebasdepage"/>
      </w:pPr>
      <w:r>
        <w:rPr>
          <w:rStyle w:val="Appelnotedebasdep"/>
        </w:rPr>
        <w:footnoteRef/>
      </w:r>
      <w:r>
        <w:t xml:space="preserve"> </w:t>
      </w:r>
      <w:r>
        <w:tab/>
        <w:t xml:space="preserve">Pièce </w:t>
      </w:r>
      <w:r w:rsidR="00401D32">
        <w:t>I</w:t>
      </w:r>
      <w:r>
        <w:t>-13.</w:t>
      </w:r>
    </w:p>
  </w:footnote>
  <w:footnote w:id="220">
    <w:p w14:paraId="6D02891B" w14:textId="757993B0" w:rsidR="00A146F6" w:rsidRDefault="00A146F6">
      <w:pPr>
        <w:pStyle w:val="Notedebasdepage"/>
      </w:pPr>
      <w:r>
        <w:rPr>
          <w:rStyle w:val="Appelnotedebasdep"/>
        </w:rPr>
        <w:footnoteRef/>
      </w:r>
      <w:r>
        <w:t xml:space="preserve"> </w:t>
      </w:r>
      <w:r>
        <w:tab/>
        <w:t xml:space="preserve">Voir </w:t>
      </w:r>
      <w:r w:rsidRPr="00A146F6">
        <w:t>supra</w:t>
      </w:r>
      <w:r>
        <w:t xml:space="preserve"> par. 83 et ss.</w:t>
      </w:r>
    </w:p>
  </w:footnote>
  <w:footnote w:id="221">
    <w:p w14:paraId="3481FB94" w14:textId="43011E83" w:rsidR="00A146F6" w:rsidRDefault="00A146F6">
      <w:pPr>
        <w:pStyle w:val="Notedebasdepage"/>
      </w:pPr>
      <w:r>
        <w:rPr>
          <w:rStyle w:val="Appelnotedebasdep"/>
        </w:rPr>
        <w:footnoteRef/>
      </w:r>
      <w:r>
        <w:t xml:space="preserve"> </w:t>
      </w:r>
      <w:r>
        <w:tab/>
        <w:t xml:space="preserve">Voir </w:t>
      </w:r>
      <w:r w:rsidRPr="00A146F6">
        <w:t>supra</w:t>
      </w:r>
      <w:r>
        <w:t xml:space="preserve"> par. 108 et ss.</w:t>
      </w:r>
    </w:p>
  </w:footnote>
  <w:footnote w:id="222">
    <w:p w14:paraId="670408C6" w14:textId="4E670389" w:rsidR="001233DC" w:rsidRDefault="001233DC">
      <w:pPr>
        <w:pStyle w:val="Notedebasdepage"/>
      </w:pPr>
      <w:r>
        <w:rPr>
          <w:rStyle w:val="Appelnotedebasdep"/>
        </w:rPr>
        <w:footnoteRef/>
      </w:r>
      <w:r>
        <w:t xml:space="preserve"> </w:t>
      </w:r>
      <w:r>
        <w:tab/>
        <w:t xml:space="preserve">Pièce </w:t>
      </w:r>
      <w:r w:rsidR="00401D32">
        <w:t>I</w:t>
      </w:r>
      <w:r>
        <w:t>-8, p. 4.</w:t>
      </w:r>
    </w:p>
  </w:footnote>
  <w:footnote w:id="223">
    <w:p w14:paraId="4ADCD8F5" w14:textId="455B6550" w:rsidR="00D37884" w:rsidRDefault="00D37884">
      <w:pPr>
        <w:pStyle w:val="Notedebasdepage"/>
      </w:pPr>
      <w:r>
        <w:rPr>
          <w:rStyle w:val="Appelnotedebasdep"/>
        </w:rPr>
        <w:footnoteRef/>
      </w:r>
      <w:r>
        <w:t xml:space="preserve"> </w:t>
      </w:r>
      <w:r>
        <w:tab/>
        <w:t>Pièce PGQ-5, p. 27-28.</w:t>
      </w:r>
    </w:p>
  </w:footnote>
  <w:footnote w:id="224">
    <w:p w14:paraId="4C4CC340" w14:textId="02A71BF7" w:rsidR="009659DD" w:rsidRPr="009659DD" w:rsidRDefault="009659DD">
      <w:pPr>
        <w:pStyle w:val="Notedebasdepage"/>
      </w:pPr>
      <w:r>
        <w:rPr>
          <w:rStyle w:val="Appelnotedebasdep"/>
        </w:rPr>
        <w:footnoteRef/>
      </w:r>
      <w:r>
        <w:t xml:space="preserve"> </w:t>
      </w:r>
      <w:r>
        <w:tab/>
      </w:r>
      <w:r>
        <w:rPr>
          <w:i/>
        </w:rPr>
        <w:t>Québec (Procureur général)</w:t>
      </w:r>
      <w:r>
        <w:t xml:space="preserve"> c. </w:t>
      </w:r>
      <w:r>
        <w:rPr>
          <w:i/>
        </w:rPr>
        <w:t>Germain Blanchard ltée</w:t>
      </w:r>
      <w:r>
        <w:t xml:space="preserve">, 2005 QCCA 605, par. 84; </w:t>
      </w:r>
      <w:r>
        <w:rPr>
          <w:i/>
        </w:rPr>
        <w:t>150187 Canada inc.</w:t>
      </w:r>
      <w:r>
        <w:t xml:space="preserve"> c. </w:t>
      </w:r>
      <w:r>
        <w:rPr>
          <w:i/>
        </w:rPr>
        <w:t>Directeur des poursuites criminelles et pénales</w:t>
      </w:r>
      <w:r>
        <w:t>, 2021 QCCS 2359, par. 79.</w:t>
      </w:r>
    </w:p>
  </w:footnote>
  <w:footnote w:id="225">
    <w:p w14:paraId="5F9C99BB" w14:textId="585F7DAD" w:rsidR="001D2C79" w:rsidRDefault="001D2C79">
      <w:pPr>
        <w:pStyle w:val="Notedebasdepage"/>
      </w:pPr>
      <w:r>
        <w:rPr>
          <w:rStyle w:val="Appelnotedebasdep"/>
        </w:rPr>
        <w:footnoteRef/>
      </w:r>
      <w:r>
        <w:t xml:space="preserve"> </w:t>
      </w:r>
      <w:r>
        <w:tab/>
        <w:t>Pièce PGQ-6, p. 23.</w:t>
      </w:r>
    </w:p>
  </w:footnote>
  <w:footnote w:id="226">
    <w:p w14:paraId="34AB2943" w14:textId="4C968DAB" w:rsidR="004B7DF0" w:rsidRDefault="004B7DF0">
      <w:pPr>
        <w:pStyle w:val="Notedebasdepage"/>
      </w:pPr>
      <w:r>
        <w:rPr>
          <w:rStyle w:val="Appelnotedebasdep"/>
        </w:rPr>
        <w:footnoteRef/>
      </w:r>
      <w:r>
        <w:t xml:space="preserve"> </w:t>
      </w:r>
      <w:r>
        <w:tab/>
        <w:t>Pièce PGQ-7, p. 65.</w:t>
      </w:r>
    </w:p>
  </w:footnote>
  <w:footnote w:id="227">
    <w:p w14:paraId="0FF76C91" w14:textId="77777777" w:rsidR="00B75525" w:rsidRDefault="00B75525" w:rsidP="00B75525">
      <w:pPr>
        <w:pStyle w:val="Notedebasdepage"/>
      </w:pPr>
      <w:r>
        <w:rPr>
          <w:rStyle w:val="Appelnotedebasdep"/>
        </w:rPr>
        <w:footnoteRef/>
      </w:r>
      <w:r>
        <w:t xml:space="preserve"> </w:t>
      </w:r>
      <w:r>
        <w:tab/>
        <w:t>Pièce DV-6.</w:t>
      </w:r>
    </w:p>
  </w:footnote>
  <w:footnote w:id="228">
    <w:p w14:paraId="08B688FC" w14:textId="5079CCBD" w:rsidR="004B7DF0" w:rsidRDefault="004B7DF0">
      <w:pPr>
        <w:pStyle w:val="Notedebasdepage"/>
      </w:pPr>
      <w:r>
        <w:rPr>
          <w:rStyle w:val="Appelnotedebasdep"/>
        </w:rPr>
        <w:footnoteRef/>
      </w:r>
      <w:r>
        <w:t xml:space="preserve"> </w:t>
      </w:r>
      <w:r>
        <w:tab/>
        <w:t>Pièce PGQ -6, p. 31.</w:t>
      </w:r>
    </w:p>
  </w:footnote>
  <w:footnote w:id="229">
    <w:p w14:paraId="2BE17070" w14:textId="32AA1AEE" w:rsidR="00DA4C46" w:rsidRDefault="00DA4C46">
      <w:pPr>
        <w:pStyle w:val="Notedebasdepage"/>
      </w:pPr>
      <w:r>
        <w:rPr>
          <w:rStyle w:val="Appelnotedebasdep"/>
        </w:rPr>
        <w:footnoteRef/>
      </w:r>
      <w:r>
        <w:t xml:space="preserve"> </w:t>
      </w:r>
      <w:r>
        <w:tab/>
      </w:r>
      <w:r w:rsidR="00082743">
        <w:t xml:space="preserve">Protocole de capture, p. 4, Pièce </w:t>
      </w:r>
      <w:r w:rsidR="005A0B06">
        <w:t>I</w:t>
      </w:r>
      <w:r w:rsidR="00082743">
        <w:t>-8.</w:t>
      </w:r>
    </w:p>
  </w:footnote>
  <w:footnote w:id="230">
    <w:p w14:paraId="47B0B140" w14:textId="39546D60" w:rsidR="00082743" w:rsidRDefault="00082743">
      <w:pPr>
        <w:pStyle w:val="Notedebasdepage"/>
      </w:pPr>
      <w:r>
        <w:rPr>
          <w:rStyle w:val="Appelnotedebasdep"/>
        </w:rPr>
        <w:footnoteRef/>
      </w:r>
      <w:r>
        <w:t xml:space="preserve"> </w:t>
      </w:r>
      <w:r>
        <w:tab/>
        <w:t>Pièces P-33, DV-10.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9658" w14:textId="4A228A5B" w:rsidR="00121A72" w:rsidRDefault="0039384A">
    <w:pPr>
      <w:tabs>
        <w:tab w:val="center" w:pos="4709"/>
        <w:tab w:val="right" w:pos="9360"/>
      </w:tabs>
      <w:ind w:right="524"/>
    </w:pPr>
    <w:r>
      <w:t>505-17-013241-221</w:t>
    </w:r>
    <w:r w:rsidR="00121A72">
      <w:tab/>
    </w:r>
    <w:r w:rsidR="00121A72">
      <w:tab/>
      <w:t xml:space="preserve">PAGE : </w:t>
    </w:r>
    <w:r w:rsidR="00121A72">
      <w:fldChar w:fldCharType="begin"/>
    </w:r>
    <w:r w:rsidR="00121A72">
      <w:instrText xml:space="preserve"> PAGE </w:instrText>
    </w:r>
    <w:r w:rsidR="00121A72">
      <w:fldChar w:fldCharType="separate"/>
    </w:r>
    <w:r w:rsidR="005E6858">
      <w:rPr>
        <w:noProof/>
      </w:rPr>
      <w:t>3</w:t>
    </w:r>
    <w:r w:rsidR="00121A72">
      <w:fldChar w:fldCharType="end"/>
    </w:r>
  </w:p>
  <w:p w14:paraId="5FD9A0D5" w14:textId="77777777" w:rsidR="00121A72" w:rsidRDefault="00121A72">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924"/>
    <w:multiLevelType w:val="hybridMultilevel"/>
    <w:tmpl w:val="B406E396"/>
    <w:lvl w:ilvl="0" w:tplc="0C0C0001">
      <w:start w:val="1"/>
      <w:numFmt w:val="bullet"/>
      <w:lvlText w:val=""/>
      <w:lvlJc w:val="left"/>
      <w:pPr>
        <w:ind w:left="1451" w:hanging="360"/>
      </w:pPr>
      <w:rPr>
        <w:rFonts w:ascii="Symbol" w:hAnsi="Symbol" w:hint="default"/>
      </w:rPr>
    </w:lvl>
    <w:lvl w:ilvl="1" w:tplc="0C0C0003" w:tentative="1">
      <w:start w:val="1"/>
      <w:numFmt w:val="bullet"/>
      <w:lvlText w:val="o"/>
      <w:lvlJc w:val="left"/>
      <w:pPr>
        <w:ind w:left="2171" w:hanging="360"/>
      </w:pPr>
      <w:rPr>
        <w:rFonts w:ascii="Courier New" w:hAnsi="Courier New" w:cs="Courier New" w:hint="default"/>
      </w:rPr>
    </w:lvl>
    <w:lvl w:ilvl="2" w:tplc="0C0C0005" w:tentative="1">
      <w:start w:val="1"/>
      <w:numFmt w:val="bullet"/>
      <w:lvlText w:val=""/>
      <w:lvlJc w:val="left"/>
      <w:pPr>
        <w:ind w:left="2891" w:hanging="360"/>
      </w:pPr>
      <w:rPr>
        <w:rFonts w:ascii="Wingdings" w:hAnsi="Wingdings" w:hint="default"/>
      </w:rPr>
    </w:lvl>
    <w:lvl w:ilvl="3" w:tplc="0C0C0001" w:tentative="1">
      <w:start w:val="1"/>
      <w:numFmt w:val="bullet"/>
      <w:lvlText w:val=""/>
      <w:lvlJc w:val="left"/>
      <w:pPr>
        <w:ind w:left="3611" w:hanging="360"/>
      </w:pPr>
      <w:rPr>
        <w:rFonts w:ascii="Symbol" w:hAnsi="Symbol" w:hint="default"/>
      </w:rPr>
    </w:lvl>
    <w:lvl w:ilvl="4" w:tplc="0C0C0003" w:tentative="1">
      <w:start w:val="1"/>
      <w:numFmt w:val="bullet"/>
      <w:lvlText w:val="o"/>
      <w:lvlJc w:val="left"/>
      <w:pPr>
        <w:ind w:left="4331" w:hanging="360"/>
      </w:pPr>
      <w:rPr>
        <w:rFonts w:ascii="Courier New" w:hAnsi="Courier New" w:cs="Courier New" w:hint="default"/>
      </w:rPr>
    </w:lvl>
    <w:lvl w:ilvl="5" w:tplc="0C0C0005" w:tentative="1">
      <w:start w:val="1"/>
      <w:numFmt w:val="bullet"/>
      <w:lvlText w:val=""/>
      <w:lvlJc w:val="left"/>
      <w:pPr>
        <w:ind w:left="5051" w:hanging="360"/>
      </w:pPr>
      <w:rPr>
        <w:rFonts w:ascii="Wingdings" w:hAnsi="Wingdings" w:hint="default"/>
      </w:rPr>
    </w:lvl>
    <w:lvl w:ilvl="6" w:tplc="0C0C0001" w:tentative="1">
      <w:start w:val="1"/>
      <w:numFmt w:val="bullet"/>
      <w:lvlText w:val=""/>
      <w:lvlJc w:val="left"/>
      <w:pPr>
        <w:ind w:left="5771" w:hanging="360"/>
      </w:pPr>
      <w:rPr>
        <w:rFonts w:ascii="Symbol" w:hAnsi="Symbol" w:hint="default"/>
      </w:rPr>
    </w:lvl>
    <w:lvl w:ilvl="7" w:tplc="0C0C0003" w:tentative="1">
      <w:start w:val="1"/>
      <w:numFmt w:val="bullet"/>
      <w:lvlText w:val="o"/>
      <w:lvlJc w:val="left"/>
      <w:pPr>
        <w:ind w:left="6491" w:hanging="360"/>
      </w:pPr>
      <w:rPr>
        <w:rFonts w:ascii="Courier New" w:hAnsi="Courier New" w:cs="Courier New" w:hint="default"/>
      </w:rPr>
    </w:lvl>
    <w:lvl w:ilvl="8" w:tplc="0C0C0005" w:tentative="1">
      <w:start w:val="1"/>
      <w:numFmt w:val="bullet"/>
      <w:lvlText w:val=""/>
      <w:lvlJc w:val="left"/>
      <w:pPr>
        <w:ind w:left="7211" w:hanging="360"/>
      </w:pPr>
      <w:rPr>
        <w:rFonts w:ascii="Wingdings" w:hAnsi="Wingdings" w:hint="default"/>
      </w:rPr>
    </w:lvl>
  </w:abstractNum>
  <w:abstractNum w:abstractNumId="1" w15:restartNumberingAfterBreak="0">
    <w:nsid w:val="18B20902"/>
    <w:multiLevelType w:val="hybridMultilevel"/>
    <w:tmpl w:val="849CC6DC"/>
    <w:lvl w:ilvl="0" w:tplc="0C0C0001">
      <w:start w:val="1"/>
      <w:numFmt w:val="bullet"/>
      <w:lvlText w:val=""/>
      <w:lvlJc w:val="left"/>
      <w:pPr>
        <w:ind w:left="1451" w:hanging="360"/>
      </w:pPr>
      <w:rPr>
        <w:rFonts w:ascii="Symbol" w:hAnsi="Symbol" w:hint="default"/>
      </w:rPr>
    </w:lvl>
    <w:lvl w:ilvl="1" w:tplc="0C0C0003" w:tentative="1">
      <w:start w:val="1"/>
      <w:numFmt w:val="bullet"/>
      <w:lvlText w:val="o"/>
      <w:lvlJc w:val="left"/>
      <w:pPr>
        <w:ind w:left="2171" w:hanging="360"/>
      </w:pPr>
      <w:rPr>
        <w:rFonts w:ascii="Courier New" w:hAnsi="Courier New" w:cs="Courier New" w:hint="default"/>
      </w:rPr>
    </w:lvl>
    <w:lvl w:ilvl="2" w:tplc="0C0C0005" w:tentative="1">
      <w:start w:val="1"/>
      <w:numFmt w:val="bullet"/>
      <w:lvlText w:val=""/>
      <w:lvlJc w:val="left"/>
      <w:pPr>
        <w:ind w:left="2891" w:hanging="360"/>
      </w:pPr>
      <w:rPr>
        <w:rFonts w:ascii="Wingdings" w:hAnsi="Wingdings" w:hint="default"/>
      </w:rPr>
    </w:lvl>
    <w:lvl w:ilvl="3" w:tplc="0C0C0001" w:tentative="1">
      <w:start w:val="1"/>
      <w:numFmt w:val="bullet"/>
      <w:lvlText w:val=""/>
      <w:lvlJc w:val="left"/>
      <w:pPr>
        <w:ind w:left="3611" w:hanging="360"/>
      </w:pPr>
      <w:rPr>
        <w:rFonts w:ascii="Symbol" w:hAnsi="Symbol" w:hint="default"/>
      </w:rPr>
    </w:lvl>
    <w:lvl w:ilvl="4" w:tplc="0C0C0003" w:tentative="1">
      <w:start w:val="1"/>
      <w:numFmt w:val="bullet"/>
      <w:lvlText w:val="o"/>
      <w:lvlJc w:val="left"/>
      <w:pPr>
        <w:ind w:left="4331" w:hanging="360"/>
      </w:pPr>
      <w:rPr>
        <w:rFonts w:ascii="Courier New" w:hAnsi="Courier New" w:cs="Courier New" w:hint="default"/>
      </w:rPr>
    </w:lvl>
    <w:lvl w:ilvl="5" w:tplc="0C0C0005" w:tentative="1">
      <w:start w:val="1"/>
      <w:numFmt w:val="bullet"/>
      <w:lvlText w:val=""/>
      <w:lvlJc w:val="left"/>
      <w:pPr>
        <w:ind w:left="5051" w:hanging="360"/>
      </w:pPr>
      <w:rPr>
        <w:rFonts w:ascii="Wingdings" w:hAnsi="Wingdings" w:hint="default"/>
      </w:rPr>
    </w:lvl>
    <w:lvl w:ilvl="6" w:tplc="0C0C0001" w:tentative="1">
      <w:start w:val="1"/>
      <w:numFmt w:val="bullet"/>
      <w:lvlText w:val=""/>
      <w:lvlJc w:val="left"/>
      <w:pPr>
        <w:ind w:left="5771" w:hanging="360"/>
      </w:pPr>
      <w:rPr>
        <w:rFonts w:ascii="Symbol" w:hAnsi="Symbol" w:hint="default"/>
      </w:rPr>
    </w:lvl>
    <w:lvl w:ilvl="7" w:tplc="0C0C0003" w:tentative="1">
      <w:start w:val="1"/>
      <w:numFmt w:val="bullet"/>
      <w:lvlText w:val="o"/>
      <w:lvlJc w:val="left"/>
      <w:pPr>
        <w:ind w:left="6491" w:hanging="360"/>
      </w:pPr>
      <w:rPr>
        <w:rFonts w:ascii="Courier New" w:hAnsi="Courier New" w:cs="Courier New" w:hint="default"/>
      </w:rPr>
    </w:lvl>
    <w:lvl w:ilvl="8" w:tplc="0C0C0005" w:tentative="1">
      <w:start w:val="1"/>
      <w:numFmt w:val="bullet"/>
      <w:lvlText w:val=""/>
      <w:lvlJc w:val="left"/>
      <w:pPr>
        <w:ind w:left="7211" w:hanging="360"/>
      </w:pPr>
      <w:rPr>
        <w:rFonts w:ascii="Wingdings" w:hAnsi="Wingdings" w:hint="default"/>
      </w:rPr>
    </w:lvl>
  </w:abstractNum>
  <w:abstractNum w:abstractNumId="2" w15:restartNumberingAfterBreak="0">
    <w:nsid w:val="195C1AC8"/>
    <w:multiLevelType w:val="hybridMultilevel"/>
    <w:tmpl w:val="4418DDB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29B11B71"/>
    <w:multiLevelType w:val="multilevel"/>
    <w:tmpl w:val="C3C29DAC"/>
    <w:name w:val="Style1"/>
    <w:styleLink w:val="Style1"/>
    <w:lvl w:ilvl="0">
      <w:start w:val="1"/>
      <w:numFmt w:val="decimal"/>
      <w:pStyle w:val="Titre2"/>
      <w:lvlText w:val="%1."/>
      <w:lvlJc w:val="left"/>
      <w:pPr>
        <w:ind w:left="431" w:hanging="431"/>
      </w:pPr>
      <w:rPr>
        <w:rFonts w:hint="default"/>
      </w:rPr>
    </w:lvl>
    <w:lvl w:ilvl="1">
      <w:start w:val="1"/>
      <w:numFmt w:val="decimal"/>
      <w:pStyle w:val="Titre3"/>
      <w:lvlText w:val="%1.%2"/>
      <w:lvlJc w:val="left"/>
      <w:pPr>
        <w:ind w:left="431" w:hanging="431"/>
      </w:pPr>
      <w:rPr>
        <w:rFonts w:hint="default"/>
      </w:rPr>
    </w:lvl>
    <w:lvl w:ilvl="2">
      <w:start w:val="1"/>
      <w:numFmt w:val="decimal"/>
      <w:pStyle w:val="Titre4"/>
      <w:lvlText w:val="%1.%2.%3"/>
      <w:lvlJc w:val="left"/>
      <w:pPr>
        <w:ind w:left="431" w:hanging="431"/>
      </w:pPr>
      <w:rPr>
        <w:rFonts w:hint="default"/>
      </w:rPr>
    </w:lvl>
    <w:lvl w:ilvl="3">
      <w:start w:val="1"/>
      <w:numFmt w:val="decimal"/>
      <w:pStyle w:val="Titre5"/>
      <w:lvlText w:val="%1.%2.%3.%4"/>
      <w:lvlJc w:val="left"/>
      <w:pPr>
        <w:ind w:left="431" w:hanging="431"/>
      </w:pPr>
      <w:rPr>
        <w:rFonts w:hint="default"/>
      </w:rPr>
    </w:lvl>
    <w:lvl w:ilvl="4">
      <w:start w:val="1"/>
      <w:numFmt w:val="decimal"/>
      <w:pStyle w:val="Titre6"/>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5" w15:restartNumberingAfterBreak="0">
    <w:nsid w:val="2C6D0C49"/>
    <w:multiLevelType w:val="hybridMultilevel"/>
    <w:tmpl w:val="D42653A0"/>
    <w:lvl w:ilvl="0" w:tplc="0C0C0017">
      <w:start w:val="1"/>
      <w:numFmt w:val="low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CA1456B"/>
    <w:multiLevelType w:val="hybridMultilevel"/>
    <w:tmpl w:val="55CA815C"/>
    <w:lvl w:ilvl="0" w:tplc="0D409054">
      <w:start w:val="1"/>
      <w:numFmt w:val="decimal"/>
      <w:lvlText w:val="%1."/>
      <w:lvlJc w:val="left"/>
      <w:pPr>
        <w:ind w:left="1091" w:hanging="360"/>
      </w:pPr>
      <w:rPr>
        <w:rFonts w:hint="default"/>
      </w:rPr>
    </w:lvl>
    <w:lvl w:ilvl="1" w:tplc="0C0C0019" w:tentative="1">
      <w:start w:val="1"/>
      <w:numFmt w:val="lowerLetter"/>
      <w:lvlText w:val="%2."/>
      <w:lvlJc w:val="left"/>
      <w:pPr>
        <w:ind w:left="1811" w:hanging="360"/>
      </w:pPr>
    </w:lvl>
    <w:lvl w:ilvl="2" w:tplc="0C0C001B" w:tentative="1">
      <w:start w:val="1"/>
      <w:numFmt w:val="lowerRoman"/>
      <w:lvlText w:val="%3."/>
      <w:lvlJc w:val="right"/>
      <w:pPr>
        <w:ind w:left="2531" w:hanging="180"/>
      </w:pPr>
    </w:lvl>
    <w:lvl w:ilvl="3" w:tplc="0C0C000F" w:tentative="1">
      <w:start w:val="1"/>
      <w:numFmt w:val="decimal"/>
      <w:lvlText w:val="%4."/>
      <w:lvlJc w:val="left"/>
      <w:pPr>
        <w:ind w:left="3251" w:hanging="360"/>
      </w:pPr>
    </w:lvl>
    <w:lvl w:ilvl="4" w:tplc="0C0C0019" w:tentative="1">
      <w:start w:val="1"/>
      <w:numFmt w:val="lowerLetter"/>
      <w:lvlText w:val="%5."/>
      <w:lvlJc w:val="left"/>
      <w:pPr>
        <w:ind w:left="3971" w:hanging="360"/>
      </w:pPr>
    </w:lvl>
    <w:lvl w:ilvl="5" w:tplc="0C0C001B" w:tentative="1">
      <w:start w:val="1"/>
      <w:numFmt w:val="lowerRoman"/>
      <w:lvlText w:val="%6."/>
      <w:lvlJc w:val="right"/>
      <w:pPr>
        <w:ind w:left="4691" w:hanging="180"/>
      </w:pPr>
    </w:lvl>
    <w:lvl w:ilvl="6" w:tplc="0C0C000F" w:tentative="1">
      <w:start w:val="1"/>
      <w:numFmt w:val="decimal"/>
      <w:lvlText w:val="%7."/>
      <w:lvlJc w:val="left"/>
      <w:pPr>
        <w:ind w:left="5411" w:hanging="360"/>
      </w:pPr>
    </w:lvl>
    <w:lvl w:ilvl="7" w:tplc="0C0C0019" w:tentative="1">
      <w:start w:val="1"/>
      <w:numFmt w:val="lowerLetter"/>
      <w:lvlText w:val="%8."/>
      <w:lvlJc w:val="left"/>
      <w:pPr>
        <w:ind w:left="6131" w:hanging="360"/>
      </w:pPr>
    </w:lvl>
    <w:lvl w:ilvl="8" w:tplc="0C0C001B" w:tentative="1">
      <w:start w:val="1"/>
      <w:numFmt w:val="lowerRoman"/>
      <w:lvlText w:val="%9."/>
      <w:lvlJc w:val="right"/>
      <w:pPr>
        <w:ind w:left="6851" w:hanging="180"/>
      </w:pPr>
    </w:lvl>
  </w:abstractNum>
  <w:abstractNum w:abstractNumId="7" w15:restartNumberingAfterBreak="0">
    <w:nsid w:val="30195FD8"/>
    <w:multiLevelType w:val="hybridMultilevel"/>
    <w:tmpl w:val="03E82A56"/>
    <w:lvl w:ilvl="0" w:tplc="0C0C0001">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8" w15:restartNumberingAfterBreak="0">
    <w:nsid w:val="309B76EC"/>
    <w:multiLevelType w:val="hybridMultilevel"/>
    <w:tmpl w:val="2E305BEE"/>
    <w:lvl w:ilvl="0" w:tplc="28FEEBF8">
      <w:start w:val="1"/>
      <w:numFmt w:val="decimal"/>
      <w:lvlText w:val="%1."/>
      <w:lvlJc w:val="left"/>
      <w:pPr>
        <w:ind w:left="792" w:hanging="360"/>
      </w:pPr>
      <w:rPr>
        <w:rFonts w:hint="default"/>
      </w:rPr>
    </w:lvl>
    <w:lvl w:ilvl="1" w:tplc="0C0C0019" w:tentative="1">
      <w:start w:val="1"/>
      <w:numFmt w:val="lowerLetter"/>
      <w:lvlText w:val="%2."/>
      <w:lvlJc w:val="left"/>
      <w:pPr>
        <w:ind w:left="1512" w:hanging="360"/>
      </w:pPr>
    </w:lvl>
    <w:lvl w:ilvl="2" w:tplc="0C0C001B" w:tentative="1">
      <w:start w:val="1"/>
      <w:numFmt w:val="lowerRoman"/>
      <w:lvlText w:val="%3."/>
      <w:lvlJc w:val="right"/>
      <w:pPr>
        <w:ind w:left="2232" w:hanging="180"/>
      </w:pPr>
    </w:lvl>
    <w:lvl w:ilvl="3" w:tplc="0C0C000F" w:tentative="1">
      <w:start w:val="1"/>
      <w:numFmt w:val="decimal"/>
      <w:lvlText w:val="%4."/>
      <w:lvlJc w:val="left"/>
      <w:pPr>
        <w:ind w:left="2952" w:hanging="360"/>
      </w:pPr>
    </w:lvl>
    <w:lvl w:ilvl="4" w:tplc="0C0C0019" w:tentative="1">
      <w:start w:val="1"/>
      <w:numFmt w:val="lowerLetter"/>
      <w:lvlText w:val="%5."/>
      <w:lvlJc w:val="left"/>
      <w:pPr>
        <w:ind w:left="3672" w:hanging="360"/>
      </w:pPr>
    </w:lvl>
    <w:lvl w:ilvl="5" w:tplc="0C0C001B" w:tentative="1">
      <w:start w:val="1"/>
      <w:numFmt w:val="lowerRoman"/>
      <w:lvlText w:val="%6."/>
      <w:lvlJc w:val="right"/>
      <w:pPr>
        <w:ind w:left="4392" w:hanging="180"/>
      </w:pPr>
    </w:lvl>
    <w:lvl w:ilvl="6" w:tplc="0C0C000F" w:tentative="1">
      <w:start w:val="1"/>
      <w:numFmt w:val="decimal"/>
      <w:lvlText w:val="%7."/>
      <w:lvlJc w:val="left"/>
      <w:pPr>
        <w:ind w:left="5112" w:hanging="360"/>
      </w:pPr>
    </w:lvl>
    <w:lvl w:ilvl="7" w:tplc="0C0C0019" w:tentative="1">
      <w:start w:val="1"/>
      <w:numFmt w:val="lowerLetter"/>
      <w:lvlText w:val="%8."/>
      <w:lvlJc w:val="left"/>
      <w:pPr>
        <w:ind w:left="5832" w:hanging="360"/>
      </w:pPr>
    </w:lvl>
    <w:lvl w:ilvl="8" w:tplc="0C0C001B" w:tentative="1">
      <w:start w:val="1"/>
      <w:numFmt w:val="lowerRoman"/>
      <w:lvlText w:val="%9."/>
      <w:lvlJc w:val="right"/>
      <w:pPr>
        <w:ind w:left="6552" w:hanging="180"/>
      </w:pPr>
    </w:lvl>
  </w:abstractNum>
  <w:abstractNum w:abstractNumId="9" w15:restartNumberingAfterBreak="0">
    <w:nsid w:val="40E2621C"/>
    <w:multiLevelType w:val="hybridMultilevel"/>
    <w:tmpl w:val="272C06F8"/>
    <w:lvl w:ilvl="0" w:tplc="79369BC8">
      <w:start w:val="1"/>
      <w:numFmt w:val="bullet"/>
      <w:lvlText w:val=""/>
      <w:lvlJc w:val="left"/>
      <w:pPr>
        <w:ind w:left="1451" w:hanging="360"/>
      </w:pPr>
      <w:rPr>
        <w:rFonts w:ascii="Symbol" w:hAnsi="Symbol" w:hint="default"/>
      </w:rPr>
    </w:lvl>
    <w:lvl w:ilvl="1" w:tplc="0C0C0003" w:tentative="1">
      <w:start w:val="1"/>
      <w:numFmt w:val="bullet"/>
      <w:lvlText w:val="o"/>
      <w:lvlJc w:val="left"/>
      <w:pPr>
        <w:ind w:left="2171" w:hanging="360"/>
      </w:pPr>
      <w:rPr>
        <w:rFonts w:ascii="Courier New" w:hAnsi="Courier New" w:cs="Courier New" w:hint="default"/>
      </w:rPr>
    </w:lvl>
    <w:lvl w:ilvl="2" w:tplc="0C0C0005" w:tentative="1">
      <w:start w:val="1"/>
      <w:numFmt w:val="bullet"/>
      <w:lvlText w:val=""/>
      <w:lvlJc w:val="left"/>
      <w:pPr>
        <w:ind w:left="2891" w:hanging="360"/>
      </w:pPr>
      <w:rPr>
        <w:rFonts w:ascii="Wingdings" w:hAnsi="Wingdings" w:hint="default"/>
      </w:rPr>
    </w:lvl>
    <w:lvl w:ilvl="3" w:tplc="0C0C0001" w:tentative="1">
      <w:start w:val="1"/>
      <w:numFmt w:val="bullet"/>
      <w:lvlText w:val=""/>
      <w:lvlJc w:val="left"/>
      <w:pPr>
        <w:ind w:left="3611" w:hanging="360"/>
      </w:pPr>
      <w:rPr>
        <w:rFonts w:ascii="Symbol" w:hAnsi="Symbol" w:hint="default"/>
      </w:rPr>
    </w:lvl>
    <w:lvl w:ilvl="4" w:tplc="0C0C0003" w:tentative="1">
      <w:start w:val="1"/>
      <w:numFmt w:val="bullet"/>
      <w:lvlText w:val="o"/>
      <w:lvlJc w:val="left"/>
      <w:pPr>
        <w:ind w:left="4331" w:hanging="360"/>
      </w:pPr>
      <w:rPr>
        <w:rFonts w:ascii="Courier New" w:hAnsi="Courier New" w:cs="Courier New" w:hint="default"/>
      </w:rPr>
    </w:lvl>
    <w:lvl w:ilvl="5" w:tplc="0C0C0005" w:tentative="1">
      <w:start w:val="1"/>
      <w:numFmt w:val="bullet"/>
      <w:lvlText w:val=""/>
      <w:lvlJc w:val="left"/>
      <w:pPr>
        <w:ind w:left="5051" w:hanging="360"/>
      </w:pPr>
      <w:rPr>
        <w:rFonts w:ascii="Wingdings" w:hAnsi="Wingdings" w:hint="default"/>
      </w:rPr>
    </w:lvl>
    <w:lvl w:ilvl="6" w:tplc="0C0C0001" w:tentative="1">
      <w:start w:val="1"/>
      <w:numFmt w:val="bullet"/>
      <w:lvlText w:val=""/>
      <w:lvlJc w:val="left"/>
      <w:pPr>
        <w:ind w:left="5771" w:hanging="360"/>
      </w:pPr>
      <w:rPr>
        <w:rFonts w:ascii="Symbol" w:hAnsi="Symbol" w:hint="default"/>
      </w:rPr>
    </w:lvl>
    <w:lvl w:ilvl="7" w:tplc="0C0C0003" w:tentative="1">
      <w:start w:val="1"/>
      <w:numFmt w:val="bullet"/>
      <w:lvlText w:val="o"/>
      <w:lvlJc w:val="left"/>
      <w:pPr>
        <w:ind w:left="6491" w:hanging="360"/>
      </w:pPr>
      <w:rPr>
        <w:rFonts w:ascii="Courier New" w:hAnsi="Courier New" w:cs="Courier New" w:hint="default"/>
      </w:rPr>
    </w:lvl>
    <w:lvl w:ilvl="8" w:tplc="0C0C0005" w:tentative="1">
      <w:start w:val="1"/>
      <w:numFmt w:val="bullet"/>
      <w:lvlText w:val=""/>
      <w:lvlJc w:val="left"/>
      <w:pPr>
        <w:ind w:left="7211" w:hanging="360"/>
      </w:pPr>
      <w:rPr>
        <w:rFonts w:ascii="Wingdings" w:hAnsi="Wingdings" w:hint="default"/>
      </w:rPr>
    </w:lvl>
  </w:abstractNum>
  <w:abstractNum w:abstractNumId="10" w15:restartNumberingAfterBreak="0">
    <w:nsid w:val="47BE0935"/>
    <w:multiLevelType w:val="hybridMultilevel"/>
    <w:tmpl w:val="8E0AB5CE"/>
    <w:lvl w:ilvl="0" w:tplc="5596EAE8">
      <w:start w:val="1"/>
      <w:numFmt w:val="lowerLetter"/>
      <w:lvlText w:val="%1)"/>
      <w:lvlJc w:val="left"/>
      <w:pPr>
        <w:ind w:left="792" w:hanging="360"/>
      </w:pPr>
      <w:rPr>
        <w:rFonts w:hint="default"/>
      </w:rPr>
    </w:lvl>
    <w:lvl w:ilvl="1" w:tplc="0C0C0019" w:tentative="1">
      <w:start w:val="1"/>
      <w:numFmt w:val="lowerLetter"/>
      <w:lvlText w:val="%2."/>
      <w:lvlJc w:val="left"/>
      <w:pPr>
        <w:ind w:left="1512" w:hanging="360"/>
      </w:pPr>
    </w:lvl>
    <w:lvl w:ilvl="2" w:tplc="0C0C001B" w:tentative="1">
      <w:start w:val="1"/>
      <w:numFmt w:val="lowerRoman"/>
      <w:lvlText w:val="%3."/>
      <w:lvlJc w:val="right"/>
      <w:pPr>
        <w:ind w:left="2232" w:hanging="180"/>
      </w:pPr>
    </w:lvl>
    <w:lvl w:ilvl="3" w:tplc="0C0C000F" w:tentative="1">
      <w:start w:val="1"/>
      <w:numFmt w:val="decimal"/>
      <w:lvlText w:val="%4."/>
      <w:lvlJc w:val="left"/>
      <w:pPr>
        <w:ind w:left="2952" w:hanging="360"/>
      </w:pPr>
    </w:lvl>
    <w:lvl w:ilvl="4" w:tplc="0C0C0019" w:tentative="1">
      <w:start w:val="1"/>
      <w:numFmt w:val="lowerLetter"/>
      <w:lvlText w:val="%5."/>
      <w:lvlJc w:val="left"/>
      <w:pPr>
        <w:ind w:left="3672" w:hanging="360"/>
      </w:pPr>
    </w:lvl>
    <w:lvl w:ilvl="5" w:tplc="0C0C001B" w:tentative="1">
      <w:start w:val="1"/>
      <w:numFmt w:val="lowerRoman"/>
      <w:lvlText w:val="%6."/>
      <w:lvlJc w:val="right"/>
      <w:pPr>
        <w:ind w:left="4392" w:hanging="180"/>
      </w:pPr>
    </w:lvl>
    <w:lvl w:ilvl="6" w:tplc="0C0C000F" w:tentative="1">
      <w:start w:val="1"/>
      <w:numFmt w:val="decimal"/>
      <w:lvlText w:val="%7."/>
      <w:lvlJc w:val="left"/>
      <w:pPr>
        <w:ind w:left="5112" w:hanging="360"/>
      </w:pPr>
    </w:lvl>
    <w:lvl w:ilvl="7" w:tplc="0C0C0019" w:tentative="1">
      <w:start w:val="1"/>
      <w:numFmt w:val="lowerLetter"/>
      <w:lvlText w:val="%8."/>
      <w:lvlJc w:val="left"/>
      <w:pPr>
        <w:ind w:left="5832" w:hanging="360"/>
      </w:pPr>
    </w:lvl>
    <w:lvl w:ilvl="8" w:tplc="0C0C001B" w:tentative="1">
      <w:start w:val="1"/>
      <w:numFmt w:val="lowerRoman"/>
      <w:lvlText w:val="%9."/>
      <w:lvlJc w:val="right"/>
      <w:pPr>
        <w:ind w:left="6552" w:hanging="180"/>
      </w:pPr>
    </w:lvl>
  </w:abstractNum>
  <w:abstractNum w:abstractNumId="11" w15:restartNumberingAfterBreak="0">
    <w:nsid w:val="4BF423AA"/>
    <w:multiLevelType w:val="multilevel"/>
    <w:tmpl w:val="C3C29DAC"/>
    <w:name w:val="Style12"/>
    <w:numStyleLink w:val="Style1"/>
  </w:abstractNum>
  <w:abstractNum w:abstractNumId="12" w15:restartNumberingAfterBreak="0">
    <w:nsid w:val="4CBA2DB2"/>
    <w:multiLevelType w:val="hybridMultilevel"/>
    <w:tmpl w:val="930498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A0C4719"/>
    <w:multiLevelType w:val="multilevel"/>
    <w:tmpl w:val="C3C29DAC"/>
    <w:name w:val="Style13"/>
    <w:numStyleLink w:val="Style1"/>
  </w:abstractNum>
  <w:abstractNum w:abstractNumId="14" w15:restartNumberingAfterBreak="0">
    <w:nsid w:val="5EB57F55"/>
    <w:multiLevelType w:val="hybridMultilevel"/>
    <w:tmpl w:val="56A44D48"/>
    <w:lvl w:ilvl="0" w:tplc="0C0C0001">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15" w15:restartNumberingAfterBreak="0">
    <w:nsid w:val="5FF46BE3"/>
    <w:multiLevelType w:val="multilevel"/>
    <w:tmpl w:val="FC0E57C8"/>
    <w:lvl w:ilvl="0">
      <w:start w:val="1"/>
      <w:numFmt w:val="decimal"/>
      <w:lvlText w:val="%1."/>
      <w:lvlJc w:val="left"/>
      <w:pPr>
        <w:ind w:left="792" w:hanging="360"/>
      </w:pPr>
      <w:rPr>
        <w:rFonts w:hint="default"/>
      </w:rPr>
    </w:lvl>
    <w:lvl w:ilvl="1">
      <w:start w:val="1"/>
      <w:numFmt w:val="decimal"/>
      <w:isLgl/>
      <w:lvlText w:val="%1.%2"/>
      <w:lvlJc w:val="left"/>
      <w:pPr>
        <w:ind w:left="1276" w:hanging="432"/>
      </w:pPr>
      <w:rPr>
        <w:rFonts w:hint="default"/>
      </w:rPr>
    </w:lvl>
    <w:lvl w:ilvl="2">
      <w:start w:val="1"/>
      <w:numFmt w:val="decimal"/>
      <w:isLgl/>
      <w:lvlText w:val="%1.%2.%3"/>
      <w:lvlJc w:val="left"/>
      <w:pPr>
        <w:ind w:left="1976" w:hanging="720"/>
      </w:pPr>
      <w:rPr>
        <w:rFonts w:hint="default"/>
        <w:b/>
        <w:bCs/>
        <w:i w:val="0"/>
        <w:iCs w:val="0"/>
      </w:rPr>
    </w:lvl>
    <w:lvl w:ilvl="3">
      <w:start w:val="1"/>
      <w:numFmt w:val="decimal"/>
      <w:isLgl/>
      <w:lvlText w:val="%1.%2.%3.%4"/>
      <w:lvlJc w:val="left"/>
      <w:pPr>
        <w:ind w:left="2748" w:hanging="1080"/>
      </w:pPr>
      <w:rPr>
        <w:rFonts w:hint="default"/>
        <w:b/>
        <w:bCs/>
      </w:rPr>
    </w:lvl>
    <w:lvl w:ilvl="4">
      <w:start w:val="1"/>
      <w:numFmt w:val="decimal"/>
      <w:isLgl/>
      <w:lvlText w:val="%1.%2.%3.%4.%5"/>
      <w:lvlJc w:val="left"/>
      <w:pPr>
        <w:ind w:left="3160" w:hanging="1080"/>
      </w:pPr>
      <w:rPr>
        <w:rFonts w:hint="default"/>
      </w:rPr>
    </w:lvl>
    <w:lvl w:ilvl="5">
      <w:start w:val="1"/>
      <w:numFmt w:val="decimal"/>
      <w:isLgl/>
      <w:lvlText w:val="%1.%2.%3.%4.%5.%6"/>
      <w:lvlJc w:val="left"/>
      <w:pPr>
        <w:ind w:left="3932" w:hanging="1440"/>
      </w:pPr>
      <w:rPr>
        <w:rFonts w:hint="default"/>
      </w:rPr>
    </w:lvl>
    <w:lvl w:ilvl="6">
      <w:start w:val="1"/>
      <w:numFmt w:val="decimal"/>
      <w:isLgl/>
      <w:lvlText w:val="%1.%2.%3.%4.%5.%6.%7"/>
      <w:lvlJc w:val="left"/>
      <w:pPr>
        <w:ind w:left="4344" w:hanging="1440"/>
      </w:pPr>
      <w:rPr>
        <w:rFonts w:hint="default"/>
      </w:rPr>
    </w:lvl>
    <w:lvl w:ilvl="7">
      <w:start w:val="1"/>
      <w:numFmt w:val="decimal"/>
      <w:isLgl/>
      <w:lvlText w:val="%1.%2.%3.%4.%5.%6.%7.%8"/>
      <w:lvlJc w:val="left"/>
      <w:pPr>
        <w:ind w:left="5116" w:hanging="1800"/>
      </w:pPr>
      <w:rPr>
        <w:rFonts w:hint="default"/>
      </w:rPr>
    </w:lvl>
    <w:lvl w:ilvl="8">
      <w:start w:val="1"/>
      <w:numFmt w:val="decimal"/>
      <w:isLgl/>
      <w:lvlText w:val="%1.%2.%3.%4.%5.%6.%7.%8.%9"/>
      <w:lvlJc w:val="left"/>
      <w:pPr>
        <w:ind w:left="5528" w:hanging="1800"/>
      </w:pPr>
      <w:rPr>
        <w:rFonts w:hint="default"/>
      </w:rPr>
    </w:lvl>
  </w:abstractNum>
  <w:abstractNum w:abstractNumId="16" w15:restartNumberingAfterBreak="0">
    <w:nsid w:val="609C0DCC"/>
    <w:multiLevelType w:val="multilevel"/>
    <w:tmpl w:val="FC70E68A"/>
    <w:lvl w:ilvl="0">
      <w:start w:val="1"/>
      <w:numFmt w:val="decimal"/>
      <w:pStyle w:val="Paragrdouble"/>
      <w:lvlText w:val="[%1]"/>
      <w:lvlJc w:val="left"/>
      <w:pPr>
        <w:tabs>
          <w:tab w:val="num" w:pos="360"/>
        </w:tabs>
        <w:ind w:left="0" w:firstLine="0"/>
      </w:pPr>
      <w:rPr>
        <w:rFonts w:ascii="Arial" w:hAnsi="Arial" w:hint="default"/>
        <w:b w:val="0"/>
        <w:i w:val="0"/>
        <w:sz w:val="24"/>
        <w:vertAlign w:val="baseline"/>
      </w:rPr>
    </w:lvl>
    <w:lvl w:ilvl="1">
      <w:start w:val="1"/>
      <w:numFmt w:val="decimal"/>
      <w:pStyle w:val="Sous-paragraphe"/>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EA17720"/>
    <w:multiLevelType w:val="hybridMultilevel"/>
    <w:tmpl w:val="FBF45B50"/>
    <w:lvl w:ilvl="0" w:tplc="8A22AB88">
      <w:start w:val="505"/>
      <w:numFmt w:val="bullet"/>
      <w:lvlText w:val="-"/>
      <w:lvlJc w:val="left"/>
      <w:pPr>
        <w:ind w:left="1091" w:hanging="360"/>
      </w:pPr>
      <w:rPr>
        <w:rFonts w:ascii="Arial" w:eastAsia="Times New Roman" w:hAnsi="Arial" w:cs="Aria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18" w15:restartNumberingAfterBreak="0">
    <w:nsid w:val="71575D88"/>
    <w:multiLevelType w:val="hybridMultilevel"/>
    <w:tmpl w:val="71A4FFF4"/>
    <w:lvl w:ilvl="0" w:tplc="79369BC8">
      <w:start w:val="1"/>
      <w:numFmt w:val="bullet"/>
      <w:lvlText w:val=""/>
      <w:lvlJc w:val="left"/>
      <w:pPr>
        <w:ind w:left="1451" w:hanging="360"/>
      </w:pPr>
      <w:rPr>
        <w:rFonts w:ascii="Symbol" w:hAnsi="Symbol" w:hint="default"/>
      </w:rPr>
    </w:lvl>
    <w:lvl w:ilvl="1" w:tplc="0C0C0003" w:tentative="1">
      <w:start w:val="1"/>
      <w:numFmt w:val="bullet"/>
      <w:lvlText w:val="o"/>
      <w:lvlJc w:val="left"/>
      <w:pPr>
        <w:ind w:left="2171" w:hanging="360"/>
      </w:pPr>
      <w:rPr>
        <w:rFonts w:ascii="Courier New" w:hAnsi="Courier New" w:cs="Courier New" w:hint="default"/>
      </w:rPr>
    </w:lvl>
    <w:lvl w:ilvl="2" w:tplc="0C0C0005" w:tentative="1">
      <w:start w:val="1"/>
      <w:numFmt w:val="bullet"/>
      <w:lvlText w:val=""/>
      <w:lvlJc w:val="left"/>
      <w:pPr>
        <w:ind w:left="2891" w:hanging="360"/>
      </w:pPr>
      <w:rPr>
        <w:rFonts w:ascii="Wingdings" w:hAnsi="Wingdings" w:hint="default"/>
      </w:rPr>
    </w:lvl>
    <w:lvl w:ilvl="3" w:tplc="0C0C0001" w:tentative="1">
      <w:start w:val="1"/>
      <w:numFmt w:val="bullet"/>
      <w:lvlText w:val=""/>
      <w:lvlJc w:val="left"/>
      <w:pPr>
        <w:ind w:left="3611" w:hanging="360"/>
      </w:pPr>
      <w:rPr>
        <w:rFonts w:ascii="Symbol" w:hAnsi="Symbol" w:hint="default"/>
      </w:rPr>
    </w:lvl>
    <w:lvl w:ilvl="4" w:tplc="0C0C0003" w:tentative="1">
      <w:start w:val="1"/>
      <w:numFmt w:val="bullet"/>
      <w:lvlText w:val="o"/>
      <w:lvlJc w:val="left"/>
      <w:pPr>
        <w:ind w:left="4331" w:hanging="360"/>
      </w:pPr>
      <w:rPr>
        <w:rFonts w:ascii="Courier New" w:hAnsi="Courier New" w:cs="Courier New" w:hint="default"/>
      </w:rPr>
    </w:lvl>
    <w:lvl w:ilvl="5" w:tplc="0C0C0005" w:tentative="1">
      <w:start w:val="1"/>
      <w:numFmt w:val="bullet"/>
      <w:lvlText w:val=""/>
      <w:lvlJc w:val="left"/>
      <w:pPr>
        <w:ind w:left="5051" w:hanging="360"/>
      </w:pPr>
      <w:rPr>
        <w:rFonts w:ascii="Wingdings" w:hAnsi="Wingdings" w:hint="default"/>
      </w:rPr>
    </w:lvl>
    <w:lvl w:ilvl="6" w:tplc="0C0C0001" w:tentative="1">
      <w:start w:val="1"/>
      <w:numFmt w:val="bullet"/>
      <w:lvlText w:val=""/>
      <w:lvlJc w:val="left"/>
      <w:pPr>
        <w:ind w:left="5771" w:hanging="360"/>
      </w:pPr>
      <w:rPr>
        <w:rFonts w:ascii="Symbol" w:hAnsi="Symbol" w:hint="default"/>
      </w:rPr>
    </w:lvl>
    <w:lvl w:ilvl="7" w:tplc="0C0C0003" w:tentative="1">
      <w:start w:val="1"/>
      <w:numFmt w:val="bullet"/>
      <w:lvlText w:val="o"/>
      <w:lvlJc w:val="left"/>
      <w:pPr>
        <w:ind w:left="6491" w:hanging="360"/>
      </w:pPr>
      <w:rPr>
        <w:rFonts w:ascii="Courier New" w:hAnsi="Courier New" w:cs="Courier New" w:hint="default"/>
      </w:rPr>
    </w:lvl>
    <w:lvl w:ilvl="8" w:tplc="0C0C0005" w:tentative="1">
      <w:start w:val="1"/>
      <w:numFmt w:val="bullet"/>
      <w:lvlText w:val=""/>
      <w:lvlJc w:val="left"/>
      <w:pPr>
        <w:ind w:left="7211" w:hanging="360"/>
      </w:pPr>
      <w:rPr>
        <w:rFonts w:ascii="Wingdings" w:hAnsi="Wingdings" w:hint="default"/>
      </w:rPr>
    </w:lvl>
  </w:abstractNum>
  <w:abstractNum w:abstractNumId="19" w15:restartNumberingAfterBreak="0">
    <w:nsid w:val="77140BD1"/>
    <w:multiLevelType w:val="hybridMultilevel"/>
    <w:tmpl w:val="A8AC3EA4"/>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951699B"/>
    <w:multiLevelType w:val="hybridMultilevel"/>
    <w:tmpl w:val="6C0C600C"/>
    <w:lvl w:ilvl="0" w:tplc="0C0C0001">
      <w:start w:val="1"/>
      <w:numFmt w:val="bullet"/>
      <w:lvlText w:val=""/>
      <w:lvlJc w:val="left"/>
      <w:pPr>
        <w:ind w:left="2388" w:hanging="360"/>
      </w:pPr>
      <w:rPr>
        <w:rFonts w:ascii="Symbol" w:hAnsi="Symbol" w:hint="default"/>
      </w:rPr>
    </w:lvl>
    <w:lvl w:ilvl="1" w:tplc="0C0C0003" w:tentative="1">
      <w:start w:val="1"/>
      <w:numFmt w:val="bullet"/>
      <w:lvlText w:val="o"/>
      <w:lvlJc w:val="left"/>
      <w:pPr>
        <w:ind w:left="3108" w:hanging="360"/>
      </w:pPr>
      <w:rPr>
        <w:rFonts w:ascii="Courier New" w:hAnsi="Courier New" w:cs="Courier New" w:hint="default"/>
      </w:rPr>
    </w:lvl>
    <w:lvl w:ilvl="2" w:tplc="0C0C0005" w:tentative="1">
      <w:start w:val="1"/>
      <w:numFmt w:val="bullet"/>
      <w:lvlText w:val=""/>
      <w:lvlJc w:val="left"/>
      <w:pPr>
        <w:ind w:left="3828" w:hanging="360"/>
      </w:pPr>
      <w:rPr>
        <w:rFonts w:ascii="Wingdings" w:hAnsi="Wingdings" w:hint="default"/>
      </w:rPr>
    </w:lvl>
    <w:lvl w:ilvl="3" w:tplc="0C0C0001" w:tentative="1">
      <w:start w:val="1"/>
      <w:numFmt w:val="bullet"/>
      <w:lvlText w:val=""/>
      <w:lvlJc w:val="left"/>
      <w:pPr>
        <w:ind w:left="4548" w:hanging="360"/>
      </w:pPr>
      <w:rPr>
        <w:rFonts w:ascii="Symbol" w:hAnsi="Symbol" w:hint="default"/>
      </w:rPr>
    </w:lvl>
    <w:lvl w:ilvl="4" w:tplc="0C0C0003" w:tentative="1">
      <w:start w:val="1"/>
      <w:numFmt w:val="bullet"/>
      <w:lvlText w:val="o"/>
      <w:lvlJc w:val="left"/>
      <w:pPr>
        <w:ind w:left="5268" w:hanging="360"/>
      </w:pPr>
      <w:rPr>
        <w:rFonts w:ascii="Courier New" w:hAnsi="Courier New" w:cs="Courier New" w:hint="default"/>
      </w:rPr>
    </w:lvl>
    <w:lvl w:ilvl="5" w:tplc="0C0C0005" w:tentative="1">
      <w:start w:val="1"/>
      <w:numFmt w:val="bullet"/>
      <w:lvlText w:val=""/>
      <w:lvlJc w:val="left"/>
      <w:pPr>
        <w:ind w:left="5988" w:hanging="360"/>
      </w:pPr>
      <w:rPr>
        <w:rFonts w:ascii="Wingdings" w:hAnsi="Wingdings" w:hint="default"/>
      </w:rPr>
    </w:lvl>
    <w:lvl w:ilvl="6" w:tplc="0C0C0001" w:tentative="1">
      <w:start w:val="1"/>
      <w:numFmt w:val="bullet"/>
      <w:lvlText w:val=""/>
      <w:lvlJc w:val="left"/>
      <w:pPr>
        <w:ind w:left="6708" w:hanging="360"/>
      </w:pPr>
      <w:rPr>
        <w:rFonts w:ascii="Symbol" w:hAnsi="Symbol" w:hint="default"/>
      </w:rPr>
    </w:lvl>
    <w:lvl w:ilvl="7" w:tplc="0C0C0003" w:tentative="1">
      <w:start w:val="1"/>
      <w:numFmt w:val="bullet"/>
      <w:lvlText w:val="o"/>
      <w:lvlJc w:val="left"/>
      <w:pPr>
        <w:ind w:left="7428" w:hanging="360"/>
      </w:pPr>
      <w:rPr>
        <w:rFonts w:ascii="Courier New" w:hAnsi="Courier New" w:cs="Courier New" w:hint="default"/>
      </w:rPr>
    </w:lvl>
    <w:lvl w:ilvl="8" w:tplc="0C0C0005" w:tentative="1">
      <w:start w:val="1"/>
      <w:numFmt w:val="bullet"/>
      <w:lvlText w:val=""/>
      <w:lvlJc w:val="left"/>
      <w:pPr>
        <w:ind w:left="8148" w:hanging="360"/>
      </w:pPr>
      <w:rPr>
        <w:rFonts w:ascii="Wingdings" w:hAnsi="Wingdings" w:hint="default"/>
      </w:rPr>
    </w:lvl>
  </w:abstractNum>
  <w:abstractNum w:abstractNumId="21" w15:restartNumberingAfterBreak="0">
    <w:nsid w:val="7A4A4062"/>
    <w:multiLevelType w:val="hybridMultilevel"/>
    <w:tmpl w:val="7116D3D8"/>
    <w:lvl w:ilvl="0" w:tplc="0C0C0001">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22" w15:restartNumberingAfterBreak="0">
    <w:nsid w:val="7BC03F07"/>
    <w:multiLevelType w:val="hybridMultilevel"/>
    <w:tmpl w:val="8F460C4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E177F30"/>
    <w:multiLevelType w:val="hybridMultilevel"/>
    <w:tmpl w:val="10E2F2F2"/>
    <w:lvl w:ilvl="0" w:tplc="8D3CC132">
      <w:start w:val="1"/>
      <w:numFmt w:val="decimal"/>
      <w:lvlText w:val="%1."/>
      <w:lvlJc w:val="left"/>
      <w:pPr>
        <w:ind w:left="2262" w:hanging="800"/>
      </w:pPr>
      <w:rPr>
        <w:rFonts w:hint="default"/>
      </w:rPr>
    </w:lvl>
    <w:lvl w:ilvl="1" w:tplc="0C0C0019">
      <w:start w:val="1"/>
      <w:numFmt w:val="lowerLetter"/>
      <w:lvlText w:val="%2."/>
      <w:lvlJc w:val="left"/>
      <w:pPr>
        <w:ind w:left="2542" w:hanging="360"/>
      </w:pPr>
    </w:lvl>
    <w:lvl w:ilvl="2" w:tplc="0C0C001B" w:tentative="1">
      <w:start w:val="1"/>
      <w:numFmt w:val="lowerRoman"/>
      <w:lvlText w:val="%3."/>
      <w:lvlJc w:val="right"/>
      <w:pPr>
        <w:ind w:left="3262" w:hanging="180"/>
      </w:pPr>
    </w:lvl>
    <w:lvl w:ilvl="3" w:tplc="0C0C000F" w:tentative="1">
      <w:start w:val="1"/>
      <w:numFmt w:val="decimal"/>
      <w:lvlText w:val="%4."/>
      <w:lvlJc w:val="left"/>
      <w:pPr>
        <w:ind w:left="3982" w:hanging="360"/>
      </w:pPr>
    </w:lvl>
    <w:lvl w:ilvl="4" w:tplc="0C0C0019" w:tentative="1">
      <w:start w:val="1"/>
      <w:numFmt w:val="lowerLetter"/>
      <w:lvlText w:val="%5."/>
      <w:lvlJc w:val="left"/>
      <w:pPr>
        <w:ind w:left="4702" w:hanging="360"/>
      </w:pPr>
    </w:lvl>
    <w:lvl w:ilvl="5" w:tplc="0C0C001B" w:tentative="1">
      <w:start w:val="1"/>
      <w:numFmt w:val="lowerRoman"/>
      <w:lvlText w:val="%6."/>
      <w:lvlJc w:val="right"/>
      <w:pPr>
        <w:ind w:left="5422" w:hanging="180"/>
      </w:pPr>
    </w:lvl>
    <w:lvl w:ilvl="6" w:tplc="0C0C000F" w:tentative="1">
      <w:start w:val="1"/>
      <w:numFmt w:val="decimal"/>
      <w:lvlText w:val="%7."/>
      <w:lvlJc w:val="left"/>
      <w:pPr>
        <w:ind w:left="6142" w:hanging="360"/>
      </w:pPr>
    </w:lvl>
    <w:lvl w:ilvl="7" w:tplc="0C0C0019" w:tentative="1">
      <w:start w:val="1"/>
      <w:numFmt w:val="lowerLetter"/>
      <w:lvlText w:val="%8."/>
      <w:lvlJc w:val="left"/>
      <w:pPr>
        <w:ind w:left="6862" w:hanging="360"/>
      </w:pPr>
    </w:lvl>
    <w:lvl w:ilvl="8" w:tplc="0C0C001B" w:tentative="1">
      <w:start w:val="1"/>
      <w:numFmt w:val="lowerRoman"/>
      <w:lvlText w:val="%9."/>
      <w:lvlJc w:val="right"/>
      <w:pPr>
        <w:ind w:left="7582" w:hanging="180"/>
      </w:pPr>
    </w:lvl>
  </w:abstractNum>
  <w:num w:numId="1" w16cid:durableId="1297105193">
    <w:abstractNumId w:val="16"/>
  </w:num>
  <w:num w:numId="2" w16cid:durableId="288315963">
    <w:abstractNumId w:val="16"/>
  </w:num>
  <w:num w:numId="3" w16cid:durableId="1502969511">
    <w:abstractNumId w:val="4"/>
  </w:num>
  <w:num w:numId="4" w16cid:durableId="916397522">
    <w:abstractNumId w:val="3"/>
  </w:num>
  <w:num w:numId="5" w16cid:durableId="1801218776">
    <w:abstractNumId w:val="7"/>
  </w:num>
  <w:num w:numId="6" w16cid:durableId="2012482485">
    <w:abstractNumId w:val="14"/>
  </w:num>
  <w:num w:numId="7" w16cid:durableId="1554393043">
    <w:abstractNumId w:val="15"/>
  </w:num>
  <w:num w:numId="8" w16cid:durableId="1983538437">
    <w:abstractNumId w:val="10"/>
  </w:num>
  <w:num w:numId="9" w16cid:durableId="536239843">
    <w:abstractNumId w:val="21"/>
  </w:num>
  <w:num w:numId="10" w16cid:durableId="1861427302">
    <w:abstractNumId w:val="8"/>
  </w:num>
  <w:num w:numId="11" w16cid:durableId="735132622">
    <w:abstractNumId w:val="0"/>
  </w:num>
  <w:num w:numId="12" w16cid:durableId="1450781632">
    <w:abstractNumId w:val="2"/>
  </w:num>
  <w:num w:numId="13" w16cid:durableId="693507128">
    <w:abstractNumId w:val="12"/>
  </w:num>
  <w:num w:numId="14" w16cid:durableId="648438391">
    <w:abstractNumId w:val="17"/>
  </w:num>
  <w:num w:numId="15" w16cid:durableId="439616556">
    <w:abstractNumId w:val="22"/>
  </w:num>
  <w:num w:numId="16" w16cid:durableId="1356494970">
    <w:abstractNumId w:val="5"/>
  </w:num>
  <w:num w:numId="17" w16cid:durableId="361714057">
    <w:abstractNumId w:val="23"/>
  </w:num>
  <w:num w:numId="18" w16cid:durableId="1904290019">
    <w:abstractNumId w:val="9"/>
  </w:num>
  <w:num w:numId="19" w16cid:durableId="1426653988">
    <w:abstractNumId w:val="1"/>
  </w:num>
  <w:num w:numId="20" w16cid:durableId="104472737">
    <w:abstractNumId w:val="20"/>
  </w:num>
  <w:num w:numId="21" w16cid:durableId="868949880">
    <w:abstractNumId w:val="18"/>
  </w:num>
  <w:num w:numId="22" w16cid:durableId="1191993767">
    <w:abstractNumId w:val="6"/>
  </w:num>
  <w:num w:numId="23" w16cid:durableId="575865391">
    <w:abstractNumId w:val="19"/>
  </w:num>
  <w:num w:numId="24" w16cid:durableId="1514219562">
    <w:abstractNumId w:val="16"/>
  </w:num>
  <w:num w:numId="25" w16cid:durableId="1009452342">
    <w:abstractNumId w:val="16"/>
  </w:num>
  <w:num w:numId="26" w16cid:durableId="889730862">
    <w:abstractNumId w:val="16"/>
  </w:num>
  <w:num w:numId="27" w16cid:durableId="600650682">
    <w:abstractNumId w:val="16"/>
  </w:num>
  <w:num w:numId="28" w16cid:durableId="1897162389">
    <w:abstractNumId w:val="16"/>
  </w:num>
  <w:num w:numId="29" w16cid:durableId="899023642">
    <w:abstractNumId w:val="16"/>
  </w:num>
  <w:num w:numId="30" w16cid:durableId="1189491419">
    <w:abstractNumId w:val="16"/>
  </w:num>
  <w:num w:numId="31" w16cid:durableId="1663698073">
    <w:abstractNumId w:val="16"/>
  </w:num>
  <w:num w:numId="32" w16cid:durableId="615022431">
    <w:abstractNumId w:val="16"/>
  </w:num>
  <w:num w:numId="33" w16cid:durableId="13082766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3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8F"/>
    <w:rsid w:val="00000074"/>
    <w:rsid w:val="0000335C"/>
    <w:rsid w:val="00004060"/>
    <w:rsid w:val="00004CA6"/>
    <w:rsid w:val="00007292"/>
    <w:rsid w:val="00007687"/>
    <w:rsid w:val="00013D64"/>
    <w:rsid w:val="00015145"/>
    <w:rsid w:val="0001540E"/>
    <w:rsid w:val="00017DF3"/>
    <w:rsid w:val="0002076F"/>
    <w:rsid w:val="00020EAA"/>
    <w:rsid w:val="00021409"/>
    <w:rsid w:val="000216D1"/>
    <w:rsid w:val="000264E1"/>
    <w:rsid w:val="00026C30"/>
    <w:rsid w:val="000300E4"/>
    <w:rsid w:val="00030967"/>
    <w:rsid w:val="00031308"/>
    <w:rsid w:val="00031DBF"/>
    <w:rsid w:val="00036A5E"/>
    <w:rsid w:val="000372AF"/>
    <w:rsid w:val="00045ABA"/>
    <w:rsid w:val="00052F56"/>
    <w:rsid w:val="000531FB"/>
    <w:rsid w:val="00053FF1"/>
    <w:rsid w:val="000568C9"/>
    <w:rsid w:val="00057BB5"/>
    <w:rsid w:val="00057D35"/>
    <w:rsid w:val="00057D67"/>
    <w:rsid w:val="00060F65"/>
    <w:rsid w:val="00062095"/>
    <w:rsid w:val="00063F71"/>
    <w:rsid w:val="0006512F"/>
    <w:rsid w:val="0007465C"/>
    <w:rsid w:val="00075FB1"/>
    <w:rsid w:val="000761E4"/>
    <w:rsid w:val="000763A4"/>
    <w:rsid w:val="00082743"/>
    <w:rsid w:val="00083FD6"/>
    <w:rsid w:val="00084548"/>
    <w:rsid w:val="00085713"/>
    <w:rsid w:val="000868E2"/>
    <w:rsid w:val="00086C5D"/>
    <w:rsid w:val="00093091"/>
    <w:rsid w:val="00093C49"/>
    <w:rsid w:val="0009418A"/>
    <w:rsid w:val="0009472D"/>
    <w:rsid w:val="000948FA"/>
    <w:rsid w:val="00095A3C"/>
    <w:rsid w:val="00095E97"/>
    <w:rsid w:val="000A2660"/>
    <w:rsid w:val="000A3312"/>
    <w:rsid w:val="000A49BE"/>
    <w:rsid w:val="000A7123"/>
    <w:rsid w:val="000A71A6"/>
    <w:rsid w:val="000B263A"/>
    <w:rsid w:val="000B4BB5"/>
    <w:rsid w:val="000B5D3F"/>
    <w:rsid w:val="000B6E2D"/>
    <w:rsid w:val="000B7B5D"/>
    <w:rsid w:val="000C4EDE"/>
    <w:rsid w:val="000D0553"/>
    <w:rsid w:val="000D2CE0"/>
    <w:rsid w:val="000E4272"/>
    <w:rsid w:val="000E4DE1"/>
    <w:rsid w:val="000E5CD3"/>
    <w:rsid w:val="000E681E"/>
    <w:rsid w:val="000E783C"/>
    <w:rsid w:val="000F0E78"/>
    <w:rsid w:val="000F2491"/>
    <w:rsid w:val="000F34F6"/>
    <w:rsid w:val="000F378F"/>
    <w:rsid w:val="000F450B"/>
    <w:rsid w:val="000F5CBF"/>
    <w:rsid w:val="00100539"/>
    <w:rsid w:val="00100E67"/>
    <w:rsid w:val="00107545"/>
    <w:rsid w:val="00111B5A"/>
    <w:rsid w:val="00121A72"/>
    <w:rsid w:val="0012211C"/>
    <w:rsid w:val="001230BA"/>
    <w:rsid w:val="001233DC"/>
    <w:rsid w:val="00123590"/>
    <w:rsid w:val="00123FDB"/>
    <w:rsid w:val="00124AB9"/>
    <w:rsid w:val="00124B7A"/>
    <w:rsid w:val="0013297F"/>
    <w:rsid w:val="00141017"/>
    <w:rsid w:val="0014429A"/>
    <w:rsid w:val="0014514F"/>
    <w:rsid w:val="00147786"/>
    <w:rsid w:val="00147C63"/>
    <w:rsid w:val="0015108E"/>
    <w:rsid w:val="00154721"/>
    <w:rsid w:val="00155FBC"/>
    <w:rsid w:val="001600EC"/>
    <w:rsid w:val="00163445"/>
    <w:rsid w:val="001638EE"/>
    <w:rsid w:val="0016744A"/>
    <w:rsid w:val="001675BA"/>
    <w:rsid w:val="00176151"/>
    <w:rsid w:val="00181416"/>
    <w:rsid w:val="00184D64"/>
    <w:rsid w:val="00186963"/>
    <w:rsid w:val="0019381D"/>
    <w:rsid w:val="0019541C"/>
    <w:rsid w:val="001A0B24"/>
    <w:rsid w:val="001A4507"/>
    <w:rsid w:val="001A59ED"/>
    <w:rsid w:val="001A6EAA"/>
    <w:rsid w:val="001B065C"/>
    <w:rsid w:val="001B0DA6"/>
    <w:rsid w:val="001B17C9"/>
    <w:rsid w:val="001B47F4"/>
    <w:rsid w:val="001B4A4A"/>
    <w:rsid w:val="001B4D43"/>
    <w:rsid w:val="001B6BC7"/>
    <w:rsid w:val="001B7105"/>
    <w:rsid w:val="001B7471"/>
    <w:rsid w:val="001C033B"/>
    <w:rsid w:val="001C4F96"/>
    <w:rsid w:val="001C63A9"/>
    <w:rsid w:val="001D1FAF"/>
    <w:rsid w:val="001D2C79"/>
    <w:rsid w:val="001D32C1"/>
    <w:rsid w:val="001D5EB9"/>
    <w:rsid w:val="001D5F69"/>
    <w:rsid w:val="001D6419"/>
    <w:rsid w:val="001E14D2"/>
    <w:rsid w:val="001E3E81"/>
    <w:rsid w:val="001E6797"/>
    <w:rsid w:val="001F02E2"/>
    <w:rsid w:val="001F1374"/>
    <w:rsid w:val="001F1C0D"/>
    <w:rsid w:val="001F51E2"/>
    <w:rsid w:val="001F57EB"/>
    <w:rsid w:val="001F66F4"/>
    <w:rsid w:val="001F6A24"/>
    <w:rsid w:val="00201C15"/>
    <w:rsid w:val="00202B69"/>
    <w:rsid w:val="00204134"/>
    <w:rsid w:val="00204EAB"/>
    <w:rsid w:val="00210C21"/>
    <w:rsid w:val="00210C8D"/>
    <w:rsid w:val="0021740F"/>
    <w:rsid w:val="00220391"/>
    <w:rsid w:val="002203A3"/>
    <w:rsid w:val="00221418"/>
    <w:rsid w:val="002214FA"/>
    <w:rsid w:val="00236674"/>
    <w:rsid w:val="00241156"/>
    <w:rsid w:val="00241A95"/>
    <w:rsid w:val="00242BD8"/>
    <w:rsid w:val="00242FF3"/>
    <w:rsid w:val="00243C03"/>
    <w:rsid w:val="00245E0E"/>
    <w:rsid w:val="00246100"/>
    <w:rsid w:val="00247187"/>
    <w:rsid w:val="002528CF"/>
    <w:rsid w:val="00252EBC"/>
    <w:rsid w:val="00255166"/>
    <w:rsid w:val="0025577E"/>
    <w:rsid w:val="00257B35"/>
    <w:rsid w:val="002608DF"/>
    <w:rsid w:val="002610B2"/>
    <w:rsid w:val="00265CE4"/>
    <w:rsid w:val="00266DAC"/>
    <w:rsid w:val="00266F6D"/>
    <w:rsid w:val="002673F1"/>
    <w:rsid w:val="00270706"/>
    <w:rsid w:val="002710DC"/>
    <w:rsid w:val="0027128F"/>
    <w:rsid w:val="002718BF"/>
    <w:rsid w:val="00292B70"/>
    <w:rsid w:val="00292E2A"/>
    <w:rsid w:val="00293629"/>
    <w:rsid w:val="00295062"/>
    <w:rsid w:val="00295105"/>
    <w:rsid w:val="00295263"/>
    <w:rsid w:val="00296B99"/>
    <w:rsid w:val="002A3E5B"/>
    <w:rsid w:val="002A422C"/>
    <w:rsid w:val="002A7B92"/>
    <w:rsid w:val="002B2149"/>
    <w:rsid w:val="002B40B1"/>
    <w:rsid w:val="002B7105"/>
    <w:rsid w:val="002B78CB"/>
    <w:rsid w:val="002B7935"/>
    <w:rsid w:val="002C4674"/>
    <w:rsid w:val="002C56CC"/>
    <w:rsid w:val="002C5FEE"/>
    <w:rsid w:val="002C7A53"/>
    <w:rsid w:val="002C7B1A"/>
    <w:rsid w:val="002D0F62"/>
    <w:rsid w:val="002D2194"/>
    <w:rsid w:val="002D4315"/>
    <w:rsid w:val="002D5C13"/>
    <w:rsid w:val="002E2C7D"/>
    <w:rsid w:val="002E40BF"/>
    <w:rsid w:val="002E49A9"/>
    <w:rsid w:val="002E6EBD"/>
    <w:rsid w:val="002F3B78"/>
    <w:rsid w:val="002F53D2"/>
    <w:rsid w:val="002F5D04"/>
    <w:rsid w:val="002F6402"/>
    <w:rsid w:val="002F73CC"/>
    <w:rsid w:val="00301B20"/>
    <w:rsid w:val="00302983"/>
    <w:rsid w:val="00304D23"/>
    <w:rsid w:val="00304D55"/>
    <w:rsid w:val="0030517E"/>
    <w:rsid w:val="00315B7A"/>
    <w:rsid w:val="00320135"/>
    <w:rsid w:val="00324E68"/>
    <w:rsid w:val="003250DC"/>
    <w:rsid w:val="003259B4"/>
    <w:rsid w:val="003308DF"/>
    <w:rsid w:val="00331585"/>
    <w:rsid w:val="0033224A"/>
    <w:rsid w:val="003376A3"/>
    <w:rsid w:val="003416BA"/>
    <w:rsid w:val="0034614B"/>
    <w:rsid w:val="0034624E"/>
    <w:rsid w:val="00346BEE"/>
    <w:rsid w:val="00351DA5"/>
    <w:rsid w:val="0035241A"/>
    <w:rsid w:val="00353971"/>
    <w:rsid w:val="00354C6E"/>
    <w:rsid w:val="00354F69"/>
    <w:rsid w:val="003561CF"/>
    <w:rsid w:val="00365444"/>
    <w:rsid w:val="00365FDD"/>
    <w:rsid w:val="00366458"/>
    <w:rsid w:val="003678CF"/>
    <w:rsid w:val="00373D79"/>
    <w:rsid w:val="0037469A"/>
    <w:rsid w:val="003757FC"/>
    <w:rsid w:val="00376022"/>
    <w:rsid w:val="003840AA"/>
    <w:rsid w:val="00385081"/>
    <w:rsid w:val="00387E7F"/>
    <w:rsid w:val="00392F70"/>
    <w:rsid w:val="0039384A"/>
    <w:rsid w:val="00393981"/>
    <w:rsid w:val="0039453E"/>
    <w:rsid w:val="003950F2"/>
    <w:rsid w:val="003957CC"/>
    <w:rsid w:val="003A0CDB"/>
    <w:rsid w:val="003A220E"/>
    <w:rsid w:val="003A4397"/>
    <w:rsid w:val="003A7714"/>
    <w:rsid w:val="003B11A1"/>
    <w:rsid w:val="003B204E"/>
    <w:rsid w:val="003B2CF1"/>
    <w:rsid w:val="003B57E0"/>
    <w:rsid w:val="003B71E1"/>
    <w:rsid w:val="003C0308"/>
    <w:rsid w:val="003C252A"/>
    <w:rsid w:val="003C2DD8"/>
    <w:rsid w:val="003C61ED"/>
    <w:rsid w:val="003C777F"/>
    <w:rsid w:val="003C7F5B"/>
    <w:rsid w:val="003D0897"/>
    <w:rsid w:val="003D1854"/>
    <w:rsid w:val="003D4152"/>
    <w:rsid w:val="003D444F"/>
    <w:rsid w:val="003D505C"/>
    <w:rsid w:val="003D69D0"/>
    <w:rsid w:val="003E5B15"/>
    <w:rsid w:val="003F344B"/>
    <w:rsid w:val="003F6240"/>
    <w:rsid w:val="003F6AE8"/>
    <w:rsid w:val="003F75D2"/>
    <w:rsid w:val="00401D32"/>
    <w:rsid w:val="00404506"/>
    <w:rsid w:val="00411C8F"/>
    <w:rsid w:val="00412182"/>
    <w:rsid w:val="004127F3"/>
    <w:rsid w:val="00412EC3"/>
    <w:rsid w:val="004144B7"/>
    <w:rsid w:val="004169C6"/>
    <w:rsid w:val="004217E5"/>
    <w:rsid w:val="00423DC5"/>
    <w:rsid w:val="00424B30"/>
    <w:rsid w:val="00424C0F"/>
    <w:rsid w:val="004313C7"/>
    <w:rsid w:val="00433011"/>
    <w:rsid w:val="00433717"/>
    <w:rsid w:val="00434384"/>
    <w:rsid w:val="004370AC"/>
    <w:rsid w:val="00447203"/>
    <w:rsid w:val="00447E8B"/>
    <w:rsid w:val="00450248"/>
    <w:rsid w:val="004512C6"/>
    <w:rsid w:val="00451BFD"/>
    <w:rsid w:val="00456D77"/>
    <w:rsid w:val="00461598"/>
    <w:rsid w:val="00462F90"/>
    <w:rsid w:val="00463C14"/>
    <w:rsid w:val="004646D3"/>
    <w:rsid w:val="00464780"/>
    <w:rsid w:val="00466025"/>
    <w:rsid w:val="00466307"/>
    <w:rsid w:val="0046666A"/>
    <w:rsid w:val="00466CF6"/>
    <w:rsid w:val="00467730"/>
    <w:rsid w:val="0047096F"/>
    <w:rsid w:val="004713F2"/>
    <w:rsid w:val="00474671"/>
    <w:rsid w:val="00475A5E"/>
    <w:rsid w:val="00477C5B"/>
    <w:rsid w:val="00477D5C"/>
    <w:rsid w:val="00482266"/>
    <w:rsid w:val="00484CA0"/>
    <w:rsid w:val="00485A0E"/>
    <w:rsid w:val="00486647"/>
    <w:rsid w:val="004905E2"/>
    <w:rsid w:val="0049119B"/>
    <w:rsid w:val="004916B6"/>
    <w:rsid w:val="004940CC"/>
    <w:rsid w:val="004A0739"/>
    <w:rsid w:val="004A285F"/>
    <w:rsid w:val="004A2C6A"/>
    <w:rsid w:val="004A594A"/>
    <w:rsid w:val="004A73DA"/>
    <w:rsid w:val="004B63FA"/>
    <w:rsid w:val="004B7DF0"/>
    <w:rsid w:val="004C6063"/>
    <w:rsid w:val="004C7925"/>
    <w:rsid w:val="004C7ACD"/>
    <w:rsid w:val="004D302E"/>
    <w:rsid w:val="004D7FDA"/>
    <w:rsid w:val="004E1481"/>
    <w:rsid w:val="004F0BA2"/>
    <w:rsid w:val="004F240E"/>
    <w:rsid w:val="004F2960"/>
    <w:rsid w:val="004F31E8"/>
    <w:rsid w:val="004F5E02"/>
    <w:rsid w:val="004F6063"/>
    <w:rsid w:val="00500AF1"/>
    <w:rsid w:val="00502561"/>
    <w:rsid w:val="00503162"/>
    <w:rsid w:val="005054AF"/>
    <w:rsid w:val="005060B9"/>
    <w:rsid w:val="00507D57"/>
    <w:rsid w:val="0051003D"/>
    <w:rsid w:val="00510469"/>
    <w:rsid w:val="00511185"/>
    <w:rsid w:val="00511DF2"/>
    <w:rsid w:val="00515F54"/>
    <w:rsid w:val="005175B2"/>
    <w:rsid w:val="00517653"/>
    <w:rsid w:val="00520274"/>
    <w:rsid w:val="0052070B"/>
    <w:rsid w:val="00523D01"/>
    <w:rsid w:val="00526F86"/>
    <w:rsid w:val="00531827"/>
    <w:rsid w:val="00534752"/>
    <w:rsid w:val="00534D12"/>
    <w:rsid w:val="00535A0C"/>
    <w:rsid w:val="005377A3"/>
    <w:rsid w:val="00540461"/>
    <w:rsid w:val="00542426"/>
    <w:rsid w:val="0054273B"/>
    <w:rsid w:val="00544A00"/>
    <w:rsid w:val="00545198"/>
    <w:rsid w:val="00546B9C"/>
    <w:rsid w:val="00547ADB"/>
    <w:rsid w:val="00554A8C"/>
    <w:rsid w:val="00555257"/>
    <w:rsid w:val="00556F68"/>
    <w:rsid w:val="0055726C"/>
    <w:rsid w:val="00563776"/>
    <w:rsid w:val="00564786"/>
    <w:rsid w:val="00564B9E"/>
    <w:rsid w:val="00567B68"/>
    <w:rsid w:val="0057050D"/>
    <w:rsid w:val="005707A1"/>
    <w:rsid w:val="00572476"/>
    <w:rsid w:val="00572E00"/>
    <w:rsid w:val="00574E8C"/>
    <w:rsid w:val="005760E8"/>
    <w:rsid w:val="00582263"/>
    <w:rsid w:val="005916EE"/>
    <w:rsid w:val="00594B86"/>
    <w:rsid w:val="00595568"/>
    <w:rsid w:val="005A0B06"/>
    <w:rsid w:val="005A1070"/>
    <w:rsid w:val="005A23F1"/>
    <w:rsid w:val="005A2B4D"/>
    <w:rsid w:val="005A3779"/>
    <w:rsid w:val="005A4547"/>
    <w:rsid w:val="005B1392"/>
    <w:rsid w:val="005B1D47"/>
    <w:rsid w:val="005B5875"/>
    <w:rsid w:val="005C069B"/>
    <w:rsid w:val="005C17C3"/>
    <w:rsid w:val="005C2EEC"/>
    <w:rsid w:val="005C31C1"/>
    <w:rsid w:val="005C749F"/>
    <w:rsid w:val="005D25FC"/>
    <w:rsid w:val="005D55D5"/>
    <w:rsid w:val="005D5C37"/>
    <w:rsid w:val="005D6FDB"/>
    <w:rsid w:val="005D7025"/>
    <w:rsid w:val="005D73D0"/>
    <w:rsid w:val="005D748D"/>
    <w:rsid w:val="005E016A"/>
    <w:rsid w:val="005E598D"/>
    <w:rsid w:val="005E5BDA"/>
    <w:rsid w:val="005E677A"/>
    <w:rsid w:val="005E6858"/>
    <w:rsid w:val="005E7178"/>
    <w:rsid w:val="005E78D7"/>
    <w:rsid w:val="005E7A03"/>
    <w:rsid w:val="005F0993"/>
    <w:rsid w:val="005F1FFC"/>
    <w:rsid w:val="005F3642"/>
    <w:rsid w:val="005F42A4"/>
    <w:rsid w:val="005F5EDD"/>
    <w:rsid w:val="005F60E6"/>
    <w:rsid w:val="005F6B39"/>
    <w:rsid w:val="006008BA"/>
    <w:rsid w:val="00600E26"/>
    <w:rsid w:val="00600E75"/>
    <w:rsid w:val="006062B3"/>
    <w:rsid w:val="00606FC4"/>
    <w:rsid w:val="006073AE"/>
    <w:rsid w:val="00610220"/>
    <w:rsid w:val="006154F3"/>
    <w:rsid w:val="006160B5"/>
    <w:rsid w:val="00621E96"/>
    <w:rsid w:val="006244E7"/>
    <w:rsid w:val="00627964"/>
    <w:rsid w:val="00630520"/>
    <w:rsid w:val="006323B0"/>
    <w:rsid w:val="00633B6C"/>
    <w:rsid w:val="00633FC7"/>
    <w:rsid w:val="006349DB"/>
    <w:rsid w:val="00635FE1"/>
    <w:rsid w:val="00636ECC"/>
    <w:rsid w:val="00646EBD"/>
    <w:rsid w:val="006473E4"/>
    <w:rsid w:val="00652AB2"/>
    <w:rsid w:val="00652E2D"/>
    <w:rsid w:val="0066016B"/>
    <w:rsid w:val="00660941"/>
    <w:rsid w:val="0066117D"/>
    <w:rsid w:val="0066154F"/>
    <w:rsid w:val="006717FB"/>
    <w:rsid w:val="006718BE"/>
    <w:rsid w:val="00672C17"/>
    <w:rsid w:val="006760D5"/>
    <w:rsid w:val="00684F3C"/>
    <w:rsid w:val="00691EC7"/>
    <w:rsid w:val="0069379E"/>
    <w:rsid w:val="00693EC4"/>
    <w:rsid w:val="00696B49"/>
    <w:rsid w:val="006A11E5"/>
    <w:rsid w:val="006A3700"/>
    <w:rsid w:val="006A48AF"/>
    <w:rsid w:val="006A5CE3"/>
    <w:rsid w:val="006B23F1"/>
    <w:rsid w:val="006B75DF"/>
    <w:rsid w:val="006C35F5"/>
    <w:rsid w:val="006C6AB9"/>
    <w:rsid w:val="006C78EA"/>
    <w:rsid w:val="006C7CAE"/>
    <w:rsid w:val="006D0AC2"/>
    <w:rsid w:val="006D168A"/>
    <w:rsid w:val="006D2886"/>
    <w:rsid w:val="006D4F4A"/>
    <w:rsid w:val="006D6916"/>
    <w:rsid w:val="006D6AB6"/>
    <w:rsid w:val="006D7E08"/>
    <w:rsid w:val="006E5C48"/>
    <w:rsid w:val="006E7541"/>
    <w:rsid w:val="006F2A76"/>
    <w:rsid w:val="006F4731"/>
    <w:rsid w:val="006F4E99"/>
    <w:rsid w:val="006F5ADC"/>
    <w:rsid w:val="006F768A"/>
    <w:rsid w:val="007001A4"/>
    <w:rsid w:val="00702FBF"/>
    <w:rsid w:val="007045BC"/>
    <w:rsid w:val="00704B50"/>
    <w:rsid w:val="00704F9F"/>
    <w:rsid w:val="007077FA"/>
    <w:rsid w:val="00711215"/>
    <w:rsid w:val="00712CC1"/>
    <w:rsid w:val="00720174"/>
    <w:rsid w:val="00720FA4"/>
    <w:rsid w:val="00721C7F"/>
    <w:rsid w:val="00724F72"/>
    <w:rsid w:val="00731340"/>
    <w:rsid w:val="007316AE"/>
    <w:rsid w:val="0073315A"/>
    <w:rsid w:val="00734E9E"/>
    <w:rsid w:val="007353C3"/>
    <w:rsid w:val="007377C2"/>
    <w:rsid w:val="00740121"/>
    <w:rsid w:val="00740671"/>
    <w:rsid w:val="007457CB"/>
    <w:rsid w:val="00747C36"/>
    <w:rsid w:val="0075087A"/>
    <w:rsid w:val="0076122D"/>
    <w:rsid w:val="0076468C"/>
    <w:rsid w:val="007719D6"/>
    <w:rsid w:val="00772542"/>
    <w:rsid w:val="00777032"/>
    <w:rsid w:val="00777D58"/>
    <w:rsid w:val="00783649"/>
    <w:rsid w:val="00783656"/>
    <w:rsid w:val="0078402F"/>
    <w:rsid w:val="00784428"/>
    <w:rsid w:val="00791272"/>
    <w:rsid w:val="00793488"/>
    <w:rsid w:val="00794CA9"/>
    <w:rsid w:val="007957BE"/>
    <w:rsid w:val="0079595A"/>
    <w:rsid w:val="00796186"/>
    <w:rsid w:val="00796381"/>
    <w:rsid w:val="007A083C"/>
    <w:rsid w:val="007A111E"/>
    <w:rsid w:val="007A2043"/>
    <w:rsid w:val="007A7C79"/>
    <w:rsid w:val="007B0795"/>
    <w:rsid w:val="007B3572"/>
    <w:rsid w:val="007B69ED"/>
    <w:rsid w:val="007B6AA3"/>
    <w:rsid w:val="007C0F32"/>
    <w:rsid w:val="007C1E4E"/>
    <w:rsid w:val="007C365F"/>
    <w:rsid w:val="007C507A"/>
    <w:rsid w:val="007C5E13"/>
    <w:rsid w:val="007D4D19"/>
    <w:rsid w:val="007E0DC1"/>
    <w:rsid w:val="007E2AEE"/>
    <w:rsid w:val="007E4CD4"/>
    <w:rsid w:val="007E759C"/>
    <w:rsid w:val="007F0DC5"/>
    <w:rsid w:val="00800B2B"/>
    <w:rsid w:val="008021B3"/>
    <w:rsid w:val="008029AE"/>
    <w:rsid w:val="008034D9"/>
    <w:rsid w:val="008037AE"/>
    <w:rsid w:val="00814477"/>
    <w:rsid w:val="008148BB"/>
    <w:rsid w:val="00815D19"/>
    <w:rsid w:val="008224E7"/>
    <w:rsid w:val="00823D53"/>
    <w:rsid w:val="008260D4"/>
    <w:rsid w:val="008277D6"/>
    <w:rsid w:val="00841E8B"/>
    <w:rsid w:val="0084314E"/>
    <w:rsid w:val="0084390D"/>
    <w:rsid w:val="00844251"/>
    <w:rsid w:val="008446D7"/>
    <w:rsid w:val="00844CF1"/>
    <w:rsid w:val="00846052"/>
    <w:rsid w:val="0085062A"/>
    <w:rsid w:val="00851775"/>
    <w:rsid w:val="00852101"/>
    <w:rsid w:val="00853DD8"/>
    <w:rsid w:val="008543EE"/>
    <w:rsid w:val="008560AE"/>
    <w:rsid w:val="00861476"/>
    <w:rsid w:val="0086245E"/>
    <w:rsid w:val="0086339D"/>
    <w:rsid w:val="00863D9B"/>
    <w:rsid w:val="00867942"/>
    <w:rsid w:val="00876F7F"/>
    <w:rsid w:val="00883058"/>
    <w:rsid w:val="00884DA5"/>
    <w:rsid w:val="008861A2"/>
    <w:rsid w:val="00886214"/>
    <w:rsid w:val="00886675"/>
    <w:rsid w:val="008925C5"/>
    <w:rsid w:val="008951D5"/>
    <w:rsid w:val="008966C6"/>
    <w:rsid w:val="008A3E0F"/>
    <w:rsid w:val="008A410F"/>
    <w:rsid w:val="008A4532"/>
    <w:rsid w:val="008A5221"/>
    <w:rsid w:val="008A7DDE"/>
    <w:rsid w:val="008B7512"/>
    <w:rsid w:val="008C30E0"/>
    <w:rsid w:val="008C5591"/>
    <w:rsid w:val="008C6899"/>
    <w:rsid w:val="008D19FA"/>
    <w:rsid w:val="008D2351"/>
    <w:rsid w:val="008D5C3D"/>
    <w:rsid w:val="008D6060"/>
    <w:rsid w:val="008E601F"/>
    <w:rsid w:val="008E7EE4"/>
    <w:rsid w:val="008F0A37"/>
    <w:rsid w:val="008F17C0"/>
    <w:rsid w:val="008F489A"/>
    <w:rsid w:val="008F5C5E"/>
    <w:rsid w:val="008F6DF9"/>
    <w:rsid w:val="008F7D46"/>
    <w:rsid w:val="00905E6C"/>
    <w:rsid w:val="009072A1"/>
    <w:rsid w:val="00912042"/>
    <w:rsid w:val="009123D9"/>
    <w:rsid w:val="00914E07"/>
    <w:rsid w:val="009153E3"/>
    <w:rsid w:val="0091634F"/>
    <w:rsid w:val="00921FAB"/>
    <w:rsid w:val="00922954"/>
    <w:rsid w:val="009229C8"/>
    <w:rsid w:val="00923659"/>
    <w:rsid w:val="00924A57"/>
    <w:rsid w:val="0092618C"/>
    <w:rsid w:val="00931A9E"/>
    <w:rsid w:val="009321C0"/>
    <w:rsid w:val="00936C01"/>
    <w:rsid w:val="0094230B"/>
    <w:rsid w:val="009439BE"/>
    <w:rsid w:val="00950A1B"/>
    <w:rsid w:val="00950A9D"/>
    <w:rsid w:val="00960063"/>
    <w:rsid w:val="00963237"/>
    <w:rsid w:val="00964C58"/>
    <w:rsid w:val="009659DD"/>
    <w:rsid w:val="00965C24"/>
    <w:rsid w:val="00965FF7"/>
    <w:rsid w:val="00966410"/>
    <w:rsid w:val="00966A34"/>
    <w:rsid w:val="00972A99"/>
    <w:rsid w:val="0097734A"/>
    <w:rsid w:val="00982C96"/>
    <w:rsid w:val="00986BB2"/>
    <w:rsid w:val="00991294"/>
    <w:rsid w:val="00992D23"/>
    <w:rsid w:val="00995E98"/>
    <w:rsid w:val="0099601F"/>
    <w:rsid w:val="00996128"/>
    <w:rsid w:val="009961AB"/>
    <w:rsid w:val="00996969"/>
    <w:rsid w:val="00997521"/>
    <w:rsid w:val="0099764D"/>
    <w:rsid w:val="009A0040"/>
    <w:rsid w:val="009A6BE0"/>
    <w:rsid w:val="009A7544"/>
    <w:rsid w:val="009B2C2C"/>
    <w:rsid w:val="009C555F"/>
    <w:rsid w:val="009C6BA5"/>
    <w:rsid w:val="009D1118"/>
    <w:rsid w:val="009D19F5"/>
    <w:rsid w:val="009D471B"/>
    <w:rsid w:val="009D6832"/>
    <w:rsid w:val="009D781F"/>
    <w:rsid w:val="009E2410"/>
    <w:rsid w:val="009E27E5"/>
    <w:rsid w:val="009E6309"/>
    <w:rsid w:val="009E6381"/>
    <w:rsid w:val="009E6F9D"/>
    <w:rsid w:val="009E7E11"/>
    <w:rsid w:val="009F174E"/>
    <w:rsid w:val="009F1F85"/>
    <w:rsid w:val="009F270C"/>
    <w:rsid w:val="009F40C9"/>
    <w:rsid w:val="009F46C2"/>
    <w:rsid w:val="009F6306"/>
    <w:rsid w:val="009F6D36"/>
    <w:rsid w:val="009F7BEA"/>
    <w:rsid w:val="00A031F8"/>
    <w:rsid w:val="00A04440"/>
    <w:rsid w:val="00A10EB9"/>
    <w:rsid w:val="00A146F6"/>
    <w:rsid w:val="00A14BDC"/>
    <w:rsid w:val="00A16CAC"/>
    <w:rsid w:val="00A22A6C"/>
    <w:rsid w:val="00A22F38"/>
    <w:rsid w:val="00A256FC"/>
    <w:rsid w:val="00A25BFE"/>
    <w:rsid w:val="00A25CF0"/>
    <w:rsid w:val="00A3455B"/>
    <w:rsid w:val="00A41D20"/>
    <w:rsid w:val="00A477E0"/>
    <w:rsid w:val="00A528F2"/>
    <w:rsid w:val="00A52A65"/>
    <w:rsid w:val="00A5437D"/>
    <w:rsid w:val="00A54677"/>
    <w:rsid w:val="00A55F59"/>
    <w:rsid w:val="00A63F1E"/>
    <w:rsid w:val="00A66BAC"/>
    <w:rsid w:val="00A677F3"/>
    <w:rsid w:val="00A81196"/>
    <w:rsid w:val="00A86CF4"/>
    <w:rsid w:val="00A87FC4"/>
    <w:rsid w:val="00A906A4"/>
    <w:rsid w:val="00A90E18"/>
    <w:rsid w:val="00AA09DF"/>
    <w:rsid w:val="00AA1757"/>
    <w:rsid w:val="00AA3D17"/>
    <w:rsid w:val="00AA5109"/>
    <w:rsid w:val="00AA558E"/>
    <w:rsid w:val="00AB4000"/>
    <w:rsid w:val="00AB5EB8"/>
    <w:rsid w:val="00AB6B6C"/>
    <w:rsid w:val="00AB77AA"/>
    <w:rsid w:val="00AC24D4"/>
    <w:rsid w:val="00AC2A54"/>
    <w:rsid w:val="00AC2FE6"/>
    <w:rsid w:val="00AC449C"/>
    <w:rsid w:val="00AC64F2"/>
    <w:rsid w:val="00AD0C8A"/>
    <w:rsid w:val="00AD123B"/>
    <w:rsid w:val="00AD42E0"/>
    <w:rsid w:val="00AD46CC"/>
    <w:rsid w:val="00AD69DB"/>
    <w:rsid w:val="00AE22FF"/>
    <w:rsid w:val="00AE79EC"/>
    <w:rsid w:val="00AE7A3D"/>
    <w:rsid w:val="00AF1575"/>
    <w:rsid w:val="00AF1616"/>
    <w:rsid w:val="00AF19D6"/>
    <w:rsid w:val="00AF19E2"/>
    <w:rsid w:val="00AF448C"/>
    <w:rsid w:val="00AF46F1"/>
    <w:rsid w:val="00AF4D31"/>
    <w:rsid w:val="00B00B12"/>
    <w:rsid w:val="00B01EE3"/>
    <w:rsid w:val="00B02173"/>
    <w:rsid w:val="00B05B89"/>
    <w:rsid w:val="00B1022B"/>
    <w:rsid w:val="00B103BF"/>
    <w:rsid w:val="00B111F2"/>
    <w:rsid w:val="00B134AD"/>
    <w:rsid w:val="00B14D08"/>
    <w:rsid w:val="00B2081B"/>
    <w:rsid w:val="00B21862"/>
    <w:rsid w:val="00B22359"/>
    <w:rsid w:val="00B2240E"/>
    <w:rsid w:val="00B2364F"/>
    <w:rsid w:val="00B23CAB"/>
    <w:rsid w:val="00B2700C"/>
    <w:rsid w:val="00B3047C"/>
    <w:rsid w:val="00B31E8B"/>
    <w:rsid w:val="00B36C05"/>
    <w:rsid w:val="00B41031"/>
    <w:rsid w:val="00B411C7"/>
    <w:rsid w:val="00B41DAF"/>
    <w:rsid w:val="00B50294"/>
    <w:rsid w:val="00B50926"/>
    <w:rsid w:val="00B52B32"/>
    <w:rsid w:val="00B5457B"/>
    <w:rsid w:val="00B548AA"/>
    <w:rsid w:val="00B54C4C"/>
    <w:rsid w:val="00B5637F"/>
    <w:rsid w:val="00B56682"/>
    <w:rsid w:val="00B577B2"/>
    <w:rsid w:val="00B603EB"/>
    <w:rsid w:val="00B62B62"/>
    <w:rsid w:val="00B64D71"/>
    <w:rsid w:val="00B65D63"/>
    <w:rsid w:val="00B66419"/>
    <w:rsid w:val="00B66F5A"/>
    <w:rsid w:val="00B72A54"/>
    <w:rsid w:val="00B7342E"/>
    <w:rsid w:val="00B7345B"/>
    <w:rsid w:val="00B73C25"/>
    <w:rsid w:val="00B73F43"/>
    <w:rsid w:val="00B74030"/>
    <w:rsid w:val="00B75525"/>
    <w:rsid w:val="00B81038"/>
    <w:rsid w:val="00B83747"/>
    <w:rsid w:val="00B8486D"/>
    <w:rsid w:val="00B857FA"/>
    <w:rsid w:val="00B858B0"/>
    <w:rsid w:val="00B865FB"/>
    <w:rsid w:val="00B86DC9"/>
    <w:rsid w:val="00B9069F"/>
    <w:rsid w:val="00B92673"/>
    <w:rsid w:val="00B92E90"/>
    <w:rsid w:val="00B93BD2"/>
    <w:rsid w:val="00B93ECF"/>
    <w:rsid w:val="00B95F0E"/>
    <w:rsid w:val="00BA153A"/>
    <w:rsid w:val="00BA794F"/>
    <w:rsid w:val="00BB167F"/>
    <w:rsid w:val="00BB35D3"/>
    <w:rsid w:val="00BB3F1D"/>
    <w:rsid w:val="00BB4064"/>
    <w:rsid w:val="00BB772B"/>
    <w:rsid w:val="00BC7B79"/>
    <w:rsid w:val="00BD1A3C"/>
    <w:rsid w:val="00BD3EA0"/>
    <w:rsid w:val="00BD673E"/>
    <w:rsid w:val="00BD71C5"/>
    <w:rsid w:val="00BE0494"/>
    <w:rsid w:val="00BE0808"/>
    <w:rsid w:val="00BE40BF"/>
    <w:rsid w:val="00BE5747"/>
    <w:rsid w:val="00BE77DE"/>
    <w:rsid w:val="00BF2E78"/>
    <w:rsid w:val="00BF67DF"/>
    <w:rsid w:val="00BF6A51"/>
    <w:rsid w:val="00BF6DE4"/>
    <w:rsid w:val="00BF7516"/>
    <w:rsid w:val="00C025FC"/>
    <w:rsid w:val="00C02BB9"/>
    <w:rsid w:val="00C02C36"/>
    <w:rsid w:val="00C0497F"/>
    <w:rsid w:val="00C11221"/>
    <w:rsid w:val="00C128C7"/>
    <w:rsid w:val="00C13BBB"/>
    <w:rsid w:val="00C14130"/>
    <w:rsid w:val="00C24B48"/>
    <w:rsid w:val="00C301AF"/>
    <w:rsid w:val="00C329FA"/>
    <w:rsid w:val="00C349A9"/>
    <w:rsid w:val="00C361E1"/>
    <w:rsid w:val="00C4100B"/>
    <w:rsid w:val="00C42095"/>
    <w:rsid w:val="00C4250E"/>
    <w:rsid w:val="00C45950"/>
    <w:rsid w:val="00C538C1"/>
    <w:rsid w:val="00C552D9"/>
    <w:rsid w:val="00C56256"/>
    <w:rsid w:val="00C5667D"/>
    <w:rsid w:val="00C5769E"/>
    <w:rsid w:val="00C57740"/>
    <w:rsid w:val="00C60817"/>
    <w:rsid w:val="00C71D56"/>
    <w:rsid w:val="00C7512B"/>
    <w:rsid w:val="00C7539F"/>
    <w:rsid w:val="00C8159D"/>
    <w:rsid w:val="00C82359"/>
    <w:rsid w:val="00C91A36"/>
    <w:rsid w:val="00C934BE"/>
    <w:rsid w:val="00C941C3"/>
    <w:rsid w:val="00C9459F"/>
    <w:rsid w:val="00C94F15"/>
    <w:rsid w:val="00CA0213"/>
    <w:rsid w:val="00CA341A"/>
    <w:rsid w:val="00CA3879"/>
    <w:rsid w:val="00CB00DC"/>
    <w:rsid w:val="00CB122A"/>
    <w:rsid w:val="00CB1906"/>
    <w:rsid w:val="00CB7252"/>
    <w:rsid w:val="00CC1217"/>
    <w:rsid w:val="00CC1691"/>
    <w:rsid w:val="00CC1B57"/>
    <w:rsid w:val="00CC3113"/>
    <w:rsid w:val="00CC3B76"/>
    <w:rsid w:val="00CC3FCD"/>
    <w:rsid w:val="00CC5973"/>
    <w:rsid w:val="00CC76E0"/>
    <w:rsid w:val="00CD46C5"/>
    <w:rsid w:val="00CE1B29"/>
    <w:rsid w:val="00CE1CAF"/>
    <w:rsid w:val="00CE2A0C"/>
    <w:rsid w:val="00CE3B2A"/>
    <w:rsid w:val="00CE5952"/>
    <w:rsid w:val="00CE5A4C"/>
    <w:rsid w:val="00CE62E8"/>
    <w:rsid w:val="00CF00EB"/>
    <w:rsid w:val="00CF0E85"/>
    <w:rsid w:val="00CF3093"/>
    <w:rsid w:val="00CF3BCC"/>
    <w:rsid w:val="00CF5162"/>
    <w:rsid w:val="00CF51ED"/>
    <w:rsid w:val="00CF5F8F"/>
    <w:rsid w:val="00CF61C9"/>
    <w:rsid w:val="00CF74E7"/>
    <w:rsid w:val="00CF7699"/>
    <w:rsid w:val="00D03695"/>
    <w:rsid w:val="00D04F34"/>
    <w:rsid w:val="00D05022"/>
    <w:rsid w:val="00D07067"/>
    <w:rsid w:val="00D07797"/>
    <w:rsid w:val="00D101A9"/>
    <w:rsid w:val="00D12D92"/>
    <w:rsid w:val="00D132FC"/>
    <w:rsid w:val="00D1499A"/>
    <w:rsid w:val="00D178A4"/>
    <w:rsid w:val="00D229A5"/>
    <w:rsid w:val="00D25990"/>
    <w:rsid w:val="00D26929"/>
    <w:rsid w:val="00D309EA"/>
    <w:rsid w:val="00D30B99"/>
    <w:rsid w:val="00D31AA3"/>
    <w:rsid w:val="00D33D18"/>
    <w:rsid w:val="00D370A9"/>
    <w:rsid w:val="00D37884"/>
    <w:rsid w:val="00D409F2"/>
    <w:rsid w:val="00D43100"/>
    <w:rsid w:val="00D44394"/>
    <w:rsid w:val="00D45C5D"/>
    <w:rsid w:val="00D46937"/>
    <w:rsid w:val="00D47A26"/>
    <w:rsid w:val="00D51A11"/>
    <w:rsid w:val="00D51B43"/>
    <w:rsid w:val="00D536BE"/>
    <w:rsid w:val="00D53A23"/>
    <w:rsid w:val="00D564D5"/>
    <w:rsid w:val="00D56E60"/>
    <w:rsid w:val="00D61183"/>
    <w:rsid w:val="00D63C26"/>
    <w:rsid w:val="00D64839"/>
    <w:rsid w:val="00D6615F"/>
    <w:rsid w:val="00D6740C"/>
    <w:rsid w:val="00D713AF"/>
    <w:rsid w:val="00D748C7"/>
    <w:rsid w:val="00D80C7F"/>
    <w:rsid w:val="00D8224F"/>
    <w:rsid w:val="00D82615"/>
    <w:rsid w:val="00D8716C"/>
    <w:rsid w:val="00D879C9"/>
    <w:rsid w:val="00D87D12"/>
    <w:rsid w:val="00D92A8E"/>
    <w:rsid w:val="00D93C3F"/>
    <w:rsid w:val="00D94852"/>
    <w:rsid w:val="00DA4B09"/>
    <w:rsid w:val="00DA4C46"/>
    <w:rsid w:val="00DA5AEE"/>
    <w:rsid w:val="00DB6181"/>
    <w:rsid w:val="00DC0392"/>
    <w:rsid w:val="00DC30E2"/>
    <w:rsid w:val="00DC754E"/>
    <w:rsid w:val="00DC7A18"/>
    <w:rsid w:val="00DD5C14"/>
    <w:rsid w:val="00DE17DB"/>
    <w:rsid w:val="00DE4705"/>
    <w:rsid w:val="00DF40D4"/>
    <w:rsid w:val="00DF4548"/>
    <w:rsid w:val="00DF5607"/>
    <w:rsid w:val="00DF65AF"/>
    <w:rsid w:val="00E0096D"/>
    <w:rsid w:val="00E027EA"/>
    <w:rsid w:val="00E05B54"/>
    <w:rsid w:val="00E05DAC"/>
    <w:rsid w:val="00E06957"/>
    <w:rsid w:val="00E06F60"/>
    <w:rsid w:val="00E078B0"/>
    <w:rsid w:val="00E07AD6"/>
    <w:rsid w:val="00E10309"/>
    <w:rsid w:val="00E10C8B"/>
    <w:rsid w:val="00E11515"/>
    <w:rsid w:val="00E13BD0"/>
    <w:rsid w:val="00E145D7"/>
    <w:rsid w:val="00E14A84"/>
    <w:rsid w:val="00E163B6"/>
    <w:rsid w:val="00E17B2F"/>
    <w:rsid w:val="00E17B90"/>
    <w:rsid w:val="00E206AF"/>
    <w:rsid w:val="00E21E22"/>
    <w:rsid w:val="00E22652"/>
    <w:rsid w:val="00E23322"/>
    <w:rsid w:val="00E23B33"/>
    <w:rsid w:val="00E27774"/>
    <w:rsid w:val="00E3272E"/>
    <w:rsid w:val="00E32B56"/>
    <w:rsid w:val="00E33144"/>
    <w:rsid w:val="00E3751D"/>
    <w:rsid w:val="00E4512A"/>
    <w:rsid w:val="00E466D7"/>
    <w:rsid w:val="00E51AE5"/>
    <w:rsid w:val="00E52CAF"/>
    <w:rsid w:val="00E54404"/>
    <w:rsid w:val="00E54417"/>
    <w:rsid w:val="00E55585"/>
    <w:rsid w:val="00E56D08"/>
    <w:rsid w:val="00E57191"/>
    <w:rsid w:val="00E620B0"/>
    <w:rsid w:val="00E63630"/>
    <w:rsid w:val="00E65A5B"/>
    <w:rsid w:val="00E67CE9"/>
    <w:rsid w:val="00E77AC0"/>
    <w:rsid w:val="00E80A83"/>
    <w:rsid w:val="00E81FCB"/>
    <w:rsid w:val="00E82073"/>
    <w:rsid w:val="00E82C53"/>
    <w:rsid w:val="00E84CFC"/>
    <w:rsid w:val="00E86518"/>
    <w:rsid w:val="00E86D63"/>
    <w:rsid w:val="00E90FFE"/>
    <w:rsid w:val="00E947DB"/>
    <w:rsid w:val="00E94D30"/>
    <w:rsid w:val="00E961B3"/>
    <w:rsid w:val="00E97594"/>
    <w:rsid w:val="00EA24FE"/>
    <w:rsid w:val="00EA35FA"/>
    <w:rsid w:val="00EA4E67"/>
    <w:rsid w:val="00EB3425"/>
    <w:rsid w:val="00EC0E60"/>
    <w:rsid w:val="00EC1309"/>
    <w:rsid w:val="00EC2E72"/>
    <w:rsid w:val="00EC44BB"/>
    <w:rsid w:val="00EC4868"/>
    <w:rsid w:val="00EC4A9F"/>
    <w:rsid w:val="00EC67B0"/>
    <w:rsid w:val="00EC6F2E"/>
    <w:rsid w:val="00EC705F"/>
    <w:rsid w:val="00ED0ED9"/>
    <w:rsid w:val="00ED6DAB"/>
    <w:rsid w:val="00EE45C2"/>
    <w:rsid w:val="00EE6567"/>
    <w:rsid w:val="00EE688B"/>
    <w:rsid w:val="00EE72A3"/>
    <w:rsid w:val="00EE7AF5"/>
    <w:rsid w:val="00EF1A6F"/>
    <w:rsid w:val="00EF211A"/>
    <w:rsid w:val="00EF33BA"/>
    <w:rsid w:val="00EF4E78"/>
    <w:rsid w:val="00EF5627"/>
    <w:rsid w:val="00EF7868"/>
    <w:rsid w:val="00F043B6"/>
    <w:rsid w:val="00F04960"/>
    <w:rsid w:val="00F1030D"/>
    <w:rsid w:val="00F1053F"/>
    <w:rsid w:val="00F1055D"/>
    <w:rsid w:val="00F10FEE"/>
    <w:rsid w:val="00F11131"/>
    <w:rsid w:val="00F1184C"/>
    <w:rsid w:val="00F13839"/>
    <w:rsid w:val="00F13BFE"/>
    <w:rsid w:val="00F1717C"/>
    <w:rsid w:val="00F20EE2"/>
    <w:rsid w:val="00F22DE0"/>
    <w:rsid w:val="00F23FD2"/>
    <w:rsid w:val="00F24AD1"/>
    <w:rsid w:val="00F258DE"/>
    <w:rsid w:val="00F2757C"/>
    <w:rsid w:val="00F301C8"/>
    <w:rsid w:val="00F316E5"/>
    <w:rsid w:val="00F320BD"/>
    <w:rsid w:val="00F34140"/>
    <w:rsid w:val="00F343A5"/>
    <w:rsid w:val="00F36E9B"/>
    <w:rsid w:val="00F379DC"/>
    <w:rsid w:val="00F470FC"/>
    <w:rsid w:val="00F4770B"/>
    <w:rsid w:val="00F50AC2"/>
    <w:rsid w:val="00F54ECE"/>
    <w:rsid w:val="00F551C9"/>
    <w:rsid w:val="00F556F5"/>
    <w:rsid w:val="00F616AF"/>
    <w:rsid w:val="00F61941"/>
    <w:rsid w:val="00F6596D"/>
    <w:rsid w:val="00F67D80"/>
    <w:rsid w:val="00F71E75"/>
    <w:rsid w:val="00F80FD2"/>
    <w:rsid w:val="00F82F79"/>
    <w:rsid w:val="00F863A0"/>
    <w:rsid w:val="00F870BD"/>
    <w:rsid w:val="00F87959"/>
    <w:rsid w:val="00F903E0"/>
    <w:rsid w:val="00F90E60"/>
    <w:rsid w:val="00F91A74"/>
    <w:rsid w:val="00F928F1"/>
    <w:rsid w:val="00F9348A"/>
    <w:rsid w:val="00F9377E"/>
    <w:rsid w:val="00F93CD0"/>
    <w:rsid w:val="00F94D9F"/>
    <w:rsid w:val="00F96861"/>
    <w:rsid w:val="00F96DBD"/>
    <w:rsid w:val="00F97B0F"/>
    <w:rsid w:val="00FA4CAB"/>
    <w:rsid w:val="00FA4E89"/>
    <w:rsid w:val="00FA7DC3"/>
    <w:rsid w:val="00FB1642"/>
    <w:rsid w:val="00FB1C7E"/>
    <w:rsid w:val="00FB2586"/>
    <w:rsid w:val="00FB2D19"/>
    <w:rsid w:val="00FB6452"/>
    <w:rsid w:val="00FC017A"/>
    <w:rsid w:val="00FC283B"/>
    <w:rsid w:val="00FC2886"/>
    <w:rsid w:val="00FC4651"/>
    <w:rsid w:val="00FC7027"/>
    <w:rsid w:val="00FC764D"/>
    <w:rsid w:val="00FD2311"/>
    <w:rsid w:val="00FD5E9B"/>
    <w:rsid w:val="00FD7EDA"/>
    <w:rsid w:val="00FE3155"/>
    <w:rsid w:val="00FE6219"/>
    <w:rsid w:val="00FE70ED"/>
    <w:rsid w:val="00FF0D54"/>
    <w:rsid w:val="00FF1CE0"/>
    <w:rsid w:val="00FF2ACC"/>
    <w:rsid w:val="00FF50F8"/>
    <w:rsid w:val="00FF6E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AAF6"/>
  <w15:chartTrackingRefBased/>
  <w15:docId w15:val="{E729AC5C-254C-41C9-8ECE-0FB48F9C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qFormat/>
    <w:rsid w:val="00BA153A"/>
    <w:pPr>
      <w:keepNext/>
      <w:numPr>
        <w:numId w:val="4"/>
      </w:numPr>
      <w:spacing w:before="240" w:after="60"/>
      <w:ind w:left="709" w:hanging="709"/>
      <w:outlineLvl w:val="1"/>
    </w:pPr>
    <w:rPr>
      <w:b/>
      <w:caps/>
      <w:u w:val="single"/>
    </w:rPr>
  </w:style>
  <w:style w:type="paragraph" w:styleId="Titre3">
    <w:name w:val="heading 3"/>
    <w:basedOn w:val="Normal"/>
    <w:next w:val="Paragrdouble"/>
    <w:qFormat/>
    <w:rsid w:val="00AF1575"/>
    <w:pPr>
      <w:keepNext/>
      <w:numPr>
        <w:ilvl w:val="1"/>
        <w:numId w:val="4"/>
      </w:numPr>
      <w:spacing w:before="240" w:after="60"/>
      <w:outlineLvl w:val="2"/>
    </w:pPr>
    <w:rPr>
      <w:b/>
    </w:rPr>
  </w:style>
  <w:style w:type="paragraph" w:styleId="Titre4">
    <w:name w:val="heading 4"/>
    <w:basedOn w:val="Normal"/>
    <w:next w:val="Paragrdouble"/>
    <w:qFormat/>
    <w:rsid w:val="00AF1575"/>
    <w:pPr>
      <w:keepNext/>
      <w:numPr>
        <w:ilvl w:val="2"/>
        <w:numId w:val="4"/>
      </w:numPr>
      <w:spacing w:before="240" w:after="60"/>
      <w:ind w:left="1985" w:hanging="851"/>
      <w:outlineLvl w:val="3"/>
    </w:pPr>
    <w:rPr>
      <w:b/>
    </w:rPr>
  </w:style>
  <w:style w:type="paragraph" w:styleId="Titre5">
    <w:name w:val="heading 5"/>
    <w:basedOn w:val="Titre4"/>
    <w:next w:val="Paragrdouble"/>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3"/>
      </w:numPr>
      <w:spacing w:before="240" w:after="60"/>
      <w:outlineLvl w:val="6"/>
    </w:pPr>
    <w:rPr>
      <w:sz w:val="20"/>
    </w:rPr>
  </w:style>
  <w:style w:type="paragraph" w:styleId="Titre8">
    <w:name w:val="heading 8"/>
    <w:basedOn w:val="Normal"/>
    <w:next w:val="Normal"/>
    <w:qFormat/>
    <w:pPr>
      <w:numPr>
        <w:ilvl w:val="7"/>
        <w:numId w:val="3"/>
      </w:numPr>
      <w:spacing w:before="240" w:after="60"/>
      <w:outlineLvl w:val="7"/>
    </w:pPr>
    <w:rPr>
      <w:i/>
      <w:sz w:val="20"/>
    </w:rPr>
  </w:style>
  <w:style w:type="paragraph" w:styleId="Titre9">
    <w:name w:val="heading 9"/>
    <w:basedOn w:val="Normal"/>
    <w:next w:val="Normal"/>
    <w:qFormat/>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2"/>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2"/>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4"/>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BA153A"/>
  </w:style>
  <w:style w:type="paragraph" w:styleId="TM2">
    <w:name w:val="toc 2"/>
    <w:basedOn w:val="Normal"/>
    <w:next w:val="Normal"/>
    <w:autoRedefine/>
    <w:uiPriority w:val="39"/>
    <w:unhideWhenUsed/>
    <w:rsid w:val="00E51AE5"/>
    <w:pPr>
      <w:tabs>
        <w:tab w:val="left" w:pos="720"/>
        <w:tab w:val="right" w:leader="dot" w:pos="9498"/>
      </w:tabs>
      <w:ind w:left="709" w:hanging="425"/>
    </w:pPr>
    <w:rPr>
      <w:noProof/>
      <w:sz w:val="22"/>
      <w:szCs w:val="22"/>
    </w:rPr>
  </w:style>
  <w:style w:type="paragraph" w:styleId="TM3">
    <w:name w:val="toc 3"/>
    <w:basedOn w:val="Normal"/>
    <w:next w:val="Normal"/>
    <w:autoRedefine/>
    <w:uiPriority w:val="39"/>
    <w:unhideWhenUsed/>
    <w:rsid w:val="00BA153A"/>
    <w:pPr>
      <w:ind w:left="480"/>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paragraph" w:styleId="En-tte">
    <w:name w:val="header"/>
    <w:basedOn w:val="Normal"/>
    <w:link w:val="En-tteCar"/>
    <w:uiPriority w:val="99"/>
    <w:unhideWhenUsed/>
    <w:rsid w:val="0039384A"/>
    <w:pPr>
      <w:tabs>
        <w:tab w:val="center" w:pos="4320"/>
        <w:tab w:val="right" w:pos="8640"/>
      </w:tabs>
    </w:pPr>
  </w:style>
  <w:style w:type="character" w:customStyle="1" w:styleId="En-tteCar">
    <w:name w:val="En-tête Car"/>
    <w:basedOn w:val="Policepardfaut"/>
    <w:link w:val="En-tte"/>
    <w:uiPriority w:val="99"/>
    <w:rsid w:val="0039384A"/>
    <w:rPr>
      <w:rFonts w:ascii="Arial" w:hAnsi="Arial"/>
      <w:sz w:val="24"/>
      <w:lang w:eastAsia="fr-FR"/>
    </w:rPr>
  </w:style>
  <w:style w:type="paragraph" w:styleId="Pieddepage">
    <w:name w:val="footer"/>
    <w:basedOn w:val="Normal"/>
    <w:link w:val="PieddepageCar"/>
    <w:uiPriority w:val="99"/>
    <w:unhideWhenUsed/>
    <w:rsid w:val="0039384A"/>
    <w:pPr>
      <w:tabs>
        <w:tab w:val="center" w:pos="4320"/>
        <w:tab w:val="right" w:pos="8640"/>
      </w:tabs>
    </w:pPr>
  </w:style>
  <w:style w:type="character" w:customStyle="1" w:styleId="PieddepageCar">
    <w:name w:val="Pied de page Car"/>
    <w:basedOn w:val="Policepardfaut"/>
    <w:link w:val="Pieddepage"/>
    <w:uiPriority w:val="99"/>
    <w:rsid w:val="0039384A"/>
    <w:rPr>
      <w:rFonts w:ascii="Arial" w:hAnsi="Arial"/>
      <w:sz w:val="24"/>
      <w:lang w:eastAsia="fr-FR"/>
    </w:rPr>
  </w:style>
  <w:style w:type="character" w:styleId="Appelnotedebasdep">
    <w:name w:val="footnote reference"/>
    <w:basedOn w:val="Policepardfaut"/>
    <w:uiPriority w:val="99"/>
    <w:unhideWhenUsed/>
    <w:rsid w:val="00867942"/>
    <w:rPr>
      <w:vertAlign w:val="superscript"/>
    </w:rPr>
  </w:style>
  <w:style w:type="paragraph" w:styleId="Paragraphedeliste">
    <w:name w:val="List Paragraph"/>
    <w:basedOn w:val="Normal"/>
    <w:uiPriority w:val="34"/>
    <w:qFormat/>
    <w:rsid w:val="00045ABA"/>
    <w:pPr>
      <w:ind w:left="720"/>
      <w:contextualSpacing/>
    </w:pPr>
  </w:style>
  <w:style w:type="paragraph" w:styleId="NormalWeb">
    <w:name w:val="Normal (Web)"/>
    <w:basedOn w:val="Normal"/>
    <w:uiPriority w:val="99"/>
    <w:semiHidden/>
    <w:unhideWhenUsed/>
    <w:rsid w:val="0086245E"/>
    <w:pPr>
      <w:spacing w:before="100" w:beforeAutospacing="1" w:after="100" w:afterAutospacing="1"/>
    </w:pPr>
    <w:rPr>
      <w:rFonts w:ascii="Times New Roman" w:hAnsi="Times New Roman"/>
      <w:szCs w:val="24"/>
      <w:lang w:eastAsia="fr-CA"/>
    </w:rPr>
  </w:style>
  <w:style w:type="character" w:styleId="Mentionnonrsolue">
    <w:name w:val="Unresolved Mention"/>
    <w:basedOn w:val="Policepardfaut"/>
    <w:uiPriority w:val="99"/>
    <w:semiHidden/>
    <w:unhideWhenUsed/>
    <w:rsid w:val="001C033B"/>
    <w:rPr>
      <w:color w:val="605E5C"/>
      <w:shd w:val="clear" w:color="auto" w:fill="E1DFDD"/>
    </w:rPr>
  </w:style>
  <w:style w:type="character" w:customStyle="1" w:styleId="texte-preamble">
    <w:name w:val="texte-preamble"/>
    <w:basedOn w:val="Policepardfaut"/>
    <w:rsid w:val="00093C49"/>
  </w:style>
  <w:style w:type="character" w:customStyle="1" w:styleId="subsection">
    <w:name w:val="subsection"/>
    <w:basedOn w:val="Policepardfaut"/>
    <w:rsid w:val="004A73DA"/>
  </w:style>
  <w:style w:type="character" w:customStyle="1" w:styleId="NotedebasdepageCar">
    <w:name w:val="Note de bas de page Car"/>
    <w:link w:val="Notedebasdepage"/>
    <w:rsid w:val="007A7C79"/>
    <w:rPr>
      <w:rFonts w:ascii="Arial" w:hAnsi="Arial"/>
      <w:lang w:eastAsia="fr-FR"/>
    </w:rPr>
  </w:style>
  <w:style w:type="paragraph" w:styleId="Citation">
    <w:name w:val="Quote"/>
    <w:basedOn w:val="Normal"/>
    <w:link w:val="CitationCar"/>
    <w:uiPriority w:val="29"/>
    <w:qFormat/>
    <w:rsid w:val="007A7C79"/>
    <w:pPr>
      <w:spacing w:after="240"/>
      <w:ind w:left="567" w:right="590"/>
      <w:jc w:val="both"/>
    </w:pPr>
    <w:rPr>
      <w:rFonts w:ascii="Times New Roman" w:hAnsi="Times New Roman"/>
      <w:sz w:val="22"/>
    </w:rPr>
  </w:style>
  <w:style w:type="character" w:customStyle="1" w:styleId="CitationCar">
    <w:name w:val="Citation Car"/>
    <w:basedOn w:val="Policepardfaut"/>
    <w:link w:val="Citation"/>
    <w:uiPriority w:val="29"/>
    <w:rsid w:val="007A7C79"/>
    <w:rPr>
      <w:sz w:val="22"/>
      <w:lang w:eastAsia="fr-FR"/>
    </w:rPr>
  </w:style>
  <w:style w:type="paragraph" w:customStyle="1" w:styleId="Texte">
    <w:name w:val="Texte"/>
    <w:basedOn w:val="Normal"/>
    <w:link w:val="TexteCar"/>
    <w:qFormat/>
    <w:rsid w:val="007A7C79"/>
    <w:pPr>
      <w:spacing w:after="240" w:line="360" w:lineRule="auto"/>
      <w:jc w:val="both"/>
    </w:pPr>
    <w:rPr>
      <w:rFonts w:ascii="Times New Roman" w:hAnsi="Times New Roman"/>
    </w:rPr>
  </w:style>
  <w:style w:type="paragraph" w:customStyle="1" w:styleId="Citation2">
    <w:name w:val="Citation 2"/>
    <w:basedOn w:val="Citation"/>
    <w:next w:val="Texte"/>
    <w:uiPriority w:val="29"/>
    <w:qFormat/>
    <w:rsid w:val="007A7C79"/>
    <w:pPr>
      <w:spacing w:after="360"/>
    </w:pPr>
  </w:style>
  <w:style w:type="character" w:customStyle="1" w:styleId="TexteCar">
    <w:name w:val="Texte Car"/>
    <w:link w:val="Texte"/>
    <w:rsid w:val="007A7C79"/>
    <w:rPr>
      <w:sz w:val="24"/>
      <w:lang w:eastAsia="fr-FR"/>
    </w:rPr>
  </w:style>
  <w:style w:type="paragraph" w:customStyle="1" w:styleId="Paragraphe">
    <w:name w:val="Paragraphe"/>
    <w:basedOn w:val="Normal"/>
    <w:link w:val="ParagrapheCar"/>
    <w:rsid w:val="00630520"/>
    <w:pPr>
      <w:spacing w:before="120" w:after="120"/>
      <w:jc w:val="both"/>
    </w:pPr>
    <w:rPr>
      <w:rFonts w:cs="Arial"/>
      <w:szCs w:val="24"/>
      <w:lang w:eastAsia="fr-CA"/>
    </w:rPr>
  </w:style>
  <w:style w:type="table" w:styleId="Grilledutableau">
    <w:name w:val="Table Grid"/>
    <w:basedOn w:val="TableauNormal"/>
    <w:uiPriority w:val="59"/>
    <w:rsid w:val="00F2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Car">
    <w:name w:val="Paragraphe Car"/>
    <w:basedOn w:val="Policepardfaut"/>
    <w:link w:val="Paragraphe"/>
    <w:rsid w:val="00A66BAC"/>
    <w:rPr>
      <w:rFonts w:ascii="Arial" w:hAnsi="Arial" w:cs="Arial"/>
      <w:sz w:val="24"/>
      <w:szCs w:val="24"/>
    </w:rPr>
  </w:style>
  <w:style w:type="character" w:customStyle="1" w:styleId="label-section">
    <w:name w:val="label-section"/>
    <w:basedOn w:val="Policepardfaut"/>
    <w:rsid w:val="00111B5A"/>
  </w:style>
  <w:style w:type="character" w:customStyle="1" w:styleId="canliisection">
    <w:name w:val="canlii_section"/>
    <w:basedOn w:val="Policepardfaut"/>
    <w:rsid w:val="00111B5A"/>
  </w:style>
  <w:style w:type="character" w:customStyle="1" w:styleId="label-z">
    <w:name w:val="label-z"/>
    <w:basedOn w:val="Policepardfaut"/>
    <w:rsid w:val="00111B5A"/>
  </w:style>
  <w:style w:type="character" w:customStyle="1" w:styleId="widthfixforlabel">
    <w:name w:val="widthfixforlabel"/>
    <w:basedOn w:val="Policepardfaut"/>
    <w:rsid w:val="00111B5A"/>
  </w:style>
  <w:style w:type="character" w:customStyle="1" w:styleId="paragraph">
    <w:name w:val="paragraph"/>
    <w:basedOn w:val="Policepardfaut"/>
    <w:rsid w:val="00111B5A"/>
  </w:style>
  <w:style w:type="paragraph" w:customStyle="1" w:styleId="paragraphe0">
    <w:name w:val="paragraphe"/>
    <w:basedOn w:val="Normal"/>
    <w:rsid w:val="009E6381"/>
    <w:pPr>
      <w:spacing w:before="120" w:after="120" w:line="500" w:lineRule="atLeast"/>
      <w:jc w:val="both"/>
    </w:pPr>
    <w:rPr>
      <w:rFonts w:cs="Arial"/>
      <w:szCs w:val="24"/>
      <w:lang w:eastAsia="fr-CA"/>
    </w:rPr>
  </w:style>
  <w:style w:type="paragraph" w:customStyle="1" w:styleId="citationenretrait0">
    <w:name w:val="citationenretrait"/>
    <w:basedOn w:val="Normal"/>
    <w:rsid w:val="009E6381"/>
    <w:pPr>
      <w:spacing w:before="120" w:after="120" w:line="280" w:lineRule="atLeast"/>
      <w:ind w:left="720" w:right="720"/>
      <w:jc w:val="both"/>
    </w:pPr>
    <w:rPr>
      <w:rFonts w:cs="Arial"/>
      <w:sz w:val="22"/>
      <w:szCs w:val="22"/>
      <w:lang w:eastAsia="fr-CA"/>
    </w:rPr>
  </w:style>
  <w:style w:type="paragraph" w:styleId="Rvision">
    <w:name w:val="Revision"/>
    <w:hidden/>
    <w:uiPriority w:val="99"/>
    <w:semiHidden/>
    <w:rsid w:val="00C56256"/>
    <w:rPr>
      <w:rFonts w:ascii="Arial" w:hAnsi="Arial"/>
      <w:sz w:val="24"/>
      <w:lang w:eastAsia="fr-FR"/>
    </w:rPr>
  </w:style>
  <w:style w:type="paragraph" w:styleId="TM4">
    <w:name w:val="toc 4"/>
    <w:basedOn w:val="Normal"/>
    <w:next w:val="Normal"/>
    <w:autoRedefine/>
    <w:uiPriority w:val="39"/>
    <w:unhideWhenUsed/>
    <w:rsid w:val="008E7EE4"/>
    <w:pPr>
      <w:spacing w:after="100"/>
      <w:ind w:left="720"/>
    </w:pPr>
  </w:style>
  <w:style w:type="paragraph" w:styleId="TM5">
    <w:name w:val="toc 5"/>
    <w:basedOn w:val="Normal"/>
    <w:next w:val="Normal"/>
    <w:autoRedefine/>
    <w:uiPriority w:val="39"/>
    <w:unhideWhenUsed/>
    <w:rsid w:val="008E7EE4"/>
    <w:pPr>
      <w:spacing w:after="100"/>
      <w:ind w:left="960"/>
    </w:pPr>
  </w:style>
  <w:style w:type="paragraph" w:styleId="TM6">
    <w:name w:val="toc 6"/>
    <w:basedOn w:val="Normal"/>
    <w:next w:val="Normal"/>
    <w:autoRedefine/>
    <w:uiPriority w:val="39"/>
    <w:unhideWhenUsed/>
    <w:rsid w:val="00E51AE5"/>
    <w:pPr>
      <w:tabs>
        <w:tab w:val="left" w:pos="2354"/>
        <w:tab w:val="right" w:leader="dot" w:pos="9498"/>
      </w:tabs>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767">
      <w:bodyDiv w:val="1"/>
      <w:marLeft w:val="0"/>
      <w:marRight w:val="0"/>
      <w:marTop w:val="0"/>
      <w:marBottom w:val="0"/>
      <w:divBdr>
        <w:top w:val="none" w:sz="0" w:space="0" w:color="auto"/>
        <w:left w:val="none" w:sz="0" w:space="0" w:color="auto"/>
        <w:bottom w:val="none" w:sz="0" w:space="0" w:color="auto"/>
        <w:right w:val="none" w:sz="0" w:space="0" w:color="auto"/>
      </w:divBdr>
      <w:divsChild>
        <w:div w:id="1958173804">
          <w:marLeft w:val="0"/>
          <w:marRight w:val="0"/>
          <w:marTop w:val="219"/>
          <w:marBottom w:val="0"/>
          <w:divBdr>
            <w:top w:val="none" w:sz="0" w:space="0" w:color="auto"/>
            <w:left w:val="none" w:sz="0" w:space="0" w:color="auto"/>
            <w:bottom w:val="none" w:sz="0" w:space="0" w:color="auto"/>
            <w:right w:val="none" w:sz="0" w:space="0" w:color="auto"/>
          </w:divBdr>
          <w:divsChild>
            <w:div w:id="180289986">
              <w:marLeft w:val="0"/>
              <w:marRight w:val="0"/>
              <w:marTop w:val="0"/>
              <w:marBottom w:val="0"/>
              <w:divBdr>
                <w:top w:val="none" w:sz="0" w:space="0" w:color="auto"/>
                <w:left w:val="none" w:sz="0" w:space="0" w:color="auto"/>
                <w:bottom w:val="none" w:sz="0" w:space="0" w:color="auto"/>
                <w:right w:val="none" w:sz="0" w:space="0" w:color="auto"/>
              </w:divBdr>
              <w:divsChild>
                <w:div w:id="1791318606">
                  <w:marLeft w:val="0"/>
                  <w:marRight w:val="0"/>
                  <w:marTop w:val="219"/>
                  <w:marBottom w:val="240"/>
                  <w:divBdr>
                    <w:top w:val="none" w:sz="0" w:space="0" w:color="auto"/>
                    <w:left w:val="none" w:sz="0" w:space="0" w:color="auto"/>
                    <w:bottom w:val="none" w:sz="0" w:space="0" w:color="auto"/>
                    <w:right w:val="none" w:sz="0" w:space="0" w:color="auto"/>
                  </w:divBdr>
                </w:div>
              </w:divsChild>
            </w:div>
            <w:div w:id="1860584676">
              <w:marLeft w:val="0"/>
              <w:marRight w:val="0"/>
              <w:marTop w:val="240"/>
              <w:marBottom w:val="0"/>
              <w:divBdr>
                <w:top w:val="none" w:sz="0" w:space="0" w:color="auto"/>
                <w:left w:val="none" w:sz="0" w:space="0" w:color="auto"/>
                <w:bottom w:val="none" w:sz="0" w:space="0" w:color="auto"/>
                <w:right w:val="none" w:sz="0" w:space="0" w:color="auto"/>
              </w:divBdr>
            </w:div>
          </w:divsChild>
        </w:div>
        <w:div w:id="1588033531">
          <w:marLeft w:val="0"/>
          <w:marRight w:val="0"/>
          <w:marTop w:val="219"/>
          <w:marBottom w:val="0"/>
          <w:divBdr>
            <w:top w:val="none" w:sz="0" w:space="0" w:color="auto"/>
            <w:left w:val="none" w:sz="0" w:space="0" w:color="auto"/>
            <w:bottom w:val="none" w:sz="0" w:space="0" w:color="auto"/>
            <w:right w:val="none" w:sz="0" w:space="0" w:color="auto"/>
          </w:divBdr>
          <w:divsChild>
            <w:div w:id="1768383594">
              <w:marLeft w:val="0"/>
              <w:marRight w:val="0"/>
              <w:marTop w:val="0"/>
              <w:marBottom w:val="0"/>
              <w:divBdr>
                <w:top w:val="none" w:sz="0" w:space="0" w:color="auto"/>
                <w:left w:val="none" w:sz="0" w:space="0" w:color="auto"/>
                <w:bottom w:val="none" w:sz="0" w:space="0" w:color="auto"/>
                <w:right w:val="none" w:sz="0" w:space="0" w:color="auto"/>
              </w:divBdr>
              <w:divsChild>
                <w:div w:id="1186793822">
                  <w:marLeft w:val="0"/>
                  <w:marRight w:val="0"/>
                  <w:marTop w:val="219"/>
                  <w:marBottom w:val="240"/>
                  <w:divBdr>
                    <w:top w:val="none" w:sz="0" w:space="0" w:color="auto"/>
                    <w:left w:val="none" w:sz="0" w:space="0" w:color="auto"/>
                    <w:bottom w:val="none" w:sz="0" w:space="0" w:color="auto"/>
                    <w:right w:val="none" w:sz="0" w:space="0" w:color="auto"/>
                  </w:divBdr>
                </w:div>
              </w:divsChild>
            </w:div>
          </w:divsChild>
        </w:div>
      </w:divsChild>
    </w:div>
    <w:div w:id="115223034">
      <w:bodyDiv w:val="1"/>
      <w:marLeft w:val="0"/>
      <w:marRight w:val="0"/>
      <w:marTop w:val="0"/>
      <w:marBottom w:val="0"/>
      <w:divBdr>
        <w:top w:val="none" w:sz="0" w:space="0" w:color="auto"/>
        <w:left w:val="none" w:sz="0" w:space="0" w:color="auto"/>
        <w:bottom w:val="none" w:sz="0" w:space="0" w:color="auto"/>
        <w:right w:val="none" w:sz="0" w:space="0" w:color="auto"/>
      </w:divBdr>
      <w:divsChild>
        <w:div w:id="314262046">
          <w:marLeft w:val="0"/>
          <w:marRight w:val="0"/>
          <w:marTop w:val="284"/>
          <w:marBottom w:val="284"/>
          <w:divBdr>
            <w:top w:val="none" w:sz="0" w:space="0" w:color="auto"/>
            <w:left w:val="none" w:sz="0" w:space="0" w:color="auto"/>
            <w:bottom w:val="none" w:sz="0" w:space="0" w:color="auto"/>
            <w:right w:val="none" w:sz="0" w:space="0" w:color="auto"/>
          </w:divBdr>
          <w:divsChild>
            <w:div w:id="1145315888">
              <w:marLeft w:val="0"/>
              <w:marRight w:val="0"/>
              <w:marTop w:val="240"/>
              <w:marBottom w:val="0"/>
              <w:divBdr>
                <w:top w:val="none" w:sz="0" w:space="0" w:color="auto"/>
                <w:left w:val="none" w:sz="0" w:space="0" w:color="auto"/>
                <w:bottom w:val="none" w:sz="0" w:space="0" w:color="auto"/>
                <w:right w:val="none" w:sz="0" w:space="0" w:color="auto"/>
              </w:divBdr>
            </w:div>
          </w:divsChild>
        </w:div>
        <w:div w:id="354889632">
          <w:marLeft w:val="0"/>
          <w:marRight w:val="0"/>
          <w:marTop w:val="219"/>
          <w:marBottom w:val="219"/>
          <w:divBdr>
            <w:top w:val="none" w:sz="0" w:space="0" w:color="auto"/>
            <w:left w:val="none" w:sz="0" w:space="0" w:color="auto"/>
            <w:bottom w:val="none" w:sz="0" w:space="0" w:color="auto"/>
            <w:right w:val="none" w:sz="0" w:space="0" w:color="auto"/>
          </w:divBdr>
        </w:div>
      </w:divsChild>
    </w:div>
    <w:div w:id="196898096">
      <w:bodyDiv w:val="1"/>
      <w:marLeft w:val="0"/>
      <w:marRight w:val="0"/>
      <w:marTop w:val="0"/>
      <w:marBottom w:val="0"/>
      <w:divBdr>
        <w:top w:val="none" w:sz="0" w:space="0" w:color="auto"/>
        <w:left w:val="none" w:sz="0" w:space="0" w:color="auto"/>
        <w:bottom w:val="none" w:sz="0" w:space="0" w:color="auto"/>
        <w:right w:val="none" w:sz="0" w:space="0" w:color="auto"/>
      </w:divBdr>
    </w:div>
    <w:div w:id="293098097">
      <w:bodyDiv w:val="1"/>
      <w:marLeft w:val="0"/>
      <w:marRight w:val="0"/>
      <w:marTop w:val="0"/>
      <w:marBottom w:val="0"/>
      <w:divBdr>
        <w:top w:val="none" w:sz="0" w:space="0" w:color="auto"/>
        <w:left w:val="none" w:sz="0" w:space="0" w:color="auto"/>
        <w:bottom w:val="none" w:sz="0" w:space="0" w:color="auto"/>
        <w:right w:val="none" w:sz="0" w:space="0" w:color="auto"/>
      </w:divBdr>
    </w:div>
    <w:div w:id="614755096">
      <w:bodyDiv w:val="1"/>
      <w:marLeft w:val="0"/>
      <w:marRight w:val="0"/>
      <w:marTop w:val="0"/>
      <w:marBottom w:val="0"/>
      <w:divBdr>
        <w:top w:val="none" w:sz="0" w:space="0" w:color="auto"/>
        <w:left w:val="none" w:sz="0" w:space="0" w:color="auto"/>
        <w:bottom w:val="none" w:sz="0" w:space="0" w:color="auto"/>
        <w:right w:val="none" w:sz="0" w:space="0" w:color="auto"/>
      </w:divBdr>
    </w:div>
    <w:div w:id="808134583">
      <w:bodyDiv w:val="1"/>
      <w:marLeft w:val="0"/>
      <w:marRight w:val="0"/>
      <w:marTop w:val="0"/>
      <w:marBottom w:val="0"/>
      <w:divBdr>
        <w:top w:val="none" w:sz="0" w:space="0" w:color="auto"/>
        <w:left w:val="none" w:sz="0" w:space="0" w:color="auto"/>
        <w:bottom w:val="none" w:sz="0" w:space="0" w:color="auto"/>
        <w:right w:val="none" w:sz="0" w:space="0" w:color="auto"/>
      </w:divBdr>
    </w:div>
    <w:div w:id="939872180">
      <w:bodyDiv w:val="1"/>
      <w:marLeft w:val="0"/>
      <w:marRight w:val="0"/>
      <w:marTop w:val="0"/>
      <w:marBottom w:val="0"/>
      <w:divBdr>
        <w:top w:val="none" w:sz="0" w:space="0" w:color="auto"/>
        <w:left w:val="none" w:sz="0" w:space="0" w:color="auto"/>
        <w:bottom w:val="none" w:sz="0" w:space="0" w:color="auto"/>
        <w:right w:val="none" w:sz="0" w:space="0" w:color="auto"/>
      </w:divBdr>
      <w:divsChild>
        <w:div w:id="397679563">
          <w:marLeft w:val="0"/>
          <w:marRight w:val="0"/>
          <w:marTop w:val="0"/>
          <w:marBottom w:val="0"/>
          <w:divBdr>
            <w:top w:val="none" w:sz="0" w:space="0" w:color="auto"/>
            <w:left w:val="none" w:sz="0" w:space="0" w:color="auto"/>
            <w:bottom w:val="none" w:sz="0" w:space="0" w:color="auto"/>
            <w:right w:val="none" w:sz="0" w:space="0" w:color="auto"/>
          </w:divBdr>
          <w:divsChild>
            <w:div w:id="1652052581">
              <w:marLeft w:val="0"/>
              <w:marRight w:val="0"/>
              <w:marTop w:val="0"/>
              <w:marBottom w:val="0"/>
              <w:divBdr>
                <w:top w:val="none" w:sz="0" w:space="0" w:color="auto"/>
                <w:left w:val="none" w:sz="0" w:space="0" w:color="auto"/>
                <w:bottom w:val="none" w:sz="0" w:space="0" w:color="auto"/>
                <w:right w:val="none" w:sz="0" w:space="0" w:color="auto"/>
              </w:divBdr>
              <w:divsChild>
                <w:div w:id="1242639846">
                  <w:marLeft w:val="0"/>
                  <w:marRight w:val="0"/>
                  <w:marTop w:val="0"/>
                  <w:marBottom w:val="0"/>
                  <w:divBdr>
                    <w:top w:val="none" w:sz="0" w:space="0" w:color="auto"/>
                    <w:left w:val="none" w:sz="0" w:space="0" w:color="auto"/>
                    <w:bottom w:val="none" w:sz="0" w:space="0" w:color="auto"/>
                    <w:right w:val="none" w:sz="0" w:space="0" w:color="auto"/>
                  </w:divBdr>
                  <w:divsChild>
                    <w:div w:id="303506937">
                      <w:marLeft w:val="0"/>
                      <w:marRight w:val="0"/>
                      <w:marTop w:val="0"/>
                      <w:marBottom w:val="0"/>
                      <w:divBdr>
                        <w:top w:val="none" w:sz="0" w:space="0" w:color="auto"/>
                        <w:left w:val="none" w:sz="0" w:space="0" w:color="auto"/>
                        <w:bottom w:val="none" w:sz="0" w:space="0" w:color="auto"/>
                        <w:right w:val="none" w:sz="0" w:space="0" w:color="auto"/>
                      </w:divBdr>
                      <w:divsChild>
                        <w:div w:id="7770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6661">
      <w:bodyDiv w:val="1"/>
      <w:marLeft w:val="0"/>
      <w:marRight w:val="0"/>
      <w:marTop w:val="0"/>
      <w:marBottom w:val="0"/>
      <w:divBdr>
        <w:top w:val="none" w:sz="0" w:space="0" w:color="auto"/>
        <w:left w:val="none" w:sz="0" w:space="0" w:color="auto"/>
        <w:bottom w:val="none" w:sz="0" w:space="0" w:color="auto"/>
        <w:right w:val="none" w:sz="0" w:space="0" w:color="auto"/>
      </w:divBdr>
      <w:divsChild>
        <w:div w:id="1363629348">
          <w:marLeft w:val="0"/>
          <w:marRight w:val="0"/>
          <w:marTop w:val="219"/>
          <w:marBottom w:val="0"/>
          <w:divBdr>
            <w:top w:val="none" w:sz="0" w:space="0" w:color="auto"/>
            <w:left w:val="none" w:sz="0" w:space="0" w:color="auto"/>
            <w:bottom w:val="none" w:sz="0" w:space="0" w:color="auto"/>
            <w:right w:val="none" w:sz="0" w:space="0" w:color="auto"/>
          </w:divBdr>
          <w:divsChild>
            <w:div w:id="293340955">
              <w:marLeft w:val="0"/>
              <w:marRight w:val="0"/>
              <w:marTop w:val="0"/>
              <w:marBottom w:val="0"/>
              <w:divBdr>
                <w:top w:val="none" w:sz="0" w:space="0" w:color="auto"/>
                <w:left w:val="none" w:sz="0" w:space="0" w:color="auto"/>
                <w:bottom w:val="none" w:sz="0" w:space="0" w:color="auto"/>
                <w:right w:val="none" w:sz="0" w:space="0" w:color="auto"/>
              </w:divBdr>
              <w:divsChild>
                <w:div w:id="1396972033">
                  <w:marLeft w:val="0"/>
                  <w:marRight w:val="0"/>
                  <w:marTop w:val="219"/>
                  <w:marBottom w:val="240"/>
                  <w:divBdr>
                    <w:top w:val="none" w:sz="0" w:space="0" w:color="auto"/>
                    <w:left w:val="none" w:sz="0" w:space="0" w:color="auto"/>
                    <w:bottom w:val="none" w:sz="0" w:space="0" w:color="auto"/>
                    <w:right w:val="none" w:sz="0" w:space="0" w:color="auto"/>
                  </w:divBdr>
                  <w:divsChild>
                    <w:div w:id="977537817">
                      <w:marLeft w:val="0"/>
                      <w:marRight w:val="0"/>
                      <w:marTop w:val="219"/>
                      <w:marBottom w:val="0"/>
                      <w:divBdr>
                        <w:top w:val="none" w:sz="0" w:space="0" w:color="auto"/>
                        <w:left w:val="none" w:sz="0" w:space="0" w:color="auto"/>
                        <w:bottom w:val="none" w:sz="0" w:space="0" w:color="auto"/>
                        <w:right w:val="none" w:sz="0" w:space="0" w:color="auto"/>
                      </w:divBdr>
                    </w:div>
                  </w:divsChild>
                </w:div>
                <w:div w:id="487332195">
                  <w:marLeft w:val="0"/>
                  <w:marRight w:val="0"/>
                  <w:marTop w:val="219"/>
                  <w:marBottom w:val="0"/>
                  <w:divBdr>
                    <w:top w:val="none" w:sz="0" w:space="0" w:color="auto"/>
                    <w:left w:val="none" w:sz="0" w:space="0" w:color="auto"/>
                    <w:bottom w:val="none" w:sz="0" w:space="0" w:color="auto"/>
                    <w:right w:val="none" w:sz="0" w:space="0" w:color="auto"/>
                  </w:divBdr>
                </w:div>
                <w:div w:id="2051105363">
                  <w:marLeft w:val="0"/>
                  <w:marRight w:val="0"/>
                  <w:marTop w:val="219"/>
                  <w:marBottom w:val="0"/>
                  <w:divBdr>
                    <w:top w:val="none" w:sz="0" w:space="0" w:color="auto"/>
                    <w:left w:val="none" w:sz="0" w:space="0" w:color="auto"/>
                    <w:bottom w:val="none" w:sz="0" w:space="0" w:color="auto"/>
                    <w:right w:val="none" w:sz="0" w:space="0" w:color="auto"/>
                  </w:divBdr>
                </w:div>
                <w:div w:id="1078140050">
                  <w:marLeft w:val="0"/>
                  <w:marRight w:val="0"/>
                  <w:marTop w:val="219"/>
                  <w:marBottom w:val="0"/>
                  <w:divBdr>
                    <w:top w:val="none" w:sz="0" w:space="0" w:color="auto"/>
                    <w:left w:val="none" w:sz="0" w:space="0" w:color="auto"/>
                    <w:bottom w:val="none" w:sz="0" w:space="0" w:color="auto"/>
                    <w:right w:val="none" w:sz="0" w:space="0" w:color="auto"/>
                  </w:divBdr>
                </w:div>
              </w:divsChild>
            </w:div>
            <w:div w:id="230193783">
              <w:marLeft w:val="0"/>
              <w:marRight w:val="0"/>
              <w:marTop w:val="240"/>
              <w:marBottom w:val="0"/>
              <w:divBdr>
                <w:top w:val="none" w:sz="0" w:space="0" w:color="auto"/>
                <w:left w:val="none" w:sz="0" w:space="0" w:color="auto"/>
                <w:bottom w:val="none" w:sz="0" w:space="0" w:color="auto"/>
                <w:right w:val="none" w:sz="0" w:space="0" w:color="auto"/>
              </w:divBdr>
            </w:div>
          </w:divsChild>
        </w:div>
        <w:div w:id="1012419594">
          <w:marLeft w:val="0"/>
          <w:marRight w:val="0"/>
          <w:marTop w:val="219"/>
          <w:marBottom w:val="0"/>
          <w:divBdr>
            <w:top w:val="none" w:sz="0" w:space="0" w:color="auto"/>
            <w:left w:val="none" w:sz="0" w:space="0" w:color="auto"/>
            <w:bottom w:val="none" w:sz="0" w:space="0" w:color="auto"/>
            <w:right w:val="none" w:sz="0" w:space="0" w:color="auto"/>
          </w:divBdr>
          <w:divsChild>
            <w:div w:id="119765233">
              <w:marLeft w:val="0"/>
              <w:marRight w:val="0"/>
              <w:marTop w:val="0"/>
              <w:marBottom w:val="0"/>
              <w:divBdr>
                <w:top w:val="none" w:sz="0" w:space="0" w:color="auto"/>
                <w:left w:val="none" w:sz="0" w:space="0" w:color="auto"/>
                <w:bottom w:val="none" w:sz="0" w:space="0" w:color="auto"/>
                <w:right w:val="none" w:sz="0" w:space="0" w:color="auto"/>
              </w:divBdr>
              <w:divsChild>
                <w:div w:id="2136823831">
                  <w:marLeft w:val="0"/>
                  <w:marRight w:val="0"/>
                  <w:marTop w:val="219"/>
                  <w:marBottom w:val="240"/>
                  <w:divBdr>
                    <w:top w:val="none" w:sz="0" w:space="0" w:color="auto"/>
                    <w:left w:val="none" w:sz="0" w:space="0" w:color="auto"/>
                    <w:bottom w:val="none" w:sz="0" w:space="0" w:color="auto"/>
                    <w:right w:val="none" w:sz="0" w:space="0" w:color="auto"/>
                  </w:divBdr>
                  <w:divsChild>
                    <w:div w:id="1731921994">
                      <w:marLeft w:val="0"/>
                      <w:marRight w:val="0"/>
                      <w:marTop w:val="219"/>
                      <w:marBottom w:val="0"/>
                      <w:divBdr>
                        <w:top w:val="none" w:sz="0" w:space="0" w:color="auto"/>
                        <w:left w:val="none" w:sz="0" w:space="0" w:color="auto"/>
                        <w:bottom w:val="none" w:sz="0" w:space="0" w:color="auto"/>
                        <w:right w:val="none" w:sz="0" w:space="0" w:color="auto"/>
                      </w:divBdr>
                    </w:div>
                  </w:divsChild>
                </w:div>
                <w:div w:id="288243620">
                  <w:marLeft w:val="0"/>
                  <w:marRight w:val="0"/>
                  <w:marTop w:val="219"/>
                  <w:marBottom w:val="0"/>
                  <w:divBdr>
                    <w:top w:val="none" w:sz="0" w:space="0" w:color="auto"/>
                    <w:left w:val="none" w:sz="0" w:space="0" w:color="auto"/>
                    <w:bottom w:val="none" w:sz="0" w:space="0" w:color="auto"/>
                    <w:right w:val="none" w:sz="0" w:space="0" w:color="auto"/>
                  </w:divBdr>
                </w:div>
                <w:div w:id="47145150">
                  <w:marLeft w:val="0"/>
                  <w:marRight w:val="0"/>
                  <w:marTop w:val="219"/>
                  <w:marBottom w:val="0"/>
                  <w:divBdr>
                    <w:top w:val="none" w:sz="0" w:space="0" w:color="auto"/>
                    <w:left w:val="none" w:sz="0" w:space="0" w:color="auto"/>
                    <w:bottom w:val="none" w:sz="0" w:space="0" w:color="auto"/>
                    <w:right w:val="none" w:sz="0" w:space="0" w:color="auto"/>
                  </w:divBdr>
                </w:div>
              </w:divsChild>
            </w:div>
            <w:div w:id="1634016006">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 w:id="1222982519">
      <w:bodyDiv w:val="1"/>
      <w:marLeft w:val="0"/>
      <w:marRight w:val="0"/>
      <w:marTop w:val="0"/>
      <w:marBottom w:val="0"/>
      <w:divBdr>
        <w:top w:val="none" w:sz="0" w:space="0" w:color="auto"/>
        <w:left w:val="none" w:sz="0" w:space="0" w:color="auto"/>
        <w:bottom w:val="none" w:sz="0" w:space="0" w:color="auto"/>
        <w:right w:val="none" w:sz="0" w:space="0" w:color="auto"/>
      </w:divBdr>
      <w:divsChild>
        <w:div w:id="1561592110">
          <w:marLeft w:val="0"/>
          <w:marRight w:val="0"/>
          <w:marTop w:val="0"/>
          <w:marBottom w:val="0"/>
          <w:divBdr>
            <w:top w:val="none" w:sz="0" w:space="0" w:color="auto"/>
            <w:left w:val="none" w:sz="0" w:space="0" w:color="auto"/>
            <w:bottom w:val="none" w:sz="0" w:space="0" w:color="auto"/>
            <w:right w:val="none" w:sz="0" w:space="0" w:color="auto"/>
          </w:divBdr>
        </w:div>
      </w:divsChild>
    </w:div>
    <w:div w:id="1235698640">
      <w:bodyDiv w:val="1"/>
      <w:marLeft w:val="0"/>
      <w:marRight w:val="0"/>
      <w:marTop w:val="0"/>
      <w:marBottom w:val="0"/>
      <w:divBdr>
        <w:top w:val="none" w:sz="0" w:space="0" w:color="auto"/>
        <w:left w:val="none" w:sz="0" w:space="0" w:color="auto"/>
        <w:bottom w:val="none" w:sz="0" w:space="0" w:color="auto"/>
        <w:right w:val="none" w:sz="0" w:space="0" w:color="auto"/>
      </w:divBdr>
    </w:div>
    <w:div w:id="1423719744">
      <w:bodyDiv w:val="1"/>
      <w:marLeft w:val="0"/>
      <w:marRight w:val="0"/>
      <w:marTop w:val="0"/>
      <w:marBottom w:val="0"/>
      <w:divBdr>
        <w:top w:val="none" w:sz="0" w:space="0" w:color="auto"/>
        <w:left w:val="none" w:sz="0" w:space="0" w:color="auto"/>
        <w:bottom w:val="none" w:sz="0" w:space="0" w:color="auto"/>
        <w:right w:val="none" w:sz="0" w:space="0" w:color="auto"/>
      </w:divBdr>
    </w:div>
    <w:div w:id="1494566065">
      <w:bodyDiv w:val="1"/>
      <w:marLeft w:val="0"/>
      <w:marRight w:val="0"/>
      <w:marTop w:val="0"/>
      <w:marBottom w:val="0"/>
      <w:divBdr>
        <w:top w:val="none" w:sz="0" w:space="0" w:color="auto"/>
        <w:left w:val="none" w:sz="0" w:space="0" w:color="auto"/>
        <w:bottom w:val="none" w:sz="0" w:space="0" w:color="auto"/>
        <w:right w:val="none" w:sz="0" w:space="0" w:color="auto"/>
      </w:divBdr>
    </w:div>
    <w:div w:id="1506358546">
      <w:bodyDiv w:val="1"/>
      <w:marLeft w:val="0"/>
      <w:marRight w:val="0"/>
      <w:marTop w:val="0"/>
      <w:marBottom w:val="0"/>
      <w:divBdr>
        <w:top w:val="none" w:sz="0" w:space="0" w:color="auto"/>
        <w:left w:val="none" w:sz="0" w:space="0" w:color="auto"/>
        <w:bottom w:val="none" w:sz="0" w:space="0" w:color="auto"/>
        <w:right w:val="none" w:sz="0" w:space="0" w:color="auto"/>
      </w:divBdr>
    </w:div>
    <w:div w:id="1523396945">
      <w:bodyDiv w:val="1"/>
      <w:marLeft w:val="0"/>
      <w:marRight w:val="0"/>
      <w:marTop w:val="0"/>
      <w:marBottom w:val="0"/>
      <w:divBdr>
        <w:top w:val="none" w:sz="0" w:space="0" w:color="auto"/>
        <w:left w:val="none" w:sz="0" w:space="0" w:color="auto"/>
        <w:bottom w:val="none" w:sz="0" w:space="0" w:color="auto"/>
        <w:right w:val="none" w:sz="0" w:space="0" w:color="auto"/>
      </w:divBdr>
      <w:divsChild>
        <w:div w:id="1078552168">
          <w:marLeft w:val="0"/>
          <w:marRight w:val="0"/>
          <w:marTop w:val="0"/>
          <w:marBottom w:val="0"/>
          <w:divBdr>
            <w:top w:val="none" w:sz="0" w:space="0" w:color="auto"/>
            <w:left w:val="none" w:sz="0" w:space="0" w:color="auto"/>
            <w:bottom w:val="none" w:sz="0" w:space="0" w:color="auto"/>
            <w:right w:val="none" w:sz="0" w:space="0" w:color="auto"/>
          </w:divBdr>
        </w:div>
      </w:divsChild>
    </w:div>
    <w:div w:id="1654599583">
      <w:bodyDiv w:val="1"/>
      <w:marLeft w:val="0"/>
      <w:marRight w:val="0"/>
      <w:marTop w:val="0"/>
      <w:marBottom w:val="0"/>
      <w:divBdr>
        <w:top w:val="none" w:sz="0" w:space="0" w:color="auto"/>
        <w:left w:val="none" w:sz="0" w:space="0" w:color="auto"/>
        <w:bottom w:val="none" w:sz="0" w:space="0" w:color="auto"/>
        <w:right w:val="none" w:sz="0" w:space="0" w:color="auto"/>
      </w:divBdr>
      <w:divsChild>
        <w:div w:id="1604721488">
          <w:marLeft w:val="0"/>
          <w:marRight w:val="0"/>
          <w:marTop w:val="0"/>
          <w:marBottom w:val="0"/>
          <w:divBdr>
            <w:top w:val="none" w:sz="0" w:space="0" w:color="auto"/>
            <w:left w:val="none" w:sz="0" w:space="0" w:color="auto"/>
            <w:bottom w:val="none" w:sz="0" w:space="0" w:color="auto"/>
            <w:right w:val="none" w:sz="0" w:space="0" w:color="auto"/>
          </w:divBdr>
        </w:div>
      </w:divsChild>
    </w:div>
    <w:div w:id="1741903712">
      <w:bodyDiv w:val="1"/>
      <w:marLeft w:val="0"/>
      <w:marRight w:val="0"/>
      <w:marTop w:val="0"/>
      <w:marBottom w:val="0"/>
      <w:divBdr>
        <w:top w:val="none" w:sz="0" w:space="0" w:color="auto"/>
        <w:left w:val="none" w:sz="0" w:space="0" w:color="auto"/>
        <w:bottom w:val="none" w:sz="0" w:space="0" w:color="auto"/>
        <w:right w:val="none" w:sz="0" w:space="0" w:color="auto"/>
      </w:divBdr>
      <w:divsChild>
        <w:div w:id="2015842299">
          <w:marLeft w:val="0"/>
          <w:marRight w:val="0"/>
          <w:marTop w:val="0"/>
          <w:marBottom w:val="0"/>
          <w:divBdr>
            <w:top w:val="none" w:sz="0" w:space="0" w:color="auto"/>
            <w:left w:val="none" w:sz="0" w:space="0" w:color="auto"/>
            <w:bottom w:val="none" w:sz="0" w:space="0" w:color="auto"/>
            <w:right w:val="none" w:sz="0" w:space="0" w:color="auto"/>
          </w:divBdr>
        </w:div>
      </w:divsChild>
    </w:div>
    <w:div w:id="1799906564">
      <w:bodyDiv w:val="1"/>
      <w:marLeft w:val="0"/>
      <w:marRight w:val="0"/>
      <w:marTop w:val="0"/>
      <w:marBottom w:val="0"/>
      <w:divBdr>
        <w:top w:val="none" w:sz="0" w:space="0" w:color="auto"/>
        <w:left w:val="none" w:sz="0" w:space="0" w:color="auto"/>
        <w:bottom w:val="none" w:sz="0" w:space="0" w:color="auto"/>
        <w:right w:val="none" w:sz="0" w:space="0" w:color="auto"/>
      </w:divBdr>
    </w:div>
    <w:div w:id="1982534703">
      <w:bodyDiv w:val="1"/>
      <w:marLeft w:val="0"/>
      <w:marRight w:val="0"/>
      <w:marTop w:val="0"/>
      <w:marBottom w:val="0"/>
      <w:divBdr>
        <w:top w:val="none" w:sz="0" w:space="0" w:color="auto"/>
        <w:left w:val="none" w:sz="0" w:space="0" w:color="auto"/>
        <w:bottom w:val="none" w:sz="0" w:space="0" w:color="auto"/>
        <w:right w:val="none" w:sz="0" w:space="0" w:color="auto"/>
      </w:divBdr>
    </w:div>
    <w:div w:id="2081097909">
      <w:bodyDiv w:val="1"/>
      <w:marLeft w:val="0"/>
      <w:marRight w:val="0"/>
      <w:marTop w:val="0"/>
      <w:marBottom w:val="0"/>
      <w:divBdr>
        <w:top w:val="none" w:sz="0" w:space="0" w:color="auto"/>
        <w:left w:val="none" w:sz="0" w:space="0" w:color="auto"/>
        <w:bottom w:val="none" w:sz="0" w:space="0" w:color="auto"/>
        <w:right w:val="none" w:sz="0" w:space="0" w:color="auto"/>
      </w:divBdr>
      <w:divsChild>
        <w:div w:id="383799371">
          <w:marLeft w:val="0"/>
          <w:marRight w:val="0"/>
          <w:marTop w:val="219"/>
          <w:marBottom w:val="0"/>
          <w:divBdr>
            <w:top w:val="none" w:sz="0" w:space="0" w:color="auto"/>
            <w:left w:val="none" w:sz="0" w:space="0" w:color="auto"/>
            <w:bottom w:val="none" w:sz="0" w:space="0" w:color="auto"/>
            <w:right w:val="none" w:sz="0" w:space="0" w:color="auto"/>
          </w:divBdr>
          <w:divsChild>
            <w:div w:id="505898349">
              <w:marLeft w:val="0"/>
              <w:marRight w:val="0"/>
              <w:marTop w:val="0"/>
              <w:marBottom w:val="0"/>
              <w:divBdr>
                <w:top w:val="none" w:sz="0" w:space="0" w:color="auto"/>
                <w:left w:val="none" w:sz="0" w:space="0" w:color="auto"/>
                <w:bottom w:val="none" w:sz="0" w:space="0" w:color="auto"/>
                <w:right w:val="none" w:sz="0" w:space="0" w:color="auto"/>
              </w:divBdr>
              <w:divsChild>
                <w:div w:id="374741204">
                  <w:marLeft w:val="0"/>
                  <w:marRight w:val="0"/>
                  <w:marTop w:val="219"/>
                  <w:marBottom w:val="240"/>
                  <w:divBdr>
                    <w:top w:val="none" w:sz="0" w:space="0" w:color="auto"/>
                    <w:left w:val="none" w:sz="0" w:space="0" w:color="auto"/>
                    <w:bottom w:val="none" w:sz="0" w:space="0" w:color="auto"/>
                    <w:right w:val="none" w:sz="0" w:space="0" w:color="auto"/>
                  </w:divBdr>
                </w:div>
              </w:divsChild>
            </w:div>
            <w:div w:id="862404516">
              <w:marLeft w:val="0"/>
              <w:marRight w:val="0"/>
              <w:marTop w:val="240"/>
              <w:marBottom w:val="0"/>
              <w:divBdr>
                <w:top w:val="none" w:sz="0" w:space="0" w:color="auto"/>
                <w:left w:val="none" w:sz="0" w:space="0" w:color="auto"/>
                <w:bottom w:val="none" w:sz="0" w:space="0" w:color="auto"/>
                <w:right w:val="none" w:sz="0" w:space="0" w:color="auto"/>
              </w:divBdr>
            </w:div>
          </w:divsChild>
        </w:div>
        <w:div w:id="1386828312">
          <w:marLeft w:val="0"/>
          <w:marRight w:val="0"/>
          <w:marTop w:val="219"/>
          <w:marBottom w:val="0"/>
          <w:divBdr>
            <w:top w:val="none" w:sz="0" w:space="0" w:color="auto"/>
            <w:left w:val="none" w:sz="0" w:space="0" w:color="auto"/>
            <w:bottom w:val="none" w:sz="0" w:space="0" w:color="auto"/>
            <w:right w:val="none" w:sz="0" w:space="0" w:color="auto"/>
          </w:divBdr>
          <w:divsChild>
            <w:div w:id="695539098">
              <w:marLeft w:val="0"/>
              <w:marRight w:val="0"/>
              <w:marTop w:val="0"/>
              <w:marBottom w:val="0"/>
              <w:divBdr>
                <w:top w:val="none" w:sz="0" w:space="0" w:color="auto"/>
                <w:left w:val="none" w:sz="0" w:space="0" w:color="auto"/>
                <w:bottom w:val="none" w:sz="0" w:space="0" w:color="auto"/>
                <w:right w:val="none" w:sz="0" w:space="0" w:color="auto"/>
              </w:divBdr>
              <w:divsChild>
                <w:div w:id="1683781241">
                  <w:marLeft w:val="0"/>
                  <w:marRight w:val="0"/>
                  <w:marTop w:val="219"/>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whun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lii.org/fr/qc/legis/lois/rlrq-c-j-3/derniere/rlrq-c-j-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rrandon\Desktop\gabarits%20v12\Gabarit%20de%20jugement-Fran&#231;ais%20(%202020-09-15)%20EDJ%20c1.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eur_x0020_du_x0020_document xmlns="ddd9db8a-241d-4149-a0d3-7618663a9260"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7318432890B74C8D8BC34B5353B372" ma:contentTypeVersion="2" ma:contentTypeDescription="Crée un document." ma:contentTypeScope="" ma:versionID="6e0052a9091211f73c24cc39bc861b60">
  <xsd:schema xmlns:xsd="http://www.w3.org/2001/XMLSchema" xmlns:xs="http://www.w3.org/2001/XMLSchema" xmlns:p="http://schemas.microsoft.com/office/2006/metadata/properties" xmlns:ns1="http://schemas.microsoft.com/sharepoint/v3" xmlns:ns2="ddd9db8a-241d-4149-a0d3-7618663a9260" targetNamespace="http://schemas.microsoft.com/office/2006/metadata/properties" ma:root="true" ma:fieldsID="52b8b4e4f19fd2fbc811c37b64dbca3c" ns1:_="" ns2:_="">
    <xsd:import namespace="http://schemas.microsoft.com/sharepoint/v3"/>
    <xsd:import namespace="ddd9db8a-241d-4149-a0d3-7618663a9260"/>
    <xsd:element name="properties">
      <xsd:complexType>
        <xsd:sequence>
          <xsd:element name="documentManagement">
            <xsd:complexType>
              <xsd:all>
                <xsd:element ref="ns1:PublishingStartDate" minOccurs="0"/>
                <xsd:element ref="ns1:PublishingExpirationDate" minOccurs="0"/>
                <xsd:element ref="ns2:Auteur_x0020_du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9db8a-241d-4149-a0d3-7618663a9260" elementFormDefault="qualified">
    <xsd:import namespace="http://schemas.microsoft.com/office/2006/documentManagement/types"/>
    <xsd:import namespace="http://schemas.microsoft.com/office/infopath/2007/PartnerControls"/>
    <xsd:element name="Auteur_x0020_du_x0020_document" ma:index="10" nillable="true" ma:displayName="Auteur du document" ma:description="Auteur principal" ma:internalName="Auteur_x0020_du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B1385-B317-4A73-AB5B-447180BDB870}">
  <ds:schemaRefs>
    <ds:schemaRef ds:uri="http://schemas.microsoft.com/office/2006/metadata/properties"/>
    <ds:schemaRef ds:uri="http://schemas.microsoft.com/office/infopath/2007/PartnerControls"/>
    <ds:schemaRef ds:uri="ddd9db8a-241d-4149-a0d3-7618663a9260"/>
    <ds:schemaRef ds:uri="http://schemas.microsoft.com/sharepoint/v3"/>
  </ds:schemaRefs>
</ds:datastoreItem>
</file>

<file path=customXml/itemProps2.xml><?xml version="1.0" encoding="utf-8"?>
<ds:datastoreItem xmlns:ds="http://schemas.openxmlformats.org/officeDocument/2006/customXml" ds:itemID="{FDC61CC9-6BA3-4CC4-BED9-A4CE3DBD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9db8a-241d-4149-a0d3-7618663a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80CF0-9AAF-4709-969E-E7A7B3C63761}">
  <ds:schemaRefs>
    <ds:schemaRef ds:uri="http://schemas.openxmlformats.org/officeDocument/2006/bibliography"/>
  </ds:schemaRefs>
</ds:datastoreItem>
</file>

<file path=customXml/itemProps4.xml><?xml version="1.0" encoding="utf-8"?>
<ds:datastoreItem xmlns:ds="http://schemas.openxmlformats.org/officeDocument/2006/customXml" ds:itemID="{C36D3F2B-15EA-492A-8B48-2CF10FE3B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 de jugement-Français ( 2020-09-15) EDJ c1.dotm</Template>
  <TotalTime>881</TotalTime>
  <Pages>42</Pages>
  <Words>19338</Words>
  <Characters>106364</Characters>
  <Application>Microsoft Office Word</Application>
  <DocSecurity>0</DocSecurity>
  <Lines>886</Lines>
  <Paragraphs>250</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125452</CharactersWithSpaces>
  <SharedDoc>false</SharedDoc>
  <HLinks>
    <vt:vector size="42" baseType="variant">
      <vt:variant>
        <vt:i4>1835061</vt:i4>
      </vt:variant>
      <vt:variant>
        <vt:i4>89</vt:i4>
      </vt:variant>
      <vt:variant>
        <vt:i4>0</vt:i4>
      </vt:variant>
      <vt:variant>
        <vt:i4>5</vt:i4>
      </vt:variant>
      <vt:variant>
        <vt:lpwstr/>
      </vt:variant>
      <vt:variant>
        <vt:lpwstr>_Toc430945549</vt:lpwstr>
      </vt:variant>
      <vt:variant>
        <vt:i4>1835061</vt:i4>
      </vt:variant>
      <vt:variant>
        <vt:i4>83</vt:i4>
      </vt:variant>
      <vt:variant>
        <vt:i4>0</vt:i4>
      </vt:variant>
      <vt:variant>
        <vt:i4>5</vt:i4>
      </vt:variant>
      <vt:variant>
        <vt:lpwstr/>
      </vt:variant>
      <vt:variant>
        <vt:lpwstr>_Toc430945548</vt:lpwstr>
      </vt:variant>
      <vt:variant>
        <vt:i4>1835061</vt:i4>
      </vt:variant>
      <vt:variant>
        <vt:i4>77</vt:i4>
      </vt:variant>
      <vt:variant>
        <vt:i4>0</vt:i4>
      </vt:variant>
      <vt:variant>
        <vt:i4>5</vt:i4>
      </vt:variant>
      <vt:variant>
        <vt:lpwstr/>
      </vt:variant>
      <vt:variant>
        <vt:lpwstr>_Toc430945547</vt:lpwstr>
      </vt:variant>
      <vt:variant>
        <vt:i4>1835061</vt:i4>
      </vt:variant>
      <vt:variant>
        <vt:i4>71</vt:i4>
      </vt:variant>
      <vt:variant>
        <vt:i4>0</vt:i4>
      </vt:variant>
      <vt:variant>
        <vt:i4>5</vt:i4>
      </vt:variant>
      <vt:variant>
        <vt:lpwstr/>
      </vt:variant>
      <vt:variant>
        <vt:lpwstr>_Toc430945546</vt:lpwstr>
      </vt:variant>
      <vt:variant>
        <vt:i4>1835061</vt:i4>
      </vt:variant>
      <vt:variant>
        <vt:i4>65</vt:i4>
      </vt:variant>
      <vt:variant>
        <vt:i4>0</vt:i4>
      </vt:variant>
      <vt:variant>
        <vt:i4>5</vt:i4>
      </vt:variant>
      <vt:variant>
        <vt:lpwstr/>
      </vt:variant>
      <vt:variant>
        <vt:lpwstr>_Toc430945545</vt:lpwstr>
      </vt:variant>
      <vt:variant>
        <vt:i4>1835061</vt:i4>
      </vt:variant>
      <vt:variant>
        <vt:i4>59</vt:i4>
      </vt:variant>
      <vt:variant>
        <vt:i4>0</vt:i4>
      </vt:variant>
      <vt:variant>
        <vt:i4>5</vt:i4>
      </vt:variant>
      <vt:variant>
        <vt:lpwstr/>
      </vt:variant>
      <vt:variant>
        <vt:lpwstr>_Toc430945544</vt:lpwstr>
      </vt:variant>
      <vt:variant>
        <vt:i4>1835061</vt:i4>
      </vt:variant>
      <vt:variant>
        <vt:i4>53</vt:i4>
      </vt:variant>
      <vt:variant>
        <vt:i4>0</vt:i4>
      </vt:variant>
      <vt:variant>
        <vt:i4>5</vt:i4>
      </vt:variant>
      <vt:variant>
        <vt:lpwstr/>
      </vt:variant>
      <vt:variant>
        <vt:lpwstr>_Toc430945543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subject/>
  <dc:creator>Ferrandon, Alice</dc:creator>
  <cp:keywords/>
  <cp:lastModifiedBy>Deschênes, Gabrielle</cp:lastModifiedBy>
  <cp:revision>70</cp:revision>
  <cp:lastPrinted>2023-08-31T15:15:00Z</cp:lastPrinted>
  <dcterms:created xsi:type="dcterms:W3CDTF">2023-08-28T14:40:00Z</dcterms:created>
  <dcterms:modified xsi:type="dcterms:W3CDTF">2023-09-05T12:47:00Z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12/06/2014</vt:lpwstr>
  </property>
  <property fmtid="{D5CDD505-2E9C-101B-9397-08002B2CF9AE}" pid="3" name="Soquij_Version">
    <vt:lpwstr>1.7</vt:lpwstr>
  </property>
  <property fmtid="{D5CDD505-2E9C-101B-9397-08002B2CF9AE}" pid="4" name="Soquij_ModifiePar">
    <vt:lpwstr>carjoh</vt:lpwstr>
  </property>
  <property fmtid="{D5CDD505-2E9C-101B-9397-08002B2CF9AE}" pid="5" name="Soquij_Modele">
    <vt:lpwstr>edj</vt:lpwstr>
  </property>
  <property fmtid="{D5CDD505-2E9C-101B-9397-08002B2CF9AE}" pid="6" name="Soquij_Cour">
    <vt:lpwstr>CS</vt:lpwstr>
  </property>
  <property fmtid="{D5CDD505-2E9C-101B-9397-08002B2CF9AE}" pid="7" name="Soquij_Langue">
    <vt:lpwstr>Fra</vt:lpwstr>
  </property>
  <property fmtid="{D5CDD505-2E9C-101B-9397-08002B2CF9AE}" pid="8" name="ContentTypeId">
    <vt:lpwstr>0x010100777318432890B74C8D8BC34B5353B372</vt:lpwstr>
  </property>
</Properties>
</file>