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F1DD" w14:textId="261436FF" w:rsidR="00A352A5" w:rsidRPr="00273810" w:rsidRDefault="00A352A5">
      <w:pPr>
        <w:rPr>
          <w:sz w:val="22"/>
          <w:szCs w:val="22"/>
        </w:rPr>
      </w:pPr>
      <w:r w:rsidRPr="00273810">
        <w:rPr>
          <w:rFonts w:cs="Arial"/>
          <w:color w:val="000000"/>
          <w:sz w:val="22"/>
          <w:szCs w:val="22"/>
        </w:rPr>
        <w:t>Unofficial 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246"/>
        <w:gridCol w:w="142"/>
        <w:gridCol w:w="2268"/>
        <w:gridCol w:w="3686"/>
        <w:gridCol w:w="1966"/>
        <w:gridCol w:w="22"/>
      </w:tblGrid>
      <w:tr w:rsidR="00D61C2C" w:rsidRPr="00273810" w14:paraId="40220553" w14:textId="77777777" w:rsidTr="008D18FC">
        <w:trPr>
          <w:trHeight w:val="248"/>
        </w:trPr>
        <w:tc>
          <w:tcPr>
            <w:tcW w:w="7372" w:type="dxa"/>
            <w:gridSpan w:val="5"/>
          </w:tcPr>
          <w:p w14:paraId="392ADC7A" w14:textId="6B4676B4" w:rsidR="008F364A" w:rsidRPr="003F27D7" w:rsidRDefault="00F34BA3" w:rsidP="00F34BA3">
            <w:pPr>
              <w:pStyle w:val="zSoquijdatRepertorie"/>
              <w:rPr>
                <w:rFonts w:cs="Arial"/>
              </w:rPr>
            </w:pPr>
            <w:r w:rsidRPr="003F27D7">
              <w:rPr>
                <w:rFonts w:cs="Arial"/>
              </w:rPr>
              <w:t>Girard c. 9220-8883 Québec inc.</w:t>
            </w:r>
          </w:p>
        </w:tc>
        <w:tc>
          <w:tcPr>
            <w:tcW w:w="1988" w:type="dxa"/>
            <w:gridSpan w:val="2"/>
          </w:tcPr>
          <w:p w14:paraId="3C59125B" w14:textId="31772F50" w:rsidR="008F364A" w:rsidRPr="003F27D7" w:rsidRDefault="00BF50F2" w:rsidP="005869A3">
            <w:pPr>
              <w:pStyle w:val="zSoquijdatRefNeutre"/>
              <w:jc w:val="right"/>
              <w:rPr>
                <w:rFonts w:cs="Arial"/>
              </w:rPr>
            </w:pPr>
            <w:r w:rsidRPr="003F27D7">
              <w:rPr>
                <w:rFonts w:cs="Arial"/>
              </w:rPr>
              <w:t>2022 QCCA 695</w:t>
            </w:r>
          </w:p>
        </w:tc>
      </w:tr>
      <w:tr w:rsidR="00D61C2C" w:rsidRPr="00273810" w14:paraId="677715C1" w14:textId="77777777" w:rsidTr="008D18FC">
        <w:trPr>
          <w:trHeight w:val="247"/>
        </w:trPr>
        <w:tc>
          <w:tcPr>
            <w:tcW w:w="9360" w:type="dxa"/>
            <w:gridSpan w:val="7"/>
          </w:tcPr>
          <w:p w14:paraId="743319F1" w14:textId="4A4DE1CB" w:rsidR="008F364A" w:rsidRPr="00273810" w:rsidRDefault="00F34BA3">
            <w:pPr>
              <w:pStyle w:val="zSoquijlblCour"/>
            </w:pPr>
            <w:r w:rsidRPr="00273810">
              <w:t>COUR</w:t>
            </w:r>
            <w:r w:rsidR="003C1EF5" w:rsidRPr="00273810">
              <w:t>T</w:t>
            </w:r>
            <w:r w:rsidRPr="00273810">
              <w:t xml:space="preserve"> </w:t>
            </w:r>
            <w:r w:rsidR="003C1EF5" w:rsidRPr="00273810">
              <w:t xml:space="preserve">OF </w:t>
            </w:r>
            <w:r w:rsidRPr="00273810">
              <w:t>APPE</w:t>
            </w:r>
            <w:r w:rsidR="003C1EF5" w:rsidRPr="00273810">
              <w:t>A</w:t>
            </w:r>
            <w:r w:rsidRPr="00273810">
              <w:t>L</w:t>
            </w:r>
          </w:p>
        </w:tc>
      </w:tr>
      <w:tr w:rsidR="00D61C2C" w:rsidRPr="00273810" w14:paraId="0170CFBA" w14:textId="77777777" w:rsidTr="008D18FC">
        <w:trPr>
          <w:trHeight w:val="540"/>
        </w:trPr>
        <w:tc>
          <w:tcPr>
            <w:tcW w:w="9360" w:type="dxa"/>
            <w:gridSpan w:val="7"/>
          </w:tcPr>
          <w:p w14:paraId="5E8A79D5" w14:textId="77777777" w:rsidR="008F364A" w:rsidRPr="00273810" w:rsidRDefault="008F364A">
            <w:pPr>
              <w:pStyle w:val="zSoquijdatDivision"/>
            </w:pPr>
          </w:p>
        </w:tc>
      </w:tr>
      <w:tr w:rsidR="00D61C2C" w:rsidRPr="00273810" w14:paraId="598AD176" w14:textId="77777777" w:rsidTr="008D18FC">
        <w:tc>
          <w:tcPr>
            <w:tcW w:w="9360" w:type="dxa"/>
            <w:gridSpan w:val="7"/>
          </w:tcPr>
          <w:p w14:paraId="5FDDC2E6" w14:textId="77777777" w:rsidR="008F364A" w:rsidRPr="00273810" w:rsidRDefault="00F34BA3">
            <w:pPr>
              <w:pStyle w:val="zSoquijlblPays"/>
            </w:pPr>
            <w:r w:rsidRPr="00273810">
              <w:t>CANADA</w:t>
            </w:r>
          </w:p>
        </w:tc>
      </w:tr>
      <w:tr w:rsidR="00D61C2C" w:rsidRPr="00273810" w14:paraId="3B521D88" w14:textId="77777777" w:rsidTr="008D18FC">
        <w:tc>
          <w:tcPr>
            <w:tcW w:w="9360" w:type="dxa"/>
            <w:gridSpan w:val="7"/>
          </w:tcPr>
          <w:p w14:paraId="3D92945A" w14:textId="1CAECB99" w:rsidR="008F364A" w:rsidRPr="00273810" w:rsidRDefault="00F34BA3">
            <w:pPr>
              <w:pStyle w:val="zSoquijlblProvince"/>
            </w:pPr>
            <w:r w:rsidRPr="00273810">
              <w:t xml:space="preserve">PROVINCE </w:t>
            </w:r>
            <w:r w:rsidR="003C1EF5" w:rsidRPr="00273810">
              <w:t>OF</w:t>
            </w:r>
            <w:r w:rsidRPr="00273810">
              <w:t xml:space="preserve"> QU</w:t>
            </w:r>
            <w:r w:rsidR="003C1EF5" w:rsidRPr="00273810">
              <w:t>E</w:t>
            </w:r>
            <w:r w:rsidRPr="00273810">
              <w:t>BEC</w:t>
            </w:r>
          </w:p>
        </w:tc>
      </w:tr>
      <w:tr w:rsidR="00D61C2C" w:rsidRPr="00273810" w14:paraId="0DCABE4F" w14:textId="77777777" w:rsidTr="00F64487">
        <w:trPr>
          <w:gridAfter w:val="1"/>
          <w:wAfter w:w="22" w:type="dxa"/>
        </w:trPr>
        <w:tc>
          <w:tcPr>
            <w:tcW w:w="1418" w:type="dxa"/>
            <w:gridSpan w:val="3"/>
          </w:tcPr>
          <w:p w14:paraId="5843C644" w14:textId="3D5D5010" w:rsidR="008F364A" w:rsidRPr="00273810" w:rsidRDefault="00F64487" w:rsidP="00AB1B22">
            <w:pPr>
              <w:pStyle w:val="zSoquijlblGreffe"/>
              <w:tabs>
                <w:tab w:val="left" w:pos="1237"/>
              </w:tabs>
              <w:ind w:right="164"/>
            </w:pPr>
            <w:r w:rsidRPr="00273810">
              <w:t xml:space="preserve">REGISTRY </w:t>
            </w:r>
          </w:p>
          <w:p w14:paraId="3B1A1311" w14:textId="77777777" w:rsidR="008F364A" w:rsidRPr="00273810" w:rsidRDefault="008F364A" w:rsidP="00F64487">
            <w:pPr>
              <w:pStyle w:val="zSoquijlblGreffe"/>
              <w:ind w:right="164"/>
            </w:pPr>
          </w:p>
        </w:tc>
        <w:tc>
          <w:tcPr>
            <w:tcW w:w="7920" w:type="dxa"/>
            <w:gridSpan w:val="3"/>
          </w:tcPr>
          <w:p w14:paraId="725A5062" w14:textId="5A1F674C" w:rsidR="008F364A" w:rsidRPr="00273810" w:rsidRDefault="00F64487" w:rsidP="00AB1B22">
            <w:pPr>
              <w:pStyle w:val="zSoquijdatGreffe"/>
              <w:ind w:left="-4" w:right="164"/>
            </w:pPr>
            <w:bookmarkStart w:id="0" w:name="NomGreffe"/>
            <w:r w:rsidRPr="00273810">
              <w:t xml:space="preserve">OF </w:t>
            </w:r>
            <w:r w:rsidR="00F34BA3" w:rsidRPr="00273810">
              <w:t>QU</w:t>
            </w:r>
            <w:r w:rsidR="003713E5">
              <w:t>É</w:t>
            </w:r>
            <w:r w:rsidR="00F34BA3" w:rsidRPr="00273810">
              <w:t>BEC</w:t>
            </w:r>
            <w:bookmarkEnd w:id="0"/>
          </w:p>
        </w:tc>
      </w:tr>
      <w:tr w:rsidR="00D61C2C" w:rsidRPr="00273810" w14:paraId="6C161075" w14:textId="77777777" w:rsidTr="008D18FC">
        <w:tc>
          <w:tcPr>
            <w:tcW w:w="1030" w:type="dxa"/>
          </w:tcPr>
          <w:p w14:paraId="35F3962C" w14:textId="1032DAE0" w:rsidR="008F364A" w:rsidRPr="00273810" w:rsidRDefault="00F34BA3">
            <w:pPr>
              <w:pStyle w:val="zSoquijlblNoDossier"/>
            </w:pPr>
            <w:r w:rsidRPr="00273810">
              <w:t>N</w:t>
            </w:r>
            <w:r w:rsidR="003C1EF5" w:rsidRPr="00273810">
              <w:t>o.</w:t>
            </w:r>
            <w:r w:rsidRPr="00273810">
              <w:t>:</w:t>
            </w:r>
          </w:p>
        </w:tc>
        <w:tc>
          <w:tcPr>
            <w:tcW w:w="8330" w:type="dxa"/>
            <w:gridSpan w:val="6"/>
          </w:tcPr>
          <w:p w14:paraId="5CD4D5AC" w14:textId="77777777" w:rsidR="008F364A" w:rsidRPr="00273810" w:rsidRDefault="00F34BA3">
            <w:pPr>
              <w:pStyle w:val="zSoquijdatNoDossier"/>
            </w:pPr>
            <w:bookmarkStart w:id="1" w:name="NoDossier"/>
            <w:r w:rsidRPr="00273810">
              <w:t>200-09-010287-214</w:t>
            </w:r>
            <w:bookmarkEnd w:id="1"/>
          </w:p>
        </w:tc>
      </w:tr>
      <w:tr w:rsidR="00D61C2C" w:rsidRPr="00273810" w14:paraId="11926BF5" w14:textId="77777777" w:rsidTr="008D18FC">
        <w:tc>
          <w:tcPr>
            <w:tcW w:w="9360" w:type="dxa"/>
            <w:gridSpan w:val="7"/>
          </w:tcPr>
          <w:p w14:paraId="258244B4" w14:textId="77777777" w:rsidR="004D53BE" w:rsidRPr="00273810" w:rsidRDefault="00F34BA3" w:rsidP="004D53BE">
            <w:pPr>
              <w:pStyle w:val="zSoquijdatNoDossierAnt"/>
            </w:pPr>
            <w:r w:rsidRPr="00273810">
              <w:t>(200-17-027868-181)</w:t>
            </w:r>
          </w:p>
        </w:tc>
      </w:tr>
      <w:tr w:rsidR="00D61C2C" w:rsidRPr="00273810" w14:paraId="0F9DB900" w14:textId="77777777" w:rsidTr="008D18FC">
        <w:tc>
          <w:tcPr>
            <w:tcW w:w="9360" w:type="dxa"/>
            <w:gridSpan w:val="7"/>
          </w:tcPr>
          <w:p w14:paraId="3944632E" w14:textId="77777777" w:rsidR="008F364A" w:rsidRPr="00273810" w:rsidRDefault="008F364A"/>
        </w:tc>
      </w:tr>
      <w:tr w:rsidR="00D61C2C" w:rsidRPr="00273810" w14:paraId="310558AF" w14:textId="77777777" w:rsidTr="008D18FC">
        <w:tc>
          <w:tcPr>
            <w:tcW w:w="1030" w:type="dxa"/>
          </w:tcPr>
          <w:p w14:paraId="30CEEDF2" w14:textId="4A6F2FB6" w:rsidR="008F364A" w:rsidRPr="00273810" w:rsidRDefault="00F34BA3">
            <w:pPr>
              <w:pStyle w:val="zSoquijlblDateJugement"/>
            </w:pPr>
            <w:r w:rsidRPr="00273810">
              <w:t>DATE:</w:t>
            </w:r>
          </w:p>
        </w:tc>
        <w:tc>
          <w:tcPr>
            <w:tcW w:w="8330" w:type="dxa"/>
            <w:gridSpan w:val="6"/>
          </w:tcPr>
          <w:p w14:paraId="0D8B388E" w14:textId="39D56422" w:rsidR="008F364A" w:rsidRPr="00273810" w:rsidRDefault="003C1EF5">
            <w:pPr>
              <w:pStyle w:val="zSoquijdatDateJugement"/>
            </w:pPr>
            <w:r w:rsidRPr="00273810">
              <w:t xml:space="preserve">May </w:t>
            </w:r>
            <w:r w:rsidR="00F34BA3" w:rsidRPr="00273810">
              <w:t>12</w:t>
            </w:r>
            <w:r w:rsidRPr="00273810">
              <w:t>,</w:t>
            </w:r>
            <w:r w:rsidR="00F34BA3" w:rsidRPr="00273810">
              <w:t xml:space="preserve"> 2022</w:t>
            </w:r>
          </w:p>
        </w:tc>
      </w:tr>
      <w:tr w:rsidR="00D61C2C" w:rsidRPr="00273810" w14:paraId="58E69A3C" w14:textId="77777777" w:rsidTr="008D18FC">
        <w:tc>
          <w:tcPr>
            <w:tcW w:w="9360" w:type="dxa"/>
            <w:gridSpan w:val="7"/>
            <w:tcBorders>
              <w:bottom w:val="single" w:sz="8" w:space="0" w:color="auto"/>
            </w:tcBorders>
          </w:tcPr>
          <w:p w14:paraId="3527F4C9" w14:textId="77777777" w:rsidR="008F364A" w:rsidRPr="00273810" w:rsidRDefault="008F364A"/>
        </w:tc>
      </w:tr>
      <w:tr w:rsidR="00D61C2C" w:rsidRPr="00273810" w14:paraId="2537A770" w14:textId="77777777" w:rsidTr="008D18FC">
        <w:tc>
          <w:tcPr>
            <w:tcW w:w="9360" w:type="dxa"/>
            <w:gridSpan w:val="7"/>
            <w:tcBorders>
              <w:top w:val="single" w:sz="8" w:space="0" w:color="auto"/>
            </w:tcBorders>
          </w:tcPr>
          <w:p w14:paraId="21B7DA1F" w14:textId="77777777" w:rsidR="008F364A" w:rsidRPr="00273810" w:rsidRDefault="008F364A"/>
        </w:tc>
      </w:tr>
      <w:tr w:rsidR="00D61C2C" w:rsidRPr="00273810" w14:paraId="43359FDC" w14:textId="77777777" w:rsidTr="006C0FA2">
        <w:tc>
          <w:tcPr>
            <w:tcW w:w="1276" w:type="dxa"/>
            <w:gridSpan w:val="2"/>
          </w:tcPr>
          <w:p w14:paraId="631F34CC" w14:textId="60DFD0F5" w:rsidR="008F364A" w:rsidRPr="00273810" w:rsidRDefault="00F64487" w:rsidP="00423DF1">
            <w:pPr>
              <w:pStyle w:val="zSoquijlblJuge"/>
              <w:ind w:right="-142"/>
            </w:pPr>
            <w:bookmarkStart w:id="2" w:name="FORMATION"/>
            <w:r w:rsidRPr="00273810">
              <w:t>CORAM</w:t>
            </w:r>
            <w:r w:rsidR="00740A17" w:rsidRPr="00273810">
              <w:t>:</w:t>
            </w:r>
            <w:bookmarkEnd w:id="2"/>
          </w:p>
        </w:tc>
        <w:tc>
          <w:tcPr>
            <w:tcW w:w="2410" w:type="dxa"/>
            <w:gridSpan w:val="2"/>
          </w:tcPr>
          <w:p w14:paraId="3F397065" w14:textId="1B5ECC87" w:rsidR="008F364A" w:rsidRPr="00273810" w:rsidRDefault="00A352A5">
            <w:pPr>
              <w:pStyle w:val="zSoquijdatQteJuge"/>
            </w:pPr>
            <w:bookmarkStart w:id="3" w:name="Honorables"/>
            <w:r w:rsidRPr="00273810">
              <w:t>THE HONOURABLE</w:t>
            </w:r>
            <w:bookmarkEnd w:id="3"/>
          </w:p>
        </w:tc>
        <w:tc>
          <w:tcPr>
            <w:tcW w:w="5674" w:type="dxa"/>
            <w:gridSpan w:val="3"/>
          </w:tcPr>
          <w:p w14:paraId="199996F4" w14:textId="1C7AD699" w:rsidR="008F364A" w:rsidRPr="007928AC" w:rsidRDefault="00F34BA3">
            <w:pPr>
              <w:pStyle w:val="zSoquijdatJuge"/>
              <w:rPr>
                <w:lang w:val="fr-CA"/>
              </w:rPr>
            </w:pPr>
            <w:bookmarkStart w:id="4" w:name="NomJuge1"/>
            <w:r w:rsidRPr="007928AC">
              <w:rPr>
                <w:lang w:val="fr-CA"/>
              </w:rPr>
              <w:t>FRANÇOIS DOYON, J.A.</w:t>
            </w:r>
            <w:bookmarkEnd w:id="4"/>
          </w:p>
          <w:p w14:paraId="3440D453" w14:textId="7B786487" w:rsidR="008F364A" w:rsidRPr="007928AC" w:rsidRDefault="00F34BA3">
            <w:pPr>
              <w:pStyle w:val="zSoquijdatJuge"/>
              <w:rPr>
                <w:lang w:val="fr-CA"/>
              </w:rPr>
            </w:pPr>
            <w:bookmarkStart w:id="5" w:name="NomJuge2"/>
            <w:r w:rsidRPr="007928AC">
              <w:rPr>
                <w:lang w:val="fr-CA"/>
              </w:rPr>
              <w:t>JOCELYN F. RANCOURT, J.A.</w:t>
            </w:r>
            <w:bookmarkEnd w:id="5"/>
          </w:p>
          <w:p w14:paraId="361E4B25" w14:textId="51261996" w:rsidR="005A78BF" w:rsidRPr="00273810" w:rsidRDefault="00F34BA3" w:rsidP="004D53BE">
            <w:pPr>
              <w:pStyle w:val="zSoquijdatJuge"/>
            </w:pPr>
            <w:bookmarkStart w:id="6" w:name="_Hlt520513784"/>
            <w:bookmarkStart w:id="7" w:name="NomJuge3"/>
            <w:bookmarkEnd w:id="6"/>
            <w:r w:rsidRPr="00273810">
              <w:t>MICHEL BEAUPRÉ, J.A.</w:t>
            </w:r>
            <w:bookmarkEnd w:id="7"/>
          </w:p>
        </w:tc>
      </w:tr>
      <w:tr w:rsidR="00D61C2C" w:rsidRPr="00273810" w14:paraId="44B949DB" w14:textId="77777777" w:rsidTr="008D18FC">
        <w:tc>
          <w:tcPr>
            <w:tcW w:w="9360" w:type="dxa"/>
            <w:gridSpan w:val="7"/>
            <w:tcBorders>
              <w:bottom w:val="single" w:sz="8" w:space="0" w:color="auto"/>
            </w:tcBorders>
          </w:tcPr>
          <w:p w14:paraId="7B429774" w14:textId="77777777" w:rsidR="008F364A" w:rsidRPr="00273810" w:rsidRDefault="008F364A"/>
        </w:tc>
      </w:tr>
      <w:tr w:rsidR="00D61C2C" w:rsidRPr="00273810" w14:paraId="7A2C8272" w14:textId="77777777" w:rsidTr="008D18FC">
        <w:tc>
          <w:tcPr>
            <w:tcW w:w="9360" w:type="dxa"/>
            <w:gridSpan w:val="7"/>
          </w:tcPr>
          <w:p w14:paraId="13533532" w14:textId="77777777" w:rsidR="008F364A" w:rsidRPr="00273810" w:rsidRDefault="008F364A">
            <w:pPr>
              <w:pStyle w:val="zSoquijlblTitrePartie"/>
            </w:pPr>
          </w:p>
        </w:tc>
      </w:tr>
      <w:tr w:rsidR="00D61C2C" w:rsidRPr="00273810" w14:paraId="33C2EAA5" w14:textId="77777777" w:rsidTr="008D18FC">
        <w:tc>
          <w:tcPr>
            <w:tcW w:w="9360" w:type="dxa"/>
            <w:gridSpan w:val="7"/>
          </w:tcPr>
          <w:p w14:paraId="189553F7" w14:textId="77777777" w:rsidR="008F364A" w:rsidRPr="00273810" w:rsidRDefault="00F34BA3">
            <w:pPr>
              <w:pStyle w:val="zSoquijdatNomPartieDem"/>
            </w:pPr>
            <w:r w:rsidRPr="00273810">
              <w:t>SÉBASTIEN GIRARD</w:t>
            </w:r>
          </w:p>
        </w:tc>
      </w:tr>
      <w:tr w:rsidR="00D61C2C" w:rsidRPr="00273810" w14:paraId="2C15CF57" w14:textId="77777777" w:rsidTr="008D18FC">
        <w:tc>
          <w:tcPr>
            <w:tcW w:w="9360" w:type="dxa"/>
            <w:gridSpan w:val="7"/>
          </w:tcPr>
          <w:p w14:paraId="57B09375" w14:textId="498ACC63" w:rsidR="008F364A" w:rsidRPr="00273810" w:rsidRDefault="00F34BA3">
            <w:pPr>
              <w:pStyle w:val="zSoquijdatQtePartieDem"/>
            </w:pPr>
            <w:r w:rsidRPr="00273810">
              <w:t>APPEL</w:t>
            </w:r>
            <w:r w:rsidR="00A352A5" w:rsidRPr="00273810">
              <w:t>L</w:t>
            </w:r>
            <w:r w:rsidRPr="00273810">
              <w:t xml:space="preserve">ANT – </w:t>
            </w:r>
            <w:r w:rsidR="00240875" w:rsidRPr="00273810">
              <w:t>D</w:t>
            </w:r>
            <w:r w:rsidR="00A352A5" w:rsidRPr="00273810">
              <w:t>efendant</w:t>
            </w:r>
            <w:r w:rsidR="00240875" w:rsidRPr="00273810">
              <w:t xml:space="preserve"> </w:t>
            </w:r>
            <w:r w:rsidRPr="00273810">
              <w:t>/</w:t>
            </w:r>
            <w:r w:rsidR="00240875" w:rsidRPr="00273810">
              <w:t xml:space="preserve"> C</w:t>
            </w:r>
            <w:r w:rsidR="00576937" w:rsidRPr="00273810">
              <w:t>ross-p</w:t>
            </w:r>
            <w:r w:rsidR="00A352A5" w:rsidRPr="00273810">
              <w:t xml:space="preserve">laintiff </w:t>
            </w:r>
          </w:p>
        </w:tc>
      </w:tr>
      <w:tr w:rsidR="00D61C2C" w:rsidRPr="00273810" w14:paraId="6F3EB238" w14:textId="77777777" w:rsidTr="008D18FC">
        <w:tc>
          <w:tcPr>
            <w:tcW w:w="9360" w:type="dxa"/>
            <w:gridSpan w:val="7"/>
          </w:tcPr>
          <w:p w14:paraId="5BBFFC4B" w14:textId="3C35CB2D" w:rsidR="008F364A" w:rsidRPr="00273810" w:rsidRDefault="003C1EF5">
            <w:pPr>
              <w:pStyle w:val="zSoquijlblLienParties"/>
            </w:pPr>
            <w:r w:rsidRPr="00273810">
              <w:t>v</w:t>
            </w:r>
            <w:r w:rsidR="00F34BA3" w:rsidRPr="00273810">
              <w:t>.</w:t>
            </w:r>
          </w:p>
        </w:tc>
      </w:tr>
      <w:tr w:rsidR="00D61C2C" w:rsidRPr="00273810" w14:paraId="0B636511" w14:textId="77777777" w:rsidTr="008D18FC">
        <w:tc>
          <w:tcPr>
            <w:tcW w:w="9360" w:type="dxa"/>
            <w:gridSpan w:val="7"/>
          </w:tcPr>
          <w:p w14:paraId="5347FA8A" w14:textId="77777777" w:rsidR="008F364A" w:rsidRPr="00273810" w:rsidRDefault="008F364A"/>
        </w:tc>
      </w:tr>
      <w:tr w:rsidR="00D61C2C" w:rsidRPr="00273810" w14:paraId="5EBF3E32" w14:textId="77777777" w:rsidTr="008D18FC">
        <w:tc>
          <w:tcPr>
            <w:tcW w:w="9360" w:type="dxa"/>
            <w:gridSpan w:val="7"/>
          </w:tcPr>
          <w:p w14:paraId="7F28E3FC" w14:textId="77777777" w:rsidR="008F364A" w:rsidRPr="00273810" w:rsidRDefault="00F34BA3">
            <w:pPr>
              <w:pStyle w:val="zSoquijdatNomPartieDef"/>
            </w:pPr>
            <w:r w:rsidRPr="00273810">
              <w:t>9220-8883 QUÉBEC INC.</w:t>
            </w:r>
          </w:p>
        </w:tc>
      </w:tr>
      <w:tr w:rsidR="00D61C2C" w:rsidRPr="00273810" w14:paraId="4E435477" w14:textId="77777777" w:rsidTr="008D18FC">
        <w:tc>
          <w:tcPr>
            <w:tcW w:w="9360" w:type="dxa"/>
            <w:gridSpan w:val="7"/>
          </w:tcPr>
          <w:p w14:paraId="69C1E38C" w14:textId="77777777" w:rsidR="004D53BE" w:rsidRPr="00273810" w:rsidRDefault="00F34BA3">
            <w:pPr>
              <w:pStyle w:val="zSoquijdatNomPartieDef"/>
            </w:pPr>
            <w:r w:rsidRPr="00273810">
              <w:t>9286-3075 QUÉBEC INC.</w:t>
            </w:r>
          </w:p>
        </w:tc>
      </w:tr>
      <w:tr w:rsidR="00D61C2C" w:rsidRPr="00273810" w14:paraId="574988A0" w14:textId="77777777" w:rsidTr="008D18FC">
        <w:tc>
          <w:tcPr>
            <w:tcW w:w="9360" w:type="dxa"/>
            <w:gridSpan w:val="7"/>
          </w:tcPr>
          <w:p w14:paraId="080C3492" w14:textId="6E719E74" w:rsidR="008F364A" w:rsidRPr="00273810" w:rsidRDefault="003C1EF5">
            <w:pPr>
              <w:pStyle w:val="zSoquijdatQtePartieDef"/>
            </w:pPr>
            <w:r w:rsidRPr="00273810">
              <w:t>RESPONDENTS</w:t>
            </w:r>
            <w:r w:rsidR="00F34BA3" w:rsidRPr="00273810">
              <w:t xml:space="preserve"> –</w:t>
            </w:r>
            <w:r w:rsidR="00240875" w:rsidRPr="00273810">
              <w:t xml:space="preserve"> P</w:t>
            </w:r>
            <w:r w:rsidR="00AE7518" w:rsidRPr="00273810">
              <w:t>laintiffs</w:t>
            </w:r>
            <w:r w:rsidR="00240875" w:rsidRPr="00273810">
              <w:t xml:space="preserve"> </w:t>
            </w:r>
            <w:r w:rsidR="00F34BA3" w:rsidRPr="00273810">
              <w:t>/</w:t>
            </w:r>
            <w:r w:rsidR="00240875" w:rsidRPr="00273810">
              <w:t xml:space="preserve"> </w:t>
            </w:r>
            <w:r w:rsidR="00AE7518" w:rsidRPr="00273810">
              <w:t>Cross-d</w:t>
            </w:r>
            <w:r w:rsidRPr="00273810">
              <w:t>efendants</w:t>
            </w:r>
          </w:p>
        </w:tc>
      </w:tr>
      <w:tr w:rsidR="00D61C2C" w:rsidRPr="00273810" w14:paraId="381C8F02" w14:textId="77777777" w:rsidTr="008D18FC">
        <w:tc>
          <w:tcPr>
            <w:tcW w:w="9360" w:type="dxa"/>
            <w:gridSpan w:val="7"/>
          </w:tcPr>
          <w:p w14:paraId="3B0B35D2" w14:textId="77777777" w:rsidR="008F364A" w:rsidRPr="00273810" w:rsidRDefault="008F364A"/>
        </w:tc>
      </w:tr>
      <w:tr w:rsidR="00D61C2C" w:rsidRPr="00273810" w14:paraId="3661AECC" w14:textId="77777777" w:rsidTr="008D18FC">
        <w:tc>
          <w:tcPr>
            <w:tcW w:w="9360" w:type="dxa"/>
            <w:gridSpan w:val="7"/>
            <w:tcBorders>
              <w:top w:val="single" w:sz="8" w:space="0" w:color="auto"/>
            </w:tcBorders>
          </w:tcPr>
          <w:p w14:paraId="3AA711C6" w14:textId="77777777" w:rsidR="008F364A" w:rsidRPr="00273810" w:rsidRDefault="008F364A">
            <w:bookmarkStart w:id="8" w:name="Arret"/>
          </w:p>
        </w:tc>
      </w:tr>
      <w:tr w:rsidR="00D61C2C" w:rsidRPr="00273810" w14:paraId="0EEC6E59" w14:textId="77777777" w:rsidTr="008D18FC">
        <w:tc>
          <w:tcPr>
            <w:tcW w:w="9360" w:type="dxa"/>
            <w:gridSpan w:val="7"/>
          </w:tcPr>
          <w:p w14:paraId="5C7BA817" w14:textId="1EAB2F4D" w:rsidR="008F364A" w:rsidRPr="00273810" w:rsidRDefault="003C1EF5">
            <w:pPr>
              <w:pStyle w:val="zSoquijlblTypeDocument"/>
            </w:pPr>
            <w:bookmarkStart w:id="9" w:name="TitreDocument"/>
            <w:r w:rsidRPr="00273810">
              <w:t>JUDGMENT</w:t>
            </w:r>
            <w:bookmarkEnd w:id="9"/>
          </w:p>
        </w:tc>
      </w:tr>
      <w:tr w:rsidR="00D61C2C" w:rsidRPr="00273810" w14:paraId="28D7EDFA" w14:textId="77777777" w:rsidTr="008D18FC">
        <w:tc>
          <w:tcPr>
            <w:tcW w:w="9360" w:type="dxa"/>
            <w:gridSpan w:val="7"/>
            <w:tcBorders>
              <w:bottom w:val="single" w:sz="8" w:space="0" w:color="auto"/>
            </w:tcBorders>
          </w:tcPr>
          <w:p w14:paraId="1F5206B4" w14:textId="77777777" w:rsidR="008F364A" w:rsidRPr="00273810" w:rsidRDefault="008F364A"/>
        </w:tc>
      </w:tr>
      <w:tr w:rsidR="00D61C2C" w:rsidRPr="00273810" w14:paraId="3DAAC54C" w14:textId="77777777" w:rsidTr="008D18FC">
        <w:tc>
          <w:tcPr>
            <w:tcW w:w="9360" w:type="dxa"/>
            <w:gridSpan w:val="7"/>
            <w:tcBorders>
              <w:top w:val="single" w:sz="8" w:space="0" w:color="auto"/>
            </w:tcBorders>
          </w:tcPr>
          <w:p w14:paraId="7ED14757" w14:textId="77777777" w:rsidR="008F364A" w:rsidRPr="00273810" w:rsidRDefault="008F364A"/>
        </w:tc>
      </w:tr>
    </w:tbl>
    <w:p w14:paraId="34A4C86D" w14:textId="7C2F459F" w:rsidR="00F64487" w:rsidRPr="00273810" w:rsidRDefault="00F64487" w:rsidP="003C0F1B">
      <w:pPr>
        <w:pStyle w:val="Paragraphe"/>
        <w:spacing w:line="240" w:lineRule="auto"/>
        <w:rPr>
          <w:szCs w:val="24"/>
        </w:rPr>
      </w:pPr>
      <w:r w:rsidRPr="00273810">
        <w:t>This is an appeal from a judgment rendered on January 26, 2021</w:t>
      </w:r>
      <w:r w:rsidR="00807B0E">
        <w:t>,</w:t>
      </w:r>
      <w:r w:rsidRPr="00273810">
        <w:t xml:space="preserve"> by the Superior Court, </w:t>
      </w:r>
      <w:r w:rsidR="00807B0E">
        <w:t>D</w:t>
      </w:r>
      <w:r w:rsidRPr="00273810">
        <w:t>istrict of Qu</w:t>
      </w:r>
      <w:r w:rsidR="00807B0E">
        <w:t>é</w:t>
      </w:r>
      <w:r w:rsidRPr="00273810">
        <w:t>bec (</w:t>
      </w:r>
      <w:r w:rsidR="00AE7518" w:rsidRPr="00273810">
        <w:t xml:space="preserve">the </w:t>
      </w:r>
      <w:r w:rsidRPr="00273810">
        <w:t>Honourable Suzanne Hardy-Lemieux),</w:t>
      </w:r>
      <w:r w:rsidRPr="00273810">
        <w:rPr>
          <w:rStyle w:val="Appelnotedebasdep"/>
          <w:lang w:val="en-CA"/>
        </w:rPr>
        <w:footnoteReference w:id="1"/>
      </w:r>
      <w:r w:rsidRPr="00273810">
        <w:t xml:space="preserve"> </w:t>
      </w:r>
      <w:r w:rsidR="00807B0E">
        <w:t xml:space="preserve">granting in part </w:t>
      </w:r>
      <w:r w:rsidRPr="00273810">
        <w:t xml:space="preserve">the respondents’ application and essentially </w:t>
      </w:r>
      <w:r w:rsidRPr="003F27D7">
        <w:rPr>
          <w:b/>
          <w:bCs/>
        </w:rPr>
        <w:t>(i)</w:t>
      </w:r>
      <w:r w:rsidRPr="00273810">
        <w:t xml:space="preserve"> </w:t>
      </w:r>
      <w:r w:rsidR="00807B0E">
        <w:t xml:space="preserve">declaring </w:t>
      </w:r>
      <w:r w:rsidRPr="00273810">
        <w:t xml:space="preserve">that </w:t>
      </w:r>
      <w:r w:rsidR="003F27D7" w:rsidRPr="00273810">
        <w:t xml:space="preserve">the respondent </w:t>
      </w:r>
      <w:r w:rsidR="003F27D7" w:rsidRPr="00273810">
        <w:rPr>
          <w:szCs w:val="24"/>
        </w:rPr>
        <w:t>9220-8883 Québec inc. (“9220”)</w:t>
      </w:r>
      <w:r w:rsidR="003F27D7">
        <w:rPr>
          <w:szCs w:val="24"/>
        </w:rPr>
        <w:t xml:space="preserve"> owns </w:t>
      </w:r>
      <w:r w:rsidRPr="00273810">
        <w:t>the trademarks “</w:t>
      </w:r>
      <w:r w:rsidR="006C0FA2" w:rsidRPr="00273810">
        <w:t>Levis</w:t>
      </w:r>
      <w:r w:rsidRPr="00273810">
        <w:t xml:space="preserve"> Ville du Rock” and “Ville du Rock”</w:t>
      </w:r>
      <w:r w:rsidRPr="00273810">
        <w:rPr>
          <w:szCs w:val="24"/>
        </w:rPr>
        <w:t xml:space="preserve">, </w:t>
      </w:r>
      <w:r w:rsidRPr="00273810">
        <w:rPr>
          <w:b/>
          <w:szCs w:val="24"/>
        </w:rPr>
        <w:t>(ii)</w:t>
      </w:r>
      <w:r w:rsidRPr="00273810">
        <w:rPr>
          <w:szCs w:val="24"/>
        </w:rPr>
        <w:t xml:space="preserve"> issuing permanent injunction</w:t>
      </w:r>
      <w:r w:rsidR="00807B0E">
        <w:rPr>
          <w:szCs w:val="24"/>
        </w:rPr>
        <w:t>s</w:t>
      </w:r>
      <w:r w:rsidRPr="00273810">
        <w:rPr>
          <w:szCs w:val="24"/>
        </w:rPr>
        <w:t xml:space="preserve"> </w:t>
      </w:r>
      <w:r w:rsidR="00807B0E">
        <w:rPr>
          <w:szCs w:val="24"/>
        </w:rPr>
        <w:t xml:space="preserve">directing </w:t>
      </w:r>
      <w:r w:rsidRPr="00273810">
        <w:rPr>
          <w:szCs w:val="24"/>
        </w:rPr>
        <w:t xml:space="preserve">the appellant </w:t>
      </w:r>
      <w:r w:rsidR="00807B0E">
        <w:rPr>
          <w:szCs w:val="24"/>
        </w:rPr>
        <w:t xml:space="preserve">not </w:t>
      </w:r>
      <w:r w:rsidRPr="00273810">
        <w:rPr>
          <w:szCs w:val="24"/>
        </w:rPr>
        <w:t>to</w:t>
      </w:r>
      <w:r w:rsidR="00921FCE" w:rsidRPr="00921FCE">
        <w:rPr>
          <w:szCs w:val="24"/>
        </w:rPr>
        <w:t xml:space="preserve"> </w:t>
      </w:r>
      <w:r w:rsidRPr="00273810">
        <w:rPr>
          <w:szCs w:val="24"/>
        </w:rPr>
        <w:t>us</w:t>
      </w:r>
      <w:r w:rsidR="00807B0E">
        <w:rPr>
          <w:szCs w:val="24"/>
        </w:rPr>
        <w:t>e</w:t>
      </w:r>
      <w:r w:rsidR="00DB4C5C">
        <w:rPr>
          <w:szCs w:val="24"/>
        </w:rPr>
        <w:t xml:space="preserve"> these trademarks</w:t>
      </w:r>
      <w:r w:rsidRPr="00273810">
        <w:rPr>
          <w:szCs w:val="24"/>
        </w:rPr>
        <w:t xml:space="preserve"> </w:t>
      </w:r>
      <w:r w:rsidR="002105BD">
        <w:rPr>
          <w:szCs w:val="24"/>
        </w:rPr>
        <w:t xml:space="preserve">in Quebec </w:t>
      </w:r>
      <w:r w:rsidRPr="00273810">
        <w:rPr>
          <w:szCs w:val="24"/>
        </w:rPr>
        <w:t xml:space="preserve">and/or to </w:t>
      </w:r>
      <w:r w:rsidR="002105BD">
        <w:rPr>
          <w:szCs w:val="24"/>
        </w:rPr>
        <w:t xml:space="preserve">stop </w:t>
      </w:r>
      <w:r w:rsidRPr="00273810">
        <w:rPr>
          <w:szCs w:val="24"/>
        </w:rPr>
        <w:t xml:space="preserve">using </w:t>
      </w:r>
      <w:r w:rsidR="00807B0E">
        <w:rPr>
          <w:szCs w:val="24"/>
        </w:rPr>
        <w:t xml:space="preserve">these </w:t>
      </w:r>
      <w:r w:rsidRPr="00273810">
        <w:rPr>
          <w:szCs w:val="24"/>
        </w:rPr>
        <w:t xml:space="preserve">trademarks, </w:t>
      </w:r>
      <w:r w:rsidR="00921FCE">
        <w:rPr>
          <w:szCs w:val="24"/>
        </w:rPr>
        <w:t xml:space="preserve">not </w:t>
      </w:r>
      <w:r w:rsidRPr="00273810">
        <w:rPr>
          <w:szCs w:val="24"/>
        </w:rPr>
        <w:t xml:space="preserve">to </w:t>
      </w:r>
      <w:r w:rsidR="00247B75">
        <w:rPr>
          <w:szCs w:val="24"/>
        </w:rPr>
        <w:t>dis</w:t>
      </w:r>
      <w:r w:rsidR="002569D5">
        <w:rPr>
          <w:szCs w:val="24"/>
        </w:rPr>
        <w:t>seminate</w:t>
      </w:r>
      <w:r w:rsidRPr="00273810">
        <w:rPr>
          <w:szCs w:val="24"/>
        </w:rPr>
        <w:t xml:space="preserve"> </w:t>
      </w:r>
      <w:r w:rsidRPr="00247B75">
        <w:rPr>
          <w:szCs w:val="24"/>
        </w:rPr>
        <w:t xml:space="preserve">or </w:t>
      </w:r>
      <w:r w:rsidR="00921FCE">
        <w:rPr>
          <w:szCs w:val="24"/>
        </w:rPr>
        <w:t xml:space="preserve">allow to be </w:t>
      </w:r>
      <w:r w:rsidR="00247B75">
        <w:rPr>
          <w:szCs w:val="24"/>
        </w:rPr>
        <w:t>dis</w:t>
      </w:r>
      <w:r w:rsidR="002569D5">
        <w:rPr>
          <w:szCs w:val="24"/>
        </w:rPr>
        <w:t>seminated</w:t>
      </w:r>
      <w:r w:rsidRPr="00273810">
        <w:rPr>
          <w:szCs w:val="24"/>
        </w:rPr>
        <w:t xml:space="preserve"> and to </w:t>
      </w:r>
      <w:r w:rsidR="002105BD">
        <w:rPr>
          <w:szCs w:val="24"/>
        </w:rPr>
        <w:t xml:space="preserve">stop </w:t>
      </w:r>
      <w:r w:rsidR="00247B75">
        <w:rPr>
          <w:szCs w:val="24"/>
        </w:rPr>
        <w:t>dis</w:t>
      </w:r>
      <w:r w:rsidR="002569D5">
        <w:rPr>
          <w:szCs w:val="24"/>
        </w:rPr>
        <w:t>seminating</w:t>
      </w:r>
      <w:r w:rsidRPr="00273810">
        <w:rPr>
          <w:szCs w:val="24"/>
        </w:rPr>
        <w:t xml:space="preserve"> any </w:t>
      </w:r>
      <w:r w:rsidR="00056CCC" w:rsidRPr="00273810">
        <w:rPr>
          <w:szCs w:val="24"/>
        </w:rPr>
        <w:t>advertising</w:t>
      </w:r>
      <w:r w:rsidRPr="00273810">
        <w:rPr>
          <w:szCs w:val="24"/>
        </w:rPr>
        <w:t xml:space="preserve"> </w:t>
      </w:r>
      <w:r w:rsidRPr="00247B75">
        <w:rPr>
          <w:szCs w:val="24"/>
        </w:rPr>
        <w:t>reproducing</w:t>
      </w:r>
      <w:r w:rsidRPr="00273810">
        <w:rPr>
          <w:szCs w:val="24"/>
        </w:rPr>
        <w:t xml:space="preserve"> the names “Lévis Ville du Rock”</w:t>
      </w:r>
      <w:r w:rsidR="007F4F6C" w:rsidRPr="00273810">
        <w:rPr>
          <w:szCs w:val="24"/>
        </w:rPr>
        <w:t>,</w:t>
      </w:r>
      <w:r w:rsidRPr="00273810">
        <w:rPr>
          <w:szCs w:val="24"/>
        </w:rPr>
        <w:t xml:space="preserve"> “Québec Ville du Rock” or “Ville du Rock”</w:t>
      </w:r>
      <w:r w:rsidR="007F4F6C" w:rsidRPr="00273810">
        <w:rPr>
          <w:szCs w:val="24"/>
        </w:rPr>
        <w:t>,</w:t>
      </w:r>
      <w:r w:rsidRPr="00273810">
        <w:rPr>
          <w:szCs w:val="24"/>
        </w:rPr>
        <w:t xml:space="preserve"> and </w:t>
      </w:r>
      <w:r w:rsidR="00921FCE">
        <w:rPr>
          <w:szCs w:val="24"/>
        </w:rPr>
        <w:t xml:space="preserve">not </w:t>
      </w:r>
      <w:r w:rsidRPr="00273810">
        <w:rPr>
          <w:szCs w:val="24"/>
        </w:rPr>
        <w:t xml:space="preserve">to </w:t>
      </w:r>
      <w:r w:rsidR="009C0766">
        <w:rPr>
          <w:szCs w:val="24"/>
        </w:rPr>
        <w:t>promote</w:t>
      </w:r>
      <w:r w:rsidR="009C0766" w:rsidRPr="00273810">
        <w:rPr>
          <w:szCs w:val="24"/>
        </w:rPr>
        <w:t xml:space="preserve"> </w:t>
      </w:r>
      <w:r w:rsidRPr="00273810">
        <w:rPr>
          <w:szCs w:val="24"/>
        </w:rPr>
        <w:t xml:space="preserve">or to </w:t>
      </w:r>
      <w:r w:rsidR="002105BD">
        <w:rPr>
          <w:szCs w:val="24"/>
        </w:rPr>
        <w:t xml:space="preserve">stop </w:t>
      </w:r>
      <w:r w:rsidRPr="00273810">
        <w:rPr>
          <w:szCs w:val="24"/>
        </w:rPr>
        <w:t>o</w:t>
      </w:r>
      <w:r w:rsidR="004B6CD8">
        <w:rPr>
          <w:szCs w:val="24"/>
        </w:rPr>
        <w:t>perat</w:t>
      </w:r>
      <w:r w:rsidR="00916663">
        <w:rPr>
          <w:szCs w:val="24"/>
        </w:rPr>
        <w:t>ing</w:t>
      </w:r>
      <w:r w:rsidRPr="00273810">
        <w:rPr>
          <w:szCs w:val="24"/>
        </w:rPr>
        <w:t xml:space="preserve"> a music contest or other event</w:t>
      </w:r>
      <w:r w:rsidR="00921FCE">
        <w:rPr>
          <w:szCs w:val="24"/>
        </w:rPr>
        <w:t xml:space="preserve"> whose</w:t>
      </w:r>
      <w:r w:rsidRPr="00273810">
        <w:rPr>
          <w:szCs w:val="24"/>
        </w:rPr>
        <w:t xml:space="preserve"> name includes the words “Lévis Ville du Rock”</w:t>
      </w:r>
      <w:r w:rsidR="007F4F6C" w:rsidRPr="00273810">
        <w:rPr>
          <w:szCs w:val="24"/>
        </w:rPr>
        <w:t>,</w:t>
      </w:r>
      <w:r w:rsidRPr="00273810">
        <w:rPr>
          <w:szCs w:val="24"/>
        </w:rPr>
        <w:t xml:space="preserve"> “Québec Ville du Rock” or “Ville du Rock”</w:t>
      </w:r>
      <w:r w:rsidR="007F4F6C" w:rsidRPr="00273810">
        <w:rPr>
          <w:szCs w:val="24"/>
        </w:rPr>
        <w:t>,</w:t>
      </w:r>
      <w:r w:rsidRPr="00273810">
        <w:rPr>
          <w:szCs w:val="24"/>
        </w:rPr>
        <w:t xml:space="preserve"> </w:t>
      </w:r>
      <w:r w:rsidRPr="00273810">
        <w:rPr>
          <w:b/>
          <w:szCs w:val="24"/>
        </w:rPr>
        <w:t xml:space="preserve">(iii) </w:t>
      </w:r>
      <w:r w:rsidRPr="00273810">
        <w:rPr>
          <w:szCs w:val="24"/>
        </w:rPr>
        <w:t xml:space="preserve">ordering the appellant to </w:t>
      </w:r>
      <w:r w:rsidR="00921FCE">
        <w:rPr>
          <w:szCs w:val="24"/>
        </w:rPr>
        <w:t>send</w:t>
      </w:r>
      <w:r w:rsidR="00921FCE" w:rsidRPr="00921FCE">
        <w:rPr>
          <w:szCs w:val="24"/>
        </w:rPr>
        <w:t xml:space="preserve"> </w:t>
      </w:r>
      <w:r w:rsidR="00921FCE" w:rsidRPr="00273810">
        <w:rPr>
          <w:szCs w:val="24"/>
        </w:rPr>
        <w:t>the respondent 9220</w:t>
      </w:r>
      <w:r w:rsidR="00921FCE">
        <w:rPr>
          <w:szCs w:val="24"/>
        </w:rPr>
        <w:t xml:space="preserve">, </w:t>
      </w:r>
      <w:r w:rsidRPr="00273810">
        <w:rPr>
          <w:szCs w:val="24"/>
        </w:rPr>
        <w:t>within five days</w:t>
      </w:r>
      <w:r w:rsidR="00921FCE">
        <w:rPr>
          <w:szCs w:val="24"/>
        </w:rPr>
        <w:t>,</w:t>
      </w:r>
      <w:r w:rsidRPr="00273810">
        <w:rPr>
          <w:szCs w:val="24"/>
        </w:rPr>
        <w:t xml:space="preserve"> the identifiers, passwords or other similar relevant </w:t>
      </w:r>
      <w:r w:rsidRPr="00273810">
        <w:rPr>
          <w:szCs w:val="24"/>
        </w:rPr>
        <w:lastRenderedPageBreak/>
        <w:t>information re</w:t>
      </w:r>
      <w:r w:rsidR="00921FCE">
        <w:rPr>
          <w:szCs w:val="24"/>
        </w:rPr>
        <w:t>lated to</w:t>
      </w:r>
      <w:r w:rsidRPr="00273810">
        <w:rPr>
          <w:szCs w:val="24"/>
        </w:rPr>
        <w:t xml:space="preserve"> the “LévisVilledurock.com” domain name and Facebook page at https://facebook.com/quebecrockcontest/</w:t>
      </w:r>
      <w:r w:rsidR="007F4F6C" w:rsidRPr="00273810">
        <w:rPr>
          <w:szCs w:val="24"/>
        </w:rPr>
        <w:t>,</w:t>
      </w:r>
      <w:r w:rsidRPr="00273810">
        <w:rPr>
          <w:szCs w:val="24"/>
        </w:rPr>
        <w:t xml:space="preserve"> and </w:t>
      </w:r>
      <w:r w:rsidRPr="00273810">
        <w:rPr>
          <w:b/>
          <w:szCs w:val="24"/>
        </w:rPr>
        <w:t>(iv)</w:t>
      </w:r>
      <w:r w:rsidRPr="00273810">
        <w:rPr>
          <w:szCs w:val="24"/>
        </w:rPr>
        <w:t xml:space="preserve"> </w:t>
      </w:r>
      <w:r w:rsidR="00921FCE">
        <w:rPr>
          <w:szCs w:val="24"/>
        </w:rPr>
        <w:t xml:space="preserve">condemning </w:t>
      </w:r>
      <w:r w:rsidRPr="00273810">
        <w:rPr>
          <w:szCs w:val="24"/>
        </w:rPr>
        <w:t xml:space="preserve">the appellant to pay $25,000 in compensatory damages </w:t>
      </w:r>
      <w:r w:rsidR="00DB4C5C">
        <w:rPr>
          <w:szCs w:val="24"/>
        </w:rPr>
        <w:t xml:space="preserve">to 9220 </w:t>
      </w:r>
      <w:r w:rsidRPr="00273810">
        <w:rPr>
          <w:szCs w:val="24"/>
        </w:rPr>
        <w:t xml:space="preserve">for unfair competition and </w:t>
      </w:r>
      <w:r w:rsidR="003F27D7">
        <w:rPr>
          <w:szCs w:val="24"/>
        </w:rPr>
        <w:t xml:space="preserve">the </w:t>
      </w:r>
      <w:r w:rsidRPr="00273810">
        <w:rPr>
          <w:szCs w:val="24"/>
        </w:rPr>
        <w:t>misappropriation of the “Lévis Ville du Rock”</w:t>
      </w:r>
      <w:r w:rsidR="00921FCE">
        <w:rPr>
          <w:szCs w:val="24"/>
        </w:rPr>
        <w:t xml:space="preserve"> </w:t>
      </w:r>
      <w:r w:rsidR="00921FCE" w:rsidRPr="00273810">
        <w:rPr>
          <w:szCs w:val="24"/>
        </w:rPr>
        <w:t>trademark</w:t>
      </w:r>
      <w:r w:rsidRPr="00273810">
        <w:rPr>
          <w:szCs w:val="24"/>
        </w:rPr>
        <w:t xml:space="preserve"> and the </w:t>
      </w:r>
      <w:r w:rsidR="00921FCE">
        <w:rPr>
          <w:szCs w:val="24"/>
        </w:rPr>
        <w:t xml:space="preserve">associated </w:t>
      </w:r>
      <w:r w:rsidRPr="00273810">
        <w:rPr>
          <w:szCs w:val="24"/>
        </w:rPr>
        <w:t xml:space="preserve">loss of profits, </w:t>
      </w:r>
      <w:r w:rsidR="007F4F6C" w:rsidRPr="00273810">
        <w:rPr>
          <w:szCs w:val="24"/>
        </w:rPr>
        <w:t>as well as</w:t>
      </w:r>
      <w:r w:rsidRPr="00273810">
        <w:rPr>
          <w:szCs w:val="24"/>
        </w:rPr>
        <w:t xml:space="preserve"> $2,500 in punitive damages</w:t>
      </w:r>
      <w:r w:rsidR="003E471F" w:rsidRPr="00273810">
        <w:rPr>
          <w:szCs w:val="24"/>
        </w:rPr>
        <w:t>.</w:t>
      </w:r>
    </w:p>
    <w:p w14:paraId="41BD2F50" w14:textId="2614B45D" w:rsidR="00A4328E" w:rsidRPr="00273810" w:rsidRDefault="003E471F" w:rsidP="003C0F1B">
      <w:pPr>
        <w:pStyle w:val="Paragraphe"/>
        <w:spacing w:line="240" w:lineRule="auto"/>
        <w:rPr>
          <w:rFonts w:eastAsia="Arial Unicode MS"/>
        </w:rPr>
      </w:pPr>
      <w:r w:rsidRPr="00273810">
        <w:rPr>
          <w:rFonts w:eastAsia="Arial Unicode MS"/>
        </w:rPr>
        <w:t xml:space="preserve">The judgment also </w:t>
      </w:r>
      <w:r w:rsidR="00807B0E">
        <w:rPr>
          <w:rFonts w:eastAsia="Arial Unicode MS"/>
        </w:rPr>
        <w:t xml:space="preserve">granted in part </w:t>
      </w:r>
      <w:r w:rsidRPr="00273810">
        <w:rPr>
          <w:rFonts w:eastAsia="Arial Unicode MS"/>
        </w:rPr>
        <w:t>the appellant’s cross-</w:t>
      </w:r>
      <w:r w:rsidR="00D442C9" w:rsidRPr="00273810">
        <w:rPr>
          <w:rFonts w:eastAsia="Arial Unicode MS"/>
        </w:rPr>
        <w:t>application</w:t>
      </w:r>
      <w:r w:rsidRPr="00273810">
        <w:rPr>
          <w:rFonts w:eastAsia="Arial Unicode MS"/>
        </w:rPr>
        <w:t xml:space="preserve"> and </w:t>
      </w:r>
      <w:r w:rsidR="00807B0E">
        <w:rPr>
          <w:rFonts w:eastAsia="Arial Unicode MS"/>
        </w:rPr>
        <w:t xml:space="preserve">condemned </w:t>
      </w:r>
      <w:r w:rsidRPr="00273810">
        <w:rPr>
          <w:rFonts w:eastAsia="Arial Unicode MS"/>
        </w:rPr>
        <w:t xml:space="preserve">9286-3075 Québec </w:t>
      </w:r>
      <w:r w:rsidR="007F4F6C" w:rsidRPr="00273810">
        <w:rPr>
          <w:rFonts w:eastAsia="Arial Unicode MS"/>
        </w:rPr>
        <w:t>i</w:t>
      </w:r>
      <w:r w:rsidRPr="00273810">
        <w:rPr>
          <w:rFonts w:eastAsia="Arial Unicode MS"/>
        </w:rPr>
        <w:t xml:space="preserve">nc. (“9286”) to pay </w:t>
      </w:r>
      <w:r w:rsidR="004B6CD8">
        <w:rPr>
          <w:rFonts w:eastAsia="Arial Unicode MS"/>
        </w:rPr>
        <w:t>him</w:t>
      </w:r>
      <w:r w:rsidRPr="00273810">
        <w:rPr>
          <w:rFonts w:eastAsia="Arial Unicode MS"/>
        </w:rPr>
        <w:t xml:space="preserve"> $17,288 with interest </w:t>
      </w:r>
      <w:r w:rsidR="00921FCE">
        <w:rPr>
          <w:rFonts w:eastAsia="Arial Unicode MS"/>
        </w:rPr>
        <w:t xml:space="preserve">as of </w:t>
      </w:r>
      <w:r w:rsidRPr="00273810">
        <w:rPr>
          <w:rFonts w:eastAsia="Arial Unicode MS"/>
        </w:rPr>
        <w:t>April</w:t>
      </w:r>
      <w:r w:rsidR="004B6CD8">
        <w:rPr>
          <w:rFonts w:eastAsia="Arial Unicode MS"/>
        </w:rPr>
        <w:t> </w:t>
      </w:r>
      <w:r w:rsidRPr="00273810">
        <w:rPr>
          <w:rFonts w:eastAsia="Arial Unicode MS"/>
        </w:rPr>
        <w:t>14, 2018.</w:t>
      </w:r>
    </w:p>
    <w:p w14:paraId="11CCE303" w14:textId="75DA70A4" w:rsidR="00F576DE" w:rsidRPr="00273810" w:rsidRDefault="00D442C9" w:rsidP="003C0F1B">
      <w:pPr>
        <w:pStyle w:val="Paragraphe"/>
        <w:spacing w:line="240" w:lineRule="auto"/>
        <w:rPr>
          <w:rFonts w:eastAsia="Arial Unicode MS"/>
        </w:rPr>
      </w:pPr>
      <w:r w:rsidRPr="00273810">
        <w:rPr>
          <w:rFonts w:eastAsia="Arial Unicode MS"/>
        </w:rPr>
        <w:t>The respondent 9286 concede</w:t>
      </w:r>
      <w:r w:rsidR="004567C6">
        <w:rPr>
          <w:rFonts w:eastAsia="Arial Unicode MS"/>
        </w:rPr>
        <w:t>s</w:t>
      </w:r>
      <w:r w:rsidRPr="00273810">
        <w:rPr>
          <w:rFonts w:eastAsia="Arial Unicode MS"/>
        </w:rPr>
        <w:t xml:space="preserve"> the last ground of appeal regarding the </w:t>
      </w:r>
      <w:r w:rsidR="00702FE9" w:rsidRPr="00273810">
        <w:rPr>
          <w:rFonts w:eastAsia="Arial Unicode MS"/>
        </w:rPr>
        <w:t xml:space="preserve">judge’s </w:t>
      </w:r>
      <w:r w:rsidR="00056CCC" w:rsidRPr="00273810">
        <w:rPr>
          <w:rFonts w:eastAsia="Arial Unicode MS"/>
        </w:rPr>
        <w:t>mis</w:t>
      </w:r>
      <w:r w:rsidRPr="00273810">
        <w:rPr>
          <w:rFonts w:eastAsia="Arial Unicode MS"/>
        </w:rPr>
        <w:t xml:space="preserve">calculation </w:t>
      </w:r>
      <w:r w:rsidR="003C0A22">
        <w:rPr>
          <w:rFonts w:eastAsia="Arial Unicode MS"/>
        </w:rPr>
        <w:t>of</w:t>
      </w:r>
      <w:r w:rsidR="003C0A22" w:rsidRPr="00273810">
        <w:rPr>
          <w:rFonts w:eastAsia="Arial Unicode MS"/>
        </w:rPr>
        <w:t xml:space="preserve"> </w:t>
      </w:r>
      <w:r w:rsidRPr="00273810">
        <w:rPr>
          <w:rFonts w:eastAsia="Arial Unicode MS"/>
        </w:rPr>
        <w:t xml:space="preserve">the </w:t>
      </w:r>
      <w:proofErr w:type="gramStart"/>
      <w:r w:rsidRPr="00273810">
        <w:rPr>
          <w:rFonts w:eastAsia="Arial Unicode MS"/>
        </w:rPr>
        <w:t>amount</w:t>
      </w:r>
      <w:proofErr w:type="gramEnd"/>
      <w:r w:rsidRPr="00273810">
        <w:rPr>
          <w:rFonts w:eastAsia="Arial Unicode MS"/>
        </w:rPr>
        <w:t xml:space="preserve"> of compensatory damages </w:t>
      </w:r>
      <w:r w:rsidR="00034949">
        <w:rPr>
          <w:rFonts w:eastAsia="Arial Unicode MS"/>
        </w:rPr>
        <w:t>owed</w:t>
      </w:r>
      <w:r w:rsidR="00034949" w:rsidRPr="00273810">
        <w:rPr>
          <w:rFonts w:eastAsia="Arial Unicode MS"/>
        </w:rPr>
        <w:t xml:space="preserve"> </w:t>
      </w:r>
      <w:r w:rsidRPr="00273810">
        <w:rPr>
          <w:rFonts w:eastAsia="Arial Unicode MS"/>
        </w:rPr>
        <w:t>to the appellant in the cross-application. 9286 in fact confirm</w:t>
      </w:r>
      <w:r w:rsidR="004567C6">
        <w:rPr>
          <w:rFonts w:eastAsia="Arial Unicode MS"/>
        </w:rPr>
        <w:t>s</w:t>
      </w:r>
      <w:r w:rsidRPr="00273810">
        <w:rPr>
          <w:rFonts w:eastAsia="Arial Unicode MS"/>
        </w:rPr>
        <w:t xml:space="preserve"> that the amount </w:t>
      </w:r>
      <w:r w:rsidR="002D5D85">
        <w:rPr>
          <w:rFonts w:eastAsia="Arial Unicode MS"/>
        </w:rPr>
        <w:t>owed</w:t>
      </w:r>
      <w:r w:rsidR="002D5D85" w:rsidRPr="00273810">
        <w:rPr>
          <w:rFonts w:eastAsia="Arial Unicode MS"/>
        </w:rPr>
        <w:t xml:space="preserve"> </w:t>
      </w:r>
      <w:r w:rsidRPr="00273810">
        <w:rPr>
          <w:rFonts w:eastAsia="Arial Unicode MS"/>
        </w:rPr>
        <w:t xml:space="preserve">for the 645 free </w:t>
      </w:r>
      <w:r w:rsidR="00056CCC" w:rsidRPr="00273810">
        <w:rPr>
          <w:rFonts w:eastAsia="Arial Unicode MS"/>
        </w:rPr>
        <w:t>admissions</w:t>
      </w:r>
      <w:r w:rsidRPr="00273810">
        <w:rPr>
          <w:rFonts w:eastAsia="Arial Unicode MS"/>
        </w:rPr>
        <w:t xml:space="preserve"> to the shows should have been calculated </w:t>
      </w:r>
      <w:proofErr w:type="gramStart"/>
      <w:r w:rsidRPr="00273810">
        <w:rPr>
          <w:rFonts w:eastAsia="Arial Unicode MS"/>
        </w:rPr>
        <w:t>on the basis of</w:t>
      </w:r>
      <w:proofErr w:type="gramEnd"/>
      <w:r w:rsidRPr="00273810">
        <w:rPr>
          <w:rFonts w:eastAsia="Arial Unicode MS"/>
        </w:rPr>
        <w:t xml:space="preserve"> $7 per </w:t>
      </w:r>
      <w:r w:rsidR="00D00B08">
        <w:rPr>
          <w:rFonts w:eastAsia="Arial Unicode MS"/>
        </w:rPr>
        <w:t>admission</w:t>
      </w:r>
      <w:r w:rsidRPr="00273810">
        <w:rPr>
          <w:rFonts w:eastAsia="Arial Unicode MS"/>
        </w:rPr>
        <w:t xml:space="preserve"> rather than $5. The appeal on this </w:t>
      </w:r>
      <w:r w:rsidR="004567C6">
        <w:rPr>
          <w:rFonts w:eastAsia="Arial Unicode MS"/>
        </w:rPr>
        <w:t>issue</w:t>
      </w:r>
      <w:r w:rsidR="004567C6" w:rsidRPr="00273810">
        <w:rPr>
          <w:rFonts w:eastAsia="Arial Unicode MS"/>
        </w:rPr>
        <w:t xml:space="preserve"> </w:t>
      </w:r>
      <w:r w:rsidRPr="00273810">
        <w:rPr>
          <w:rFonts w:eastAsia="Arial Unicode MS"/>
        </w:rPr>
        <w:t xml:space="preserve">will </w:t>
      </w:r>
      <w:r w:rsidR="00056CCC" w:rsidRPr="00273810">
        <w:rPr>
          <w:rFonts w:eastAsia="Arial Unicode MS"/>
        </w:rPr>
        <w:t xml:space="preserve">therefore </w:t>
      </w:r>
      <w:r w:rsidRPr="00273810">
        <w:rPr>
          <w:rFonts w:eastAsia="Arial Unicode MS"/>
        </w:rPr>
        <w:t xml:space="preserve">be allowed to increase the amount of this portion of the compensatory damages </w:t>
      </w:r>
      <w:r w:rsidR="00056CCC" w:rsidRPr="00273810">
        <w:rPr>
          <w:rFonts w:eastAsia="Arial Unicode MS"/>
        </w:rPr>
        <w:t>from</w:t>
      </w:r>
      <w:r w:rsidRPr="00273810">
        <w:rPr>
          <w:rFonts w:eastAsia="Arial Unicode MS"/>
        </w:rPr>
        <w:t xml:space="preserve"> $3,225 to $4,515, thereby increasing the </w:t>
      </w:r>
      <w:r w:rsidR="00153814" w:rsidRPr="00273810">
        <w:rPr>
          <w:rFonts w:eastAsia="Arial Unicode MS"/>
        </w:rPr>
        <w:t>total</w:t>
      </w:r>
      <w:r w:rsidRPr="00273810">
        <w:rPr>
          <w:rFonts w:eastAsia="Arial Unicode MS"/>
        </w:rPr>
        <w:t xml:space="preserve"> monetary award </w:t>
      </w:r>
      <w:r w:rsidR="005D4CEE" w:rsidRPr="00273810">
        <w:rPr>
          <w:rFonts w:eastAsia="Arial Unicode MS"/>
        </w:rPr>
        <w:t xml:space="preserve">to be paid by 9286 </w:t>
      </w:r>
      <w:r w:rsidRPr="00273810">
        <w:rPr>
          <w:rFonts w:eastAsia="Arial Unicode MS"/>
        </w:rPr>
        <w:t>to $18,578.</w:t>
      </w:r>
      <w:r w:rsidRPr="00273810">
        <w:rPr>
          <w:rStyle w:val="Appelnotedebasdep"/>
          <w:rFonts w:eastAsia="Arial Unicode MS"/>
          <w:lang w:val="en-CA"/>
        </w:rPr>
        <w:footnoteReference w:id="2"/>
      </w:r>
    </w:p>
    <w:p w14:paraId="7C2DA07C" w14:textId="58202822" w:rsidR="006941C1" w:rsidRPr="00273810" w:rsidRDefault="00D442C9" w:rsidP="003C0F1B">
      <w:pPr>
        <w:pStyle w:val="Paragraphe"/>
        <w:spacing w:line="240" w:lineRule="auto"/>
        <w:rPr>
          <w:rFonts w:eastAsia="Arial Unicode MS"/>
        </w:rPr>
      </w:pPr>
      <w:r w:rsidRPr="00273810">
        <w:rPr>
          <w:rFonts w:eastAsia="Arial Unicode MS"/>
        </w:rPr>
        <w:t xml:space="preserve">That said, the judge presided </w:t>
      </w:r>
      <w:r w:rsidR="005D4CEE" w:rsidRPr="00273810">
        <w:rPr>
          <w:rFonts w:eastAsia="Arial Unicode MS"/>
        </w:rPr>
        <w:t>over a four-day trial</w:t>
      </w:r>
      <w:r w:rsidRPr="00273810">
        <w:rPr>
          <w:rFonts w:eastAsia="Arial Unicode MS"/>
        </w:rPr>
        <w:t>, heard six witnesses, read the transcript</w:t>
      </w:r>
      <w:r w:rsidR="004B6CD8">
        <w:rPr>
          <w:rFonts w:eastAsia="Arial Unicode MS"/>
        </w:rPr>
        <w:t>s</w:t>
      </w:r>
      <w:r w:rsidRPr="00273810">
        <w:rPr>
          <w:rFonts w:eastAsia="Arial Unicode MS"/>
        </w:rPr>
        <w:t xml:space="preserve"> of the </w:t>
      </w:r>
      <w:r w:rsidR="005D4CEE" w:rsidRPr="00273810">
        <w:rPr>
          <w:rFonts w:eastAsia="Arial Unicode MS"/>
        </w:rPr>
        <w:t xml:space="preserve">pre-trial </w:t>
      </w:r>
      <w:r w:rsidRPr="00273810">
        <w:rPr>
          <w:rFonts w:eastAsia="Arial Unicode MS"/>
        </w:rPr>
        <w:t>examination</w:t>
      </w:r>
      <w:r w:rsidR="004B6CD8">
        <w:rPr>
          <w:rFonts w:eastAsia="Arial Unicode MS"/>
        </w:rPr>
        <w:t>s</w:t>
      </w:r>
      <w:r w:rsidRPr="00273810">
        <w:rPr>
          <w:rFonts w:eastAsia="Arial Unicode MS"/>
        </w:rPr>
        <w:t xml:space="preserve"> of three of </w:t>
      </w:r>
      <w:r w:rsidR="002D5D85">
        <w:rPr>
          <w:rFonts w:eastAsia="Arial Unicode MS"/>
        </w:rPr>
        <w:t>those witnesses</w:t>
      </w:r>
      <w:r w:rsidRPr="00273810">
        <w:rPr>
          <w:rFonts w:eastAsia="Arial Unicode MS"/>
        </w:rPr>
        <w:t>, heard rebuttal evidence</w:t>
      </w:r>
      <w:r w:rsidR="002D5D85">
        <w:rPr>
          <w:rFonts w:eastAsia="Arial Unicode MS"/>
        </w:rPr>
        <w:t>,</w:t>
      </w:r>
      <w:r w:rsidRPr="00273810">
        <w:rPr>
          <w:rFonts w:eastAsia="Arial Unicode MS"/>
        </w:rPr>
        <w:t xml:space="preserve"> and analyzed voluminous and varied documentary evidence,</w:t>
      </w:r>
      <w:r w:rsidRPr="00273810">
        <w:rPr>
          <w:rStyle w:val="Appelnotedebasdep"/>
          <w:rFonts w:eastAsia="Arial Unicode MS"/>
          <w:lang w:val="en-CA"/>
        </w:rPr>
        <w:footnoteReference w:id="3"/>
      </w:r>
      <w:r w:rsidRPr="00273810">
        <w:rPr>
          <w:rFonts w:eastAsia="Arial Unicode MS"/>
        </w:rPr>
        <w:t xml:space="preserve"> part of which </w:t>
      </w:r>
      <w:r w:rsidR="005D4CEE" w:rsidRPr="00273810">
        <w:rPr>
          <w:rFonts w:eastAsia="Arial Unicode MS"/>
        </w:rPr>
        <w:t xml:space="preserve">consisted of </w:t>
      </w:r>
      <w:r w:rsidRPr="00273810">
        <w:rPr>
          <w:rFonts w:eastAsia="Arial Unicode MS"/>
        </w:rPr>
        <w:t>contracts, draft contracts, licences, correspondence</w:t>
      </w:r>
      <w:r w:rsidR="004567C6">
        <w:rPr>
          <w:rFonts w:eastAsia="Arial Unicode MS"/>
        </w:rPr>
        <w:t>,</w:t>
      </w:r>
      <w:r w:rsidRPr="00273810">
        <w:rPr>
          <w:rFonts w:eastAsia="Arial Unicode MS"/>
        </w:rPr>
        <w:t xml:space="preserve"> and text messages</w:t>
      </w:r>
      <w:r w:rsidR="00066EC6" w:rsidRPr="00273810">
        <w:rPr>
          <w:rFonts w:eastAsia="Arial Unicode MS"/>
        </w:rPr>
        <w:t>,</w:t>
      </w:r>
      <w:r w:rsidRPr="00273810">
        <w:rPr>
          <w:rFonts w:eastAsia="Arial Unicode MS"/>
        </w:rPr>
        <w:t xml:space="preserve"> or concern</w:t>
      </w:r>
      <w:r w:rsidR="005D4CEE" w:rsidRPr="00273810">
        <w:rPr>
          <w:rFonts w:eastAsia="Arial Unicode MS"/>
        </w:rPr>
        <w:t>ed</w:t>
      </w:r>
      <w:r w:rsidRPr="00273810">
        <w:rPr>
          <w:rFonts w:eastAsia="Arial Unicode MS"/>
        </w:rPr>
        <w:t xml:space="preserve"> statistical or financial matters. After tak</w:t>
      </w:r>
      <w:r w:rsidR="004567C6">
        <w:rPr>
          <w:rFonts w:eastAsia="Arial Unicode MS"/>
        </w:rPr>
        <w:t>ing</w:t>
      </w:r>
      <w:r w:rsidRPr="00273810">
        <w:rPr>
          <w:rFonts w:eastAsia="Arial Unicode MS"/>
        </w:rPr>
        <w:t xml:space="preserve"> the case under advisement for three months, she rendered the </w:t>
      </w:r>
      <w:r w:rsidR="005F22A9" w:rsidRPr="00273810">
        <w:rPr>
          <w:rFonts w:eastAsia="Arial Unicode MS"/>
        </w:rPr>
        <w:t>judgment</w:t>
      </w:r>
      <w:r w:rsidR="00056CCC" w:rsidRPr="00273810">
        <w:rPr>
          <w:rFonts w:eastAsia="Arial Unicode MS"/>
        </w:rPr>
        <w:t xml:space="preserve"> under appeal</w:t>
      </w:r>
      <w:r w:rsidR="006363AB" w:rsidRPr="00273810">
        <w:rPr>
          <w:rFonts w:eastAsia="Arial Unicode MS"/>
        </w:rPr>
        <w:t>,</w:t>
      </w:r>
      <w:r w:rsidRPr="00273810">
        <w:rPr>
          <w:rFonts w:eastAsia="Arial Unicode MS"/>
        </w:rPr>
        <w:t xml:space="preserve"> which contains 226 paragraphs.</w:t>
      </w:r>
      <w:r w:rsidR="006111B6" w:rsidRPr="00273810">
        <w:rPr>
          <w:rFonts w:eastAsia="Arial Unicode MS"/>
        </w:rPr>
        <w:t xml:space="preserve"> </w:t>
      </w:r>
    </w:p>
    <w:p w14:paraId="7D72B04D" w14:textId="64B07F6F" w:rsidR="00681CC1" w:rsidRPr="00273810" w:rsidRDefault="002E6C17" w:rsidP="003C0F1B">
      <w:pPr>
        <w:numPr>
          <w:ilvl w:val="0"/>
          <w:numId w:val="18"/>
        </w:numPr>
        <w:spacing w:before="120" w:after="120" w:line="240" w:lineRule="auto"/>
        <w:jc w:val="both"/>
        <w:rPr>
          <w:rFonts w:eastAsia="Arial Unicode MS"/>
          <w:kern w:val="28"/>
        </w:rPr>
      </w:pPr>
      <w:r w:rsidRPr="00273810">
        <w:rPr>
          <w:rFonts w:eastAsia="Arial Unicode MS"/>
        </w:rPr>
        <w:t xml:space="preserve">Apart from </w:t>
      </w:r>
      <w:r w:rsidR="00D442C9" w:rsidRPr="00273810">
        <w:rPr>
          <w:rFonts w:eastAsia="Arial Unicode MS"/>
        </w:rPr>
        <w:t xml:space="preserve">the ground based on the $2 error </w:t>
      </w:r>
      <w:r w:rsidR="00447904">
        <w:rPr>
          <w:rFonts w:eastAsia="Arial Unicode MS"/>
        </w:rPr>
        <w:t>in</w:t>
      </w:r>
      <w:r w:rsidR="00447904" w:rsidRPr="00273810">
        <w:rPr>
          <w:rFonts w:eastAsia="Arial Unicode MS"/>
        </w:rPr>
        <w:t xml:space="preserve"> </w:t>
      </w:r>
      <w:r w:rsidR="00D442C9" w:rsidRPr="00273810">
        <w:rPr>
          <w:rFonts w:eastAsia="Arial Unicode MS"/>
        </w:rPr>
        <w:t xml:space="preserve">the cost of </w:t>
      </w:r>
      <w:r w:rsidRPr="00273810">
        <w:rPr>
          <w:rFonts w:eastAsia="Arial Unicode MS"/>
        </w:rPr>
        <w:t>admission</w:t>
      </w:r>
      <w:r w:rsidR="00D442C9" w:rsidRPr="00273810">
        <w:rPr>
          <w:rFonts w:eastAsia="Arial Unicode MS"/>
        </w:rPr>
        <w:t xml:space="preserve"> to the shows at the relevant time and her conclusion that “Ville du Rock” is a trademark, </w:t>
      </w:r>
      <w:r w:rsidR="005D4CEE" w:rsidRPr="00273810">
        <w:rPr>
          <w:rFonts w:eastAsia="Arial Unicode MS"/>
        </w:rPr>
        <w:t>to</w:t>
      </w:r>
      <w:r w:rsidR="00D442C9" w:rsidRPr="00273810">
        <w:rPr>
          <w:rFonts w:eastAsia="Arial Unicode MS"/>
        </w:rPr>
        <w:t xml:space="preserve"> which the Court will </w:t>
      </w:r>
      <w:r w:rsidR="005D4CEE" w:rsidRPr="00273810">
        <w:rPr>
          <w:rFonts w:eastAsia="Arial Unicode MS"/>
        </w:rPr>
        <w:t>return later</w:t>
      </w:r>
      <w:r w:rsidR="00D442C9" w:rsidRPr="00273810">
        <w:rPr>
          <w:rFonts w:eastAsia="Arial Unicode MS"/>
        </w:rPr>
        <w:t xml:space="preserve">, the rest of the appeal </w:t>
      </w:r>
      <w:r w:rsidR="00093D90">
        <w:rPr>
          <w:rFonts w:eastAsia="Arial Unicode MS"/>
        </w:rPr>
        <w:t xml:space="preserve">must </w:t>
      </w:r>
      <w:r w:rsidR="004567C6">
        <w:rPr>
          <w:rFonts w:eastAsia="Arial Unicode MS"/>
        </w:rPr>
        <w:t>fail</w:t>
      </w:r>
      <w:r w:rsidR="00447904">
        <w:rPr>
          <w:rFonts w:eastAsia="Arial Unicode MS"/>
        </w:rPr>
        <w:t>,</w:t>
      </w:r>
      <w:r w:rsidR="004567C6">
        <w:rPr>
          <w:rFonts w:eastAsia="Arial Unicode MS"/>
        </w:rPr>
        <w:t xml:space="preserve"> </w:t>
      </w:r>
      <w:r w:rsidR="005D4CEE" w:rsidRPr="00273810">
        <w:rPr>
          <w:rFonts w:eastAsia="Arial Unicode MS"/>
        </w:rPr>
        <w:t>for the reasons set out below</w:t>
      </w:r>
      <w:r w:rsidR="00D442C9" w:rsidRPr="00273810">
        <w:rPr>
          <w:rFonts w:eastAsia="Arial Unicode MS"/>
        </w:rPr>
        <w:t>.</w:t>
      </w:r>
    </w:p>
    <w:p w14:paraId="31B41B80" w14:textId="52C7DE81" w:rsidR="00D442C9" w:rsidRPr="00273810" w:rsidRDefault="00D442C9" w:rsidP="00D442C9">
      <w:pPr>
        <w:pStyle w:val="Paragraphe"/>
        <w:spacing w:line="240" w:lineRule="auto"/>
        <w:rPr>
          <w:rFonts w:eastAsia="Arial Unicode MS"/>
        </w:rPr>
      </w:pPr>
      <w:r w:rsidRPr="00273810">
        <w:rPr>
          <w:rFonts w:eastAsia="Arial Unicode MS"/>
        </w:rPr>
        <w:t>The appellant raise</w:t>
      </w:r>
      <w:r w:rsidR="004B6CD8">
        <w:rPr>
          <w:rFonts w:eastAsia="Arial Unicode MS"/>
        </w:rPr>
        <w:t>s</w:t>
      </w:r>
      <w:r w:rsidRPr="00273810">
        <w:rPr>
          <w:rFonts w:eastAsia="Arial Unicode MS"/>
        </w:rPr>
        <w:t xml:space="preserve"> eight issues in his brief. Because </w:t>
      </w:r>
      <w:r w:rsidR="004B6CD8">
        <w:rPr>
          <w:rFonts w:eastAsia="Arial Unicode MS"/>
        </w:rPr>
        <w:t>certain</w:t>
      </w:r>
      <w:r w:rsidR="004B6CD8" w:rsidRPr="00273810">
        <w:rPr>
          <w:rFonts w:eastAsia="Arial Unicode MS"/>
        </w:rPr>
        <w:t xml:space="preserve"> </w:t>
      </w:r>
      <w:r w:rsidRPr="00273810">
        <w:rPr>
          <w:rFonts w:eastAsia="Arial Unicode MS"/>
        </w:rPr>
        <w:t>issues may be grouped</w:t>
      </w:r>
      <w:r w:rsidR="005D4CEE" w:rsidRPr="00273810">
        <w:rPr>
          <w:rFonts w:eastAsia="Arial Unicode MS"/>
        </w:rPr>
        <w:t xml:space="preserve"> together</w:t>
      </w:r>
      <w:r w:rsidRPr="00273810">
        <w:rPr>
          <w:rFonts w:eastAsia="Arial Unicode MS"/>
        </w:rPr>
        <w:t>, the Court considers it appropriate to reword the issues</w:t>
      </w:r>
      <w:r w:rsidR="00502D46">
        <w:rPr>
          <w:rFonts w:eastAsia="Arial Unicode MS"/>
        </w:rPr>
        <w:t xml:space="preserve"> </w:t>
      </w:r>
      <w:r w:rsidRPr="00273810">
        <w:rPr>
          <w:rFonts w:eastAsia="Arial Unicode MS"/>
        </w:rPr>
        <w:t>as follows:</w:t>
      </w:r>
    </w:p>
    <w:p w14:paraId="4F7FF854" w14:textId="56D8872A" w:rsidR="00BA6AAF" w:rsidRPr="00273810" w:rsidRDefault="00D442C9" w:rsidP="00D442C9">
      <w:pPr>
        <w:pStyle w:val="Paragraphe"/>
        <w:numPr>
          <w:ilvl w:val="0"/>
          <w:numId w:val="21"/>
        </w:numPr>
        <w:spacing w:line="240" w:lineRule="auto"/>
        <w:rPr>
          <w:rFonts w:eastAsia="Arial Unicode MS"/>
          <w:b/>
        </w:rPr>
      </w:pPr>
      <w:r w:rsidRPr="00273810">
        <w:rPr>
          <w:rFonts w:eastAsia="Arial Unicode MS"/>
          <w:b/>
        </w:rPr>
        <w:t xml:space="preserve">Did the judge </w:t>
      </w:r>
      <w:r w:rsidR="007928AC">
        <w:rPr>
          <w:rFonts w:eastAsia="Arial Unicode MS"/>
          <w:b/>
        </w:rPr>
        <w:t>commit</w:t>
      </w:r>
      <w:r w:rsidRPr="00273810">
        <w:rPr>
          <w:rFonts w:eastAsia="Arial Unicode MS"/>
          <w:b/>
        </w:rPr>
        <w:t xml:space="preserve"> a palpable and overriding error by </w:t>
      </w:r>
      <w:r w:rsidR="00BA6AAF" w:rsidRPr="00273810">
        <w:rPr>
          <w:rFonts w:eastAsia="Arial Unicode MS"/>
          <w:b/>
        </w:rPr>
        <w:t>finding</w:t>
      </w:r>
      <w:r w:rsidRPr="00273810">
        <w:rPr>
          <w:rFonts w:eastAsia="Arial Unicode MS"/>
          <w:b/>
        </w:rPr>
        <w:t xml:space="preserve"> that the respondents’ </w:t>
      </w:r>
      <w:r w:rsidR="00B935BF" w:rsidRPr="00273810">
        <w:rPr>
          <w:rFonts w:eastAsia="Arial Unicode MS"/>
          <w:b/>
        </w:rPr>
        <w:t>action</w:t>
      </w:r>
      <w:r w:rsidRPr="00273810">
        <w:rPr>
          <w:rFonts w:eastAsia="Arial Unicode MS"/>
          <w:b/>
        </w:rPr>
        <w:t xml:space="preserve"> was not </w:t>
      </w:r>
      <w:r w:rsidR="00F451CD">
        <w:rPr>
          <w:rFonts w:eastAsia="Arial Unicode MS"/>
          <w:b/>
        </w:rPr>
        <w:t>prescribed</w:t>
      </w:r>
      <w:r w:rsidRPr="00273810">
        <w:rPr>
          <w:rFonts w:eastAsia="Arial Unicode MS"/>
          <w:b/>
        </w:rPr>
        <w:t>?</w:t>
      </w:r>
    </w:p>
    <w:p w14:paraId="29026BCA" w14:textId="77777777" w:rsidR="00BA6AAF" w:rsidRPr="00273810" w:rsidRDefault="00BA6AAF">
      <w:pPr>
        <w:spacing w:line="240" w:lineRule="auto"/>
        <w:rPr>
          <w:rFonts w:eastAsia="Arial Unicode MS"/>
          <w:b/>
          <w:kern w:val="28"/>
        </w:rPr>
      </w:pPr>
      <w:r w:rsidRPr="00273810">
        <w:rPr>
          <w:rFonts w:eastAsia="Arial Unicode MS"/>
          <w:b/>
        </w:rPr>
        <w:br w:type="page"/>
      </w:r>
    </w:p>
    <w:p w14:paraId="5F61623A" w14:textId="0ACF0F1A" w:rsidR="000B37C7" w:rsidRPr="00273810" w:rsidRDefault="00D442C9" w:rsidP="00D442C9">
      <w:pPr>
        <w:pStyle w:val="Paragraphe"/>
        <w:numPr>
          <w:ilvl w:val="0"/>
          <w:numId w:val="21"/>
        </w:numPr>
        <w:spacing w:line="240" w:lineRule="auto"/>
        <w:rPr>
          <w:rFonts w:eastAsia="Arial Unicode MS"/>
          <w:b/>
        </w:rPr>
      </w:pPr>
      <w:r w:rsidRPr="00273810">
        <w:rPr>
          <w:rFonts w:eastAsia="Arial Unicode MS"/>
          <w:b/>
        </w:rPr>
        <w:lastRenderedPageBreak/>
        <w:t xml:space="preserve">Did the judge </w:t>
      </w:r>
      <w:r w:rsidR="004B6CD8">
        <w:rPr>
          <w:rFonts w:eastAsia="Arial Unicode MS"/>
          <w:b/>
        </w:rPr>
        <w:t>commit</w:t>
      </w:r>
      <w:r w:rsidR="004B6CD8" w:rsidRPr="00273810">
        <w:rPr>
          <w:rFonts w:eastAsia="Arial Unicode MS"/>
          <w:b/>
        </w:rPr>
        <w:t xml:space="preserve"> </w:t>
      </w:r>
      <w:r w:rsidRPr="00273810">
        <w:rPr>
          <w:rFonts w:eastAsia="Arial Unicode MS"/>
          <w:b/>
        </w:rPr>
        <w:t xml:space="preserve">a reviewable error by </w:t>
      </w:r>
      <w:r w:rsidR="00F451CD">
        <w:rPr>
          <w:rFonts w:eastAsia="Arial Unicode MS"/>
          <w:b/>
        </w:rPr>
        <w:t>characteriz</w:t>
      </w:r>
      <w:r w:rsidR="00F451CD" w:rsidRPr="00273810">
        <w:rPr>
          <w:rFonts w:eastAsia="Arial Unicode MS"/>
          <w:b/>
        </w:rPr>
        <w:t xml:space="preserve">ing </w:t>
      </w:r>
      <w:r w:rsidRPr="00273810">
        <w:rPr>
          <w:rFonts w:eastAsia="Arial Unicode MS"/>
          <w:b/>
        </w:rPr>
        <w:t xml:space="preserve">the names “Lévis Ville du Rock” and “Ville du Rock” as trademarks within the meaning of the </w:t>
      </w:r>
      <w:r w:rsidRPr="00273810">
        <w:rPr>
          <w:rFonts w:eastAsia="Arial Unicode MS"/>
          <w:b/>
          <w:i/>
        </w:rPr>
        <w:t>Trademarks Act</w:t>
      </w:r>
      <w:r w:rsidRPr="00273810">
        <w:rPr>
          <w:rStyle w:val="Appelnotedebasdep"/>
          <w:rFonts w:eastAsia="Arial Unicode MS"/>
          <w:lang w:val="en-CA"/>
        </w:rPr>
        <w:footnoteReference w:id="4"/>
      </w:r>
      <w:r w:rsidRPr="00273810">
        <w:rPr>
          <w:rFonts w:eastAsia="Arial Unicode MS"/>
          <w:b/>
          <w:i/>
        </w:rPr>
        <w:t xml:space="preserve"> </w:t>
      </w:r>
      <w:r w:rsidRPr="00273810">
        <w:rPr>
          <w:rFonts w:eastAsia="Arial Unicode MS"/>
          <w:b/>
        </w:rPr>
        <w:t>(“</w:t>
      </w:r>
      <w:r w:rsidRPr="00093D90">
        <w:rPr>
          <w:rFonts w:eastAsia="Arial Unicode MS"/>
          <w:b/>
          <w:i/>
          <w:iCs/>
        </w:rPr>
        <w:t>TA</w:t>
      </w:r>
      <w:r w:rsidRPr="00273810">
        <w:rPr>
          <w:rFonts w:eastAsia="Arial Unicode MS"/>
          <w:b/>
          <w:i/>
        </w:rPr>
        <w:t>”</w:t>
      </w:r>
      <w:r w:rsidRPr="00273810">
        <w:rPr>
          <w:rFonts w:eastAsia="Arial Unicode MS"/>
          <w:b/>
        </w:rPr>
        <w:t>) or by conclu</w:t>
      </w:r>
      <w:r w:rsidR="00F451CD">
        <w:rPr>
          <w:rFonts w:eastAsia="Arial Unicode MS"/>
          <w:b/>
        </w:rPr>
        <w:t>ding</w:t>
      </w:r>
      <w:r w:rsidRPr="00273810">
        <w:rPr>
          <w:rFonts w:eastAsia="Arial Unicode MS"/>
          <w:b/>
        </w:rPr>
        <w:t xml:space="preserve"> that they </w:t>
      </w:r>
      <w:r w:rsidR="004567C6">
        <w:rPr>
          <w:rFonts w:eastAsia="Arial Unicode MS"/>
          <w:b/>
        </w:rPr>
        <w:t xml:space="preserve">are not owned by </w:t>
      </w:r>
      <w:r w:rsidRPr="00273810">
        <w:rPr>
          <w:rFonts w:eastAsia="Arial Unicode MS"/>
          <w:b/>
        </w:rPr>
        <w:t>the appellant?</w:t>
      </w:r>
    </w:p>
    <w:p w14:paraId="10E8C91A" w14:textId="4D0B8A92" w:rsidR="00D442C9" w:rsidRPr="00273810" w:rsidRDefault="00D442C9" w:rsidP="00D442C9">
      <w:pPr>
        <w:pStyle w:val="Paragraphe"/>
        <w:numPr>
          <w:ilvl w:val="0"/>
          <w:numId w:val="21"/>
        </w:numPr>
        <w:spacing w:line="240" w:lineRule="auto"/>
        <w:rPr>
          <w:rFonts w:eastAsia="Arial Unicode MS"/>
          <w:b/>
        </w:rPr>
      </w:pPr>
      <w:r w:rsidRPr="00273810">
        <w:rPr>
          <w:rFonts w:eastAsia="Arial Unicode MS"/>
          <w:b/>
        </w:rPr>
        <w:t xml:space="preserve">Did the judge </w:t>
      </w:r>
      <w:r w:rsidR="004B6CD8">
        <w:rPr>
          <w:rFonts w:eastAsia="Arial Unicode MS"/>
          <w:b/>
        </w:rPr>
        <w:t>commit</w:t>
      </w:r>
      <w:r w:rsidR="004B6CD8" w:rsidRPr="00273810">
        <w:rPr>
          <w:rFonts w:eastAsia="Arial Unicode MS"/>
          <w:b/>
        </w:rPr>
        <w:t xml:space="preserve"> </w:t>
      </w:r>
      <w:r w:rsidRPr="00273810">
        <w:rPr>
          <w:rFonts w:eastAsia="Arial Unicode MS"/>
          <w:b/>
        </w:rPr>
        <w:t xml:space="preserve">a reviewable error by </w:t>
      </w:r>
      <w:r w:rsidR="00F451CD">
        <w:rPr>
          <w:rFonts w:eastAsia="Arial Unicode MS"/>
          <w:b/>
        </w:rPr>
        <w:t xml:space="preserve">characterizing </w:t>
      </w:r>
      <w:r w:rsidRPr="00273810">
        <w:rPr>
          <w:rFonts w:eastAsia="Arial Unicode MS"/>
          <w:b/>
        </w:rPr>
        <w:t xml:space="preserve">the “Lévis Ville du Rock” </w:t>
      </w:r>
      <w:r w:rsidR="00F451CD" w:rsidRPr="00273810">
        <w:rPr>
          <w:rFonts w:eastAsia="Arial Unicode MS"/>
          <w:b/>
        </w:rPr>
        <w:t xml:space="preserve">Facebook page </w:t>
      </w:r>
      <w:r w:rsidR="00BA6AAF" w:rsidRPr="00273810">
        <w:rPr>
          <w:rFonts w:eastAsia="Arial Unicode MS"/>
          <w:b/>
        </w:rPr>
        <w:t xml:space="preserve">as </w:t>
      </w:r>
      <w:r w:rsidRPr="00273810">
        <w:rPr>
          <w:rFonts w:eastAsia="Arial Unicode MS"/>
          <w:b/>
        </w:rPr>
        <w:t xml:space="preserve">a “work” within the meaning of the </w:t>
      </w:r>
      <w:r w:rsidRPr="00273810">
        <w:rPr>
          <w:rFonts w:eastAsia="Arial Unicode MS"/>
          <w:b/>
          <w:i/>
        </w:rPr>
        <w:t>Copyright</w:t>
      </w:r>
      <w:r w:rsidRPr="00273810">
        <w:rPr>
          <w:rFonts w:eastAsia="Arial Unicode MS"/>
          <w:b/>
        </w:rPr>
        <w:t xml:space="preserve"> </w:t>
      </w:r>
      <w:r w:rsidRPr="00273810">
        <w:rPr>
          <w:rFonts w:eastAsia="Arial Unicode MS"/>
          <w:b/>
          <w:i/>
        </w:rPr>
        <w:t>Act</w:t>
      </w:r>
      <w:r w:rsidRPr="00273810">
        <w:rPr>
          <w:rStyle w:val="Appelnotedebasdep"/>
          <w:rFonts w:eastAsia="Arial Unicode MS"/>
          <w:lang w:val="en-CA"/>
        </w:rPr>
        <w:footnoteReference w:id="5"/>
      </w:r>
      <w:r w:rsidRPr="00273810">
        <w:rPr>
          <w:rFonts w:eastAsia="Arial Unicode MS"/>
          <w:b/>
          <w:i/>
        </w:rPr>
        <w:t xml:space="preserve"> </w:t>
      </w:r>
      <w:r w:rsidRPr="00273810">
        <w:rPr>
          <w:rFonts w:eastAsia="Arial Unicode MS"/>
          <w:b/>
        </w:rPr>
        <w:t>(“</w:t>
      </w:r>
      <w:r w:rsidRPr="00093D90">
        <w:rPr>
          <w:rFonts w:eastAsia="Arial Unicode MS"/>
          <w:b/>
          <w:i/>
          <w:iCs/>
        </w:rPr>
        <w:t>CA</w:t>
      </w:r>
      <w:r w:rsidRPr="006C0FA2">
        <w:rPr>
          <w:rFonts w:eastAsia="Arial Unicode MS"/>
          <w:b/>
          <w:iCs/>
        </w:rPr>
        <w:t>”</w:t>
      </w:r>
      <w:r w:rsidRPr="00273810">
        <w:rPr>
          <w:rFonts w:eastAsia="Arial Unicode MS"/>
          <w:b/>
        </w:rPr>
        <w:t>)?</w:t>
      </w:r>
    </w:p>
    <w:p w14:paraId="4D77B5E6" w14:textId="6215B26B" w:rsidR="00D442C9" w:rsidRPr="00273810" w:rsidRDefault="00D442C9" w:rsidP="00D442C9">
      <w:pPr>
        <w:pStyle w:val="Paragraphe"/>
        <w:numPr>
          <w:ilvl w:val="0"/>
          <w:numId w:val="21"/>
        </w:numPr>
        <w:spacing w:line="240" w:lineRule="auto"/>
        <w:rPr>
          <w:rFonts w:eastAsia="Arial Unicode MS"/>
          <w:b/>
        </w:rPr>
      </w:pPr>
      <w:r w:rsidRPr="00273810">
        <w:rPr>
          <w:rFonts w:eastAsia="Arial Unicode MS"/>
          <w:b/>
        </w:rPr>
        <w:t xml:space="preserve">Did the judge </w:t>
      </w:r>
      <w:r w:rsidR="004B6CD8">
        <w:rPr>
          <w:rFonts w:eastAsia="Arial Unicode MS"/>
          <w:b/>
        </w:rPr>
        <w:t>commit</w:t>
      </w:r>
      <w:r w:rsidR="004B6CD8" w:rsidRPr="00273810">
        <w:rPr>
          <w:rFonts w:eastAsia="Arial Unicode MS"/>
          <w:b/>
        </w:rPr>
        <w:t xml:space="preserve"> </w:t>
      </w:r>
      <w:r w:rsidRPr="00273810">
        <w:rPr>
          <w:rFonts w:eastAsia="Arial Unicode MS"/>
          <w:b/>
        </w:rPr>
        <w:t xml:space="preserve">a reviewable error in </w:t>
      </w:r>
      <w:r w:rsidR="00BA6AAF" w:rsidRPr="00273810">
        <w:rPr>
          <w:rFonts w:eastAsia="Arial Unicode MS"/>
          <w:b/>
        </w:rPr>
        <w:t>assessing</w:t>
      </w:r>
      <w:r w:rsidRPr="00273810">
        <w:rPr>
          <w:rFonts w:eastAsia="Arial Unicode MS"/>
          <w:b/>
        </w:rPr>
        <w:t xml:space="preserve"> the damages </w:t>
      </w:r>
      <w:r w:rsidR="00034949">
        <w:rPr>
          <w:rFonts w:eastAsia="Arial Unicode MS"/>
          <w:b/>
        </w:rPr>
        <w:t>owed</w:t>
      </w:r>
      <w:r w:rsidR="00BA6AAF" w:rsidRPr="00273810">
        <w:rPr>
          <w:rFonts w:eastAsia="Arial Unicode MS"/>
          <w:b/>
        </w:rPr>
        <w:t>, both</w:t>
      </w:r>
      <w:r w:rsidRPr="00273810">
        <w:rPr>
          <w:rFonts w:eastAsia="Arial Unicode MS"/>
          <w:b/>
        </w:rPr>
        <w:t xml:space="preserve"> to the respondents in the </w:t>
      </w:r>
      <w:r w:rsidR="00F451CD">
        <w:rPr>
          <w:rFonts w:eastAsia="Arial Unicode MS"/>
          <w:b/>
        </w:rPr>
        <w:t xml:space="preserve">principal application </w:t>
      </w:r>
      <w:r w:rsidRPr="00273810">
        <w:rPr>
          <w:rFonts w:eastAsia="Arial Unicode MS"/>
          <w:b/>
        </w:rPr>
        <w:t>and to the appellant in the cross-</w:t>
      </w:r>
      <w:r w:rsidR="005F22A9" w:rsidRPr="00273810">
        <w:rPr>
          <w:rFonts w:eastAsia="Arial Unicode MS"/>
          <w:b/>
        </w:rPr>
        <w:t>application</w:t>
      </w:r>
      <w:r w:rsidRPr="00273810">
        <w:rPr>
          <w:rFonts w:eastAsia="Arial Unicode MS"/>
          <w:b/>
        </w:rPr>
        <w:t xml:space="preserve">? </w:t>
      </w:r>
    </w:p>
    <w:p w14:paraId="5D384B93" w14:textId="77777777" w:rsidR="00B84D42" w:rsidRPr="00273810" w:rsidRDefault="00F34BA3" w:rsidP="003C0F1B">
      <w:pPr>
        <w:pStyle w:val="Paragraphe"/>
        <w:numPr>
          <w:ilvl w:val="0"/>
          <w:numId w:val="0"/>
        </w:numPr>
        <w:spacing w:line="240" w:lineRule="auto"/>
        <w:ind w:left="4320"/>
        <w:rPr>
          <w:rFonts w:eastAsia="Arial Unicode MS"/>
        </w:rPr>
      </w:pPr>
      <w:r w:rsidRPr="00273810">
        <w:rPr>
          <w:rFonts w:eastAsia="Arial Unicode MS"/>
        </w:rPr>
        <w:t>***</w:t>
      </w:r>
    </w:p>
    <w:p w14:paraId="53B839CB" w14:textId="6C226AE9" w:rsidR="002F7A27" w:rsidRPr="00273810" w:rsidRDefault="008E79D7" w:rsidP="003C0F1B">
      <w:pPr>
        <w:pStyle w:val="Paragraphe"/>
        <w:numPr>
          <w:ilvl w:val="0"/>
          <w:numId w:val="0"/>
        </w:numPr>
        <w:spacing w:line="240" w:lineRule="auto"/>
        <w:rPr>
          <w:rFonts w:eastAsia="Arial Unicode MS"/>
          <w:b/>
        </w:rPr>
      </w:pPr>
      <w:r>
        <w:rPr>
          <w:b/>
        </w:rPr>
        <w:t>First i</w:t>
      </w:r>
      <w:r w:rsidR="001612BC" w:rsidRPr="0049171C">
        <w:rPr>
          <w:b/>
        </w:rPr>
        <w:t>ssue</w:t>
      </w:r>
      <w:r w:rsidR="00F34BA3" w:rsidRPr="00273810">
        <w:rPr>
          <w:b/>
        </w:rPr>
        <w:t xml:space="preserve">: </w:t>
      </w:r>
      <w:r w:rsidR="00D442C9" w:rsidRPr="00273810">
        <w:rPr>
          <w:rFonts w:eastAsia="Arial Unicode MS"/>
          <w:b/>
        </w:rPr>
        <w:t xml:space="preserve">Did the judge </w:t>
      </w:r>
      <w:r w:rsidR="007928AC">
        <w:rPr>
          <w:rFonts w:eastAsia="Arial Unicode MS"/>
          <w:b/>
        </w:rPr>
        <w:t>commit</w:t>
      </w:r>
      <w:r w:rsidR="00D442C9" w:rsidRPr="00273810">
        <w:rPr>
          <w:rFonts w:eastAsia="Arial Unicode MS"/>
          <w:b/>
        </w:rPr>
        <w:t xml:space="preserve"> a palpable and overriding error by </w:t>
      </w:r>
      <w:r w:rsidR="00BA6AAF" w:rsidRPr="00273810">
        <w:rPr>
          <w:rFonts w:eastAsia="Arial Unicode MS"/>
          <w:b/>
        </w:rPr>
        <w:t>finding</w:t>
      </w:r>
      <w:r w:rsidR="00D442C9" w:rsidRPr="00273810">
        <w:rPr>
          <w:rFonts w:eastAsia="Arial Unicode MS"/>
          <w:b/>
        </w:rPr>
        <w:t xml:space="preserve"> that the respondents’ </w:t>
      </w:r>
      <w:r w:rsidR="00B935BF" w:rsidRPr="00273810">
        <w:rPr>
          <w:rFonts w:eastAsia="Arial Unicode MS"/>
          <w:b/>
        </w:rPr>
        <w:t>action</w:t>
      </w:r>
      <w:r w:rsidR="00D442C9" w:rsidRPr="00273810">
        <w:rPr>
          <w:rFonts w:eastAsia="Arial Unicode MS"/>
          <w:b/>
        </w:rPr>
        <w:t xml:space="preserve"> was not </w:t>
      </w:r>
      <w:r w:rsidR="00F451CD">
        <w:rPr>
          <w:rFonts w:eastAsia="Arial Unicode MS"/>
          <w:b/>
        </w:rPr>
        <w:t>prescribed</w:t>
      </w:r>
      <w:r w:rsidR="00D442C9" w:rsidRPr="00273810">
        <w:rPr>
          <w:rFonts w:eastAsia="Arial Unicode MS"/>
          <w:b/>
        </w:rPr>
        <w:t>?</w:t>
      </w:r>
    </w:p>
    <w:p w14:paraId="5D8DF018" w14:textId="0AB9C8C7" w:rsidR="005523BB" w:rsidRPr="00273810" w:rsidRDefault="0070797A" w:rsidP="003C0F1B">
      <w:pPr>
        <w:pStyle w:val="Paragraphe"/>
        <w:spacing w:line="240" w:lineRule="auto"/>
        <w:rPr>
          <w:szCs w:val="24"/>
        </w:rPr>
      </w:pPr>
      <w:r w:rsidRPr="00273810">
        <w:rPr>
          <w:szCs w:val="24"/>
        </w:rPr>
        <w:t>At the hearing</w:t>
      </w:r>
      <w:r w:rsidR="00F34BA3" w:rsidRPr="00273810">
        <w:rPr>
          <w:szCs w:val="24"/>
        </w:rPr>
        <w:t xml:space="preserve">, </w:t>
      </w:r>
      <w:r w:rsidRPr="00273810">
        <w:rPr>
          <w:szCs w:val="24"/>
        </w:rPr>
        <w:t xml:space="preserve">the appellant announced at the outset that </w:t>
      </w:r>
      <w:r w:rsidR="004567C6">
        <w:rPr>
          <w:szCs w:val="24"/>
        </w:rPr>
        <w:t>this</w:t>
      </w:r>
      <w:r w:rsidRPr="00273810">
        <w:rPr>
          <w:szCs w:val="24"/>
        </w:rPr>
        <w:t xml:space="preserve"> was his fundamental ground of appeal and that the other</w:t>
      </w:r>
      <w:r w:rsidR="00093D90">
        <w:rPr>
          <w:szCs w:val="24"/>
        </w:rPr>
        <w:t>s</w:t>
      </w:r>
      <w:r w:rsidR="004567C6">
        <w:rPr>
          <w:szCs w:val="24"/>
        </w:rPr>
        <w:t xml:space="preserve"> </w:t>
      </w:r>
      <w:r w:rsidRPr="00273810">
        <w:rPr>
          <w:szCs w:val="24"/>
        </w:rPr>
        <w:t>were</w:t>
      </w:r>
      <w:r w:rsidR="00866F30" w:rsidRPr="00273810">
        <w:rPr>
          <w:szCs w:val="24"/>
        </w:rPr>
        <w:t xml:space="preserve"> </w:t>
      </w:r>
      <w:r w:rsidR="004567C6">
        <w:rPr>
          <w:szCs w:val="24"/>
        </w:rPr>
        <w:t xml:space="preserve">in a way </w:t>
      </w:r>
      <w:r w:rsidR="00F451CD">
        <w:rPr>
          <w:szCs w:val="24"/>
        </w:rPr>
        <w:t>alternative</w:t>
      </w:r>
      <w:r w:rsidR="00F34BA3" w:rsidRPr="00273810">
        <w:rPr>
          <w:szCs w:val="24"/>
        </w:rPr>
        <w:t xml:space="preserve">. </w:t>
      </w:r>
      <w:r w:rsidR="00866F30" w:rsidRPr="00273810">
        <w:rPr>
          <w:szCs w:val="24"/>
        </w:rPr>
        <w:t>Th</w:t>
      </w:r>
      <w:r w:rsidR="004567C6">
        <w:rPr>
          <w:szCs w:val="24"/>
        </w:rPr>
        <w:t xml:space="preserve">is was largely demonstrated by the </w:t>
      </w:r>
      <w:r w:rsidR="004B6CD8">
        <w:rPr>
          <w:szCs w:val="24"/>
        </w:rPr>
        <w:t>duration of his submissions devoted to</w:t>
      </w:r>
      <w:r w:rsidR="00093D90">
        <w:rPr>
          <w:szCs w:val="24"/>
        </w:rPr>
        <w:t xml:space="preserve"> it</w:t>
      </w:r>
      <w:r w:rsidR="00F34BA3" w:rsidRPr="00273810">
        <w:rPr>
          <w:szCs w:val="24"/>
        </w:rPr>
        <w:t xml:space="preserve">. </w:t>
      </w:r>
      <w:r w:rsidR="00093D90">
        <w:rPr>
          <w:szCs w:val="24"/>
        </w:rPr>
        <w:t>This ground</w:t>
      </w:r>
      <w:r w:rsidR="004567C6">
        <w:rPr>
          <w:szCs w:val="24"/>
        </w:rPr>
        <w:t xml:space="preserve"> does not, h</w:t>
      </w:r>
      <w:r w:rsidR="00866F30" w:rsidRPr="00273810">
        <w:rPr>
          <w:szCs w:val="24"/>
        </w:rPr>
        <w:t xml:space="preserve">owever, </w:t>
      </w:r>
      <w:r w:rsidR="004567C6">
        <w:rPr>
          <w:szCs w:val="24"/>
        </w:rPr>
        <w:t>with</w:t>
      </w:r>
      <w:r w:rsidR="00866F30" w:rsidRPr="00273810">
        <w:rPr>
          <w:szCs w:val="24"/>
        </w:rPr>
        <w:t xml:space="preserve">stand </w:t>
      </w:r>
      <w:r w:rsidR="004567C6">
        <w:rPr>
          <w:szCs w:val="24"/>
        </w:rPr>
        <w:t>scrutiny</w:t>
      </w:r>
      <w:r w:rsidR="00F34BA3" w:rsidRPr="00273810">
        <w:rPr>
          <w:szCs w:val="24"/>
        </w:rPr>
        <w:t>.</w:t>
      </w:r>
    </w:p>
    <w:p w14:paraId="2940B045" w14:textId="1C2CABAF" w:rsidR="003C01EC" w:rsidRPr="00273810" w:rsidRDefault="00393C83" w:rsidP="003C0F1B">
      <w:pPr>
        <w:pStyle w:val="Paragraphe"/>
        <w:spacing w:line="240" w:lineRule="auto"/>
        <w:rPr>
          <w:szCs w:val="24"/>
        </w:rPr>
      </w:pPr>
      <w:r w:rsidRPr="00273810">
        <w:t>A</w:t>
      </w:r>
      <w:r w:rsidR="00F34BA3" w:rsidRPr="00273810">
        <w:t xml:space="preserve">rticle 2880 </w:t>
      </w:r>
      <w:r w:rsidRPr="00273810">
        <w:t>of the</w:t>
      </w:r>
      <w:r w:rsidR="00F34BA3" w:rsidRPr="00273810">
        <w:t xml:space="preserve"> </w:t>
      </w:r>
      <w:r w:rsidR="00F34BA3" w:rsidRPr="00273810">
        <w:rPr>
          <w:i/>
        </w:rPr>
        <w:t>C</w:t>
      </w:r>
      <w:r w:rsidRPr="00273810">
        <w:rPr>
          <w:i/>
        </w:rPr>
        <w:t>ivil C</w:t>
      </w:r>
      <w:r w:rsidR="00F34BA3" w:rsidRPr="00273810">
        <w:rPr>
          <w:i/>
        </w:rPr>
        <w:t xml:space="preserve">ode </w:t>
      </w:r>
      <w:r w:rsidRPr="00273810">
        <w:rPr>
          <w:i/>
        </w:rPr>
        <w:t xml:space="preserve">of </w:t>
      </w:r>
      <w:r w:rsidR="00F34BA3" w:rsidRPr="00273810">
        <w:rPr>
          <w:i/>
        </w:rPr>
        <w:t>Québec</w:t>
      </w:r>
      <w:r w:rsidR="00F34BA3" w:rsidRPr="00273810">
        <w:t xml:space="preserve"> (C</w:t>
      </w:r>
      <w:r w:rsidRPr="00273810">
        <w:t>C</w:t>
      </w:r>
      <w:r w:rsidR="00F34BA3" w:rsidRPr="00273810">
        <w:t>Q)</w:t>
      </w:r>
      <w:r w:rsidR="00F34BA3" w:rsidRPr="00273810">
        <w:rPr>
          <w:i/>
        </w:rPr>
        <w:t xml:space="preserve"> </w:t>
      </w:r>
      <w:r w:rsidR="00014583" w:rsidRPr="00273810">
        <w:rPr>
          <w:iCs/>
        </w:rPr>
        <w:t>provides</w:t>
      </w:r>
      <w:r w:rsidR="00014583" w:rsidRPr="00273810">
        <w:rPr>
          <w:i/>
        </w:rPr>
        <w:t xml:space="preserve"> </w:t>
      </w:r>
      <w:r w:rsidRPr="00273810">
        <w:t>that “</w:t>
      </w:r>
      <w:r w:rsidR="004567C6">
        <w:rPr>
          <w:rFonts w:cs="Arial"/>
        </w:rPr>
        <w:t>[</w:t>
      </w:r>
      <w:r w:rsidR="004567C6">
        <w:t>t</w:t>
      </w:r>
      <w:r w:rsidR="004567C6">
        <w:rPr>
          <w:rFonts w:cs="Arial"/>
        </w:rPr>
        <w:t>]</w:t>
      </w:r>
      <w:r w:rsidR="00014583" w:rsidRPr="00273810">
        <w:t>he day on which the right of action arises determines the beginning of the period of extinctive prescription</w:t>
      </w:r>
      <w:r w:rsidRPr="00273810">
        <w:t>”</w:t>
      </w:r>
      <w:r w:rsidR="004567C6">
        <w:t>.</w:t>
      </w:r>
      <w:r w:rsidR="002F0896" w:rsidRPr="00273810">
        <w:t xml:space="preserve"> </w:t>
      </w:r>
      <w:r w:rsidR="006324AB" w:rsidRPr="00273810">
        <w:t xml:space="preserve">The </w:t>
      </w:r>
      <w:r w:rsidR="00093D90">
        <w:t>moment</w:t>
      </w:r>
      <w:r w:rsidR="00093D90" w:rsidRPr="00273810">
        <w:t xml:space="preserve"> </w:t>
      </w:r>
      <w:r w:rsidR="0070797A" w:rsidRPr="00273810">
        <w:t xml:space="preserve">the right of action arises is the first day on which the party </w:t>
      </w:r>
      <w:r w:rsidR="00B60994" w:rsidRPr="00273810">
        <w:rPr>
          <w:rFonts w:cs="Arial"/>
          <w:color w:val="000000"/>
          <w:szCs w:val="24"/>
        </w:rPr>
        <w:t xml:space="preserve">becomes aware </w:t>
      </w:r>
      <w:r w:rsidR="006324AB" w:rsidRPr="00273810">
        <w:rPr>
          <w:rFonts w:cs="Arial"/>
          <w:color w:val="000000"/>
          <w:szCs w:val="24"/>
        </w:rPr>
        <w:t>of the three constituent elements of liability, namely</w:t>
      </w:r>
      <w:r w:rsidR="00116FC2">
        <w:rPr>
          <w:rFonts w:cs="Arial"/>
          <w:color w:val="000000"/>
          <w:szCs w:val="24"/>
        </w:rPr>
        <w:t>,</w:t>
      </w:r>
      <w:r w:rsidR="006324AB" w:rsidRPr="00273810">
        <w:rPr>
          <w:rFonts w:cs="Arial"/>
          <w:color w:val="000000"/>
          <w:szCs w:val="24"/>
        </w:rPr>
        <w:t xml:space="preserve"> fault, injury</w:t>
      </w:r>
      <w:r w:rsidR="004567C6">
        <w:rPr>
          <w:rFonts w:cs="Arial"/>
          <w:color w:val="000000"/>
          <w:szCs w:val="24"/>
        </w:rPr>
        <w:t>,</w:t>
      </w:r>
      <w:r w:rsidR="006324AB" w:rsidRPr="00273810">
        <w:rPr>
          <w:rFonts w:cs="Arial"/>
          <w:color w:val="000000"/>
          <w:szCs w:val="24"/>
        </w:rPr>
        <w:t xml:space="preserve"> and </w:t>
      </w:r>
      <w:r w:rsidR="00093D90">
        <w:rPr>
          <w:rFonts w:cs="Arial"/>
          <w:color w:val="000000"/>
          <w:szCs w:val="24"/>
        </w:rPr>
        <w:t xml:space="preserve">a </w:t>
      </w:r>
      <w:r w:rsidR="006324AB" w:rsidRPr="00273810">
        <w:rPr>
          <w:rFonts w:cs="Arial"/>
          <w:color w:val="000000"/>
          <w:szCs w:val="24"/>
        </w:rPr>
        <w:t>causal connection.</w:t>
      </w:r>
      <w:r w:rsidR="00377B08" w:rsidRPr="00273810">
        <w:rPr>
          <w:rFonts w:cs="Arial"/>
          <w:color w:val="000000"/>
          <w:szCs w:val="24"/>
        </w:rPr>
        <w:t xml:space="preserve"> </w:t>
      </w:r>
      <w:r w:rsidR="00B60994" w:rsidRPr="00273810">
        <w:rPr>
          <w:rFonts w:cs="Arial"/>
          <w:color w:val="000000"/>
          <w:szCs w:val="24"/>
        </w:rPr>
        <w:t>S</w:t>
      </w:r>
      <w:r w:rsidR="00992D22" w:rsidRPr="00273810">
        <w:rPr>
          <w:rFonts w:cs="Arial"/>
          <w:bCs/>
          <w:color w:val="000000"/>
          <w:szCs w:val="24"/>
        </w:rPr>
        <w:t xml:space="preserve">uspicions </w:t>
      </w:r>
      <w:r w:rsidR="00B60994" w:rsidRPr="00273810">
        <w:rPr>
          <w:rFonts w:cs="Arial"/>
          <w:bCs/>
          <w:color w:val="000000"/>
          <w:szCs w:val="24"/>
        </w:rPr>
        <w:t xml:space="preserve">are insufficient to constitute the </w:t>
      </w:r>
      <w:r w:rsidR="004567C6">
        <w:rPr>
          <w:rFonts w:cs="Arial"/>
          <w:bCs/>
          <w:color w:val="000000"/>
          <w:szCs w:val="24"/>
        </w:rPr>
        <w:t xml:space="preserve">beginning </w:t>
      </w:r>
      <w:r w:rsidR="00B60994" w:rsidRPr="00273810">
        <w:rPr>
          <w:rFonts w:cs="Arial"/>
          <w:bCs/>
          <w:color w:val="000000"/>
          <w:szCs w:val="24"/>
        </w:rPr>
        <w:t>of the prescription</w:t>
      </w:r>
      <w:r w:rsidR="004567C6">
        <w:rPr>
          <w:rFonts w:cs="Arial"/>
          <w:bCs/>
          <w:color w:val="000000"/>
          <w:szCs w:val="24"/>
        </w:rPr>
        <w:t xml:space="preserve"> period</w:t>
      </w:r>
      <w:r w:rsidR="00B60994" w:rsidRPr="00273810">
        <w:rPr>
          <w:rFonts w:cs="Arial"/>
          <w:bCs/>
          <w:color w:val="000000"/>
          <w:szCs w:val="24"/>
        </w:rPr>
        <w:t>.</w:t>
      </w:r>
      <w:r w:rsidR="00F34BA3" w:rsidRPr="00273810">
        <w:rPr>
          <w:rStyle w:val="Appelnotedebasdep"/>
          <w:rFonts w:cs="Arial"/>
          <w:bCs/>
          <w:color w:val="000000"/>
          <w:szCs w:val="24"/>
          <w:lang w:val="en-CA"/>
        </w:rPr>
        <w:footnoteReference w:id="6"/>
      </w:r>
    </w:p>
    <w:p w14:paraId="31B721F5" w14:textId="48D559C6" w:rsidR="00F6741B" w:rsidRPr="00273810" w:rsidRDefault="00093D90" w:rsidP="003C0F1B">
      <w:pPr>
        <w:pStyle w:val="Paragraphe"/>
        <w:spacing w:line="240" w:lineRule="auto"/>
        <w:rPr>
          <w:rFonts w:eastAsia="Arial Unicode MS"/>
        </w:rPr>
      </w:pPr>
      <w:r>
        <w:t>Moreover</w:t>
      </w:r>
      <w:r w:rsidR="0035077E" w:rsidRPr="00273810">
        <w:t>, t</w:t>
      </w:r>
      <w:r w:rsidR="00F67490" w:rsidRPr="00273810">
        <w:t>h</w:t>
      </w:r>
      <w:r w:rsidR="00583E4B">
        <w:t>is</w:t>
      </w:r>
      <w:r w:rsidR="00F67490" w:rsidRPr="00273810">
        <w:t xml:space="preserve"> Court</w:t>
      </w:r>
      <w:r w:rsidR="0035077E" w:rsidRPr="00273810">
        <w:t xml:space="preserve"> </w:t>
      </w:r>
      <w:r w:rsidR="004567C6">
        <w:t xml:space="preserve">recently </w:t>
      </w:r>
      <w:r w:rsidR="00583E4B">
        <w:t xml:space="preserve">noted </w:t>
      </w:r>
      <w:r w:rsidR="0035077E" w:rsidRPr="00273810">
        <w:t xml:space="preserve">that determining the </w:t>
      </w:r>
      <w:r w:rsidR="004567C6">
        <w:t xml:space="preserve">beginning </w:t>
      </w:r>
      <w:r w:rsidR="0035077E" w:rsidRPr="00273810">
        <w:t xml:space="preserve">of </w:t>
      </w:r>
      <w:r w:rsidR="004567C6">
        <w:t xml:space="preserve">the period of </w:t>
      </w:r>
      <w:r w:rsidR="0035077E" w:rsidRPr="00273810">
        <w:t>extinctive prescription is a</w:t>
      </w:r>
      <w:r w:rsidR="00583ED3" w:rsidRPr="00273810">
        <w:t xml:space="preserve"> </w:t>
      </w:r>
      <w:r w:rsidR="0035077E" w:rsidRPr="00273810">
        <w:t xml:space="preserve">highly factual </w:t>
      </w:r>
      <w:r w:rsidR="00583ED3" w:rsidRPr="00273810">
        <w:t xml:space="preserve">question, </w:t>
      </w:r>
      <w:r w:rsidR="0035077E" w:rsidRPr="00273810">
        <w:t xml:space="preserve">whose </w:t>
      </w:r>
      <w:r w:rsidR="00583ED3" w:rsidRPr="00273810">
        <w:t xml:space="preserve">solution </w:t>
      </w:r>
      <w:r w:rsidR="00583E4B">
        <w:t>turns</w:t>
      </w:r>
      <w:r w:rsidR="00583E4B" w:rsidRPr="00273810">
        <w:t xml:space="preserve"> </w:t>
      </w:r>
      <w:r w:rsidR="0035077E" w:rsidRPr="00273810">
        <w:t>on the circumstances of each case.</w:t>
      </w:r>
      <w:r w:rsidR="00F34BA3" w:rsidRPr="00273810">
        <w:rPr>
          <w:rStyle w:val="Appelnotedebasdep"/>
          <w:lang w:val="en-CA"/>
        </w:rPr>
        <w:footnoteReference w:id="7"/>
      </w:r>
    </w:p>
    <w:p w14:paraId="599E7424" w14:textId="20F909EB" w:rsidR="00F6741B" w:rsidRPr="00273810" w:rsidRDefault="004567C6" w:rsidP="003C0F1B">
      <w:pPr>
        <w:pStyle w:val="Paragraphe"/>
        <w:spacing w:line="240" w:lineRule="auto"/>
        <w:rPr>
          <w:rFonts w:eastAsia="Arial Unicode MS"/>
        </w:rPr>
      </w:pPr>
      <w:r>
        <w:rPr>
          <w:rFonts w:eastAsia="Arial Unicode MS"/>
        </w:rPr>
        <w:t>T</w:t>
      </w:r>
      <w:r w:rsidR="0048705C" w:rsidRPr="00273810">
        <w:rPr>
          <w:rFonts w:eastAsia="Arial Unicode MS"/>
        </w:rPr>
        <w:t xml:space="preserve">he standard </w:t>
      </w:r>
      <w:r w:rsidR="00116FC2">
        <w:rPr>
          <w:rFonts w:eastAsia="Arial Unicode MS"/>
        </w:rPr>
        <w:t>of</w:t>
      </w:r>
      <w:r w:rsidR="00116FC2" w:rsidRPr="00273810">
        <w:rPr>
          <w:rFonts w:eastAsia="Arial Unicode MS"/>
        </w:rPr>
        <w:t xml:space="preserve"> </w:t>
      </w:r>
      <w:r w:rsidR="00F34BA3" w:rsidRPr="00273810">
        <w:rPr>
          <w:rFonts w:eastAsia="Arial Unicode MS"/>
        </w:rPr>
        <w:t xml:space="preserve">intervention </w:t>
      </w:r>
      <w:r>
        <w:rPr>
          <w:rFonts w:eastAsia="Arial Unicode MS"/>
        </w:rPr>
        <w:t xml:space="preserve">applicable to </w:t>
      </w:r>
      <w:r w:rsidR="00F34BA3" w:rsidRPr="00273810">
        <w:rPr>
          <w:rFonts w:eastAsia="Arial Unicode MS"/>
        </w:rPr>
        <w:t xml:space="preserve">questions </w:t>
      </w:r>
      <w:r w:rsidR="00FD54B8" w:rsidRPr="00273810">
        <w:rPr>
          <w:rFonts w:eastAsia="Arial Unicode MS"/>
        </w:rPr>
        <w:t xml:space="preserve">of fact and </w:t>
      </w:r>
      <w:r w:rsidR="00F34BA3" w:rsidRPr="00273810">
        <w:rPr>
          <w:rFonts w:eastAsia="Arial Unicode MS"/>
        </w:rPr>
        <w:t>questions</w:t>
      </w:r>
      <w:r w:rsidR="00F67490" w:rsidRPr="00273810">
        <w:rPr>
          <w:rFonts w:eastAsia="Arial Unicode MS"/>
        </w:rPr>
        <w:t xml:space="preserve"> of </w:t>
      </w:r>
      <w:r w:rsidR="00A91324" w:rsidRPr="00273810">
        <w:rPr>
          <w:rFonts w:eastAsia="Arial Unicode MS"/>
        </w:rPr>
        <w:t xml:space="preserve">mixed fact and </w:t>
      </w:r>
      <w:r w:rsidR="00F67490" w:rsidRPr="00273810">
        <w:rPr>
          <w:rFonts w:eastAsia="Arial Unicode MS"/>
        </w:rPr>
        <w:t xml:space="preserve">law </w:t>
      </w:r>
      <w:r w:rsidR="00FD54B8" w:rsidRPr="00273810">
        <w:rPr>
          <w:rFonts w:eastAsia="Arial Unicode MS"/>
        </w:rPr>
        <w:t>is</w:t>
      </w:r>
      <w:r w:rsidR="00583E4B">
        <w:rPr>
          <w:rFonts w:eastAsia="Arial Unicode MS"/>
        </w:rPr>
        <w:t xml:space="preserve"> </w:t>
      </w:r>
      <w:r w:rsidR="00FD54B8" w:rsidRPr="00273810">
        <w:rPr>
          <w:rFonts w:eastAsia="Arial Unicode MS"/>
        </w:rPr>
        <w:t>well known.</w:t>
      </w:r>
      <w:r w:rsidR="00F34BA3" w:rsidRPr="00273810">
        <w:rPr>
          <w:rFonts w:eastAsia="Arial Unicode MS"/>
        </w:rPr>
        <w:t xml:space="preserve"> </w:t>
      </w:r>
      <w:r w:rsidR="00583E4B">
        <w:rPr>
          <w:rFonts w:eastAsia="Arial Unicode MS"/>
        </w:rPr>
        <w:t>I</w:t>
      </w:r>
      <w:r w:rsidR="00583E4B" w:rsidRPr="00583E4B">
        <w:rPr>
          <w:rFonts w:eastAsia="Arial Unicode MS"/>
        </w:rPr>
        <w:t xml:space="preserve">n </w:t>
      </w:r>
      <w:r w:rsidR="00583E4B" w:rsidRPr="006C0FA2">
        <w:rPr>
          <w:rFonts w:eastAsia="Arial Unicode MS"/>
          <w:i/>
          <w:iCs/>
        </w:rPr>
        <w:t>Gercotech inc</w:t>
      </w:r>
      <w:r w:rsidR="00583E4B">
        <w:rPr>
          <w:rFonts w:eastAsia="Arial Unicode MS"/>
        </w:rPr>
        <w:t>., this</w:t>
      </w:r>
      <w:r w:rsidR="00FD54B8" w:rsidRPr="00273810">
        <w:rPr>
          <w:rFonts w:eastAsia="Arial Unicode MS"/>
        </w:rPr>
        <w:t xml:space="preserve"> Court </w:t>
      </w:r>
      <w:r>
        <w:rPr>
          <w:rFonts w:eastAsia="Arial Unicode MS"/>
        </w:rPr>
        <w:t xml:space="preserve">recalled </w:t>
      </w:r>
      <w:r w:rsidR="00583E4B">
        <w:rPr>
          <w:rFonts w:eastAsia="Arial Unicode MS"/>
        </w:rPr>
        <w:t xml:space="preserve">the </w:t>
      </w:r>
      <w:r w:rsidR="00093D90">
        <w:rPr>
          <w:rFonts w:eastAsia="Arial Unicode MS"/>
        </w:rPr>
        <w:t>standard</w:t>
      </w:r>
      <w:r w:rsidR="00583E4B">
        <w:rPr>
          <w:rFonts w:eastAsia="Arial Unicode MS"/>
        </w:rPr>
        <w:t>,</w:t>
      </w:r>
      <w:r w:rsidR="00093D90">
        <w:rPr>
          <w:rFonts w:eastAsia="Arial Unicode MS"/>
        </w:rPr>
        <w:t xml:space="preserve"> as well as</w:t>
      </w:r>
      <w:r w:rsidR="00F67490" w:rsidRPr="00273810">
        <w:rPr>
          <w:rFonts w:eastAsia="Arial Unicode MS"/>
        </w:rPr>
        <w:t xml:space="preserve"> </w:t>
      </w:r>
      <w:r w:rsidR="00FD54B8" w:rsidRPr="00273810">
        <w:rPr>
          <w:rFonts w:eastAsia="Arial Unicode MS"/>
        </w:rPr>
        <w:t xml:space="preserve">its role as </w:t>
      </w:r>
      <w:r w:rsidR="00954BF5" w:rsidRPr="00273810">
        <w:rPr>
          <w:rFonts w:eastAsia="Arial Unicode MS"/>
        </w:rPr>
        <w:t>a</w:t>
      </w:r>
      <w:r w:rsidR="00F451CD">
        <w:rPr>
          <w:rFonts w:eastAsia="Arial Unicode MS"/>
        </w:rPr>
        <w:t>n appellate</w:t>
      </w:r>
      <w:r w:rsidR="00954BF5" w:rsidRPr="00273810">
        <w:rPr>
          <w:rFonts w:eastAsia="Arial Unicode MS"/>
        </w:rPr>
        <w:t xml:space="preserve"> </w:t>
      </w:r>
      <w:r w:rsidR="00FD54B8" w:rsidRPr="00273810">
        <w:rPr>
          <w:rFonts w:eastAsia="Arial Unicode MS"/>
        </w:rPr>
        <w:t>court</w:t>
      </w:r>
      <w:r w:rsidR="00583E4B">
        <w:rPr>
          <w:rFonts w:eastAsia="Arial Unicode MS"/>
        </w:rPr>
        <w:t>,</w:t>
      </w:r>
      <w:r w:rsidR="00FD54B8" w:rsidRPr="00273810">
        <w:rPr>
          <w:rFonts w:eastAsia="Arial Unicode MS"/>
        </w:rPr>
        <w:t xml:space="preserve"> </w:t>
      </w:r>
      <w:r w:rsidR="002428B4">
        <w:rPr>
          <w:rFonts w:eastAsia="Arial Unicode MS"/>
        </w:rPr>
        <w:t>as follows</w:t>
      </w:r>
      <w:r w:rsidR="00F34BA3" w:rsidRPr="00273810">
        <w:rPr>
          <w:rFonts w:eastAsia="Arial Unicode MS"/>
          <w:i/>
        </w:rPr>
        <w:t>.</w:t>
      </w:r>
      <w:r w:rsidR="00B60994" w:rsidRPr="00273810">
        <w:rPr>
          <w:rFonts w:eastAsia="Arial Unicode MS"/>
          <w:iCs/>
        </w:rPr>
        <w:t>:</w:t>
      </w:r>
      <w:r w:rsidR="00F34BA3" w:rsidRPr="00273810">
        <w:rPr>
          <w:rStyle w:val="Appelnotedebasdep"/>
          <w:rFonts w:eastAsia="Arial Unicode MS"/>
          <w:lang w:val="en-CA"/>
        </w:rPr>
        <w:footnoteReference w:id="8"/>
      </w:r>
      <w:r w:rsidR="00F34BA3" w:rsidRPr="00273810">
        <w:rPr>
          <w:rFonts w:eastAsia="Arial Unicode MS"/>
        </w:rPr>
        <w:t> </w:t>
      </w:r>
    </w:p>
    <w:p w14:paraId="46C6918C" w14:textId="30E002EA" w:rsidR="00122736" w:rsidRPr="00273810" w:rsidRDefault="00122736" w:rsidP="006C0FA2">
      <w:pPr>
        <w:pStyle w:val="Citationenretrait"/>
        <w:keepNext/>
        <w:spacing w:after="0" w:line="240" w:lineRule="auto"/>
        <w:rPr>
          <w:rFonts w:cs="Arial"/>
          <w:smallCaps/>
          <w:color w:val="000000"/>
        </w:rPr>
      </w:pPr>
      <w:r w:rsidRPr="00273810">
        <w:rPr>
          <w:smallCaps/>
          <w:lang w:eastAsia="fr-CA"/>
        </w:rPr>
        <w:lastRenderedPageBreak/>
        <w:t>[translation]</w:t>
      </w:r>
      <w:r w:rsidRPr="00273810">
        <w:rPr>
          <w:rFonts w:cs="Arial"/>
          <w:smallCaps/>
          <w:color w:val="000000"/>
        </w:rPr>
        <w:t xml:space="preserve"> </w:t>
      </w:r>
    </w:p>
    <w:p w14:paraId="2EDA7580" w14:textId="1110ABE4" w:rsidR="00F6741B" w:rsidRPr="00273810" w:rsidRDefault="00F34BA3" w:rsidP="006C0FA2">
      <w:pPr>
        <w:pStyle w:val="Citationenretrait"/>
        <w:keepNext/>
        <w:spacing w:line="240" w:lineRule="auto"/>
        <w:rPr>
          <w:lang w:eastAsia="fr-CA"/>
        </w:rPr>
      </w:pPr>
      <w:r w:rsidRPr="00273810">
        <w:rPr>
          <w:rFonts w:cs="Arial"/>
          <w:color w:val="000000"/>
        </w:rPr>
        <w:t>[</w:t>
      </w:r>
      <w:bookmarkStart w:id="10" w:name="par7"/>
      <w:r w:rsidRPr="00273810">
        <w:rPr>
          <w:rFonts w:cs="Arial"/>
          <w:color w:val="000000"/>
        </w:rPr>
        <w:t>7</w:t>
      </w:r>
      <w:bookmarkEnd w:id="10"/>
      <w:r w:rsidRPr="00273810">
        <w:rPr>
          <w:rFonts w:cs="Arial"/>
          <w:color w:val="000000"/>
        </w:rPr>
        <w:t>]</w:t>
      </w:r>
      <w:r w:rsidR="00A91324" w:rsidRPr="00273810">
        <w:rPr>
          <w:rFonts w:cs="Arial"/>
          <w:color w:val="000000"/>
        </w:rPr>
        <w:t xml:space="preserve"> </w:t>
      </w:r>
      <w:r w:rsidR="004567C6">
        <w:rPr>
          <w:rFonts w:cs="Arial"/>
          <w:color w:val="000000"/>
        </w:rPr>
        <w:t>First</w:t>
      </w:r>
      <w:r w:rsidR="007966ED" w:rsidRPr="00273810">
        <w:rPr>
          <w:rFonts w:cs="Arial"/>
          <w:color w:val="000000"/>
        </w:rPr>
        <w:t xml:space="preserve">, </w:t>
      </w:r>
      <w:r w:rsidR="00245A8D">
        <w:rPr>
          <w:rFonts w:cs="Arial"/>
          <w:color w:val="000000"/>
        </w:rPr>
        <w:t>with respect to</w:t>
      </w:r>
      <w:r w:rsidR="004567C6">
        <w:rPr>
          <w:rFonts w:cs="Arial"/>
          <w:color w:val="000000"/>
        </w:rPr>
        <w:t xml:space="preserve"> </w:t>
      </w:r>
      <w:r w:rsidR="00A91324" w:rsidRPr="00273810">
        <w:rPr>
          <w:rFonts w:cs="Arial"/>
          <w:color w:val="000000"/>
        </w:rPr>
        <w:t>pure question</w:t>
      </w:r>
      <w:r w:rsidR="001B3B1E" w:rsidRPr="00273810">
        <w:rPr>
          <w:rFonts w:cs="Arial"/>
          <w:color w:val="000000"/>
        </w:rPr>
        <w:t>s</w:t>
      </w:r>
      <w:r w:rsidR="00A91324" w:rsidRPr="00273810">
        <w:rPr>
          <w:rFonts w:cs="Arial"/>
          <w:color w:val="000000"/>
        </w:rPr>
        <w:t xml:space="preserve"> of law, </w:t>
      </w:r>
      <w:r w:rsidR="00583E4B">
        <w:rPr>
          <w:rFonts w:cs="Arial"/>
          <w:color w:val="000000"/>
        </w:rPr>
        <w:t>our</w:t>
      </w:r>
      <w:r w:rsidR="00583E4B" w:rsidRPr="00273810">
        <w:rPr>
          <w:rFonts w:cs="Arial"/>
          <w:color w:val="000000"/>
        </w:rPr>
        <w:t xml:space="preserve"> </w:t>
      </w:r>
      <w:r w:rsidR="00A91324" w:rsidRPr="00273810">
        <w:rPr>
          <w:rFonts w:cs="Arial"/>
          <w:color w:val="000000"/>
        </w:rPr>
        <w:t xml:space="preserve">Court will intervene only if the </w:t>
      </w:r>
      <w:r w:rsidR="002F70D9" w:rsidRPr="00273810">
        <w:rPr>
          <w:rFonts w:cs="Arial"/>
          <w:color w:val="000000"/>
        </w:rPr>
        <w:t xml:space="preserve">appellant </w:t>
      </w:r>
      <w:r w:rsidR="00245A8D">
        <w:rPr>
          <w:rFonts w:cs="Arial"/>
          <w:color w:val="000000"/>
        </w:rPr>
        <w:t xml:space="preserve">successfully establishes </w:t>
      </w:r>
      <w:r w:rsidR="002F70D9" w:rsidRPr="00273810">
        <w:rPr>
          <w:rFonts w:cs="Arial"/>
          <w:color w:val="000000"/>
        </w:rPr>
        <w:t>that such an error exists</w:t>
      </w:r>
      <w:r w:rsidRPr="00273810">
        <w:rPr>
          <w:rFonts w:cs="Arial"/>
          <w:color w:val="000000"/>
        </w:rPr>
        <w:t> </w:t>
      </w:r>
      <w:r w:rsidR="002F70D9" w:rsidRPr="00273810">
        <w:rPr>
          <w:rFonts w:cs="Arial"/>
          <w:color w:val="000000"/>
          <w:u w:val="single"/>
        </w:rPr>
        <w:t>and</w:t>
      </w:r>
      <w:r w:rsidR="002F70D9" w:rsidRPr="00273810">
        <w:rPr>
          <w:rFonts w:cs="Arial"/>
          <w:color w:val="000000"/>
        </w:rPr>
        <w:t xml:space="preserve"> </w:t>
      </w:r>
      <w:r w:rsidR="00B4526B" w:rsidRPr="00273810">
        <w:rPr>
          <w:rFonts w:cs="Arial"/>
          <w:color w:val="000000"/>
        </w:rPr>
        <w:t xml:space="preserve">that </w:t>
      </w:r>
      <w:r w:rsidR="004567C6">
        <w:rPr>
          <w:rFonts w:cs="Arial"/>
          <w:color w:val="000000"/>
        </w:rPr>
        <w:t xml:space="preserve">this error </w:t>
      </w:r>
      <w:r w:rsidR="002F70D9" w:rsidRPr="00273810">
        <w:rPr>
          <w:rFonts w:cs="Arial"/>
          <w:color w:val="000000"/>
        </w:rPr>
        <w:t>affected the outcome of the case</w:t>
      </w:r>
      <w:r w:rsidRPr="00273810">
        <w:rPr>
          <w:rFonts w:cs="Arial"/>
          <w:color w:val="000000"/>
        </w:rPr>
        <w:t>.</w:t>
      </w:r>
    </w:p>
    <w:p w14:paraId="0DDA82F9" w14:textId="3BA47146" w:rsidR="00F6741B" w:rsidRPr="00273810" w:rsidRDefault="00F34BA3" w:rsidP="003C0F1B">
      <w:pPr>
        <w:pStyle w:val="Citationenretrait"/>
        <w:spacing w:line="240" w:lineRule="auto"/>
        <w:rPr>
          <w:lang w:eastAsia="fr-CA"/>
        </w:rPr>
      </w:pPr>
      <w:r w:rsidRPr="00273810">
        <w:rPr>
          <w:lang w:eastAsia="fr-CA"/>
        </w:rPr>
        <w:t>[</w:t>
      </w:r>
      <w:bookmarkStart w:id="11" w:name="par8"/>
      <w:r w:rsidRPr="00273810">
        <w:rPr>
          <w:lang w:eastAsia="fr-CA"/>
        </w:rPr>
        <w:t>8</w:t>
      </w:r>
      <w:bookmarkEnd w:id="11"/>
      <w:r w:rsidRPr="00273810">
        <w:rPr>
          <w:lang w:eastAsia="fr-CA"/>
        </w:rPr>
        <w:t>]</w:t>
      </w:r>
      <w:r w:rsidRPr="00273810">
        <w:rPr>
          <w:rFonts w:ascii="Times New Roman" w:hAnsi="Times New Roman"/>
          <w:sz w:val="14"/>
          <w:szCs w:val="14"/>
          <w:lang w:eastAsia="fr-CA"/>
        </w:rPr>
        <w:t xml:space="preserve"> </w:t>
      </w:r>
      <w:r w:rsidR="00245A8D">
        <w:rPr>
          <w:u w:val="single"/>
          <w:lang w:eastAsia="fr-CA"/>
        </w:rPr>
        <w:t>Moreover</w:t>
      </w:r>
      <w:r w:rsidR="007966ED" w:rsidRPr="00273810">
        <w:rPr>
          <w:u w:val="single"/>
          <w:lang w:eastAsia="fr-CA"/>
        </w:rPr>
        <w:t>, let us recall what</w:t>
      </w:r>
      <w:r w:rsidR="00E13D71">
        <w:rPr>
          <w:u w:val="single"/>
          <w:lang w:eastAsia="fr-CA"/>
        </w:rPr>
        <w:t xml:space="preserve"> is meant by</w:t>
      </w:r>
      <w:r w:rsidR="007966ED" w:rsidRPr="00273810">
        <w:rPr>
          <w:u w:val="single"/>
          <w:lang w:eastAsia="fr-CA"/>
        </w:rPr>
        <w:t xml:space="preserve"> a “palpable and overriding” error</w:t>
      </w:r>
      <w:r w:rsidRPr="00273810">
        <w:rPr>
          <w:u w:val="single"/>
          <w:lang w:eastAsia="fr-CA"/>
        </w:rPr>
        <w:t xml:space="preserve">, </w:t>
      </w:r>
      <w:r w:rsidR="00245A8D">
        <w:rPr>
          <w:u w:val="single"/>
          <w:lang w:eastAsia="fr-CA"/>
        </w:rPr>
        <w:t xml:space="preserve">that is, </w:t>
      </w:r>
      <w:r w:rsidR="007966ED" w:rsidRPr="00273810">
        <w:rPr>
          <w:u w:val="single"/>
          <w:lang w:eastAsia="fr-CA"/>
        </w:rPr>
        <w:t xml:space="preserve">the standard </w:t>
      </w:r>
      <w:r w:rsidR="00245A8D">
        <w:rPr>
          <w:u w:val="single"/>
          <w:lang w:eastAsia="fr-CA"/>
        </w:rPr>
        <w:t xml:space="preserve">of review applicable to </w:t>
      </w:r>
      <w:r w:rsidRPr="00273810">
        <w:rPr>
          <w:u w:val="single"/>
          <w:lang w:eastAsia="fr-CA"/>
        </w:rPr>
        <w:t xml:space="preserve">questions </w:t>
      </w:r>
      <w:r w:rsidR="007966ED" w:rsidRPr="00273810">
        <w:rPr>
          <w:u w:val="single"/>
          <w:lang w:eastAsia="fr-CA"/>
        </w:rPr>
        <w:t>of</w:t>
      </w:r>
      <w:r w:rsidRPr="00273810">
        <w:rPr>
          <w:u w:val="single"/>
          <w:lang w:eastAsia="fr-CA"/>
        </w:rPr>
        <w:t xml:space="preserve"> fa</w:t>
      </w:r>
      <w:r w:rsidR="007966ED" w:rsidRPr="00273810">
        <w:rPr>
          <w:u w:val="single"/>
          <w:lang w:eastAsia="fr-CA"/>
        </w:rPr>
        <w:t>c</w:t>
      </w:r>
      <w:r w:rsidRPr="00273810">
        <w:rPr>
          <w:u w:val="single"/>
          <w:lang w:eastAsia="fr-CA"/>
        </w:rPr>
        <w:t>t, o</w:t>
      </w:r>
      <w:r w:rsidR="007966ED" w:rsidRPr="00273810">
        <w:rPr>
          <w:u w:val="single"/>
          <w:lang w:eastAsia="fr-CA"/>
        </w:rPr>
        <w:t>r questions of mixed fact and law</w:t>
      </w:r>
      <w:r w:rsidRPr="00273810">
        <w:rPr>
          <w:lang w:eastAsia="fr-CA"/>
        </w:rPr>
        <w:t>:</w:t>
      </w:r>
    </w:p>
    <w:p w14:paraId="12DF4B46" w14:textId="71C97679" w:rsidR="00F6741B" w:rsidRPr="00273810" w:rsidRDefault="007966ED" w:rsidP="003C0F1B">
      <w:pPr>
        <w:pStyle w:val="Citationenretrait"/>
        <w:spacing w:line="240" w:lineRule="auto"/>
        <w:rPr>
          <w:lang w:eastAsia="fr-CA"/>
        </w:rPr>
      </w:pPr>
      <w:r w:rsidRPr="00273810">
        <w:rPr>
          <w:lang w:eastAsia="fr-CA"/>
        </w:rPr>
        <w:t>(</w:t>
      </w:r>
      <w:r w:rsidR="00F34BA3" w:rsidRPr="00273810">
        <w:rPr>
          <w:lang w:eastAsia="fr-CA"/>
        </w:rPr>
        <w:t xml:space="preserve">a) </w:t>
      </w:r>
      <w:r w:rsidRPr="00273810">
        <w:rPr>
          <w:lang w:eastAsia="fr-CA"/>
        </w:rPr>
        <w:t>a</w:t>
      </w:r>
      <w:r w:rsidR="00245A8D">
        <w:rPr>
          <w:lang w:eastAsia="fr-CA"/>
        </w:rPr>
        <w:t>n error is</w:t>
      </w:r>
      <w:r w:rsidRPr="00273810">
        <w:rPr>
          <w:lang w:eastAsia="fr-CA"/>
        </w:rPr>
        <w:t xml:space="preserve"> “</w:t>
      </w:r>
      <w:r w:rsidR="002F70D9" w:rsidRPr="00273810">
        <w:rPr>
          <w:u w:val="single"/>
          <w:lang w:eastAsia="fr-CA"/>
        </w:rPr>
        <w:t>palpable</w:t>
      </w:r>
      <w:r w:rsidRPr="00273810">
        <w:rPr>
          <w:lang w:eastAsia="fr-CA"/>
        </w:rPr>
        <w:t>”</w:t>
      </w:r>
      <w:r w:rsidR="00F34BA3" w:rsidRPr="00273810">
        <w:rPr>
          <w:lang w:eastAsia="fr-CA"/>
        </w:rPr>
        <w:t> </w:t>
      </w:r>
      <w:r w:rsidR="00245A8D">
        <w:rPr>
          <w:lang w:eastAsia="fr-CA"/>
        </w:rPr>
        <w:t xml:space="preserve">where </w:t>
      </w:r>
      <w:r w:rsidR="006E06FE" w:rsidRPr="00273810">
        <w:rPr>
          <w:lang w:eastAsia="fr-CA"/>
        </w:rPr>
        <w:t xml:space="preserve">the </w:t>
      </w:r>
      <w:r w:rsidR="00245A8D">
        <w:rPr>
          <w:lang w:eastAsia="fr-CA"/>
        </w:rPr>
        <w:t xml:space="preserve">litigant is able to </w:t>
      </w:r>
      <w:r w:rsidR="006E06FE" w:rsidRPr="00273810">
        <w:rPr>
          <w:lang w:eastAsia="fr-CA"/>
        </w:rPr>
        <w:t>identify</w:t>
      </w:r>
      <w:r w:rsidR="00F34BA3" w:rsidRPr="00273810">
        <w:rPr>
          <w:lang w:eastAsia="fr-CA"/>
        </w:rPr>
        <w:t xml:space="preserve"> </w:t>
      </w:r>
      <w:r w:rsidR="00245A8D">
        <w:rPr>
          <w:lang w:eastAsia="fr-CA"/>
        </w:rPr>
        <w:t xml:space="preserve">it </w:t>
      </w:r>
      <w:r w:rsidR="007B1E4B" w:rsidRPr="0049171C">
        <w:rPr>
          <w:smallCaps/>
          <w:lang w:eastAsia="fr-CA"/>
        </w:rPr>
        <w:t>[translation]</w:t>
      </w:r>
      <w:r w:rsidR="007B1E4B" w:rsidRPr="0049171C">
        <w:rPr>
          <w:rFonts w:cs="Arial"/>
          <w:smallCaps/>
          <w:color w:val="000000"/>
        </w:rPr>
        <w:t xml:space="preserve"> </w:t>
      </w:r>
      <w:r w:rsidR="007B1E4B" w:rsidRPr="0049171C">
        <w:rPr>
          <w:lang w:eastAsia="fr-CA"/>
        </w:rPr>
        <w:t>“</w:t>
      </w:r>
      <w:r w:rsidR="00245A8D">
        <w:rPr>
          <w:lang w:eastAsia="fr-CA"/>
        </w:rPr>
        <w:t xml:space="preserve">with great economy-of-means, </w:t>
      </w:r>
      <w:r w:rsidR="007B1E4B" w:rsidRPr="0049171C">
        <w:rPr>
          <w:lang w:eastAsia="fr-CA"/>
        </w:rPr>
        <w:t xml:space="preserve">without </w:t>
      </w:r>
      <w:r w:rsidR="00245A8D">
        <w:rPr>
          <w:lang w:eastAsia="fr-CA"/>
        </w:rPr>
        <w:t xml:space="preserve">it provoking </w:t>
      </w:r>
      <w:r w:rsidR="007B1E4B" w:rsidRPr="0049171C">
        <w:rPr>
          <w:lang w:eastAsia="fr-CA"/>
        </w:rPr>
        <w:t xml:space="preserve">a long </w:t>
      </w:r>
      <w:r w:rsidR="00245A8D">
        <w:rPr>
          <w:lang w:eastAsia="fr-CA"/>
        </w:rPr>
        <w:t xml:space="preserve">semantic </w:t>
      </w:r>
      <w:r w:rsidR="007B1E4B" w:rsidRPr="0049171C">
        <w:rPr>
          <w:lang w:eastAsia="fr-CA"/>
        </w:rPr>
        <w:t xml:space="preserve">debate, </w:t>
      </w:r>
      <w:r w:rsidR="00671ED5" w:rsidRPr="0049171C">
        <w:rPr>
          <w:u w:val="single"/>
          <w:lang w:eastAsia="fr-CA"/>
        </w:rPr>
        <w:t xml:space="preserve">and without it being necessary to review </w:t>
      </w:r>
      <w:r w:rsidR="00245A8D">
        <w:rPr>
          <w:u w:val="single"/>
          <w:lang w:eastAsia="fr-CA"/>
        </w:rPr>
        <w:t xml:space="preserve">large parts </w:t>
      </w:r>
      <w:r w:rsidR="000D2B67" w:rsidRPr="0049171C">
        <w:rPr>
          <w:u w:val="single"/>
          <w:lang w:eastAsia="fr-CA"/>
        </w:rPr>
        <w:t xml:space="preserve">of documentary and testimonial evidence </w:t>
      </w:r>
      <w:r w:rsidR="00671ED5" w:rsidRPr="0049171C">
        <w:rPr>
          <w:u w:val="single"/>
          <w:lang w:eastAsia="fr-CA"/>
        </w:rPr>
        <w:t xml:space="preserve">that </w:t>
      </w:r>
      <w:r w:rsidR="007B1E4B" w:rsidRPr="0049171C">
        <w:rPr>
          <w:u w:val="single"/>
          <w:lang w:eastAsia="fr-CA"/>
        </w:rPr>
        <w:t xml:space="preserve">is </w:t>
      </w:r>
      <w:r w:rsidR="00245A8D">
        <w:rPr>
          <w:u w:val="single"/>
          <w:lang w:eastAsia="fr-CA"/>
        </w:rPr>
        <w:t xml:space="preserve">divided </w:t>
      </w:r>
      <w:r w:rsidR="007B1E4B" w:rsidRPr="0049171C">
        <w:rPr>
          <w:u w:val="single"/>
          <w:lang w:eastAsia="fr-CA"/>
        </w:rPr>
        <w:t>and contradictory</w:t>
      </w:r>
      <w:r w:rsidR="007B1E4B" w:rsidRPr="0049171C">
        <w:rPr>
          <w:lang w:eastAsia="fr-CA"/>
        </w:rPr>
        <w:t>”</w:t>
      </w:r>
      <w:r w:rsidR="002E0483" w:rsidRPr="0049171C">
        <w:rPr>
          <w:lang w:eastAsia="fr-CA"/>
        </w:rPr>
        <w:t>;</w:t>
      </w:r>
      <w:r w:rsidR="00F34BA3" w:rsidRPr="0049171C">
        <w:rPr>
          <w:lang w:eastAsia="fr-CA"/>
        </w:rPr>
        <w:t xml:space="preserve"> </w:t>
      </w:r>
      <w:r w:rsidR="002F70D9" w:rsidRPr="0049171C">
        <w:rPr>
          <w:lang w:eastAsia="fr-CA"/>
        </w:rPr>
        <w:t>it is an error</w:t>
      </w:r>
      <w:r w:rsidR="00A41C43" w:rsidRPr="0049171C">
        <w:rPr>
          <w:lang w:eastAsia="fr-CA"/>
        </w:rPr>
        <w:t xml:space="preserve"> </w:t>
      </w:r>
      <w:r w:rsidR="002F70D9" w:rsidRPr="0049171C">
        <w:rPr>
          <w:lang w:eastAsia="fr-CA"/>
        </w:rPr>
        <w:t>“</w:t>
      </w:r>
      <w:r w:rsidR="00F34BA3" w:rsidRPr="0049171C">
        <w:rPr>
          <w:u w:val="single"/>
          <w:lang w:eastAsia="fr-CA"/>
        </w:rPr>
        <w:t>that is obvious</w:t>
      </w:r>
      <w:bookmarkStart w:id="12" w:name="_Ref10030161"/>
      <w:bookmarkEnd w:id="12"/>
      <w:r w:rsidR="002F70D9" w:rsidRPr="00273810">
        <w:rPr>
          <w:rFonts w:cs="Arial"/>
          <w:u w:val="single"/>
          <w:lang w:eastAsia="fr-CA"/>
        </w:rPr>
        <w:t>”</w:t>
      </w:r>
      <w:r w:rsidR="00F34BA3" w:rsidRPr="00273810">
        <w:rPr>
          <w:u w:val="single"/>
          <w:lang w:eastAsia="fr-CA"/>
        </w:rPr>
        <w:t xml:space="preserve">, </w:t>
      </w:r>
      <w:r w:rsidR="001C48E7" w:rsidRPr="00273810">
        <w:rPr>
          <w:u w:val="single"/>
          <w:lang w:eastAsia="fr-CA"/>
        </w:rPr>
        <w:t>that</w:t>
      </w:r>
      <w:r w:rsidR="00CC02F5" w:rsidRPr="00273810">
        <w:rPr>
          <w:u w:val="single"/>
          <w:lang w:eastAsia="fr-CA"/>
        </w:rPr>
        <w:t xml:space="preserve"> one</w:t>
      </w:r>
      <w:r w:rsidR="006E06FE" w:rsidRPr="00273810">
        <w:rPr>
          <w:u w:val="single"/>
          <w:lang w:eastAsia="fr-CA"/>
        </w:rPr>
        <w:t xml:space="preserve"> </w:t>
      </w:r>
      <w:r w:rsidR="00CC02F5" w:rsidRPr="00273810">
        <w:rPr>
          <w:u w:val="single"/>
          <w:lang w:eastAsia="fr-CA"/>
        </w:rPr>
        <w:t xml:space="preserve">can </w:t>
      </w:r>
      <w:r w:rsidR="006E06FE" w:rsidRPr="00273810">
        <w:rPr>
          <w:u w:val="single"/>
          <w:lang w:eastAsia="fr-CA"/>
        </w:rPr>
        <w:t>“</w:t>
      </w:r>
      <w:r w:rsidR="00CC02F5" w:rsidRPr="00273810">
        <w:rPr>
          <w:u w:val="single"/>
          <w:lang w:eastAsia="fr-CA"/>
        </w:rPr>
        <w:t>put one’s finger on</w:t>
      </w:r>
      <w:r w:rsidR="00CC02F5" w:rsidRPr="00273810">
        <w:rPr>
          <w:rFonts w:cs="Arial"/>
          <w:lang w:eastAsia="fr-CA"/>
        </w:rPr>
        <w:t xml:space="preserve">” </w:t>
      </w:r>
      <w:r w:rsidR="00671ED5" w:rsidRPr="00273810">
        <w:rPr>
          <w:rFonts w:cs="Arial"/>
          <w:lang w:eastAsia="fr-CA"/>
        </w:rPr>
        <w:t xml:space="preserve">and that </w:t>
      </w:r>
      <w:r w:rsidR="00671ED5" w:rsidRPr="00273810">
        <w:rPr>
          <w:lang w:eastAsia="fr-CA"/>
        </w:rPr>
        <w:t xml:space="preserve">is </w:t>
      </w:r>
      <w:r w:rsidR="00245A8D">
        <w:rPr>
          <w:lang w:eastAsia="fr-CA"/>
        </w:rPr>
        <w:t xml:space="preserve">in the nature </w:t>
      </w:r>
      <w:r w:rsidR="00671ED5" w:rsidRPr="00273810">
        <w:rPr>
          <w:lang w:eastAsia="fr-CA"/>
        </w:rPr>
        <w:t>“</w:t>
      </w:r>
      <w:r w:rsidR="00A41C43" w:rsidRPr="00273810">
        <w:rPr>
          <w:lang w:eastAsia="fr-CA"/>
        </w:rPr>
        <w:t xml:space="preserve">not of a </w:t>
      </w:r>
      <w:r w:rsidR="00671ED5" w:rsidRPr="00273810">
        <w:rPr>
          <w:lang w:eastAsia="fr-CA"/>
        </w:rPr>
        <w:t>needle in the haystack</w:t>
      </w:r>
      <w:r w:rsidR="00A41C43" w:rsidRPr="00273810">
        <w:rPr>
          <w:lang w:eastAsia="fr-CA"/>
        </w:rPr>
        <w:t>,</w:t>
      </w:r>
      <w:r w:rsidR="00671ED5" w:rsidRPr="00273810">
        <w:rPr>
          <w:lang w:eastAsia="fr-CA"/>
        </w:rPr>
        <w:t xml:space="preserve"> but </w:t>
      </w:r>
      <w:r w:rsidR="00A41C43" w:rsidRPr="00273810">
        <w:rPr>
          <w:lang w:eastAsia="fr-CA"/>
        </w:rPr>
        <w:t>of a</w:t>
      </w:r>
      <w:r w:rsidR="00671ED5" w:rsidRPr="00273810">
        <w:rPr>
          <w:lang w:eastAsia="fr-CA"/>
        </w:rPr>
        <w:t xml:space="preserve"> beam in the eye</w:t>
      </w:r>
      <w:r w:rsidR="00A41C43" w:rsidRPr="00273810">
        <w:rPr>
          <w:lang w:eastAsia="fr-CA"/>
        </w:rPr>
        <w:t>”</w:t>
      </w:r>
      <w:r w:rsidR="00F34BA3" w:rsidRPr="00273810">
        <w:rPr>
          <w:lang w:eastAsia="fr-CA"/>
        </w:rPr>
        <w:t>;</w:t>
      </w:r>
    </w:p>
    <w:p w14:paraId="1B57747B" w14:textId="2E13C0C0" w:rsidR="00F6741B" w:rsidRPr="00273810" w:rsidRDefault="007966ED" w:rsidP="007B1E4B">
      <w:pPr>
        <w:pStyle w:val="Citationenretrait"/>
        <w:spacing w:after="0" w:line="240" w:lineRule="auto"/>
        <w:rPr>
          <w:rFonts w:cs="Arial"/>
          <w:smallCaps/>
          <w:color w:val="000000"/>
        </w:rPr>
      </w:pPr>
      <w:r w:rsidRPr="00273810">
        <w:rPr>
          <w:lang w:eastAsia="fr-CA"/>
        </w:rPr>
        <w:t>(</w:t>
      </w:r>
      <w:r w:rsidR="00F34BA3" w:rsidRPr="00273810">
        <w:rPr>
          <w:lang w:eastAsia="fr-CA"/>
        </w:rPr>
        <w:t xml:space="preserve">b) </w:t>
      </w:r>
      <w:r w:rsidR="0049447D" w:rsidRPr="00273810">
        <w:rPr>
          <w:lang w:eastAsia="fr-CA"/>
        </w:rPr>
        <w:t>a palpable error is “</w:t>
      </w:r>
      <w:r w:rsidR="0049447D" w:rsidRPr="00273810">
        <w:rPr>
          <w:u w:val="single"/>
          <w:lang w:eastAsia="fr-CA"/>
        </w:rPr>
        <w:t>overriding</w:t>
      </w:r>
      <w:r w:rsidR="001B454B" w:rsidRPr="00273810">
        <w:rPr>
          <w:lang w:eastAsia="fr-CA"/>
        </w:rPr>
        <w:t>”</w:t>
      </w:r>
      <w:r w:rsidR="0049447D" w:rsidRPr="00273810">
        <w:rPr>
          <w:lang w:eastAsia="fr-CA"/>
        </w:rPr>
        <w:t xml:space="preserve"> whe</w:t>
      </w:r>
      <w:r w:rsidR="00245A8D">
        <w:rPr>
          <w:lang w:eastAsia="fr-CA"/>
        </w:rPr>
        <w:t>re</w:t>
      </w:r>
      <w:r w:rsidR="0049447D" w:rsidRPr="00273810">
        <w:rPr>
          <w:lang w:eastAsia="fr-CA"/>
        </w:rPr>
        <w:t xml:space="preserve"> it has a “</w:t>
      </w:r>
      <w:r w:rsidR="002568C9" w:rsidRPr="00273810">
        <w:rPr>
          <w:lang w:eastAsia="fr-CA"/>
        </w:rPr>
        <w:t>critical</w:t>
      </w:r>
      <w:r w:rsidR="0049447D" w:rsidRPr="00273810">
        <w:rPr>
          <w:lang w:eastAsia="fr-CA"/>
        </w:rPr>
        <w:t xml:space="preserve">” </w:t>
      </w:r>
      <w:r w:rsidR="00F34BA3" w:rsidRPr="00273810">
        <w:rPr>
          <w:lang w:eastAsia="fr-CA"/>
        </w:rPr>
        <w:t xml:space="preserve">impact </w:t>
      </w:r>
      <w:r w:rsidR="0049447D" w:rsidRPr="00273810">
        <w:rPr>
          <w:lang w:eastAsia="fr-CA"/>
        </w:rPr>
        <w:t xml:space="preserve">on a </w:t>
      </w:r>
      <w:r w:rsidR="00245A8D">
        <w:rPr>
          <w:lang w:eastAsia="fr-CA"/>
        </w:rPr>
        <w:t xml:space="preserve">finding of </w:t>
      </w:r>
      <w:r w:rsidR="0049447D" w:rsidRPr="00273810">
        <w:rPr>
          <w:lang w:eastAsia="fr-CA"/>
        </w:rPr>
        <w:t>f</w:t>
      </w:r>
      <w:r w:rsidR="002568C9" w:rsidRPr="00273810">
        <w:rPr>
          <w:lang w:eastAsia="fr-CA"/>
        </w:rPr>
        <w:t>act</w:t>
      </w:r>
      <w:r w:rsidR="0049447D" w:rsidRPr="00273810">
        <w:rPr>
          <w:lang w:eastAsia="fr-CA"/>
        </w:rPr>
        <w:t xml:space="preserve"> or a finding of </w:t>
      </w:r>
      <w:r w:rsidR="00B4526B" w:rsidRPr="00273810">
        <w:rPr>
          <w:lang w:eastAsia="fr-CA"/>
        </w:rPr>
        <w:t xml:space="preserve">mixed </w:t>
      </w:r>
      <w:r w:rsidR="0049447D" w:rsidRPr="00273810">
        <w:rPr>
          <w:lang w:eastAsia="fr-CA"/>
        </w:rPr>
        <w:t>fact and law, whe</w:t>
      </w:r>
      <w:r w:rsidR="007B1E4B" w:rsidRPr="00273810">
        <w:rPr>
          <w:lang w:eastAsia="fr-CA"/>
        </w:rPr>
        <w:t>re</w:t>
      </w:r>
      <w:r w:rsidR="0049447D" w:rsidRPr="00273810">
        <w:rPr>
          <w:lang w:eastAsia="fr-CA"/>
        </w:rPr>
        <w:t xml:space="preserve"> it </w:t>
      </w:r>
      <w:r w:rsidR="007B1E4B" w:rsidRPr="0049171C">
        <w:rPr>
          <w:smallCaps/>
          <w:lang w:eastAsia="fr-CA"/>
        </w:rPr>
        <w:t>[translation]</w:t>
      </w:r>
      <w:r w:rsidR="007B1E4B" w:rsidRPr="00273810">
        <w:rPr>
          <w:rFonts w:cs="Arial"/>
          <w:smallCaps/>
          <w:color w:val="000000"/>
        </w:rPr>
        <w:t xml:space="preserve"> </w:t>
      </w:r>
      <w:r w:rsidR="001B454B" w:rsidRPr="00273810">
        <w:rPr>
          <w:lang w:eastAsia="fr-CA"/>
        </w:rPr>
        <w:t>“</w:t>
      </w:r>
      <w:r w:rsidR="00245A8D">
        <w:rPr>
          <w:lang w:eastAsia="fr-CA"/>
        </w:rPr>
        <w:t xml:space="preserve">overwhelmingly precludes </w:t>
      </w:r>
      <w:r w:rsidR="000D2B67" w:rsidRPr="00273810">
        <w:rPr>
          <w:lang w:eastAsia="fr-CA"/>
        </w:rPr>
        <w:t xml:space="preserve">the judge’s finding on a question of fact and </w:t>
      </w:r>
      <w:r w:rsidR="00245A8D">
        <w:rPr>
          <w:lang w:eastAsia="fr-CA"/>
        </w:rPr>
        <w:t xml:space="preserve">is likely to affect </w:t>
      </w:r>
      <w:r w:rsidR="001B454B" w:rsidRPr="00273810">
        <w:rPr>
          <w:lang w:eastAsia="fr-CA"/>
        </w:rPr>
        <w:t>the outcome of the case”</w:t>
      </w:r>
      <w:r w:rsidR="00B4526B" w:rsidRPr="00273810">
        <w:rPr>
          <w:lang w:eastAsia="fr-CA"/>
        </w:rPr>
        <w:t>;</w:t>
      </w:r>
      <w:r w:rsidR="00F34BA3" w:rsidRPr="00273810">
        <w:rPr>
          <w:lang w:eastAsia="fr-CA"/>
        </w:rPr>
        <w:t xml:space="preserve"> </w:t>
      </w:r>
      <w:r w:rsidR="00245A8D">
        <w:rPr>
          <w:lang w:eastAsia="fr-CA"/>
        </w:rPr>
        <w:t xml:space="preserve">to demonstrate </w:t>
      </w:r>
      <w:r w:rsidR="00104DAC" w:rsidRPr="00273810">
        <w:rPr>
          <w:lang w:eastAsia="fr-CA"/>
        </w:rPr>
        <w:t xml:space="preserve">such an error, </w:t>
      </w:r>
      <w:r w:rsidR="00104DAC" w:rsidRPr="004B6CD8">
        <w:rPr>
          <w:u w:val="single"/>
          <w:lang w:eastAsia="fr-CA"/>
        </w:rPr>
        <w:t xml:space="preserve">it is not </w:t>
      </w:r>
      <w:r w:rsidR="00245A8D" w:rsidRPr="004B6CD8">
        <w:rPr>
          <w:u w:val="single"/>
          <w:lang w:eastAsia="fr-CA"/>
        </w:rPr>
        <w:t xml:space="preserve">sufficient for the litigant to </w:t>
      </w:r>
      <w:r w:rsidR="002568C9" w:rsidRPr="004B6CD8">
        <w:rPr>
          <w:u w:val="single"/>
          <w:lang w:eastAsia="fr-CA"/>
        </w:rPr>
        <w:t>“</w:t>
      </w:r>
      <w:r w:rsidR="00F34BA3" w:rsidRPr="002428B4">
        <w:rPr>
          <w:u w:val="single"/>
          <w:lang w:eastAsia="fr-CA"/>
        </w:rPr>
        <w:t>pull at leaves and branches and leave the tree standing. The entire tree must fall</w:t>
      </w:r>
      <w:r w:rsidR="002568C9" w:rsidRPr="00273810">
        <w:rPr>
          <w:u w:val="single"/>
          <w:lang w:eastAsia="fr-CA"/>
        </w:rPr>
        <w:t>.</w:t>
      </w:r>
      <w:r w:rsidR="002568C9" w:rsidRPr="00273810">
        <w:rPr>
          <w:lang w:eastAsia="fr-CA"/>
        </w:rPr>
        <w:t>”</w:t>
      </w:r>
    </w:p>
    <w:p w14:paraId="051C4111" w14:textId="3C7D95FE" w:rsidR="00F6741B" w:rsidRPr="00273810" w:rsidRDefault="00F34BA3" w:rsidP="003C0F1B">
      <w:pPr>
        <w:pStyle w:val="Citationenretrait"/>
        <w:spacing w:line="240" w:lineRule="auto"/>
        <w:ind w:left="5760" w:firstLine="720"/>
        <w:rPr>
          <w:lang w:eastAsia="fr-CA"/>
        </w:rPr>
      </w:pPr>
      <w:r w:rsidRPr="00273810">
        <w:rPr>
          <w:lang w:eastAsia="fr-CA"/>
        </w:rPr>
        <w:t>(</w:t>
      </w:r>
      <w:r w:rsidR="00A2010B" w:rsidRPr="00273810">
        <w:rPr>
          <w:lang w:eastAsia="fr-CA"/>
        </w:rPr>
        <w:t>Emphasis added</w:t>
      </w:r>
      <w:r w:rsidRPr="00273810">
        <w:rPr>
          <w:lang w:eastAsia="fr-CA"/>
        </w:rPr>
        <w:t>)</w:t>
      </w:r>
    </w:p>
    <w:p w14:paraId="27F8ED5D" w14:textId="46D64357" w:rsidR="00F6741B" w:rsidRPr="00273810" w:rsidRDefault="00F34BA3" w:rsidP="003C0F1B">
      <w:pPr>
        <w:pStyle w:val="Citationenretrait"/>
        <w:spacing w:line="240" w:lineRule="auto"/>
        <w:rPr>
          <w:lang w:eastAsia="fr-CA"/>
        </w:rPr>
      </w:pPr>
      <w:r w:rsidRPr="00273810">
        <w:rPr>
          <w:lang w:eastAsia="fr-CA"/>
        </w:rPr>
        <w:t>[</w:t>
      </w:r>
      <w:bookmarkStart w:id="13" w:name="par9"/>
      <w:r w:rsidRPr="00273810">
        <w:rPr>
          <w:lang w:eastAsia="fr-CA"/>
        </w:rPr>
        <w:t>9</w:t>
      </w:r>
      <w:bookmarkEnd w:id="13"/>
      <w:r w:rsidRPr="00273810">
        <w:rPr>
          <w:lang w:eastAsia="fr-CA"/>
        </w:rPr>
        <w:t>]</w:t>
      </w:r>
      <w:r w:rsidRPr="00273810">
        <w:rPr>
          <w:rFonts w:ascii="Times New Roman" w:hAnsi="Times New Roman"/>
          <w:sz w:val="14"/>
          <w:szCs w:val="14"/>
          <w:lang w:eastAsia="fr-CA"/>
        </w:rPr>
        <w:t xml:space="preserve"> </w:t>
      </w:r>
      <w:r w:rsidRPr="00273810">
        <w:rPr>
          <w:lang w:eastAsia="fr-CA"/>
        </w:rPr>
        <w:t>I</w:t>
      </w:r>
      <w:r w:rsidR="00572950" w:rsidRPr="00273810">
        <w:rPr>
          <w:lang w:eastAsia="fr-CA"/>
        </w:rPr>
        <w:t xml:space="preserve">t is </w:t>
      </w:r>
      <w:r w:rsidR="00245A8D">
        <w:rPr>
          <w:lang w:eastAsia="fr-CA"/>
        </w:rPr>
        <w:t>not the task of</w:t>
      </w:r>
      <w:r w:rsidR="00572950" w:rsidRPr="00273810">
        <w:rPr>
          <w:lang w:eastAsia="fr-CA"/>
        </w:rPr>
        <w:t xml:space="preserve"> an appellate court to retry </w:t>
      </w:r>
      <w:r w:rsidR="00245A8D">
        <w:rPr>
          <w:lang w:eastAsia="fr-CA"/>
        </w:rPr>
        <w:t xml:space="preserve">a </w:t>
      </w:r>
      <w:r w:rsidR="00572950" w:rsidRPr="00273810">
        <w:rPr>
          <w:lang w:eastAsia="fr-CA"/>
        </w:rPr>
        <w:t xml:space="preserve">case, which the appellants are asking us to do </w:t>
      </w:r>
      <w:r w:rsidR="0033310B">
        <w:rPr>
          <w:lang w:eastAsia="fr-CA"/>
        </w:rPr>
        <w:t>here</w:t>
      </w:r>
      <w:r w:rsidR="00572950" w:rsidRPr="00273810">
        <w:rPr>
          <w:lang w:eastAsia="fr-CA"/>
        </w:rPr>
        <w:t xml:space="preserve">. </w:t>
      </w:r>
      <w:r w:rsidRPr="00273810">
        <w:rPr>
          <w:lang w:eastAsia="fr-CA"/>
        </w:rPr>
        <w:t xml:space="preserve">Iacobucci </w:t>
      </w:r>
      <w:r w:rsidR="00572950" w:rsidRPr="00273810">
        <w:rPr>
          <w:lang w:eastAsia="fr-CA"/>
        </w:rPr>
        <w:t xml:space="preserve">and </w:t>
      </w:r>
      <w:r w:rsidRPr="00273810">
        <w:rPr>
          <w:lang w:eastAsia="fr-CA"/>
        </w:rPr>
        <w:t xml:space="preserve">Major </w:t>
      </w:r>
      <w:r w:rsidR="00572950" w:rsidRPr="00273810">
        <w:rPr>
          <w:lang w:eastAsia="fr-CA"/>
        </w:rPr>
        <w:t>JJ</w:t>
      </w:r>
      <w:r w:rsidR="0049171C">
        <w:rPr>
          <w:lang w:eastAsia="fr-CA"/>
        </w:rPr>
        <w:t>.</w:t>
      </w:r>
      <w:r w:rsidR="00572950" w:rsidRPr="00273810">
        <w:rPr>
          <w:lang w:eastAsia="fr-CA"/>
        </w:rPr>
        <w:t xml:space="preserve"> </w:t>
      </w:r>
      <w:r w:rsidR="00245A8D">
        <w:rPr>
          <w:lang w:eastAsia="fr-CA"/>
        </w:rPr>
        <w:t xml:space="preserve">reiterated </w:t>
      </w:r>
      <w:r w:rsidR="007966ED" w:rsidRPr="00273810">
        <w:rPr>
          <w:lang w:eastAsia="fr-CA"/>
        </w:rPr>
        <w:t xml:space="preserve">this </w:t>
      </w:r>
      <w:r w:rsidR="00245A8D">
        <w:rPr>
          <w:lang w:eastAsia="fr-CA"/>
        </w:rPr>
        <w:t xml:space="preserve">on behalf of </w:t>
      </w:r>
      <w:r w:rsidR="00572950" w:rsidRPr="00273810">
        <w:rPr>
          <w:lang w:eastAsia="fr-CA"/>
        </w:rPr>
        <w:t>the m</w:t>
      </w:r>
      <w:r w:rsidR="00480197" w:rsidRPr="00273810">
        <w:rPr>
          <w:lang w:eastAsia="fr-CA"/>
        </w:rPr>
        <w:t>ajor</w:t>
      </w:r>
      <w:r w:rsidR="00A620B7" w:rsidRPr="00273810">
        <w:rPr>
          <w:lang w:eastAsia="fr-CA"/>
        </w:rPr>
        <w:t>i</w:t>
      </w:r>
      <w:r w:rsidR="00480197" w:rsidRPr="00273810">
        <w:rPr>
          <w:lang w:eastAsia="fr-CA"/>
        </w:rPr>
        <w:t xml:space="preserve">ty in </w:t>
      </w:r>
      <w:r w:rsidRPr="00273810">
        <w:rPr>
          <w:i/>
          <w:iCs/>
          <w:lang w:eastAsia="fr-CA"/>
        </w:rPr>
        <w:t xml:space="preserve">Housen </w:t>
      </w:r>
      <w:r w:rsidR="00480197" w:rsidRPr="00273810">
        <w:rPr>
          <w:i/>
          <w:iCs/>
          <w:lang w:eastAsia="fr-CA"/>
        </w:rPr>
        <w:t>v</w:t>
      </w:r>
      <w:r w:rsidRPr="00273810">
        <w:rPr>
          <w:i/>
          <w:iCs/>
          <w:lang w:eastAsia="fr-CA"/>
        </w:rPr>
        <w:t>. Nikolaisen</w:t>
      </w:r>
      <w:r w:rsidRPr="00273810">
        <w:rPr>
          <w:lang w:eastAsia="fr-CA"/>
        </w:rPr>
        <w:t>:</w:t>
      </w:r>
    </w:p>
    <w:p w14:paraId="13B6C781" w14:textId="455F3563" w:rsidR="00F6741B" w:rsidRPr="002428B4" w:rsidRDefault="00F34BA3" w:rsidP="003C0F1B">
      <w:pPr>
        <w:pStyle w:val="CitationdecitationFR"/>
        <w:spacing w:line="240" w:lineRule="auto"/>
        <w:rPr>
          <w:rStyle w:val="Citationintgre"/>
          <w:i w:val="0"/>
          <w:lang w:val="en-CA"/>
        </w:rPr>
      </w:pPr>
      <w:r w:rsidRPr="006C0FA2">
        <w:rPr>
          <w:rStyle w:val="Citationintgre"/>
          <w:i w:val="0"/>
          <w:lang w:val="en-CA"/>
        </w:rPr>
        <w:t xml:space="preserve">18. </w:t>
      </w:r>
      <w:r w:rsidR="004567C6" w:rsidRPr="002428B4">
        <w:rPr>
          <w:color w:val="000000"/>
          <w:sz w:val="22"/>
          <w:szCs w:val="22"/>
        </w:rPr>
        <w:t>The trial judge is better situated to make factual findings owing to his or her extensive exposure to the evidence, the advantage of hearing</w:t>
      </w:r>
      <w:r w:rsidR="004567C6" w:rsidRPr="002428B4">
        <w:rPr>
          <w:i/>
          <w:iCs/>
          <w:color w:val="000000"/>
          <w:sz w:val="22"/>
          <w:szCs w:val="22"/>
        </w:rPr>
        <w:t> </w:t>
      </w:r>
      <w:r w:rsidR="004567C6" w:rsidRPr="002428B4">
        <w:rPr>
          <w:color w:val="000000"/>
          <w:sz w:val="22"/>
          <w:szCs w:val="22"/>
        </w:rPr>
        <w:t>testimony </w:t>
      </w:r>
      <w:r w:rsidR="004567C6" w:rsidRPr="002428B4">
        <w:rPr>
          <w:i/>
          <w:iCs/>
          <w:color w:val="000000"/>
          <w:sz w:val="22"/>
          <w:szCs w:val="22"/>
        </w:rPr>
        <w:t>viva voce</w:t>
      </w:r>
      <w:r w:rsidR="004567C6" w:rsidRPr="002428B4">
        <w:rPr>
          <w:color w:val="000000"/>
          <w:sz w:val="22"/>
          <w:szCs w:val="22"/>
        </w:rPr>
        <w:t xml:space="preserve">, and the judge’s familiarity with the </w:t>
      </w:r>
      <w:proofErr w:type="gramStart"/>
      <w:r w:rsidR="004567C6" w:rsidRPr="002428B4">
        <w:rPr>
          <w:color w:val="000000"/>
          <w:sz w:val="22"/>
          <w:szCs w:val="22"/>
        </w:rPr>
        <w:t>case as a whole</w:t>
      </w:r>
      <w:proofErr w:type="gramEnd"/>
      <w:r w:rsidR="004567C6" w:rsidRPr="002428B4">
        <w:rPr>
          <w:color w:val="000000"/>
          <w:sz w:val="22"/>
          <w:szCs w:val="22"/>
        </w:rPr>
        <w:t>.  Because the primary role of the trial judge is to weigh and assess voluminous quantities of evidence, the expertise and insight of the trial judge in this area should be respected</w:t>
      </w:r>
      <w:r w:rsidRPr="002428B4">
        <w:rPr>
          <w:rStyle w:val="Citationintgre"/>
          <w:i w:val="0"/>
          <w:lang w:val="en-CA"/>
        </w:rPr>
        <w:t xml:space="preserve">. </w:t>
      </w:r>
    </w:p>
    <w:p w14:paraId="2D238A52" w14:textId="5121C34B" w:rsidR="00245A8D" w:rsidRDefault="00F34BA3" w:rsidP="00A41C43">
      <w:pPr>
        <w:pStyle w:val="Citationenretrait"/>
        <w:spacing w:after="0" w:line="240" w:lineRule="auto"/>
        <w:rPr>
          <w:lang w:eastAsia="fr-CA"/>
        </w:rPr>
      </w:pPr>
      <w:r w:rsidRPr="00273810">
        <w:rPr>
          <w:lang w:eastAsia="fr-CA"/>
        </w:rPr>
        <w:t>[</w:t>
      </w:r>
      <w:bookmarkStart w:id="14" w:name="par10"/>
      <w:r w:rsidRPr="00273810">
        <w:rPr>
          <w:lang w:eastAsia="fr-CA"/>
        </w:rPr>
        <w:t>10</w:t>
      </w:r>
      <w:bookmarkEnd w:id="14"/>
      <w:r w:rsidRPr="00273810">
        <w:rPr>
          <w:lang w:eastAsia="fr-CA"/>
        </w:rPr>
        <w:t>]</w:t>
      </w:r>
      <w:r w:rsidRPr="00273810">
        <w:rPr>
          <w:rFonts w:ascii="Times New Roman" w:hAnsi="Times New Roman"/>
          <w:sz w:val="14"/>
          <w:szCs w:val="14"/>
          <w:lang w:eastAsia="fr-CA"/>
        </w:rPr>
        <w:t xml:space="preserve"> </w:t>
      </w:r>
      <w:r w:rsidR="00245A8D">
        <w:rPr>
          <w:u w:val="single"/>
          <w:lang w:eastAsia="fr-CA"/>
        </w:rPr>
        <w:t>Finally</w:t>
      </w:r>
      <w:r w:rsidR="00480197" w:rsidRPr="00273810">
        <w:rPr>
          <w:u w:val="single"/>
          <w:lang w:eastAsia="fr-CA"/>
        </w:rPr>
        <w:t xml:space="preserve">, need we </w:t>
      </w:r>
      <w:r w:rsidR="00245A8D">
        <w:rPr>
          <w:u w:val="single"/>
          <w:lang w:eastAsia="fr-CA"/>
        </w:rPr>
        <w:t xml:space="preserve">repeat that it is </w:t>
      </w:r>
      <w:r w:rsidR="00480197" w:rsidRPr="00273810">
        <w:rPr>
          <w:u w:val="single"/>
          <w:lang w:eastAsia="fr-CA"/>
        </w:rPr>
        <w:t xml:space="preserve">the appellant who bears the heavy burden of </w:t>
      </w:r>
      <w:r w:rsidR="00245A8D">
        <w:rPr>
          <w:u w:val="single"/>
          <w:lang w:eastAsia="fr-CA"/>
        </w:rPr>
        <w:t xml:space="preserve">establishing </w:t>
      </w:r>
      <w:r w:rsidR="00480197" w:rsidRPr="00273810">
        <w:rPr>
          <w:u w:val="single"/>
          <w:lang w:eastAsia="fr-CA"/>
        </w:rPr>
        <w:t>a reviewable err</w:t>
      </w:r>
      <w:r w:rsidR="00A41C43" w:rsidRPr="00273810">
        <w:rPr>
          <w:u w:val="single"/>
          <w:lang w:eastAsia="fr-CA"/>
        </w:rPr>
        <w:t>o</w:t>
      </w:r>
      <w:r w:rsidR="00480197" w:rsidRPr="00273810">
        <w:rPr>
          <w:u w:val="single"/>
          <w:lang w:eastAsia="fr-CA"/>
        </w:rPr>
        <w:t>r</w:t>
      </w:r>
      <w:r w:rsidR="00245A8D">
        <w:rPr>
          <w:lang w:eastAsia="fr-CA"/>
        </w:rPr>
        <w:t>?</w:t>
      </w:r>
    </w:p>
    <w:p w14:paraId="6610549C" w14:textId="63C7A940" w:rsidR="00F6741B" w:rsidRPr="00273810" w:rsidRDefault="00F6741B" w:rsidP="00A41C43">
      <w:pPr>
        <w:pStyle w:val="Citationenretrait"/>
        <w:spacing w:after="0" w:line="240" w:lineRule="auto"/>
        <w:rPr>
          <w:lang w:eastAsia="fr-CA"/>
        </w:rPr>
      </w:pPr>
    </w:p>
    <w:p w14:paraId="1B8AE015" w14:textId="098E1377" w:rsidR="00F6741B" w:rsidRPr="00273810" w:rsidRDefault="00F34BA3" w:rsidP="00A41C43">
      <w:pPr>
        <w:pStyle w:val="Citationenretrait"/>
        <w:spacing w:before="0" w:line="240" w:lineRule="auto"/>
        <w:jc w:val="right"/>
        <w:rPr>
          <w:lang w:eastAsia="fr-CA"/>
        </w:rPr>
      </w:pPr>
      <w:r w:rsidRPr="00273810">
        <w:rPr>
          <w:lang w:eastAsia="fr-CA"/>
        </w:rPr>
        <w:t>[</w:t>
      </w:r>
      <w:r w:rsidR="00480197" w:rsidRPr="00273810">
        <w:rPr>
          <w:lang w:eastAsia="fr-CA"/>
        </w:rPr>
        <w:t>Emphasis added</w:t>
      </w:r>
      <w:r w:rsidRPr="00273810">
        <w:rPr>
          <w:lang w:eastAsia="fr-CA"/>
        </w:rPr>
        <w:t xml:space="preserve">; </w:t>
      </w:r>
      <w:r w:rsidR="00480197" w:rsidRPr="00273810">
        <w:rPr>
          <w:lang w:eastAsia="fr-CA"/>
        </w:rPr>
        <w:t>citations omitted</w:t>
      </w:r>
      <w:r w:rsidRPr="00273810">
        <w:rPr>
          <w:lang w:eastAsia="fr-CA"/>
        </w:rPr>
        <w:t>]</w:t>
      </w:r>
    </w:p>
    <w:p w14:paraId="39C33F53" w14:textId="110ED013" w:rsidR="00F6741B" w:rsidRPr="00273810" w:rsidRDefault="001B3B1E" w:rsidP="003C0F1B">
      <w:pPr>
        <w:pStyle w:val="Paragraphe"/>
        <w:spacing w:line="240" w:lineRule="auto"/>
        <w:rPr>
          <w:rFonts w:eastAsia="Arial Unicode MS"/>
        </w:rPr>
      </w:pPr>
      <w:r w:rsidRPr="00273810">
        <w:rPr>
          <w:rFonts w:eastAsia="Arial Unicode MS"/>
        </w:rPr>
        <w:t xml:space="preserve">As the Supreme Court </w:t>
      </w:r>
      <w:r w:rsidR="00245A8D">
        <w:rPr>
          <w:rFonts w:eastAsia="Arial Unicode MS"/>
        </w:rPr>
        <w:t>no</w:t>
      </w:r>
      <w:r w:rsidR="00245A8D" w:rsidRPr="00273810">
        <w:rPr>
          <w:rFonts w:eastAsia="Arial Unicode MS"/>
        </w:rPr>
        <w:t xml:space="preserve">ted </w:t>
      </w:r>
      <w:r w:rsidRPr="00273810">
        <w:rPr>
          <w:rFonts w:eastAsia="Arial Unicode MS"/>
        </w:rPr>
        <w:t xml:space="preserve">in </w:t>
      </w:r>
      <w:r w:rsidR="00F34BA3" w:rsidRPr="00273810">
        <w:rPr>
          <w:rFonts w:eastAsia="Arial Unicode MS"/>
          <w:i/>
        </w:rPr>
        <w:t>Salomon</w:t>
      </w:r>
      <w:r w:rsidR="00F34BA3" w:rsidRPr="00273810">
        <w:rPr>
          <w:rStyle w:val="Appelnotedebasdep"/>
          <w:rFonts w:eastAsia="Arial Unicode MS"/>
          <w:lang w:val="en-CA"/>
        </w:rPr>
        <w:footnoteReference w:id="9"/>
      </w:r>
      <w:r w:rsidR="00F34BA3" w:rsidRPr="00273810">
        <w:rPr>
          <w:rFonts w:eastAsia="Arial Unicode MS"/>
        </w:rPr>
        <w:t xml:space="preserve"> </w:t>
      </w:r>
      <w:r w:rsidRPr="00273810">
        <w:rPr>
          <w:rFonts w:eastAsia="Arial Unicode MS"/>
        </w:rPr>
        <w:t>and</w:t>
      </w:r>
      <w:r w:rsidR="00F34BA3" w:rsidRPr="00273810">
        <w:rPr>
          <w:rFonts w:eastAsia="Arial Unicode MS"/>
        </w:rPr>
        <w:t xml:space="preserve"> </w:t>
      </w:r>
      <w:r w:rsidR="00F34BA3" w:rsidRPr="00273810">
        <w:rPr>
          <w:rFonts w:eastAsia="Arial Unicode MS"/>
          <w:i/>
        </w:rPr>
        <w:t>Mowatt</w:t>
      </w:r>
      <w:r w:rsidRPr="00273810">
        <w:rPr>
          <w:rFonts w:eastAsia="Arial Unicode MS"/>
          <w:i/>
        </w:rPr>
        <w:t>,</w:t>
      </w:r>
      <w:r w:rsidR="00F34BA3" w:rsidRPr="00273810">
        <w:rPr>
          <w:rStyle w:val="Appelnotedebasdep"/>
          <w:rFonts w:eastAsia="Arial Unicode MS"/>
          <w:lang w:val="en-CA"/>
        </w:rPr>
        <w:footnoteReference w:id="10"/>
      </w:r>
      <w:r w:rsidR="00F34BA3" w:rsidRPr="00273810">
        <w:rPr>
          <w:rFonts w:eastAsia="Arial Unicode MS"/>
        </w:rPr>
        <w:t xml:space="preserve"> </w:t>
      </w:r>
      <w:r w:rsidR="004E09F8" w:rsidRPr="00273810">
        <w:rPr>
          <w:rFonts w:eastAsia="Arial Unicode MS"/>
        </w:rPr>
        <w:t xml:space="preserve">the </w:t>
      </w:r>
      <w:r w:rsidR="00245A8D">
        <w:rPr>
          <w:rFonts w:eastAsia="Arial Unicode MS"/>
        </w:rPr>
        <w:t xml:space="preserve">fact </w:t>
      </w:r>
      <w:r w:rsidR="000F5539" w:rsidRPr="00273810">
        <w:rPr>
          <w:rFonts w:eastAsia="Arial Unicode MS"/>
        </w:rPr>
        <w:t xml:space="preserve">that </w:t>
      </w:r>
      <w:r w:rsidR="004E09F8" w:rsidRPr="00273810">
        <w:rPr>
          <w:rFonts w:eastAsia="Arial Unicode MS"/>
        </w:rPr>
        <w:t xml:space="preserve">an alternative factual finding could be reached by another judge, </w:t>
      </w:r>
      <w:r w:rsidR="002105BD">
        <w:rPr>
          <w:rFonts w:eastAsia="Arial Unicode MS"/>
        </w:rPr>
        <w:t>or</w:t>
      </w:r>
      <w:r w:rsidR="0033310B">
        <w:rPr>
          <w:rFonts w:eastAsia="Arial Unicode MS"/>
        </w:rPr>
        <w:t xml:space="preserve"> even by this </w:t>
      </w:r>
      <w:r w:rsidR="004E09F8" w:rsidRPr="00273810">
        <w:rPr>
          <w:rFonts w:eastAsia="Arial Unicode MS"/>
        </w:rPr>
        <w:t xml:space="preserve">Court, based on a different ascription of weight does not mean that </w:t>
      </w:r>
      <w:r w:rsidR="0033310B">
        <w:rPr>
          <w:rFonts w:eastAsia="Arial Unicode MS"/>
        </w:rPr>
        <w:t xml:space="preserve">the trial judge has made </w:t>
      </w:r>
      <w:r w:rsidR="004E09F8" w:rsidRPr="00273810">
        <w:rPr>
          <w:rFonts w:eastAsia="Arial Unicode MS"/>
        </w:rPr>
        <w:t xml:space="preserve">a palpable and overriding error. </w:t>
      </w:r>
      <w:r w:rsidR="00245A8D">
        <w:rPr>
          <w:rFonts w:eastAsia="Arial Unicode MS"/>
        </w:rPr>
        <w:t>Thus</w:t>
      </w:r>
      <w:r w:rsidR="004E09F8" w:rsidRPr="00273810">
        <w:rPr>
          <w:rFonts w:eastAsia="Arial Unicode MS"/>
        </w:rPr>
        <w:t xml:space="preserve">, an appellate court </w:t>
      </w:r>
      <w:r w:rsidR="00245A8D">
        <w:rPr>
          <w:rFonts w:eastAsia="Arial Unicode MS"/>
        </w:rPr>
        <w:t xml:space="preserve">commits an error if it </w:t>
      </w:r>
      <w:r w:rsidR="004E09F8" w:rsidRPr="00273810">
        <w:rPr>
          <w:rFonts w:eastAsia="Arial Unicode MS"/>
        </w:rPr>
        <w:t>change</w:t>
      </w:r>
      <w:r w:rsidR="00245A8D">
        <w:rPr>
          <w:rFonts w:eastAsia="Arial Unicode MS"/>
        </w:rPr>
        <w:t>s</w:t>
      </w:r>
      <w:r w:rsidR="004E09F8" w:rsidRPr="00273810">
        <w:rPr>
          <w:rFonts w:eastAsia="Arial Unicode MS"/>
        </w:rPr>
        <w:t xml:space="preserve"> a factual finding </w:t>
      </w:r>
      <w:r w:rsidR="004E09F8" w:rsidRPr="00273810">
        <w:rPr>
          <w:rFonts w:eastAsia="Arial Unicode MS"/>
        </w:rPr>
        <w:lastRenderedPageBreak/>
        <w:t xml:space="preserve">of the trial judge </w:t>
      </w:r>
      <w:r w:rsidR="00245A8D">
        <w:rPr>
          <w:rFonts w:eastAsia="Arial Unicode MS"/>
        </w:rPr>
        <w:t xml:space="preserve">based </w:t>
      </w:r>
      <w:r w:rsidR="004E09F8" w:rsidRPr="00273810">
        <w:rPr>
          <w:rFonts w:eastAsia="Arial Unicode MS"/>
        </w:rPr>
        <w:t>essential</w:t>
      </w:r>
      <w:r w:rsidR="00C87081" w:rsidRPr="00273810">
        <w:rPr>
          <w:rFonts w:eastAsia="Arial Unicode MS"/>
        </w:rPr>
        <w:t>ly</w:t>
      </w:r>
      <w:r w:rsidR="004E09F8" w:rsidRPr="00273810">
        <w:rPr>
          <w:rFonts w:eastAsia="Arial Unicode MS"/>
        </w:rPr>
        <w:t xml:space="preserve"> on a difference </w:t>
      </w:r>
      <w:r w:rsidR="001A11DD">
        <w:rPr>
          <w:rFonts w:eastAsia="Arial Unicode MS"/>
        </w:rPr>
        <w:t>of</w:t>
      </w:r>
      <w:r w:rsidR="004E09F8" w:rsidRPr="00273810">
        <w:rPr>
          <w:rFonts w:eastAsia="Arial Unicode MS"/>
        </w:rPr>
        <w:t xml:space="preserve"> opinion </w:t>
      </w:r>
      <w:r w:rsidR="002D02FF">
        <w:rPr>
          <w:rFonts w:eastAsia="Arial Unicode MS"/>
        </w:rPr>
        <w:t>as to</w:t>
      </w:r>
      <w:r w:rsidR="002D02FF" w:rsidRPr="00273810">
        <w:rPr>
          <w:rFonts w:eastAsia="Arial Unicode MS"/>
        </w:rPr>
        <w:t xml:space="preserve"> </w:t>
      </w:r>
      <w:r w:rsidR="00C87081" w:rsidRPr="00273810">
        <w:rPr>
          <w:rFonts w:eastAsia="Arial Unicode MS"/>
        </w:rPr>
        <w:t xml:space="preserve">the weight </w:t>
      </w:r>
      <w:r w:rsidR="00DC3B3F">
        <w:rPr>
          <w:rFonts w:eastAsia="Arial Unicode MS"/>
        </w:rPr>
        <w:t>to</w:t>
      </w:r>
      <w:r w:rsidR="00C87081" w:rsidRPr="00273810">
        <w:rPr>
          <w:rFonts w:eastAsia="Arial Unicode MS"/>
        </w:rPr>
        <w:t xml:space="preserve"> </w:t>
      </w:r>
      <w:r w:rsidR="00245A8D">
        <w:rPr>
          <w:rFonts w:eastAsia="Arial Unicode MS"/>
        </w:rPr>
        <w:t xml:space="preserve">be ascribed to </w:t>
      </w:r>
      <w:r w:rsidR="00C87081" w:rsidRPr="00273810">
        <w:rPr>
          <w:rFonts w:eastAsia="Arial Unicode MS"/>
        </w:rPr>
        <w:t xml:space="preserve">the evidence. </w:t>
      </w:r>
    </w:p>
    <w:p w14:paraId="126127C0" w14:textId="35777D98" w:rsidR="000F22AE" w:rsidRPr="00273810" w:rsidRDefault="00C87081" w:rsidP="00C87081">
      <w:pPr>
        <w:pStyle w:val="Paragraphe"/>
        <w:spacing w:before="0" w:line="240" w:lineRule="auto"/>
      </w:pPr>
      <w:r w:rsidRPr="00273810">
        <w:t xml:space="preserve">In this case, the judge </w:t>
      </w:r>
      <w:r w:rsidR="00245A8D">
        <w:t xml:space="preserve">rejected </w:t>
      </w:r>
      <w:r w:rsidRPr="00273810">
        <w:t xml:space="preserve">the appellant’s </w:t>
      </w:r>
      <w:r w:rsidR="00245A8D">
        <w:t xml:space="preserve">arguments </w:t>
      </w:r>
      <w:r w:rsidRPr="00273810">
        <w:t xml:space="preserve">and determined that </w:t>
      </w:r>
      <w:r w:rsidR="002428B4">
        <w:t xml:space="preserve">the </w:t>
      </w:r>
      <w:r w:rsidR="00245A8D">
        <w:t xml:space="preserve">prescription period for the respondents’ action </w:t>
      </w:r>
      <w:r w:rsidR="00916663">
        <w:t xml:space="preserve">began </w:t>
      </w:r>
      <w:r w:rsidR="00245A8D">
        <w:t xml:space="preserve">to run on </w:t>
      </w:r>
      <w:r w:rsidRPr="00273810">
        <w:t>April 25, 2018</w:t>
      </w:r>
      <w:r w:rsidR="00554943" w:rsidRPr="00273810">
        <w:rPr>
          <w:rFonts w:eastAsia="Arial Unicode MS"/>
        </w:rPr>
        <w:t>:</w:t>
      </w:r>
    </w:p>
    <w:p w14:paraId="6AB212FF" w14:textId="3CCFA45D" w:rsidR="00C87081" w:rsidRPr="00273810" w:rsidRDefault="00C87081" w:rsidP="00C87081">
      <w:pPr>
        <w:pStyle w:val="Citationenretrait"/>
        <w:spacing w:before="0" w:line="240" w:lineRule="auto"/>
      </w:pPr>
      <w:r w:rsidRPr="00273810">
        <w:rPr>
          <w:smallCaps/>
          <w:lang w:eastAsia="fr-CA"/>
        </w:rPr>
        <w:t>[translation]</w:t>
      </w:r>
      <w:r w:rsidRPr="00273810">
        <w:t xml:space="preserve"> </w:t>
      </w:r>
    </w:p>
    <w:p w14:paraId="343EA700" w14:textId="5663D27B" w:rsidR="00554943" w:rsidRPr="00273810" w:rsidRDefault="00F34BA3" w:rsidP="003C0F1B">
      <w:pPr>
        <w:pStyle w:val="Citationenretrait"/>
        <w:spacing w:line="240" w:lineRule="auto"/>
      </w:pPr>
      <w:r w:rsidRPr="00273810">
        <w:t xml:space="preserve">[53] </w:t>
      </w:r>
      <w:r w:rsidR="007C706C" w:rsidRPr="00273810">
        <w:t xml:space="preserve">In the Court’s opinion, the </w:t>
      </w:r>
      <w:r w:rsidRPr="00273810">
        <w:t xml:space="preserve">prescription </w:t>
      </w:r>
      <w:r w:rsidR="00245A8D">
        <w:t>period for</w:t>
      </w:r>
      <w:r w:rsidR="007C706C" w:rsidRPr="00273810">
        <w:t xml:space="preserve"> the </w:t>
      </w:r>
      <w:r w:rsidR="00245A8D">
        <w:t xml:space="preserve">plaintiffs’ </w:t>
      </w:r>
      <w:r w:rsidR="007C706C" w:rsidRPr="00273810">
        <w:t xml:space="preserve">action does not </w:t>
      </w:r>
      <w:r w:rsidR="00245A8D">
        <w:t>begin</w:t>
      </w:r>
      <w:r w:rsidR="00245A8D" w:rsidRPr="00273810">
        <w:t xml:space="preserve"> </w:t>
      </w:r>
      <w:r w:rsidR="007C706C" w:rsidRPr="00273810">
        <w:t xml:space="preserve">in May </w:t>
      </w:r>
      <w:r w:rsidRPr="00273810">
        <w:t xml:space="preserve">2012, </w:t>
      </w:r>
      <w:r w:rsidR="007C706C" w:rsidRPr="00273810">
        <w:t>when Mr. Girard’s status changed from salaried worker to self-employed worker</w:t>
      </w:r>
      <w:r w:rsidRPr="00273810">
        <w:t xml:space="preserve">, </w:t>
      </w:r>
      <w:r w:rsidR="007C706C" w:rsidRPr="00273810">
        <w:rPr>
          <w:u w:val="single"/>
        </w:rPr>
        <w:t>but rather as of April 25, 2018</w:t>
      </w:r>
      <w:r w:rsidRPr="00273810">
        <w:rPr>
          <w:u w:val="single"/>
        </w:rPr>
        <w:t xml:space="preserve">, </w:t>
      </w:r>
      <w:r w:rsidR="007C706C" w:rsidRPr="00273810">
        <w:rPr>
          <w:u w:val="single"/>
        </w:rPr>
        <w:t xml:space="preserve">when it was announced that the contest would be transferred to </w:t>
      </w:r>
      <w:r w:rsidR="00245A8D">
        <w:rPr>
          <w:u w:val="single"/>
        </w:rPr>
        <w:t xml:space="preserve">the </w:t>
      </w:r>
      <w:r w:rsidRPr="00273810">
        <w:rPr>
          <w:u w:val="single"/>
        </w:rPr>
        <w:t xml:space="preserve">Le Bûcher </w:t>
      </w:r>
      <w:r w:rsidR="00173141" w:rsidRPr="00273810">
        <w:rPr>
          <w:u w:val="single"/>
        </w:rPr>
        <w:t xml:space="preserve">bar for </w:t>
      </w:r>
      <w:r w:rsidRPr="00273810">
        <w:rPr>
          <w:u w:val="single"/>
        </w:rPr>
        <w:t xml:space="preserve">2019. </w:t>
      </w:r>
      <w:r w:rsidR="000815A3" w:rsidRPr="00273810">
        <w:rPr>
          <w:u w:val="single"/>
        </w:rPr>
        <w:t>Th</w:t>
      </w:r>
      <w:r w:rsidR="00245A8D">
        <w:rPr>
          <w:u w:val="single"/>
        </w:rPr>
        <w:t>at</w:t>
      </w:r>
      <w:r w:rsidR="000815A3" w:rsidRPr="00273810">
        <w:rPr>
          <w:u w:val="single"/>
        </w:rPr>
        <w:t xml:space="preserve"> is the starting point </w:t>
      </w:r>
      <w:r w:rsidR="00245A8D">
        <w:rPr>
          <w:u w:val="single"/>
        </w:rPr>
        <w:t>for</w:t>
      </w:r>
      <w:r w:rsidR="000815A3" w:rsidRPr="00273810">
        <w:rPr>
          <w:u w:val="single"/>
        </w:rPr>
        <w:t xml:space="preserve"> </w:t>
      </w:r>
      <w:r w:rsidRPr="00273810">
        <w:rPr>
          <w:u w:val="single"/>
        </w:rPr>
        <w:t>prescription</w:t>
      </w:r>
      <w:r w:rsidRPr="00273810">
        <w:t>.</w:t>
      </w:r>
    </w:p>
    <w:p w14:paraId="629971F5" w14:textId="641DD2BB" w:rsidR="00554943" w:rsidRPr="00273810" w:rsidRDefault="00F34BA3" w:rsidP="003C0F1B">
      <w:pPr>
        <w:pStyle w:val="Citationenretrait"/>
        <w:spacing w:line="240" w:lineRule="auto"/>
        <w:jc w:val="right"/>
      </w:pPr>
      <w:r w:rsidRPr="00273810">
        <w:t>[</w:t>
      </w:r>
      <w:r w:rsidR="00C87081" w:rsidRPr="00273810">
        <w:t>Emphasis added</w:t>
      </w:r>
      <w:r w:rsidRPr="00273810">
        <w:t>]</w:t>
      </w:r>
    </w:p>
    <w:p w14:paraId="33B59E5E" w14:textId="0E93CB45" w:rsidR="009210AD" w:rsidRPr="00273810" w:rsidRDefault="00962B81" w:rsidP="003C0F1B">
      <w:pPr>
        <w:pStyle w:val="Paragraphe"/>
        <w:spacing w:line="240" w:lineRule="auto"/>
      </w:pPr>
      <w:r w:rsidRPr="00273810">
        <w:t xml:space="preserve">This </w:t>
      </w:r>
      <w:proofErr w:type="gramStart"/>
      <w:r w:rsidRPr="00273810">
        <w:t xml:space="preserve">ultimate </w:t>
      </w:r>
      <w:r w:rsidR="00F34BA3" w:rsidRPr="00273810">
        <w:t>conclusion</w:t>
      </w:r>
      <w:proofErr w:type="gramEnd"/>
      <w:r w:rsidR="00AB4ABF" w:rsidRPr="00273810">
        <w:t xml:space="preserve">, </w:t>
      </w:r>
      <w:r w:rsidRPr="00273810">
        <w:t xml:space="preserve">which is based on the </w:t>
      </w:r>
      <w:r w:rsidR="00245A8D">
        <w:t xml:space="preserve">judge’s earlier </w:t>
      </w:r>
      <w:r w:rsidRPr="00273810">
        <w:t xml:space="preserve">analysis in paragraphs </w:t>
      </w:r>
      <w:r w:rsidR="00AE3FF2" w:rsidRPr="00273810">
        <w:t xml:space="preserve">43 </w:t>
      </w:r>
      <w:r w:rsidRPr="00273810">
        <w:t xml:space="preserve">and </w:t>
      </w:r>
      <w:r w:rsidR="009026BA" w:rsidRPr="00273810">
        <w:t xml:space="preserve">45 </w:t>
      </w:r>
      <w:r w:rsidRPr="00273810">
        <w:t xml:space="preserve">to </w:t>
      </w:r>
      <w:r w:rsidR="009026BA" w:rsidRPr="00273810">
        <w:t>51</w:t>
      </w:r>
      <w:r w:rsidR="00AE3FF2" w:rsidRPr="00273810">
        <w:t xml:space="preserve"> </w:t>
      </w:r>
      <w:r w:rsidRPr="00273810">
        <w:t xml:space="preserve">of her reasons, </w:t>
      </w:r>
      <w:r w:rsidR="00245A8D">
        <w:t xml:space="preserve">is </w:t>
      </w:r>
      <w:r w:rsidRPr="00273810">
        <w:t>support</w:t>
      </w:r>
      <w:r w:rsidR="00245A8D">
        <w:t>ed by the evidence</w:t>
      </w:r>
      <w:r w:rsidRPr="00273810">
        <w:t xml:space="preserve"> and is </w:t>
      </w:r>
      <w:r w:rsidR="00245A8D">
        <w:t>immune from review</w:t>
      </w:r>
      <w:r w:rsidRPr="00273810">
        <w:t>.</w:t>
      </w:r>
      <w:r w:rsidR="00F34BA3" w:rsidRPr="00273810">
        <w:t xml:space="preserve"> </w:t>
      </w:r>
    </w:p>
    <w:p w14:paraId="5989583C" w14:textId="7F34E09B" w:rsidR="00C3519B" w:rsidRPr="00273810" w:rsidRDefault="001C48E7" w:rsidP="000F5539">
      <w:pPr>
        <w:pStyle w:val="Paragraphe"/>
        <w:spacing w:line="240" w:lineRule="auto"/>
      </w:pPr>
      <w:r w:rsidRPr="00273810">
        <w:t>At</w:t>
      </w:r>
      <w:r w:rsidR="00992391" w:rsidRPr="00273810">
        <w:t xml:space="preserve"> the hearing, </w:t>
      </w:r>
      <w:r w:rsidR="00962B81" w:rsidRPr="00273810">
        <w:t>the appellant</w:t>
      </w:r>
      <w:r w:rsidR="00243CA7" w:rsidRPr="00273810">
        <w:t xml:space="preserve"> r</w:t>
      </w:r>
      <w:r w:rsidR="00962B81" w:rsidRPr="00273810">
        <w:t xml:space="preserve">eiterated </w:t>
      </w:r>
      <w:r w:rsidR="00245A8D">
        <w:t>his</w:t>
      </w:r>
      <w:r w:rsidR="00245A8D" w:rsidRPr="00273810">
        <w:t xml:space="preserve"> </w:t>
      </w:r>
      <w:r w:rsidR="00243CA7" w:rsidRPr="00273810">
        <w:t xml:space="preserve">position </w:t>
      </w:r>
      <w:r w:rsidR="00962B81" w:rsidRPr="00273810">
        <w:t xml:space="preserve">at trial and </w:t>
      </w:r>
      <w:r w:rsidR="004B6CD8">
        <w:t xml:space="preserve">essentially </w:t>
      </w:r>
      <w:r w:rsidR="00962B81" w:rsidRPr="00273810">
        <w:t>ask</w:t>
      </w:r>
      <w:r w:rsidR="00245A8D">
        <w:t>s</w:t>
      </w:r>
      <w:r w:rsidR="00962B81" w:rsidRPr="00273810">
        <w:t xml:space="preserve"> the Court to </w:t>
      </w:r>
      <w:r w:rsidR="00243CA7" w:rsidRPr="00273810">
        <w:t>r</w:t>
      </w:r>
      <w:r w:rsidR="00962B81" w:rsidRPr="00273810">
        <w:t>e</w:t>
      </w:r>
      <w:r w:rsidR="00245A8D">
        <w:t>assess</w:t>
      </w:r>
      <w:r w:rsidR="00962B81" w:rsidRPr="00273810">
        <w:t xml:space="preserve"> the evidence to find that the </w:t>
      </w:r>
      <w:r w:rsidR="00B335C1" w:rsidRPr="00273810">
        <w:t>prescripti</w:t>
      </w:r>
      <w:r w:rsidR="00916663">
        <w:t>on</w:t>
      </w:r>
      <w:r w:rsidR="00D272B7" w:rsidRPr="00273810">
        <w:t xml:space="preserve"> period </w:t>
      </w:r>
      <w:r w:rsidR="00916663">
        <w:t xml:space="preserve">began to run </w:t>
      </w:r>
      <w:proofErr w:type="gramStart"/>
      <w:r w:rsidR="00916663">
        <w:t>at the moment</w:t>
      </w:r>
      <w:proofErr w:type="gramEnd"/>
      <w:r w:rsidR="00916663">
        <w:t xml:space="preserve"> </w:t>
      </w:r>
      <w:r w:rsidR="00D272B7" w:rsidRPr="00273810">
        <w:t xml:space="preserve">the legal nature of the relationship between the parties changed from a contract </w:t>
      </w:r>
      <w:r w:rsidR="00245A8D">
        <w:t xml:space="preserve">of employment </w:t>
      </w:r>
      <w:r w:rsidR="00D272B7" w:rsidRPr="00273810">
        <w:t xml:space="preserve">to a contract for </w:t>
      </w:r>
      <w:r w:rsidR="00243CA7" w:rsidRPr="00273810">
        <w:t xml:space="preserve">services. </w:t>
      </w:r>
      <w:r w:rsidR="000F5539" w:rsidRPr="00273810">
        <w:t>However, n</w:t>
      </w:r>
      <w:r w:rsidR="00B335C1" w:rsidRPr="00273810">
        <w:t>ot only is it not the Court’s role to re</w:t>
      </w:r>
      <w:r w:rsidR="00245A8D">
        <w:t>assess</w:t>
      </w:r>
      <w:r w:rsidR="00B335C1" w:rsidRPr="00273810">
        <w:t xml:space="preserve"> the evidence </w:t>
      </w:r>
      <w:r w:rsidR="00CD760D" w:rsidRPr="00273810">
        <w:t>(</w:t>
      </w:r>
      <w:r w:rsidR="00B335C1" w:rsidRPr="00273810">
        <w:t xml:space="preserve">notwithstanding the fact that this </w:t>
      </w:r>
      <w:r w:rsidR="00AB4ABF" w:rsidRPr="00273810">
        <w:t xml:space="preserve">argument, </w:t>
      </w:r>
      <w:r w:rsidR="00B335C1" w:rsidRPr="00273810">
        <w:t xml:space="preserve">unduly presented </w:t>
      </w:r>
      <w:r w:rsidR="00563F30">
        <w:t>as</w:t>
      </w:r>
      <w:r w:rsidR="00B335C1" w:rsidRPr="00273810">
        <w:t xml:space="preserve"> a question of law, completely </w:t>
      </w:r>
      <w:r w:rsidR="00245A8D">
        <w:t xml:space="preserve">disregards </w:t>
      </w:r>
      <w:r w:rsidR="00B335C1" w:rsidRPr="00273810">
        <w:t xml:space="preserve">the importance of the </w:t>
      </w:r>
      <w:r w:rsidR="00245A8D">
        <w:t xml:space="preserve">judge’s </w:t>
      </w:r>
      <w:r w:rsidR="00B335C1" w:rsidRPr="00273810">
        <w:t>overall analysis of the facts</w:t>
      </w:r>
      <w:r w:rsidR="00685091" w:rsidRPr="00273810">
        <w:t xml:space="preserve">), </w:t>
      </w:r>
      <w:r w:rsidR="00527A9E" w:rsidRPr="00273810">
        <w:t xml:space="preserve">but this ground based on the change in the legal nature of the relationship between the parties does not appear in the </w:t>
      </w:r>
      <w:r w:rsidR="00962B81" w:rsidRPr="00273810">
        <w:t>appellant</w:t>
      </w:r>
      <w:r w:rsidR="00527A9E" w:rsidRPr="00273810">
        <w:t xml:space="preserve">’s brief </w:t>
      </w:r>
      <w:r w:rsidR="00245A8D">
        <w:t xml:space="preserve">and </w:t>
      </w:r>
      <w:r w:rsidR="00527A9E" w:rsidRPr="00273810">
        <w:t xml:space="preserve">is </w:t>
      </w:r>
      <w:r w:rsidR="00245A8D">
        <w:t>not</w:t>
      </w:r>
      <w:r w:rsidR="00527A9E" w:rsidRPr="00273810">
        <w:t xml:space="preserve"> relevant </w:t>
      </w:r>
      <w:r w:rsidR="00245A8D">
        <w:t xml:space="preserve">to </w:t>
      </w:r>
      <w:r w:rsidR="00527A9E" w:rsidRPr="00273810">
        <w:t>determin</w:t>
      </w:r>
      <w:r w:rsidR="00916663">
        <w:t>ing</w:t>
      </w:r>
      <w:r w:rsidR="00527A9E" w:rsidRPr="00273810">
        <w:t xml:space="preserve"> </w:t>
      </w:r>
      <w:r w:rsidR="002428B4">
        <w:t xml:space="preserve">when </w:t>
      </w:r>
      <w:r w:rsidR="00527A9E" w:rsidRPr="00273810">
        <w:t xml:space="preserve">prescription </w:t>
      </w:r>
      <w:r w:rsidR="00916663">
        <w:t xml:space="preserve">began </w:t>
      </w:r>
      <w:r w:rsidR="00527A9E" w:rsidRPr="00273810">
        <w:t>to run</w:t>
      </w:r>
      <w:r w:rsidR="00685091" w:rsidRPr="00273810">
        <w:t>.</w:t>
      </w:r>
    </w:p>
    <w:p w14:paraId="050AD8B5" w14:textId="2A999890" w:rsidR="00243CA7" w:rsidRPr="00273810" w:rsidRDefault="00245A8D" w:rsidP="003C0F1B">
      <w:pPr>
        <w:pStyle w:val="Paragraphe"/>
        <w:spacing w:line="240" w:lineRule="auto"/>
      </w:pPr>
      <w:r>
        <w:t>T</w:t>
      </w:r>
      <w:r w:rsidR="00962B81" w:rsidRPr="00273810">
        <w:t>he appellant</w:t>
      </w:r>
      <w:r w:rsidR="009210AD" w:rsidRPr="00273810">
        <w:t xml:space="preserve"> </w:t>
      </w:r>
      <w:r>
        <w:t xml:space="preserve">further argues </w:t>
      </w:r>
      <w:r w:rsidR="00527A9E" w:rsidRPr="00273810">
        <w:t xml:space="preserve">that the judge erred in concluding </w:t>
      </w:r>
      <w:r>
        <w:t xml:space="preserve">that he </w:t>
      </w:r>
      <w:r w:rsidR="00527A9E" w:rsidRPr="00273810">
        <w:t>tacit</w:t>
      </w:r>
      <w:r>
        <w:t>ly</w:t>
      </w:r>
      <w:r w:rsidR="00527A9E" w:rsidRPr="00273810">
        <w:t xml:space="preserve"> </w:t>
      </w:r>
      <w:r>
        <w:t xml:space="preserve">renounced </w:t>
      </w:r>
      <w:r w:rsidR="009210AD" w:rsidRPr="00273810">
        <w:t xml:space="preserve">prescription. </w:t>
      </w:r>
      <w:r w:rsidR="00493CC4" w:rsidRPr="00273810">
        <w:t xml:space="preserve">However, this error, if indeed </w:t>
      </w:r>
      <w:r w:rsidR="001C48E7" w:rsidRPr="00273810">
        <w:t>it</w:t>
      </w:r>
      <w:r w:rsidR="00493CC4" w:rsidRPr="00273810">
        <w:t xml:space="preserve"> is one, which need not </w:t>
      </w:r>
      <w:r>
        <w:t xml:space="preserve">be </w:t>
      </w:r>
      <w:r w:rsidR="00493CC4" w:rsidRPr="00273810">
        <w:t>decide</w:t>
      </w:r>
      <w:r>
        <w:t>d</w:t>
      </w:r>
      <w:r w:rsidR="00493CC4" w:rsidRPr="00273810">
        <w:t xml:space="preserve"> here, would not be determinative insofar as the </w:t>
      </w:r>
      <w:r w:rsidR="00962B81" w:rsidRPr="00273810">
        <w:t>appellant</w:t>
      </w:r>
      <w:r>
        <w:t xml:space="preserve"> has</w:t>
      </w:r>
      <w:r w:rsidR="003E0C5C" w:rsidRPr="00273810">
        <w:t xml:space="preserve"> </w:t>
      </w:r>
      <w:r w:rsidR="00353F9F">
        <w:t>failed</w:t>
      </w:r>
      <w:r w:rsidR="00493CC4" w:rsidRPr="00273810">
        <w:t xml:space="preserve"> to show that </w:t>
      </w:r>
      <w:r w:rsidR="0085298D">
        <w:t>it</w:t>
      </w:r>
      <w:r w:rsidR="005D2095" w:rsidRPr="00273810">
        <w:t xml:space="preserve"> alone </w:t>
      </w:r>
      <w:r w:rsidR="00493CC4" w:rsidRPr="00273810">
        <w:t xml:space="preserve">would </w:t>
      </w:r>
      <w:r w:rsidR="005D2095" w:rsidRPr="00273810">
        <w:t>cause</w:t>
      </w:r>
      <w:r w:rsidR="00493CC4" w:rsidRPr="00273810">
        <w:t xml:space="preserve"> the </w:t>
      </w:r>
      <w:r w:rsidR="00B47150">
        <w:rPr>
          <w:rFonts w:cs="Arial"/>
        </w:rPr>
        <w:t>[</w:t>
      </w:r>
      <w:r w:rsidR="00B47150">
        <w:rPr>
          <w:rFonts w:cs="Arial"/>
          <w:smallCaps/>
        </w:rPr>
        <w:t>translation</w:t>
      </w:r>
      <w:r w:rsidR="00B47150">
        <w:rPr>
          <w:rFonts w:cs="Arial"/>
        </w:rPr>
        <w:t>]</w:t>
      </w:r>
      <w:r w:rsidR="00B47150">
        <w:t xml:space="preserve"> </w:t>
      </w:r>
      <w:r w:rsidR="00493CC4" w:rsidRPr="00273810">
        <w:t xml:space="preserve">“entire tree” </w:t>
      </w:r>
      <w:r w:rsidR="000F5539" w:rsidRPr="00273810">
        <w:t xml:space="preserve">to </w:t>
      </w:r>
      <w:r w:rsidR="00493CC4" w:rsidRPr="00273810">
        <w:t xml:space="preserve">fall. </w:t>
      </w:r>
      <w:r w:rsidR="005D2095" w:rsidRPr="00273810">
        <w:t>In fact, the judge ultimately found that the prescripti</w:t>
      </w:r>
      <w:r w:rsidR="004B6CD8">
        <w:t>on</w:t>
      </w:r>
      <w:r w:rsidR="005D2095" w:rsidRPr="00273810">
        <w:t xml:space="preserve"> period for the respondents’ application </w:t>
      </w:r>
      <w:r>
        <w:t xml:space="preserve">began </w:t>
      </w:r>
      <w:r w:rsidR="005D2095" w:rsidRPr="00273810">
        <w:t xml:space="preserve">on April 25, </w:t>
      </w:r>
      <w:r w:rsidR="009026BA" w:rsidRPr="00273810">
        <w:t>2018</w:t>
      </w:r>
      <w:r w:rsidR="005D2095" w:rsidRPr="00273810">
        <w:t>,</w:t>
      </w:r>
      <w:r w:rsidR="00F34BA3" w:rsidRPr="00273810">
        <w:rPr>
          <w:vertAlign w:val="superscript"/>
        </w:rPr>
        <w:footnoteReference w:id="11"/>
      </w:r>
      <w:r w:rsidR="00AA31CC" w:rsidRPr="00273810">
        <w:t xml:space="preserve"> </w:t>
      </w:r>
      <w:r w:rsidR="005D2095" w:rsidRPr="00273810">
        <w:t xml:space="preserve">and this date is </w:t>
      </w:r>
      <w:r w:rsidR="004B6CD8">
        <w:rPr>
          <w:u w:val="single"/>
        </w:rPr>
        <w:t>after</w:t>
      </w:r>
      <w:r w:rsidR="005D2095" w:rsidRPr="00273810">
        <w:t xml:space="preserve"> the </w:t>
      </w:r>
      <w:r w:rsidR="005D2095" w:rsidRPr="00353F9F">
        <w:t>renunciation</w:t>
      </w:r>
      <w:r>
        <w:t>s</w:t>
      </w:r>
      <w:r w:rsidR="005D2095" w:rsidRPr="00273810">
        <w:t xml:space="preserve"> of </w:t>
      </w:r>
      <w:r w:rsidR="001C48E7" w:rsidRPr="00273810">
        <w:t>prescripti</w:t>
      </w:r>
      <w:r w:rsidR="00916663">
        <w:t>on</w:t>
      </w:r>
      <w:r w:rsidR="00D1517C" w:rsidRPr="00273810">
        <w:t xml:space="preserve"> </w:t>
      </w:r>
      <w:r w:rsidR="000F5539" w:rsidRPr="00273810">
        <w:t>she</w:t>
      </w:r>
      <w:r w:rsidR="00D1517C" w:rsidRPr="00273810">
        <w:t xml:space="preserve"> identified. Facts indicating a potential </w:t>
      </w:r>
      <w:r w:rsidR="00353F9F" w:rsidRPr="00353F9F">
        <w:t>renunciation</w:t>
      </w:r>
      <w:r w:rsidR="00D1517C" w:rsidRPr="00273810">
        <w:t xml:space="preserve"> of </w:t>
      </w:r>
      <w:r w:rsidR="00D52B8E" w:rsidRPr="00273810">
        <w:t>prescription o</w:t>
      </w:r>
      <w:r w:rsidR="00D1517C" w:rsidRPr="00273810">
        <w:t xml:space="preserve">r of the benefit of the time </w:t>
      </w:r>
      <w:r w:rsidR="001D3952">
        <w:t xml:space="preserve">elapsed </w:t>
      </w:r>
      <w:r w:rsidR="00D1517C" w:rsidRPr="00273810">
        <w:t>cannot be validly established if the applicable prescripti</w:t>
      </w:r>
      <w:r w:rsidR="004B6CD8">
        <w:t>on</w:t>
      </w:r>
      <w:r w:rsidR="00D1517C" w:rsidRPr="00273810">
        <w:t xml:space="preserve"> period has not yet begun. </w:t>
      </w:r>
    </w:p>
    <w:p w14:paraId="7F81F79F" w14:textId="5A2B4F21" w:rsidR="0008469E" w:rsidRPr="00273810" w:rsidRDefault="008E79D7" w:rsidP="003C0F1B">
      <w:pPr>
        <w:pStyle w:val="Paragraphe"/>
        <w:numPr>
          <w:ilvl w:val="0"/>
          <w:numId w:val="0"/>
        </w:numPr>
        <w:spacing w:line="240" w:lineRule="auto"/>
        <w:rPr>
          <w:rFonts w:eastAsia="Arial Unicode MS"/>
          <w:b/>
        </w:rPr>
      </w:pPr>
      <w:r>
        <w:rPr>
          <w:b/>
        </w:rPr>
        <w:t>Second i</w:t>
      </w:r>
      <w:r w:rsidR="005D58ED" w:rsidRPr="00273810">
        <w:rPr>
          <w:b/>
        </w:rPr>
        <w:t>ssue</w:t>
      </w:r>
      <w:r w:rsidR="00F34BA3" w:rsidRPr="00273810">
        <w:rPr>
          <w:b/>
        </w:rPr>
        <w:t>:</w:t>
      </w:r>
      <w:r w:rsidR="00F34BA3" w:rsidRPr="00273810">
        <w:t xml:space="preserve"> </w:t>
      </w:r>
      <w:r w:rsidR="00C87081" w:rsidRPr="00273810">
        <w:rPr>
          <w:rFonts w:eastAsia="Arial Unicode MS"/>
          <w:b/>
        </w:rPr>
        <w:t xml:space="preserve">Did the judge </w:t>
      </w:r>
      <w:r w:rsidR="004B6CD8">
        <w:rPr>
          <w:rFonts w:eastAsia="Arial Unicode MS"/>
          <w:b/>
        </w:rPr>
        <w:t>commit</w:t>
      </w:r>
      <w:r w:rsidR="004B6CD8" w:rsidRPr="00273810">
        <w:rPr>
          <w:rFonts w:eastAsia="Arial Unicode MS"/>
          <w:b/>
        </w:rPr>
        <w:t xml:space="preserve"> </w:t>
      </w:r>
      <w:r w:rsidR="00C87081" w:rsidRPr="00273810">
        <w:rPr>
          <w:rFonts w:eastAsia="Arial Unicode MS"/>
          <w:b/>
        </w:rPr>
        <w:t xml:space="preserve">a reviewable error by </w:t>
      </w:r>
      <w:r w:rsidR="004567C6">
        <w:rPr>
          <w:rFonts w:eastAsia="Arial Unicode MS"/>
          <w:b/>
        </w:rPr>
        <w:t>character</w:t>
      </w:r>
      <w:r w:rsidR="004567C6" w:rsidRPr="00273810">
        <w:rPr>
          <w:rFonts w:eastAsia="Arial Unicode MS"/>
          <w:b/>
        </w:rPr>
        <w:t>i</w:t>
      </w:r>
      <w:r w:rsidR="004B6CD8">
        <w:rPr>
          <w:rFonts w:eastAsia="Arial Unicode MS"/>
          <w:b/>
        </w:rPr>
        <w:t>zi</w:t>
      </w:r>
      <w:r w:rsidR="004567C6" w:rsidRPr="00273810">
        <w:rPr>
          <w:rFonts w:eastAsia="Arial Unicode MS"/>
          <w:b/>
        </w:rPr>
        <w:t xml:space="preserve">ng </w:t>
      </w:r>
      <w:r w:rsidR="00C87081" w:rsidRPr="00273810">
        <w:rPr>
          <w:rFonts w:eastAsia="Arial Unicode MS"/>
          <w:b/>
        </w:rPr>
        <w:t xml:space="preserve">the names “Lévis Ville du Rock” and “Ville du Rock” as trademarks within the meaning of the </w:t>
      </w:r>
      <w:r w:rsidR="00C87081" w:rsidRPr="00273810">
        <w:rPr>
          <w:rFonts w:eastAsia="Arial Unicode MS"/>
          <w:b/>
          <w:i/>
        </w:rPr>
        <w:t xml:space="preserve">Trademarks Act </w:t>
      </w:r>
      <w:r w:rsidR="00C87081" w:rsidRPr="00273810">
        <w:rPr>
          <w:rFonts w:eastAsia="Arial Unicode MS"/>
          <w:b/>
        </w:rPr>
        <w:t>(“</w:t>
      </w:r>
      <w:r w:rsidR="00C87081" w:rsidRPr="00B47150">
        <w:rPr>
          <w:rFonts w:eastAsia="Arial Unicode MS"/>
          <w:b/>
          <w:i/>
        </w:rPr>
        <w:t>TA</w:t>
      </w:r>
      <w:r w:rsidR="00C87081" w:rsidRPr="00273810">
        <w:rPr>
          <w:rFonts w:eastAsia="Arial Unicode MS"/>
          <w:b/>
          <w:i/>
        </w:rPr>
        <w:t>”</w:t>
      </w:r>
      <w:r w:rsidR="00C87081" w:rsidRPr="00273810">
        <w:rPr>
          <w:rFonts w:eastAsia="Arial Unicode MS"/>
          <w:b/>
        </w:rPr>
        <w:t>) or by conclu</w:t>
      </w:r>
      <w:r w:rsidR="004567C6">
        <w:rPr>
          <w:rFonts w:eastAsia="Arial Unicode MS"/>
          <w:b/>
        </w:rPr>
        <w:t>ding</w:t>
      </w:r>
      <w:r w:rsidR="00C87081" w:rsidRPr="00273810">
        <w:rPr>
          <w:rFonts w:eastAsia="Arial Unicode MS"/>
          <w:b/>
        </w:rPr>
        <w:t xml:space="preserve"> that they </w:t>
      </w:r>
      <w:r w:rsidR="004567C6">
        <w:rPr>
          <w:rFonts w:eastAsia="Arial Unicode MS"/>
          <w:b/>
        </w:rPr>
        <w:t>are no</w:t>
      </w:r>
      <w:r w:rsidR="00B47150">
        <w:rPr>
          <w:rFonts w:eastAsia="Arial Unicode MS"/>
          <w:b/>
        </w:rPr>
        <w:t>t</w:t>
      </w:r>
      <w:r w:rsidR="004567C6">
        <w:rPr>
          <w:rFonts w:eastAsia="Arial Unicode MS"/>
          <w:b/>
        </w:rPr>
        <w:t xml:space="preserve"> owned by</w:t>
      </w:r>
      <w:r w:rsidR="00C87081" w:rsidRPr="00273810">
        <w:rPr>
          <w:rFonts w:eastAsia="Arial Unicode MS"/>
          <w:b/>
        </w:rPr>
        <w:t xml:space="preserve"> the appellant? </w:t>
      </w:r>
    </w:p>
    <w:p w14:paraId="38058A52" w14:textId="14B74DEF" w:rsidR="00187675" w:rsidRPr="00D06536" w:rsidRDefault="002D3C5E" w:rsidP="003C0F1B">
      <w:pPr>
        <w:pStyle w:val="Paragraphe"/>
        <w:spacing w:line="240" w:lineRule="auto"/>
        <w:rPr>
          <w:rFonts w:eastAsia="Arial Unicode MS"/>
        </w:rPr>
      </w:pPr>
      <w:r w:rsidRPr="00273810">
        <w:rPr>
          <w:rFonts w:eastAsia="Arial Unicode MS"/>
        </w:rPr>
        <w:t xml:space="preserve">Let us </w:t>
      </w:r>
      <w:r w:rsidR="000F5539" w:rsidRPr="00273810">
        <w:rPr>
          <w:rFonts w:eastAsia="Arial Unicode MS"/>
        </w:rPr>
        <w:t>state</w:t>
      </w:r>
      <w:r w:rsidRPr="00273810">
        <w:rPr>
          <w:rFonts w:eastAsia="Arial Unicode MS"/>
        </w:rPr>
        <w:t xml:space="preserve"> </w:t>
      </w:r>
      <w:r w:rsidR="0087482A">
        <w:rPr>
          <w:rFonts w:eastAsia="Arial Unicode MS"/>
        </w:rPr>
        <w:t>at</w:t>
      </w:r>
      <w:r w:rsidR="00DC5627" w:rsidRPr="00273810">
        <w:rPr>
          <w:rFonts w:eastAsia="Arial Unicode MS"/>
        </w:rPr>
        <w:t xml:space="preserve"> the outset that</w:t>
      </w:r>
      <w:r w:rsidR="00583831">
        <w:rPr>
          <w:rFonts w:eastAsia="Arial Unicode MS"/>
        </w:rPr>
        <w:t>,</w:t>
      </w:r>
      <w:r w:rsidR="00DC5627" w:rsidRPr="00273810">
        <w:rPr>
          <w:rFonts w:eastAsia="Arial Unicode MS"/>
        </w:rPr>
        <w:t xml:space="preserve"> should the Court </w:t>
      </w:r>
      <w:r w:rsidR="004B6CD8">
        <w:rPr>
          <w:rFonts w:eastAsia="Arial Unicode MS"/>
        </w:rPr>
        <w:t>conclude</w:t>
      </w:r>
      <w:r w:rsidR="004B6CD8" w:rsidRPr="00273810">
        <w:rPr>
          <w:rFonts w:eastAsia="Arial Unicode MS"/>
        </w:rPr>
        <w:t xml:space="preserve"> </w:t>
      </w:r>
      <w:r w:rsidR="00DC5627" w:rsidRPr="00273810">
        <w:rPr>
          <w:rFonts w:eastAsia="Arial Unicode MS"/>
        </w:rPr>
        <w:t xml:space="preserve">that the judge did not </w:t>
      </w:r>
      <w:r w:rsidR="0091043F">
        <w:rPr>
          <w:rFonts w:eastAsia="Arial Unicode MS"/>
        </w:rPr>
        <w:t>commit</w:t>
      </w:r>
      <w:r w:rsidR="0091043F" w:rsidRPr="00273810">
        <w:rPr>
          <w:rFonts w:eastAsia="Arial Unicode MS"/>
        </w:rPr>
        <w:t xml:space="preserve"> </w:t>
      </w:r>
      <w:r w:rsidR="00DC5627" w:rsidRPr="00273810">
        <w:rPr>
          <w:rFonts w:eastAsia="Arial Unicode MS"/>
        </w:rPr>
        <w:t xml:space="preserve">a reviewable error </w:t>
      </w:r>
      <w:r w:rsidR="00583831">
        <w:rPr>
          <w:rFonts w:eastAsia="Arial Unicode MS"/>
        </w:rPr>
        <w:t>on</w:t>
      </w:r>
      <w:r w:rsidR="00583831" w:rsidRPr="00273810">
        <w:rPr>
          <w:rFonts w:eastAsia="Arial Unicode MS"/>
        </w:rPr>
        <w:t xml:space="preserve"> </w:t>
      </w:r>
      <w:r w:rsidR="00DC5627" w:rsidRPr="00273810">
        <w:rPr>
          <w:rFonts w:eastAsia="Arial Unicode MS"/>
        </w:rPr>
        <w:t>this issue</w:t>
      </w:r>
      <w:r w:rsidR="0049046C" w:rsidRPr="00273810">
        <w:rPr>
          <w:rFonts w:eastAsia="Arial Unicode MS"/>
        </w:rPr>
        <w:t xml:space="preserve">, </w:t>
      </w:r>
      <w:r w:rsidR="00962B81" w:rsidRPr="00273810">
        <w:rPr>
          <w:rFonts w:eastAsia="Arial Unicode MS"/>
        </w:rPr>
        <w:t>the appellant</w:t>
      </w:r>
      <w:r w:rsidR="0049046C" w:rsidRPr="00273810">
        <w:rPr>
          <w:rFonts w:eastAsia="Arial Unicode MS"/>
        </w:rPr>
        <w:t xml:space="preserve"> </w:t>
      </w:r>
      <w:r w:rsidR="0087482A">
        <w:rPr>
          <w:rFonts w:eastAsia="Arial Unicode MS"/>
        </w:rPr>
        <w:t xml:space="preserve">does </w:t>
      </w:r>
      <w:r w:rsidR="00DC5627" w:rsidRPr="00D06536">
        <w:rPr>
          <w:rFonts w:eastAsia="Arial Unicode MS"/>
        </w:rPr>
        <w:t xml:space="preserve">not </w:t>
      </w:r>
      <w:r w:rsidR="004B6CD8">
        <w:rPr>
          <w:rFonts w:eastAsia="Arial Unicode MS"/>
        </w:rPr>
        <w:t xml:space="preserve">question </w:t>
      </w:r>
      <w:r w:rsidR="00DC5627" w:rsidRPr="00D06536">
        <w:rPr>
          <w:rFonts w:eastAsia="Arial Unicode MS"/>
        </w:rPr>
        <w:t xml:space="preserve">the judge’s </w:t>
      </w:r>
      <w:r w:rsidR="00C324C5" w:rsidRPr="00D06536">
        <w:rPr>
          <w:rFonts w:eastAsia="Arial Unicode MS"/>
        </w:rPr>
        <w:lastRenderedPageBreak/>
        <w:t xml:space="preserve">conclusion </w:t>
      </w:r>
      <w:r w:rsidR="00DC5627" w:rsidRPr="00D06536">
        <w:rPr>
          <w:rFonts w:eastAsia="Arial Unicode MS"/>
        </w:rPr>
        <w:t xml:space="preserve">that his </w:t>
      </w:r>
      <w:r w:rsidR="00D4504F" w:rsidRPr="00D06536">
        <w:rPr>
          <w:rFonts w:eastAsia="Arial Unicode MS"/>
        </w:rPr>
        <w:t xml:space="preserve">actions would then constitute misappropriation of </w:t>
      </w:r>
      <w:r w:rsidR="0087482A">
        <w:rPr>
          <w:rFonts w:eastAsia="Arial Unicode MS"/>
        </w:rPr>
        <w:t>these</w:t>
      </w:r>
      <w:r w:rsidR="0087482A" w:rsidRPr="00D06536">
        <w:rPr>
          <w:rFonts w:eastAsia="Arial Unicode MS"/>
        </w:rPr>
        <w:t xml:space="preserve"> </w:t>
      </w:r>
      <w:r w:rsidR="00D4504F" w:rsidRPr="00D06536">
        <w:rPr>
          <w:rFonts w:eastAsia="Arial Unicode MS"/>
        </w:rPr>
        <w:t>trademarks for his own benefit</w:t>
      </w:r>
      <w:r w:rsidR="00C324C5" w:rsidRPr="00D06536">
        <w:rPr>
          <w:rFonts w:eastAsia="Arial Unicode MS"/>
        </w:rPr>
        <w:t xml:space="preserve">, </w:t>
      </w:r>
      <w:r w:rsidRPr="00D06536">
        <w:rPr>
          <w:rFonts w:eastAsia="Arial Unicode MS"/>
        </w:rPr>
        <w:t xml:space="preserve">an offence of </w:t>
      </w:r>
      <w:r w:rsidR="00C324C5" w:rsidRPr="00D06536">
        <w:rPr>
          <w:rFonts w:eastAsia="Arial Unicode MS"/>
        </w:rPr>
        <w:t>passing</w:t>
      </w:r>
      <w:r w:rsidR="001B4EAE">
        <w:rPr>
          <w:rFonts w:eastAsia="Arial Unicode MS"/>
        </w:rPr>
        <w:t>-</w:t>
      </w:r>
      <w:r w:rsidR="00C324C5" w:rsidRPr="00D06536">
        <w:rPr>
          <w:rFonts w:eastAsia="Arial Unicode MS"/>
        </w:rPr>
        <w:t>off o</w:t>
      </w:r>
      <w:r w:rsidRPr="00D06536">
        <w:rPr>
          <w:rFonts w:eastAsia="Arial Unicode MS"/>
        </w:rPr>
        <w:t xml:space="preserve">r unfair competition in violation of the </w:t>
      </w:r>
      <w:r w:rsidR="009964FF" w:rsidRPr="00D06536">
        <w:rPr>
          <w:rFonts w:eastAsia="Arial Unicode MS"/>
          <w:i/>
        </w:rPr>
        <w:t>TA</w:t>
      </w:r>
      <w:r w:rsidRPr="00D06536">
        <w:rPr>
          <w:rFonts w:eastAsia="Arial Unicode MS"/>
        </w:rPr>
        <w:t xml:space="preserve"> and </w:t>
      </w:r>
      <w:r w:rsidR="0087482A">
        <w:rPr>
          <w:rFonts w:eastAsia="Arial Unicode MS"/>
        </w:rPr>
        <w:t xml:space="preserve">of </w:t>
      </w:r>
      <w:r w:rsidR="00C324C5" w:rsidRPr="00D06536">
        <w:rPr>
          <w:rFonts w:eastAsia="Arial Unicode MS"/>
        </w:rPr>
        <w:t xml:space="preserve">article 1457 </w:t>
      </w:r>
      <w:r w:rsidR="00C324C5" w:rsidRPr="00D06536">
        <w:rPr>
          <w:rFonts w:eastAsia="Arial Unicode MS"/>
          <w:iCs/>
        </w:rPr>
        <w:t>C.</w:t>
      </w:r>
      <w:r w:rsidR="00B155A8" w:rsidRPr="00D06536">
        <w:rPr>
          <w:rFonts w:eastAsia="Arial Unicode MS"/>
          <w:iCs/>
        </w:rPr>
        <w:t>C</w:t>
      </w:r>
      <w:r w:rsidR="00C324C5" w:rsidRPr="00D06536">
        <w:rPr>
          <w:rFonts w:eastAsia="Arial Unicode MS"/>
          <w:iCs/>
        </w:rPr>
        <w:t>.Q.</w:t>
      </w:r>
      <w:r w:rsidR="00B02511" w:rsidRPr="00D06536">
        <w:rPr>
          <w:rFonts w:eastAsia="Arial Unicode MS"/>
        </w:rPr>
        <w:t xml:space="preserve"> </w:t>
      </w:r>
      <w:r w:rsidRPr="00D06536">
        <w:rPr>
          <w:rFonts w:eastAsia="Arial Unicode MS"/>
        </w:rPr>
        <w:t>He raise</w:t>
      </w:r>
      <w:r w:rsidR="00583831">
        <w:rPr>
          <w:rFonts w:eastAsia="Arial Unicode MS"/>
        </w:rPr>
        <w:t>s no</w:t>
      </w:r>
      <w:r w:rsidRPr="00D06536">
        <w:rPr>
          <w:rFonts w:eastAsia="Arial Unicode MS"/>
        </w:rPr>
        <w:t xml:space="preserve"> issue </w:t>
      </w:r>
      <w:r w:rsidR="0087482A">
        <w:rPr>
          <w:rFonts w:eastAsia="Arial Unicode MS"/>
        </w:rPr>
        <w:t xml:space="preserve">in this regard </w:t>
      </w:r>
      <w:r w:rsidRPr="00D06536">
        <w:rPr>
          <w:rFonts w:eastAsia="Arial Unicode MS"/>
        </w:rPr>
        <w:t xml:space="preserve">in his brief and </w:t>
      </w:r>
      <w:r w:rsidR="0087482A">
        <w:rPr>
          <w:rFonts w:eastAsia="Arial Unicode MS"/>
        </w:rPr>
        <w:t xml:space="preserve">did </w:t>
      </w:r>
      <w:r w:rsidRPr="00D06536">
        <w:rPr>
          <w:rFonts w:eastAsia="Arial Unicode MS"/>
        </w:rPr>
        <w:t xml:space="preserve">not discuss it further at the hearing. </w:t>
      </w:r>
    </w:p>
    <w:p w14:paraId="4798337F" w14:textId="4E46480A" w:rsidR="0065391A" w:rsidRPr="00273810" w:rsidRDefault="002D3C5E" w:rsidP="003C0F1B">
      <w:pPr>
        <w:pStyle w:val="Paragraphe"/>
        <w:spacing w:line="240" w:lineRule="auto"/>
        <w:rPr>
          <w:rFonts w:eastAsia="Arial Unicode MS"/>
        </w:rPr>
      </w:pPr>
      <w:r w:rsidRPr="00D06536">
        <w:rPr>
          <w:rFonts w:eastAsia="Arial Unicode MS"/>
        </w:rPr>
        <w:t xml:space="preserve">That being </w:t>
      </w:r>
      <w:r w:rsidR="009964FF" w:rsidRPr="00D06536">
        <w:rPr>
          <w:rFonts w:eastAsia="Arial Unicode MS"/>
        </w:rPr>
        <w:t>s</w:t>
      </w:r>
      <w:r w:rsidR="001B4EAE">
        <w:rPr>
          <w:rFonts w:eastAsia="Arial Unicode MS"/>
        </w:rPr>
        <w:t>o</w:t>
      </w:r>
      <w:r w:rsidR="00F522B2" w:rsidRPr="00D06536">
        <w:rPr>
          <w:rFonts w:eastAsia="Arial Unicode MS"/>
        </w:rPr>
        <w:t>, in his defence/cross</w:t>
      </w:r>
      <w:r w:rsidR="009964FF" w:rsidRPr="00D06536">
        <w:rPr>
          <w:rFonts w:eastAsia="Arial Unicode MS"/>
        </w:rPr>
        <w:t>-</w:t>
      </w:r>
      <w:r w:rsidR="00F522B2" w:rsidRPr="00D06536">
        <w:rPr>
          <w:rFonts w:eastAsia="Arial Unicode MS"/>
        </w:rPr>
        <w:t>application and</w:t>
      </w:r>
      <w:r w:rsidR="00F522B2" w:rsidRPr="00273810">
        <w:rPr>
          <w:rFonts w:eastAsia="Arial Unicode MS"/>
        </w:rPr>
        <w:t xml:space="preserve"> at trial, </w:t>
      </w:r>
      <w:r w:rsidR="00962B81" w:rsidRPr="00273810">
        <w:rPr>
          <w:rFonts w:eastAsia="Arial Unicode MS"/>
        </w:rPr>
        <w:t>the appellant</w:t>
      </w:r>
      <w:r w:rsidR="00F34BA3" w:rsidRPr="00273810">
        <w:rPr>
          <w:rFonts w:eastAsia="Arial Unicode MS"/>
        </w:rPr>
        <w:t xml:space="preserve"> </w:t>
      </w:r>
      <w:r w:rsidR="00F522B2" w:rsidRPr="00273810">
        <w:rPr>
          <w:rFonts w:eastAsia="Arial Unicode MS"/>
        </w:rPr>
        <w:t>did not contest that “</w:t>
      </w:r>
      <w:r w:rsidR="00F34BA3" w:rsidRPr="00273810">
        <w:rPr>
          <w:rFonts w:eastAsia="Arial Unicode MS"/>
        </w:rPr>
        <w:t>Lévis Ville du Rock</w:t>
      </w:r>
      <w:r w:rsidR="00F522B2" w:rsidRPr="00273810">
        <w:rPr>
          <w:rFonts w:eastAsia="Arial Unicode MS"/>
        </w:rPr>
        <w:t>”</w:t>
      </w:r>
      <w:r w:rsidR="00F34BA3" w:rsidRPr="00273810">
        <w:rPr>
          <w:rFonts w:eastAsia="Arial Unicode MS"/>
        </w:rPr>
        <w:t xml:space="preserve"> </w:t>
      </w:r>
      <w:r w:rsidR="00F522B2" w:rsidRPr="00273810">
        <w:rPr>
          <w:rFonts w:eastAsia="Arial Unicode MS"/>
        </w:rPr>
        <w:t>and “</w:t>
      </w:r>
      <w:r w:rsidR="00F34BA3" w:rsidRPr="00273810">
        <w:rPr>
          <w:rFonts w:eastAsia="Arial Unicode MS"/>
        </w:rPr>
        <w:t>Ville du Rock</w:t>
      </w:r>
      <w:r w:rsidR="00F522B2" w:rsidRPr="00273810">
        <w:rPr>
          <w:rFonts w:eastAsia="Arial Unicode MS"/>
        </w:rPr>
        <w:t>”</w:t>
      </w:r>
      <w:r w:rsidR="00F34BA3" w:rsidRPr="00273810">
        <w:rPr>
          <w:rFonts w:eastAsia="Arial Unicode MS"/>
        </w:rPr>
        <w:t> </w:t>
      </w:r>
      <w:r w:rsidR="00F522B2" w:rsidRPr="00273810">
        <w:rPr>
          <w:rFonts w:eastAsia="Arial Unicode MS"/>
        </w:rPr>
        <w:t>were trademark</w:t>
      </w:r>
      <w:r w:rsidR="009964FF" w:rsidRPr="00273810">
        <w:rPr>
          <w:rFonts w:eastAsia="Arial Unicode MS"/>
        </w:rPr>
        <w:t>s</w:t>
      </w:r>
      <w:r w:rsidR="00F522B2" w:rsidRPr="00273810">
        <w:rPr>
          <w:rFonts w:eastAsia="Arial Unicode MS"/>
        </w:rPr>
        <w:t xml:space="preserve">. </w:t>
      </w:r>
      <w:r w:rsidR="00F34BA3" w:rsidRPr="00273810">
        <w:rPr>
          <w:rFonts w:eastAsia="Arial Unicode MS"/>
        </w:rPr>
        <w:t>I</w:t>
      </w:r>
      <w:r w:rsidR="00F522B2" w:rsidRPr="00273810">
        <w:rPr>
          <w:rFonts w:eastAsia="Arial Unicode MS"/>
        </w:rPr>
        <w:t xml:space="preserve">nstead, he claimed </w:t>
      </w:r>
      <w:r w:rsidR="001B4EAE">
        <w:rPr>
          <w:rFonts w:eastAsia="Arial Unicode MS"/>
        </w:rPr>
        <w:t xml:space="preserve">ownership of the trademarks on behalf of </w:t>
      </w:r>
      <w:r w:rsidR="0087482A">
        <w:rPr>
          <w:rFonts w:eastAsia="Arial Unicode MS"/>
        </w:rPr>
        <w:t xml:space="preserve">his company, </w:t>
      </w:r>
      <w:r w:rsidR="00F522B2" w:rsidRPr="00273810">
        <w:rPr>
          <w:rFonts w:eastAsia="Arial Unicode MS"/>
        </w:rPr>
        <w:t xml:space="preserve">the intervenor </w:t>
      </w:r>
      <w:r w:rsidR="00A71F44" w:rsidRPr="00273810">
        <w:rPr>
          <w:rFonts w:eastAsia="Arial Unicode MS"/>
        </w:rPr>
        <w:t>Productions Sébastien Girard</w:t>
      </w:r>
      <w:r w:rsidR="00F522B2" w:rsidRPr="00273810">
        <w:rPr>
          <w:rFonts w:eastAsia="Arial Unicode MS"/>
        </w:rPr>
        <w:t>.</w:t>
      </w:r>
      <w:r w:rsidR="00F34BA3" w:rsidRPr="00273810">
        <w:rPr>
          <w:rStyle w:val="Appelnotedebasdep"/>
          <w:rFonts w:eastAsia="Arial Unicode MS"/>
          <w:lang w:val="en-CA"/>
        </w:rPr>
        <w:footnoteReference w:id="12"/>
      </w:r>
      <w:r w:rsidR="00F34BA3" w:rsidRPr="00273810">
        <w:rPr>
          <w:rFonts w:eastAsia="Arial Unicode MS"/>
        </w:rPr>
        <w:t xml:space="preserve"> </w:t>
      </w:r>
      <w:r w:rsidR="00E3570F">
        <w:rPr>
          <w:rFonts w:eastAsia="Arial Unicode MS"/>
        </w:rPr>
        <w:t xml:space="preserve">Surprisingly, however, on </w:t>
      </w:r>
      <w:r w:rsidR="00F34BA3" w:rsidRPr="00273810">
        <w:rPr>
          <w:rFonts w:eastAsia="Arial Unicode MS"/>
        </w:rPr>
        <w:t>appe</w:t>
      </w:r>
      <w:r w:rsidR="00F522B2" w:rsidRPr="00273810">
        <w:rPr>
          <w:rFonts w:eastAsia="Arial Unicode MS"/>
        </w:rPr>
        <w:t>a</w:t>
      </w:r>
      <w:r w:rsidR="00F34BA3" w:rsidRPr="00273810">
        <w:rPr>
          <w:rFonts w:eastAsia="Arial Unicode MS"/>
        </w:rPr>
        <w:t xml:space="preserve">l, </w:t>
      </w:r>
      <w:r w:rsidR="00583831">
        <w:rPr>
          <w:rFonts w:eastAsia="Arial Unicode MS"/>
        </w:rPr>
        <w:t xml:space="preserve">he has </w:t>
      </w:r>
      <w:r w:rsidR="001F4238" w:rsidRPr="00273810">
        <w:rPr>
          <w:rFonts w:eastAsia="Arial Unicode MS"/>
        </w:rPr>
        <w:t>changed his approach</w:t>
      </w:r>
      <w:r w:rsidR="0087482A">
        <w:rPr>
          <w:rFonts w:eastAsia="Arial Unicode MS"/>
        </w:rPr>
        <w:t xml:space="preserve"> </w:t>
      </w:r>
      <w:r w:rsidR="00583831">
        <w:rPr>
          <w:rFonts w:eastAsia="Arial Unicode MS"/>
        </w:rPr>
        <w:t xml:space="preserve">completely </w:t>
      </w:r>
      <w:r w:rsidR="0087482A">
        <w:rPr>
          <w:rFonts w:eastAsia="Arial Unicode MS"/>
        </w:rPr>
        <w:t>and</w:t>
      </w:r>
      <w:r w:rsidR="001F4238" w:rsidRPr="00273810">
        <w:rPr>
          <w:rFonts w:eastAsia="Arial Unicode MS"/>
        </w:rPr>
        <w:t xml:space="preserve"> contest</w:t>
      </w:r>
      <w:r w:rsidR="0087482A">
        <w:rPr>
          <w:rFonts w:eastAsia="Arial Unicode MS"/>
        </w:rPr>
        <w:t>s</w:t>
      </w:r>
      <w:r w:rsidR="001F4238" w:rsidRPr="00273810">
        <w:rPr>
          <w:rFonts w:eastAsia="Arial Unicode MS"/>
        </w:rPr>
        <w:t xml:space="preserve"> the very existence of these trademarks. </w:t>
      </w:r>
    </w:p>
    <w:p w14:paraId="34FC6275" w14:textId="434EE9E8" w:rsidR="00187370" w:rsidRPr="00273810" w:rsidRDefault="00B155A8" w:rsidP="003C0F1B">
      <w:pPr>
        <w:pStyle w:val="Paragraphe"/>
        <w:spacing w:line="240" w:lineRule="auto"/>
      </w:pPr>
      <w:r w:rsidRPr="00273810">
        <w:t xml:space="preserve">The </w:t>
      </w:r>
      <w:r w:rsidR="0087482A" w:rsidRPr="001B4EAE">
        <w:rPr>
          <w:i/>
          <w:iCs/>
        </w:rPr>
        <w:t>TA</w:t>
      </w:r>
      <w:r w:rsidR="0087482A">
        <w:t xml:space="preserve"> </w:t>
      </w:r>
      <w:r w:rsidRPr="00273810">
        <w:t xml:space="preserve">scheme </w:t>
      </w:r>
      <w:r w:rsidR="00F47D20" w:rsidRPr="00273810">
        <w:t>is based on us</w:t>
      </w:r>
      <w:r w:rsidR="00C95175" w:rsidRPr="00273810">
        <w:t>e</w:t>
      </w:r>
      <w:r w:rsidR="00CB1907" w:rsidRPr="00273810">
        <w:t xml:space="preserve">. </w:t>
      </w:r>
      <w:r w:rsidR="00F47D20" w:rsidRPr="00273810">
        <w:t xml:space="preserve">Therefore, a trademark does not need to be registered to </w:t>
      </w:r>
      <w:r w:rsidR="0087482A">
        <w:t xml:space="preserve">grant its owner </w:t>
      </w:r>
      <w:r w:rsidR="00CB1907" w:rsidRPr="00273810">
        <w:t xml:space="preserve">protection </w:t>
      </w:r>
      <w:r w:rsidR="00F47D20" w:rsidRPr="00273810">
        <w:t>and rights</w:t>
      </w:r>
      <w:r w:rsidR="001B4EAE">
        <w:t>,</w:t>
      </w:r>
      <w:r w:rsidR="00F34BA3" w:rsidRPr="00273810">
        <w:rPr>
          <w:vertAlign w:val="superscript"/>
        </w:rPr>
        <w:footnoteReference w:id="13"/>
      </w:r>
      <w:r w:rsidR="009B300F" w:rsidRPr="00273810">
        <w:t xml:space="preserve"> </w:t>
      </w:r>
      <w:r w:rsidR="00310B5C" w:rsidRPr="00273810">
        <w:t xml:space="preserve">which </w:t>
      </w:r>
      <w:r w:rsidR="0087482A">
        <w:t xml:space="preserve">the appellant </w:t>
      </w:r>
      <w:r w:rsidR="00F47D20" w:rsidRPr="00273810">
        <w:t>concede</w:t>
      </w:r>
      <w:r w:rsidR="001B4EAE">
        <w:t>s</w:t>
      </w:r>
      <w:r w:rsidR="00F47D20" w:rsidRPr="00273810">
        <w:t xml:space="preserve"> </w:t>
      </w:r>
      <w:r w:rsidR="00310B5C" w:rsidRPr="00273810">
        <w:t xml:space="preserve">in his </w:t>
      </w:r>
      <w:r w:rsidR="009964FF" w:rsidRPr="00273810">
        <w:t>brief.</w:t>
      </w:r>
      <w:r w:rsidR="00F34BA3" w:rsidRPr="00273810">
        <w:rPr>
          <w:rStyle w:val="Appelnotedebasdep"/>
          <w:lang w:val="en-CA"/>
        </w:rPr>
        <w:footnoteReference w:id="14"/>
      </w:r>
      <w:r w:rsidR="00CB1907" w:rsidRPr="00273810">
        <w:t xml:space="preserve"> </w:t>
      </w:r>
    </w:p>
    <w:p w14:paraId="5159FBBE" w14:textId="4448015C" w:rsidR="00CB1907" w:rsidRPr="00273810" w:rsidRDefault="00F34BA3" w:rsidP="003C0F1B">
      <w:pPr>
        <w:pStyle w:val="Paragraphe"/>
        <w:spacing w:line="240" w:lineRule="auto"/>
      </w:pPr>
      <w:r w:rsidRPr="00273810">
        <w:t>I</w:t>
      </w:r>
      <w:r w:rsidR="00F47D20" w:rsidRPr="00273810">
        <w:t xml:space="preserve">t is sufficient that a sign or combination of signs </w:t>
      </w:r>
      <w:r w:rsidR="00916663">
        <w:t xml:space="preserve">qualify </w:t>
      </w:r>
      <w:r w:rsidR="00F47D20" w:rsidRPr="00273810">
        <w:t xml:space="preserve">as a trademark to be protected. The </w:t>
      </w:r>
      <w:r w:rsidRPr="00273810">
        <w:t>d</w:t>
      </w:r>
      <w:r w:rsidR="00F47D20" w:rsidRPr="00273810">
        <w:t>e</w:t>
      </w:r>
      <w:r w:rsidRPr="00273810">
        <w:t xml:space="preserve">finition </w:t>
      </w:r>
      <w:r w:rsidR="00F47D20" w:rsidRPr="00273810">
        <w:t>of “trade</w:t>
      </w:r>
      <w:r w:rsidR="00187370" w:rsidRPr="00273810">
        <w:t>mar</w:t>
      </w:r>
      <w:r w:rsidR="00F47D20" w:rsidRPr="00273810">
        <w:t>k”</w:t>
      </w:r>
      <w:r w:rsidR="00187370" w:rsidRPr="00273810">
        <w:t xml:space="preserve"> </w:t>
      </w:r>
      <w:r w:rsidR="00F47D20" w:rsidRPr="00273810">
        <w:t xml:space="preserve">is found in section </w:t>
      </w:r>
      <w:r w:rsidRPr="00273810">
        <w:t>2</w:t>
      </w:r>
      <w:r w:rsidR="00522019" w:rsidRPr="00273810">
        <w:t xml:space="preserve"> </w:t>
      </w:r>
      <w:r w:rsidR="00F47D20" w:rsidRPr="00273810">
        <w:t xml:space="preserve">of the </w:t>
      </w:r>
      <w:r w:rsidR="001B4EAE" w:rsidRPr="001B4EAE">
        <w:rPr>
          <w:i/>
          <w:iCs/>
        </w:rPr>
        <w:t>T</w:t>
      </w:r>
      <w:r w:rsidR="00F47D20" w:rsidRPr="001B4EAE">
        <w:rPr>
          <w:i/>
          <w:iCs/>
        </w:rPr>
        <w:t>A</w:t>
      </w:r>
      <w:r w:rsidRPr="00273810">
        <w:t xml:space="preserve">: </w:t>
      </w:r>
    </w:p>
    <w:tbl>
      <w:tblPr>
        <w:tblW w:w="9364" w:type="dxa"/>
        <w:tblCellMar>
          <w:left w:w="70" w:type="dxa"/>
          <w:right w:w="70" w:type="dxa"/>
        </w:tblCellMar>
        <w:tblLook w:val="0000" w:firstRow="0" w:lastRow="0" w:firstColumn="0" w:lastColumn="0" w:noHBand="0" w:noVBand="0"/>
      </w:tblPr>
      <w:tblGrid>
        <w:gridCol w:w="4682"/>
        <w:gridCol w:w="4682"/>
      </w:tblGrid>
      <w:tr w:rsidR="001B4EAE" w:rsidRPr="00273810" w14:paraId="63D580FC" w14:textId="7BEE40BD" w:rsidTr="001B4EAE">
        <w:tc>
          <w:tcPr>
            <w:tcW w:w="4682" w:type="dxa"/>
          </w:tcPr>
          <w:p w14:paraId="5B991B38" w14:textId="77777777" w:rsidR="001B4EAE" w:rsidRPr="001B4EAE" w:rsidRDefault="001B4EAE" w:rsidP="001B4EAE">
            <w:pPr>
              <w:spacing w:line="240" w:lineRule="auto"/>
              <w:ind w:left="634" w:right="720"/>
              <w:jc w:val="both"/>
              <w:rPr>
                <w:sz w:val="22"/>
              </w:rPr>
            </w:pPr>
            <w:r w:rsidRPr="001B4EAE">
              <w:rPr>
                <w:b/>
                <w:bCs/>
                <w:i/>
                <w:sz w:val="22"/>
              </w:rPr>
              <w:t>trademark</w:t>
            </w:r>
            <w:r w:rsidRPr="001B4EAE">
              <w:rPr>
                <w:sz w:val="22"/>
              </w:rPr>
              <w:t xml:space="preserve"> </w:t>
            </w:r>
            <w:proofErr w:type="gramStart"/>
            <w:r w:rsidRPr="001B4EAE">
              <w:rPr>
                <w:sz w:val="22"/>
              </w:rPr>
              <w:t>means</w:t>
            </w:r>
            <w:proofErr w:type="gramEnd"/>
            <w:r w:rsidRPr="001B4EAE">
              <w:rPr>
                <w:sz w:val="22"/>
              </w:rPr>
              <w:t xml:space="preserve"> </w:t>
            </w:r>
          </w:p>
          <w:p w14:paraId="1BB62B9B" w14:textId="77777777" w:rsidR="001B4EAE" w:rsidRPr="001B4EAE" w:rsidRDefault="001B4EAE" w:rsidP="001B4EAE">
            <w:pPr>
              <w:spacing w:line="240" w:lineRule="auto"/>
              <w:ind w:left="634" w:right="720"/>
              <w:jc w:val="both"/>
              <w:rPr>
                <w:sz w:val="22"/>
              </w:rPr>
            </w:pPr>
          </w:p>
          <w:p w14:paraId="36B3ACB4" w14:textId="77777777" w:rsidR="001B4EAE" w:rsidRPr="001B4EAE" w:rsidRDefault="001B4EAE" w:rsidP="001B4EAE">
            <w:pPr>
              <w:spacing w:line="240" w:lineRule="auto"/>
              <w:ind w:left="634" w:right="720"/>
              <w:jc w:val="both"/>
              <w:rPr>
                <w:sz w:val="22"/>
              </w:rPr>
            </w:pPr>
            <w:r w:rsidRPr="001B4EAE">
              <w:rPr>
                <w:b/>
                <w:sz w:val="22"/>
              </w:rPr>
              <w:t>(a)</w:t>
            </w:r>
            <w:r w:rsidRPr="001B4EAE">
              <w:rPr>
                <w:sz w:val="22"/>
              </w:rPr>
              <w:t xml:space="preserve"> a sign or combination of signs </w:t>
            </w:r>
            <w:r w:rsidRPr="001B4EAE">
              <w:rPr>
                <w:sz w:val="22"/>
                <w:u w:val="single"/>
              </w:rPr>
              <w:t>that is used</w:t>
            </w:r>
            <w:r w:rsidRPr="001B4EAE">
              <w:rPr>
                <w:sz w:val="22"/>
              </w:rPr>
              <w:t xml:space="preserve"> or proposed to be used by a person </w:t>
            </w:r>
            <w:r w:rsidRPr="001B4EAE">
              <w:rPr>
                <w:sz w:val="22"/>
                <w:u w:val="single"/>
              </w:rPr>
              <w:t xml:space="preserve">for the purpose of distinguishing or </w:t>
            </w:r>
            <w:proofErr w:type="gramStart"/>
            <w:r w:rsidRPr="001B4EAE">
              <w:rPr>
                <w:sz w:val="22"/>
                <w:u w:val="single"/>
              </w:rPr>
              <w:t>so as to</w:t>
            </w:r>
            <w:proofErr w:type="gramEnd"/>
            <w:r w:rsidRPr="001B4EAE">
              <w:rPr>
                <w:sz w:val="22"/>
                <w:u w:val="single"/>
              </w:rPr>
              <w:t xml:space="preserve"> distinguish</w:t>
            </w:r>
            <w:r w:rsidRPr="001B4EAE">
              <w:rPr>
                <w:sz w:val="22"/>
              </w:rPr>
              <w:t xml:space="preserve"> their </w:t>
            </w:r>
            <w:r w:rsidRPr="001B4EAE">
              <w:rPr>
                <w:sz w:val="22"/>
                <w:u w:val="single"/>
              </w:rPr>
              <w:t>goods or services</w:t>
            </w:r>
            <w:r w:rsidRPr="001B4EAE">
              <w:rPr>
                <w:sz w:val="22"/>
              </w:rPr>
              <w:t xml:space="preserve"> from those of others, or</w:t>
            </w:r>
          </w:p>
          <w:p w14:paraId="25F5559A" w14:textId="7F1F2FC6" w:rsidR="001B4EAE" w:rsidRPr="00321B3C" w:rsidRDefault="001B4EAE" w:rsidP="001B4EAE">
            <w:pPr>
              <w:spacing w:line="240" w:lineRule="auto"/>
              <w:ind w:left="634" w:right="720"/>
              <w:jc w:val="both"/>
              <w:rPr>
                <w:sz w:val="22"/>
              </w:rPr>
            </w:pPr>
            <w:r w:rsidRPr="001B4EAE">
              <w:rPr>
                <w:sz w:val="22"/>
              </w:rPr>
              <w:t>…</w:t>
            </w:r>
          </w:p>
          <w:p w14:paraId="205479E8" w14:textId="77777777" w:rsidR="001B4EAE" w:rsidRPr="001B4EAE" w:rsidRDefault="001B4EAE" w:rsidP="001B4EAE">
            <w:pPr>
              <w:spacing w:line="240" w:lineRule="auto"/>
              <w:ind w:left="144" w:right="720"/>
              <w:jc w:val="right"/>
              <w:rPr>
                <w:sz w:val="22"/>
              </w:rPr>
            </w:pPr>
          </w:p>
        </w:tc>
        <w:tc>
          <w:tcPr>
            <w:tcW w:w="4682" w:type="dxa"/>
          </w:tcPr>
          <w:p w14:paraId="3E0869A3" w14:textId="77777777" w:rsidR="001B4EAE" w:rsidRPr="001B4EAE" w:rsidRDefault="001B4EAE" w:rsidP="001B4EAE">
            <w:pPr>
              <w:spacing w:line="240" w:lineRule="auto"/>
              <w:ind w:left="71" w:right="142"/>
              <w:jc w:val="both"/>
              <w:rPr>
                <w:bCs/>
                <w:sz w:val="22"/>
                <w:lang w:val="fr-CA"/>
              </w:rPr>
            </w:pPr>
            <w:proofErr w:type="gramStart"/>
            <w:r w:rsidRPr="001B4EAE">
              <w:rPr>
                <w:b/>
                <w:bCs/>
                <w:i/>
                <w:sz w:val="22"/>
                <w:lang w:val="fr-CA"/>
              </w:rPr>
              <w:t>marque</w:t>
            </w:r>
            <w:proofErr w:type="gramEnd"/>
            <w:r w:rsidRPr="001B4EAE">
              <w:rPr>
                <w:b/>
                <w:bCs/>
                <w:i/>
                <w:sz w:val="22"/>
                <w:lang w:val="fr-CA"/>
              </w:rPr>
              <w:t xml:space="preserve"> de commerce </w:t>
            </w:r>
            <w:r w:rsidRPr="001B4EAE">
              <w:rPr>
                <w:bCs/>
                <w:sz w:val="22"/>
                <w:lang w:val="fr-CA"/>
              </w:rPr>
              <w:t xml:space="preserve">Selon le cas : </w:t>
            </w:r>
          </w:p>
          <w:p w14:paraId="63C96A41" w14:textId="77777777" w:rsidR="001B4EAE" w:rsidRPr="001B4EAE" w:rsidRDefault="001B4EAE" w:rsidP="001B4EAE">
            <w:pPr>
              <w:spacing w:line="240" w:lineRule="auto"/>
              <w:ind w:left="71" w:right="142"/>
              <w:jc w:val="both"/>
              <w:rPr>
                <w:bCs/>
                <w:sz w:val="22"/>
                <w:lang w:val="fr-CA"/>
              </w:rPr>
            </w:pPr>
          </w:p>
          <w:p w14:paraId="40FE29DD" w14:textId="77777777" w:rsidR="001B4EAE" w:rsidRPr="001B4EAE" w:rsidRDefault="001B4EAE" w:rsidP="001B4EAE">
            <w:pPr>
              <w:spacing w:line="240" w:lineRule="auto"/>
              <w:ind w:left="71" w:right="142"/>
              <w:jc w:val="both"/>
              <w:rPr>
                <w:sz w:val="22"/>
                <w:lang w:val="fr-CA"/>
              </w:rPr>
            </w:pPr>
            <w:r w:rsidRPr="001B4EAE">
              <w:rPr>
                <w:b/>
                <w:bCs/>
                <w:sz w:val="22"/>
                <w:lang w:val="fr-CA"/>
              </w:rPr>
              <w:t>a)</w:t>
            </w:r>
            <w:r w:rsidRPr="001B4EAE">
              <w:rPr>
                <w:bCs/>
                <w:sz w:val="22"/>
                <w:lang w:val="fr-CA"/>
              </w:rPr>
              <w:t xml:space="preserve"> </w:t>
            </w:r>
            <w:r w:rsidRPr="001B4EAE">
              <w:rPr>
                <w:sz w:val="22"/>
                <w:lang w:val="fr-CA"/>
              </w:rPr>
              <w:t xml:space="preserve">signe ou combinaison de signes qui est </w:t>
            </w:r>
            <w:r w:rsidRPr="001B4EAE">
              <w:rPr>
                <w:sz w:val="22"/>
                <w:u w:val="single"/>
                <w:lang w:val="fr-CA"/>
              </w:rPr>
              <w:t>employé par une personne</w:t>
            </w:r>
            <w:r w:rsidRPr="001B4EAE">
              <w:rPr>
                <w:sz w:val="22"/>
                <w:lang w:val="fr-CA"/>
              </w:rPr>
              <w:t xml:space="preserve"> ou que celle-ci projette d’employer </w:t>
            </w:r>
            <w:r w:rsidRPr="001B4EAE">
              <w:rPr>
                <w:sz w:val="22"/>
                <w:u w:val="single"/>
                <w:lang w:val="fr-CA"/>
              </w:rPr>
              <w:t>pour distinguer, ou de façon à distinguer</w:t>
            </w:r>
            <w:r w:rsidRPr="001B4EAE">
              <w:rPr>
                <w:sz w:val="22"/>
                <w:lang w:val="fr-CA"/>
              </w:rPr>
              <w:t xml:space="preserve">, </w:t>
            </w:r>
            <w:r w:rsidRPr="001B4EAE">
              <w:rPr>
                <w:sz w:val="22"/>
                <w:u w:val="single"/>
                <w:lang w:val="fr-CA"/>
              </w:rPr>
              <w:t>ses produits ou services</w:t>
            </w:r>
            <w:r w:rsidRPr="001B4EAE">
              <w:rPr>
                <w:sz w:val="22"/>
                <w:lang w:val="fr-CA"/>
              </w:rPr>
              <w:t xml:space="preserve"> de ceux d’autres personnes;</w:t>
            </w:r>
          </w:p>
          <w:p w14:paraId="00BDF2AA" w14:textId="77777777" w:rsidR="001B4EAE" w:rsidRDefault="001B4EAE" w:rsidP="001B4EAE">
            <w:pPr>
              <w:spacing w:line="240" w:lineRule="auto"/>
              <w:ind w:left="144" w:right="720"/>
              <w:jc w:val="both"/>
              <w:rPr>
                <w:sz w:val="22"/>
              </w:rPr>
            </w:pPr>
            <w:r w:rsidRPr="001B4EAE">
              <w:rPr>
                <w:sz w:val="22"/>
              </w:rPr>
              <w:t xml:space="preserve">[…] </w:t>
            </w:r>
          </w:p>
          <w:p w14:paraId="59FDDC49" w14:textId="77777777" w:rsidR="001B4EAE" w:rsidRDefault="001B4EAE" w:rsidP="001B4EAE">
            <w:pPr>
              <w:spacing w:line="240" w:lineRule="auto"/>
              <w:ind w:left="144" w:right="720"/>
              <w:jc w:val="both"/>
              <w:rPr>
                <w:b/>
                <w:bCs/>
                <w:i/>
                <w:sz w:val="22"/>
              </w:rPr>
            </w:pPr>
          </w:p>
          <w:p w14:paraId="01877290" w14:textId="77777777" w:rsidR="001B4EAE" w:rsidRPr="00321B3C" w:rsidRDefault="001B4EAE" w:rsidP="001B4EAE">
            <w:pPr>
              <w:spacing w:line="240" w:lineRule="auto"/>
              <w:ind w:left="144" w:right="720"/>
              <w:jc w:val="right"/>
              <w:rPr>
                <w:sz w:val="22"/>
              </w:rPr>
            </w:pPr>
            <w:r w:rsidRPr="00321B3C">
              <w:rPr>
                <w:sz w:val="22"/>
              </w:rPr>
              <w:t>[Emphasis added]</w:t>
            </w:r>
          </w:p>
          <w:p w14:paraId="7E369149" w14:textId="7A20DE52" w:rsidR="001B4EAE" w:rsidRPr="001B4EAE" w:rsidRDefault="001B4EAE" w:rsidP="001B4EAE">
            <w:pPr>
              <w:spacing w:line="240" w:lineRule="auto"/>
              <w:ind w:left="144" w:right="720"/>
              <w:jc w:val="both"/>
              <w:rPr>
                <w:b/>
                <w:bCs/>
                <w:i/>
                <w:sz w:val="22"/>
              </w:rPr>
            </w:pPr>
          </w:p>
        </w:tc>
      </w:tr>
    </w:tbl>
    <w:p w14:paraId="10C23D3C" w14:textId="794698C5" w:rsidR="00CB1907" w:rsidRPr="00273810" w:rsidRDefault="006A0EA5" w:rsidP="003C0F1B">
      <w:pPr>
        <w:pStyle w:val="Paragraphe"/>
        <w:spacing w:line="240" w:lineRule="auto"/>
      </w:pPr>
      <w:r w:rsidRPr="00273810">
        <w:t xml:space="preserve">According to </w:t>
      </w:r>
      <w:r w:rsidR="00E3570F">
        <w:t>commentators</w:t>
      </w:r>
      <w:r w:rsidRPr="00273810">
        <w:t xml:space="preserve">, </w:t>
      </w:r>
      <w:r w:rsidR="00BB441E">
        <w:t xml:space="preserve">the </w:t>
      </w:r>
      <w:r w:rsidR="009964FF" w:rsidRPr="00273810">
        <w:t>k</w:t>
      </w:r>
      <w:r w:rsidR="00C95175" w:rsidRPr="00273810">
        <w:t xml:space="preserve">ey </w:t>
      </w:r>
      <w:r w:rsidR="009964FF" w:rsidRPr="00273810">
        <w:t xml:space="preserve">to the concept </w:t>
      </w:r>
      <w:r w:rsidRPr="00273810">
        <w:t>of a trademark</w:t>
      </w:r>
      <w:r w:rsidR="00BB441E">
        <w:t xml:space="preserve"> is distinctiveness</w:t>
      </w:r>
      <w:r w:rsidR="00F34BA3" w:rsidRPr="00273810">
        <w:t>:</w:t>
      </w:r>
    </w:p>
    <w:p w14:paraId="06B3D9AD" w14:textId="6A2ED714" w:rsidR="00CB1907" w:rsidRPr="00273810" w:rsidRDefault="00F34BA3" w:rsidP="003A19CD">
      <w:pPr>
        <w:spacing w:before="120" w:line="240" w:lineRule="auto"/>
        <w:ind w:left="720" w:right="720"/>
        <w:jc w:val="both"/>
        <w:rPr>
          <w:kern w:val="24"/>
          <w:sz w:val="22"/>
        </w:rPr>
      </w:pPr>
      <w:r w:rsidRPr="001B4EAE">
        <w:rPr>
          <w:kern w:val="24"/>
          <w:sz w:val="22"/>
        </w:rPr>
        <w:t xml:space="preserve">The key to the concept of a trademark is “distinctiveness”; </w:t>
      </w:r>
      <w:r w:rsidRPr="001B4EAE">
        <w:rPr>
          <w:kern w:val="24"/>
          <w:sz w:val="22"/>
          <w:u w:val="single"/>
        </w:rPr>
        <w:t xml:space="preserve">that is, does it distinguish </w:t>
      </w:r>
      <w:r w:rsidRPr="001B4EAE">
        <w:rPr>
          <w:i/>
          <w:kern w:val="24"/>
          <w:sz w:val="22"/>
          <w:u w:val="single"/>
        </w:rPr>
        <w:t xml:space="preserve">your </w:t>
      </w:r>
      <w:r w:rsidRPr="001B4EAE">
        <w:rPr>
          <w:kern w:val="24"/>
          <w:sz w:val="22"/>
          <w:u w:val="single"/>
        </w:rPr>
        <w:t>goods and/or services f</w:t>
      </w:r>
      <w:r w:rsidR="007D490C" w:rsidRPr="001B4EAE">
        <w:rPr>
          <w:kern w:val="24"/>
          <w:sz w:val="22"/>
          <w:u w:val="single"/>
        </w:rPr>
        <w:t>r</w:t>
      </w:r>
      <w:r w:rsidRPr="001B4EAE">
        <w:rPr>
          <w:kern w:val="24"/>
          <w:sz w:val="22"/>
          <w:u w:val="single"/>
        </w:rPr>
        <w:t>om those of others</w:t>
      </w:r>
      <w:r w:rsidRPr="001B4EAE">
        <w:rPr>
          <w:kern w:val="24"/>
          <w:sz w:val="22"/>
        </w:rPr>
        <w:t>.</w:t>
      </w:r>
      <w:r w:rsidRPr="001B4EAE">
        <w:rPr>
          <w:kern w:val="24"/>
          <w:sz w:val="22"/>
          <w:vertAlign w:val="superscript"/>
        </w:rPr>
        <w:footnoteReference w:id="15"/>
      </w:r>
    </w:p>
    <w:p w14:paraId="3CB28223" w14:textId="313B7471" w:rsidR="00CB1907" w:rsidRPr="00273810" w:rsidRDefault="00F34BA3" w:rsidP="003C0F1B">
      <w:pPr>
        <w:spacing w:before="120" w:after="120" w:line="240" w:lineRule="auto"/>
        <w:ind w:left="720" w:right="720"/>
        <w:jc w:val="right"/>
        <w:rPr>
          <w:kern w:val="24"/>
          <w:sz w:val="22"/>
        </w:rPr>
      </w:pPr>
      <w:r w:rsidRPr="00273810">
        <w:rPr>
          <w:kern w:val="24"/>
          <w:sz w:val="22"/>
        </w:rPr>
        <w:t>[</w:t>
      </w:r>
      <w:r w:rsidR="00A620B7" w:rsidRPr="00273810">
        <w:rPr>
          <w:kern w:val="24"/>
          <w:sz w:val="22"/>
        </w:rPr>
        <w:t>Italics</w:t>
      </w:r>
      <w:r w:rsidR="006A0EA5" w:rsidRPr="00273810">
        <w:rPr>
          <w:kern w:val="24"/>
          <w:sz w:val="22"/>
        </w:rPr>
        <w:t xml:space="preserve"> in original</w:t>
      </w:r>
      <w:r w:rsidRPr="00273810">
        <w:rPr>
          <w:kern w:val="24"/>
          <w:sz w:val="22"/>
        </w:rPr>
        <w:t xml:space="preserve">; </w:t>
      </w:r>
      <w:r w:rsidR="00321B3C">
        <w:rPr>
          <w:kern w:val="24"/>
          <w:sz w:val="22"/>
        </w:rPr>
        <w:t xml:space="preserve">emphasis </w:t>
      </w:r>
      <w:r w:rsidR="006A0EA5" w:rsidRPr="00273810">
        <w:rPr>
          <w:kern w:val="24"/>
          <w:sz w:val="22"/>
        </w:rPr>
        <w:t>added</w:t>
      </w:r>
      <w:r w:rsidRPr="00273810">
        <w:rPr>
          <w:kern w:val="24"/>
          <w:sz w:val="22"/>
        </w:rPr>
        <w:t>]</w:t>
      </w:r>
    </w:p>
    <w:p w14:paraId="27374CB6" w14:textId="2CAE9558" w:rsidR="00CB1907" w:rsidRPr="00273810" w:rsidRDefault="00A620B7" w:rsidP="00E32A91">
      <w:pPr>
        <w:pStyle w:val="Paragraphe"/>
        <w:spacing w:after="0" w:line="240" w:lineRule="auto"/>
      </w:pPr>
      <w:r w:rsidRPr="00273810">
        <w:t>In</w:t>
      </w:r>
      <w:r w:rsidR="00F34BA3" w:rsidRPr="00273810">
        <w:t xml:space="preserve"> </w:t>
      </w:r>
      <w:r w:rsidR="00F34BA3" w:rsidRPr="00273810">
        <w:rPr>
          <w:i/>
        </w:rPr>
        <w:t xml:space="preserve">Molson Breweries </w:t>
      </w:r>
      <w:r w:rsidRPr="00273810">
        <w:rPr>
          <w:i/>
        </w:rPr>
        <w:t>v</w:t>
      </w:r>
      <w:r w:rsidR="00F34BA3" w:rsidRPr="00273810">
        <w:rPr>
          <w:i/>
        </w:rPr>
        <w:t xml:space="preserve">. </w:t>
      </w:r>
      <w:r w:rsidR="001F4238" w:rsidRPr="00273810">
        <w:rPr>
          <w:i/>
        </w:rPr>
        <w:t>Labatt Brewing Co.</w:t>
      </w:r>
      <w:r w:rsidR="00F34BA3" w:rsidRPr="00273810">
        <w:t xml:space="preserve">, </w:t>
      </w:r>
      <w:r w:rsidR="00020DEE" w:rsidRPr="00273810">
        <w:t xml:space="preserve">the Federal Court of Appeal described the analytical framework used to determine </w:t>
      </w:r>
      <w:r w:rsidR="0087482A">
        <w:t>whether</w:t>
      </w:r>
      <w:r w:rsidR="00020DEE" w:rsidRPr="00273810">
        <w:t xml:space="preserve"> a trademark is distinctive</w:t>
      </w:r>
      <w:r w:rsidR="00E32A91" w:rsidRPr="00273810">
        <w:t xml:space="preserve"> as follows</w:t>
      </w:r>
      <w:r w:rsidR="00F34BA3" w:rsidRPr="00273810">
        <w:t>:</w:t>
      </w:r>
    </w:p>
    <w:p w14:paraId="1181E0E7" w14:textId="7654075B" w:rsidR="00E32A91" w:rsidRPr="00273810" w:rsidRDefault="00E32A91" w:rsidP="003A19CD">
      <w:pPr>
        <w:spacing w:before="120" w:line="240" w:lineRule="auto"/>
        <w:ind w:left="720" w:right="720"/>
        <w:jc w:val="both"/>
        <w:rPr>
          <w:kern w:val="24"/>
          <w:sz w:val="22"/>
        </w:rPr>
      </w:pPr>
      <w:r w:rsidRPr="00BD393A">
        <w:rPr>
          <w:smallCaps/>
        </w:rPr>
        <w:lastRenderedPageBreak/>
        <w:t>[translation]</w:t>
      </w:r>
      <w:r w:rsidRPr="00273810">
        <w:rPr>
          <w:kern w:val="24"/>
          <w:sz w:val="22"/>
        </w:rPr>
        <w:t xml:space="preserve"> </w:t>
      </w:r>
    </w:p>
    <w:p w14:paraId="0F86AD59" w14:textId="0BD7F1BD" w:rsidR="00CB1907" w:rsidRPr="00273810" w:rsidRDefault="00F34BA3" w:rsidP="003C0F1B">
      <w:pPr>
        <w:spacing w:before="120" w:after="120" w:line="240" w:lineRule="auto"/>
        <w:ind w:left="720" w:right="720"/>
        <w:jc w:val="both"/>
        <w:rPr>
          <w:kern w:val="24"/>
          <w:sz w:val="22"/>
        </w:rPr>
      </w:pPr>
      <w:r w:rsidRPr="00273810">
        <w:rPr>
          <w:kern w:val="24"/>
          <w:sz w:val="22"/>
        </w:rPr>
        <w:t>[43] …</w:t>
      </w:r>
      <w:r w:rsidR="00E55F13" w:rsidRPr="00273810">
        <w:rPr>
          <w:kern w:val="24"/>
          <w:sz w:val="22"/>
        </w:rPr>
        <w:t xml:space="preserve"> </w:t>
      </w:r>
      <w:r w:rsidR="0087482A">
        <w:rPr>
          <w:kern w:val="24"/>
          <w:sz w:val="22"/>
        </w:rPr>
        <w:t>D</w:t>
      </w:r>
      <w:r w:rsidR="00E55F13" w:rsidRPr="00273810">
        <w:rPr>
          <w:kern w:val="24"/>
          <w:sz w:val="22"/>
        </w:rPr>
        <w:t>istinctiveness therefore requires</w:t>
      </w:r>
      <w:r w:rsidRPr="00273810">
        <w:rPr>
          <w:kern w:val="24"/>
          <w:sz w:val="22"/>
        </w:rPr>
        <w:t>:</w:t>
      </w:r>
    </w:p>
    <w:p w14:paraId="3CB4F0E5" w14:textId="2D3555FD" w:rsidR="00CB1907" w:rsidRPr="00273810" w:rsidRDefault="00F34BA3" w:rsidP="003C0F1B">
      <w:pPr>
        <w:spacing w:before="120" w:after="120" w:line="240" w:lineRule="auto"/>
        <w:ind w:left="720" w:right="720"/>
        <w:jc w:val="both"/>
        <w:rPr>
          <w:kern w:val="24"/>
          <w:sz w:val="22"/>
        </w:rPr>
      </w:pPr>
      <w:r w:rsidRPr="00273810">
        <w:rPr>
          <w:kern w:val="24"/>
          <w:sz w:val="22"/>
        </w:rPr>
        <w:t>(1) </w:t>
      </w:r>
      <w:r w:rsidR="00E32A91" w:rsidRPr="00273810">
        <w:rPr>
          <w:kern w:val="24"/>
          <w:sz w:val="22"/>
          <w:u w:val="single"/>
        </w:rPr>
        <w:t>that a</w:t>
      </w:r>
      <w:r w:rsidR="00E55F13" w:rsidRPr="00273810">
        <w:rPr>
          <w:kern w:val="24"/>
          <w:sz w:val="22"/>
          <w:u w:val="single"/>
        </w:rPr>
        <w:t xml:space="preserve"> mark and a product be </w:t>
      </w:r>
      <w:proofErr w:type="gramStart"/>
      <w:r w:rsidR="00E55F13" w:rsidRPr="00273810">
        <w:rPr>
          <w:kern w:val="24"/>
          <w:sz w:val="22"/>
          <w:u w:val="single"/>
        </w:rPr>
        <w:t>associated</w:t>
      </w:r>
      <w:r w:rsidRPr="00273810">
        <w:rPr>
          <w:kern w:val="24"/>
          <w:sz w:val="22"/>
        </w:rPr>
        <w:t>;</w:t>
      </w:r>
      <w:proofErr w:type="gramEnd"/>
    </w:p>
    <w:p w14:paraId="048A5890" w14:textId="7C01F5B5" w:rsidR="00CB1907" w:rsidRPr="00273810" w:rsidRDefault="00F34BA3" w:rsidP="003C0F1B">
      <w:pPr>
        <w:spacing w:before="120" w:after="120" w:line="240" w:lineRule="auto"/>
        <w:ind w:left="720" w:right="720"/>
        <w:jc w:val="both"/>
        <w:rPr>
          <w:kern w:val="24"/>
          <w:sz w:val="22"/>
        </w:rPr>
      </w:pPr>
      <w:r w:rsidRPr="00273810">
        <w:rPr>
          <w:kern w:val="24"/>
          <w:sz w:val="22"/>
        </w:rPr>
        <w:t>(2) </w:t>
      </w:r>
      <w:r w:rsidR="00E55F13" w:rsidRPr="00273810">
        <w:rPr>
          <w:kern w:val="24"/>
          <w:sz w:val="22"/>
          <w:u w:val="single"/>
        </w:rPr>
        <w:t>that the owner use</w:t>
      </w:r>
      <w:r w:rsidR="00E32A91" w:rsidRPr="00273810">
        <w:rPr>
          <w:kern w:val="24"/>
          <w:sz w:val="22"/>
          <w:u w:val="single"/>
        </w:rPr>
        <w:t>s</w:t>
      </w:r>
      <w:r w:rsidR="00E55F13" w:rsidRPr="00273810">
        <w:rPr>
          <w:kern w:val="24"/>
          <w:sz w:val="22"/>
          <w:u w:val="single"/>
        </w:rPr>
        <w:t xml:space="preserve"> this association between the mark and </w:t>
      </w:r>
      <w:r w:rsidR="0087482A">
        <w:rPr>
          <w:kern w:val="24"/>
          <w:sz w:val="22"/>
          <w:u w:val="single"/>
        </w:rPr>
        <w:t>its</w:t>
      </w:r>
      <w:r w:rsidR="0087482A" w:rsidRPr="00273810">
        <w:rPr>
          <w:kern w:val="24"/>
          <w:sz w:val="22"/>
          <w:u w:val="single"/>
        </w:rPr>
        <w:t xml:space="preserve"> </w:t>
      </w:r>
      <w:r w:rsidR="00E55F13" w:rsidRPr="00273810">
        <w:rPr>
          <w:kern w:val="24"/>
          <w:sz w:val="22"/>
          <w:u w:val="single"/>
        </w:rPr>
        <w:t>product</w:t>
      </w:r>
      <w:r w:rsidRPr="00273810">
        <w:rPr>
          <w:kern w:val="24"/>
          <w:sz w:val="22"/>
        </w:rPr>
        <w:t xml:space="preserve"> </w:t>
      </w:r>
      <w:r w:rsidR="00E32A91" w:rsidRPr="00273810">
        <w:rPr>
          <w:kern w:val="24"/>
          <w:sz w:val="22"/>
        </w:rPr>
        <w:t xml:space="preserve">and </w:t>
      </w:r>
      <w:r w:rsidR="0087482A">
        <w:rPr>
          <w:kern w:val="24"/>
          <w:sz w:val="22"/>
        </w:rPr>
        <w:t>is</w:t>
      </w:r>
      <w:r w:rsidR="009964FF" w:rsidRPr="00273810">
        <w:rPr>
          <w:kern w:val="24"/>
          <w:sz w:val="22"/>
        </w:rPr>
        <w:t xml:space="preserve"> </w:t>
      </w:r>
      <w:r w:rsidR="00E32A91" w:rsidRPr="00273810">
        <w:rPr>
          <w:kern w:val="24"/>
          <w:sz w:val="22"/>
        </w:rPr>
        <w:t>manufactur</w:t>
      </w:r>
      <w:r w:rsidR="0087482A">
        <w:rPr>
          <w:kern w:val="24"/>
          <w:sz w:val="22"/>
        </w:rPr>
        <w:t>ing</w:t>
      </w:r>
      <w:r w:rsidR="00E32A91" w:rsidRPr="00273810">
        <w:rPr>
          <w:kern w:val="24"/>
          <w:sz w:val="22"/>
        </w:rPr>
        <w:t xml:space="preserve"> and </w:t>
      </w:r>
      <w:r w:rsidR="00E32A91" w:rsidRPr="00273810">
        <w:rPr>
          <w:kern w:val="24"/>
          <w:sz w:val="22"/>
          <w:u w:val="single"/>
        </w:rPr>
        <w:t>sell</w:t>
      </w:r>
      <w:r w:rsidR="0087482A">
        <w:rPr>
          <w:kern w:val="24"/>
          <w:sz w:val="22"/>
          <w:u w:val="single"/>
        </w:rPr>
        <w:t>ing</w:t>
      </w:r>
      <w:r w:rsidR="00E32A91" w:rsidRPr="00273810">
        <w:rPr>
          <w:kern w:val="24"/>
          <w:sz w:val="22"/>
          <w:u w:val="single"/>
        </w:rPr>
        <w:t xml:space="preserve"> the product in </w:t>
      </w:r>
      <w:r w:rsidRPr="00273810">
        <w:rPr>
          <w:kern w:val="24"/>
          <w:sz w:val="22"/>
          <w:u w:val="single"/>
        </w:rPr>
        <w:t>question</w:t>
      </w:r>
      <w:r w:rsidRPr="00273810">
        <w:rPr>
          <w:kern w:val="24"/>
          <w:sz w:val="22"/>
        </w:rPr>
        <w:t xml:space="preserve">; </w:t>
      </w:r>
      <w:r w:rsidR="00E32A91" w:rsidRPr="00273810">
        <w:rPr>
          <w:kern w:val="24"/>
          <w:sz w:val="22"/>
        </w:rPr>
        <w:t>and</w:t>
      </w:r>
    </w:p>
    <w:p w14:paraId="4A7437D8" w14:textId="34FD3A87" w:rsidR="00CB1907" w:rsidRPr="00273810" w:rsidRDefault="00F34BA3" w:rsidP="003C0F1B">
      <w:pPr>
        <w:spacing w:before="120" w:after="120" w:line="240" w:lineRule="auto"/>
        <w:ind w:left="720" w:right="720"/>
        <w:jc w:val="both"/>
        <w:rPr>
          <w:kern w:val="24"/>
          <w:sz w:val="22"/>
        </w:rPr>
      </w:pPr>
      <w:r w:rsidRPr="00273810">
        <w:rPr>
          <w:kern w:val="24"/>
          <w:sz w:val="22"/>
        </w:rPr>
        <w:t>(3) </w:t>
      </w:r>
      <w:r w:rsidR="00E32A91" w:rsidRPr="00273810">
        <w:rPr>
          <w:kern w:val="24"/>
          <w:sz w:val="22"/>
          <w:u w:val="single"/>
        </w:rPr>
        <w:t xml:space="preserve">that this </w:t>
      </w:r>
      <w:r w:rsidRPr="00273810">
        <w:rPr>
          <w:kern w:val="24"/>
          <w:sz w:val="22"/>
          <w:u w:val="single"/>
        </w:rPr>
        <w:t xml:space="preserve">association </w:t>
      </w:r>
      <w:r w:rsidR="0087482A">
        <w:rPr>
          <w:kern w:val="24"/>
          <w:sz w:val="22"/>
          <w:u w:val="single"/>
        </w:rPr>
        <w:t>enables</w:t>
      </w:r>
      <w:r w:rsidR="0087482A" w:rsidRPr="00273810">
        <w:rPr>
          <w:kern w:val="24"/>
          <w:sz w:val="22"/>
          <w:u w:val="single"/>
        </w:rPr>
        <w:t xml:space="preserve"> </w:t>
      </w:r>
      <w:r w:rsidR="00E32A91" w:rsidRPr="00273810">
        <w:rPr>
          <w:kern w:val="24"/>
          <w:sz w:val="22"/>
          <w:u w:val="single"/>
        </w:rPr>
        <w:t xml:space="preserve">the owner to distinguish </w:t>
      </w:r>
      <w:r w:rsidR="0087482A">
        <w:rPr>
          <w:kern w:val="24"/>
          <w:sz w:val="22"/>
          <w:u w:val="single"/>
        </w:rPr>
        <w:t>its</w:t>
      </w:r>
      <w:r w:rsidR="0087482A" w:rsidRPr="00273810">
        <w:rPr>
          <w:kern w:val="24"/>
          <w:sz w:val="22"/>
          <w:u w:val="single"/>
        </w:rPr>
        <w:t xml:space="preserve"> </w:t>
      </w:r>
      <w:r w:rsidR="00E32A91" w:rsidRPr="00273810">
        <w:rPr>
          <w:kern w:val="24"/>
          <w:sz w:val="22"/>
          <w:u w:val="single"/>
        </w:rPr>
        <w:t>product from th</w:t>
      </w:r>
      <w:r w:rsidR="0087482A">
        <w:rPr>
          <w:kern w:val="24"/>
          <w:sz w:val="22"/>
          <w:u w:val="single"/>
        </w:rPr>
        <w:t>at</w:t>
      </w:r>
      <w:r w:rsidR="00E32A91" w:rsidRPr="00273810">
        <w:rPr>
          <w:kern w:val="24"/>
          <w:sz w:val="22"/>
          <w:u w:val="single"/>
        </w:rPr>
        <w:t xml:space="preserve"> of other</w:t>
      </w:r>
      <w:r w:rsidR="0087482A">
        <w:rPr>
          <w:kern w:val="24"/>
          <w:sz w:val="22"/>
          <w:u w:val="single"/>
        </w:rPr>
        <w:t>s</w:t>
      </w:r>
      <w:r w:rsidRPr="00273810">
        <w:rPr>
          <w:kern w:val="24"/>
          <w:sz w:val="22"/>
        </w:rPr>
        <w:t>.</w:t>
      </w:r>
      <w:r w:rsidRPr="00273810">
        <w:rPr>
          <w:kern w:val="24"/>
          <w:sz w:val="22"/>
          <w:vertAlign w:val="superscript"/>
        </w:rPr>
        <w:footnoteReference w:id="16"/>
      </w:r>
    </w:p>
    <w:p w14:paraId="678F47C3" w14:textId="43E07346" w:rsidR="00187370" w:rsidRPr="00273810" w:rsidRDefault="00F34BA3" w:rsidP="003C0F1B">
      <w:pPr>
        <w:spacing w:before="120" w:after="120" w:line="240" w:lineRule="auto"/>
        <w:ind w:left="720" w:right="720"/>
        <w:jc w:val="right"/>
        <w:rPr>
          <w:kern w:val="24"/>
          <w:sz w:val="22"/>
        </w:rPr>
      </w:pPr>
      <w:r w:rsidRPr="00273810">
        <w:rPr>
          <w:kern w:val="24"/>
          <w:sz w:val="22"/>
        </w:rPr>
        <w:t>[</w:t>
      </w:r>
      <w:r w:rsidR="001F4238" w:rsidRPr="00273810">
        <w:rPr>
          <w:kern w:val="24"/>
          <w:sz w:val="22"/>
        </w:rPr>
        <w:t>Emphasis added</w:t>
      </w:r>
      <w:r w:rsidRPr="00273810">
        <w:rPr>
          <w:kern w:val="24"/>
          <w:sz w:val="22"/>
        </w:rPr>
        <w:t>]</w:t>
      </w:r>
    </w:p>
    <w:p w14:paraId="7EC0EC10" w14:textId="1B7C4622" w:rsidR="00CB1907" w:rsidRPr="00273810" w:rsidRDefault="00975D18" w:rsidP="003C0F1B">
      <w:pPr>
        <w:pStyle w:val="Paragraphe"/>
        <w:spacing w:line="240" w:lineRule="auto"/>
      </w:pPr>
      <w:r>
        <w:t>Therefore, in</w:t>
      </w:r>
      <w:r w:rsidR="0087482A">
        <w:t xml:space="preserve"> the absence of </w:t>
      </w:r>
      <w:r w:rsidR="002E0483" w:rsidRPr="008D14F0">
        <w:t xml:space="preserve">distinctiveness, </w:t>
      </w:r>
      <w:r w:rsidR="00686EC2" w:rsidRPr="008D14F0">
        <w:t>a sign</w:t>
      </w:r>
      <w:r>
        <w:t>, a</w:t>
      </w:r>
      <w:r w:rsidR="00686EC2" w:rsidRPr="008D14F0">
        <w:t xml:space="preserve"> </w:t>
      </w:r>
      <w:r w:rsidR="005C3959" w:rsidRPr="008D14F0">
        <w:t>combina</w:t>
      </w:r>
      <w:r w:rsidR="00686EC2" w:rsidRPr="008D14F0">
        <w:t>tion of signs</w:t>
      </w:r>
      <w:r w:rsidR="0087482A">
        <w:t>,</w:t>
      </w:r>
      <w:r w:rsidR="00686EC2" w:rsidRPr="008D14F0">
        <w:t xml:space="preserve"> </w:t>
      </w:r>
      <w:r>
        <w:t xml:space="preserve">or </w:t>
      </w:r>
      <w:r w:rsidR="00686EC2" w:rsidRPr="008D14F0">
        <w:t xml:space="preserve">even words that are merely generic or descriptive cannot </w:t>
      </w:r>
      <w:r w:rsidR="0087482A">
        <w:t xml:space="preserve">be </w:t>
      </w:r>
      <w:r>
        <w:t xml:space="preserve">characterized </w:t>
      </w:r>
      <w:r w:rsidR="004B6CD8">
        <w:t xml:space="preserve">as a </w:t>
      </w:r>
      <w:r w:rsidR="00686EC2" w:rsidRPr="008D14F0">
        <w:t>trademark.</w:t>
      </w:r>
      <w:r w:rsidR="00F34BA3" w:rsidRPr="008D14F0">
        <w:rPr>
          <w:vertAlign w:val="superscript"/>
        </w:rPr>
        <w:footnoteReference w:id="17"/>
      </w:r>
      <w:r w:rsidR="00187370" w:rsidRPr="008D14F0">
        <w:t xml:space="preserve"> I</w:t>
      </w:r>
      <w:r w:rsidR="00686EC2" w:rsidRPr="008D14F0">
        <w:t>t</w:t>
      </w:r>
      <w:r w:rsidR="00686EC2" w:rsidRPr="00273810">
        <w:t xml:space="preserve"> </w:t>
      </w:r>
      <w:r w:rsidR="001B4EAE">
        <w:t>is important</w:t>
      </w:r>
      <w:r w:rsidR="001B4EAE" w:rsidRPr="00273810">
        <w:t xml:space="preserve"> </w:t>
      </w:r>
      <w:r w:rsidR="001B4EAE">
        <w:t>to</w:t>
      </w:r>
      <w:r w:rsidR="00686EC2" w:rsidRPr="00273810">
        <w:t xml:space="preserve"> note, however, that this distinctiveness need </w:t>
      </w:r>
      <w:r w:rsidR="002E0483" w:rsidRPr="00273810">
        <w:t>not</w:t>
      </w:r>
      <w:r w:rsidR="00686EC2" w:rsidRPr="00273810">
        <w:t xml:space="preserve"> be </w:t>
      </w:r>
      <w:r w:rsidR="00187370" w:rsidRPr="00273810">
        <w:rPr>
          <w:i/>
        </w:rPr>
        <w:t>inh</w:t>
      </w:r>
      <w:r w:rsidR="00686EC2" w:rsidRPr="00273810">
        <w:rPr>
          <w:i/>
        </w:rPr>
        <w:t>e</w:t>
      </w:r>
      <w:r w:rsidR="00187370" w:rsidRPr="00273810">
        <w:rPr>
          <w:i/>
        </w:rPr>
        <w:t>rent</w:t>
      </w:r>
      <w:r w:rsidR="00F34BA3" w:rsidRPr="00273810">
        <w:t xml:space="preserve"> </w:t>
      </w:r>
      <w:r w:rsidR="0087482A">
        <w:t xml:space="preserve">and </w:t>
      </w:r>
      <w:r w:rsidR="00E55F13" w:rsidRPr="00273810">
        <w:t xml:space="preserve">may be acquired through </w:t>
      </w:r>
      <w:r w:rsidR="00F34BA3" w:rsidRPr="00273810">
        <w:rPr>
          <w:i/>
        </w:rPr>
        <w:t>us</w:t>
      </w:r>
      <w:r w:rsidR="00E55F13" w:rsidRPr="00273810">
        <w:rPr>
          <w:i/>
        </w:rPr>
        <w:t>e</w:t>
      </w:r>
      <w:r w:rsidR="00F34BA3" w:rsidRPr="00273810">
        <w:t xml:space="preserve">: </w:t>
      </w:r>
    </w:p>
    <w:p w14:paraId="4A2D150D" w14:textId="14440097" w:rsidR="00CB1907" w:rsidRPr="00273810" w:rsidRDefault="00F34BA3" w:rsidP="003C0F1B">
      <w:pPr>
        <w:spacing w:before="120" w:after="120" w:line="240" w:lineRule="auto"/>
        <w:ind w:left="720" w:right="720"/>
        <w:jc w:val="both"/>
        <w:rPr>
          <w:kern w:val="24"/>
          <w:sz w:val="22"/>
          <w:szCs w:val="22"/>
        </w:rPr>
      </w:pPr>
      <w:r w:rsidRPr="001B4EAE">
        <w:rPr>
          <w:kern w:val="24"/>
          <w:sz w:val="22"/>
          <w:szCs w:val="22"/>
        </w:rPr>
        <w:t xml:space="preserve">[A] word is not registrable under the Act as a </w:t>
      </w:r>
      <w:proofErr w:type="gramStart"/>
      <w:r w:rsidRPr="001B4EAE">
        <w:rPr>
          <w:kern w:val="24"/>
          <w:sz w:val="22"/>
          <w:szCs w:val="22"/>
        </w:rPr>
        <w:t>trade mark</w:t>
      </w:r>
      <w:proofErr w:type="gramEnd"/>
      <w:r w:rsidRPr="001B4EAE">
        <w:rPr>
          <w:kern w:val="24"/>
          <w:sz w:val="22"/>
          <w:szCs w:val="22"/>
        </w:rPr>
        <w:t xml:space="preserve"> which is merely descriptive of the character and quality of the goods in connection with which it is used. </w:t>
      </w:r>
      <w:r w:rsidR="00187370" w:rsidRPr="001B4EAE">
        <w:rPr>
          <w:rFonts w:cs="Arial"/>
          <w:i/>
          <w:iCs/>
          <w:kern w:val="24"/>
          <w:sz w:val="22"/>
          <w:szCs w:val="22"/>
        </w:rPr>
        <w:t>…</w:t>
      </w:r>
      <w:r w:rsidRPr="001B4EAE">
        <w:rPr>
          <w:kern w:val="24"/>
          <w:sz w:val="22"/>
          <w:szCs w:val="22"/>
        </w:rPr>
        <w:t xml:space="preserve"> </w:t>
      </w:r>
      <w:r w:rsidRPr="001B4EAE">
        <w:rPr>
          <w:kern w:val="24"/>
          <w:sz w:val="22"/>
          <w:szCs w:val="22"/>
          <w:u w:val="single"/>
        </w:rPr>
        <w:t xml:space="preserve">It is, however, clear that such a descriptive word may possibly have acquired a secondary meaning, and have come to mean or indicate that the goods in connection with which it is used are the goods of a particular </w:t>
      </w:r>
      <w:proofErr w:type="gramStart"/>
      <w:r w:rsidRPr="001B4EAE">
        <w:rPr>
          <w:kern w:val="24"/>
          <w:sz w:val="22"/>
          <w:szCs w:val="22"/>
          <w:u w:val="single"/>
        </w:rPr>
        <w:t>manufacturer</w:t>
      </w:r>
      <w:r w:rsidR="00187370" w:rsidRPr="001B4EAE">
        <w:rPr>
          <w:kern w:val="24"/>
          <w:sz w:val="22"/>
          <w:szCs w:val="22"/>
        </w:rPr>
        <w:t>:</w:t>
      </w:r>
      <w:r w:rsidRPr="001B4EAE">
        <w:rPr>
          <w:kern w:val="24"/>
          <w:sz w:val="22"/>
          <w:szCs w:val="22"/>
        </w:rPr>
        <w:t>.</w:t>
      </w:r>
      <w:proofErr w:type="gramEnd"/>
      <w:r w:rsidRPr="001B4EAE">
        <w:rPr>
          <w:kern w:val="24"/>
          <w:sz w:val="22"/>
          <w:szCs w:val="22"/>
        </w:rPr>
        <w:t xml:space="preserve"> </w:t>
      </w:r>
      <w:r w:rsidR="00187370" w:rsidRPr="001B4EAE">
        <w:rPr>
          <w:kern w:val="24"/>
          <w:sz w:val="22"/>
          <w:szCs w:val="22"/>
        </w:rPr>
        <w:t>…</w:t>
      </w:r>
      <w:r w:rsidRPr="001B4EAE">
        <w:rPr>
          <w:kern w:val="24"/>
          <w:sz w:val="22"/>
          <w:szCs w:val="22"/>
          <w:vertAlign w:val="superscript"/>
        </w:rPr>
        <w:footnoteReference w:id="18"/>
      </w:r>
    </w:p>
    <w:p w14:paraId="3E8D7BA6" w14:textId="42521A28" w:rsidR="00CB1907" w:rsidRPr="00273810" w:rsidRDefault="00F34BA3" w:rsidP="003C0F1B">
      <w:pPr>
        <w:spacing w:before="120" w:after="120" w:line="240" w:lineRule="auto"/>
        <w:ind w:left="720" w:right="720"/>
        <w:jc w:val="right"/>
        <w:rPr>
          <w:kern w:val="24"/>
          <w:sz w:val="22"/>
          <w:szCs w:val="22"/>
        </w:rPr>
      </w:pPr>
      <w:r w:rsidRPr="00273810">
        <w:rPr>
          <w:kern w:val="24"/>
          <w:sz w:val="22"/>
          <w:szCs w:val="22"/>
        </w:rPr>
        <w:t>[</w:t>
      </w:r>
      <w:r w:rsidR="00FE73C4" w:rsidRPr="00273810">
        <w:rPr>
          <w:kern w:val="24"/>
          <w:sz w:val="22"/>
          <w:szCs w:val="22"/>
        </w:rPr>
        <w:t>Emphasis added; citations omitted</w:t>
      </w:r>
      <w:r w:rsidR="005C3959" w:rsidRPr="00273810">
        <w:rPr>
          <w:kern w:val="24"/>
          <w:sz w:val="22"/>
          <w:szCs w:val="22"/>
        </w:rPr>
        <w:t>]</w:t>
      </w:r>
    </w:p>
    <w:p w14:paraId="78481D8E" w14:textId="736BDFA5" w:rsidR="00170436" w:rsidRDefault="006A0EA5" w:rsidP="003C0F1B">
      <w:pPr>
        <w:pStyle w:val="Paragraphe"/>
        <w:spacing w:line="240" w:lineRule="auto"/>
      </w:pPr>
      <w:r w:rsidRPr="00273810">
        <w:t xml:space="preserve">The use of a mark in association with products or </w:t>
      </w:r>
      <w:r w:rsidR="00F34BA3" w:rsidRPr="00273810">
        <w:t xml:space="preserve">services </w:t>
      </w:r>
      <w:r w:rsidRPr="00273810">
        <w:t>is also a key element</w:t>
      </w:r>
      <w:r w:rsidR="00F34BA3" w:rsidRPr="00273810">
        <w:t xml:space="preserve"> </w:t>
      </w:r>
      <w:r w:rsidRPr="00273810">
        <w:t xml:space="preserve">of the </w:t>
      </w:r>
      <w:r w:rsidR="00F34BA3" w:rsidRPr="00273810">
        <w:t>d</w:t>
      </w:r>
      <w:r w:rsidRPr="00273810">
        <w:t>e</w:t>
      </w:r>
      <w:r w:rsidR="00F34BA3" w:rsidRPr="00273810">
        <w:t xml:space="preserve">finition </w:t>
      </w:r>
      <w:r w:rsidRPr="00273810">
        <w:t>of “trademark”</w:t>
      </w:r>
      <w:r w:rsidR="00F34BA3" w:rsidRPr="00273810">
        <w:t xml:space="preserve"> </w:t>
      </w:r>
      <w:r w:rsidR="00741A4A" w:rsidRPr="00273810">
        <w:t xml:space="preserve">within the meaning of the </w:t>
      </w:r>
      <w:r w:rsidR="003A19CD" w:rsidRPr="00273810">
        <w:rPr>
          <w:rFonts w:eastAsia="Arial Unicode MS"/>
          <w:i/>
        </w:rPr>
        <w:t>TA</w:t>
      </w:r>
      <w:r w:rsidR="00F34BA3" w:rsidRPr="00273810">
        <w:rPr>
          <w:i/>
        </w:rPr>
        <w:t>.</w:t>
      </w:r>
      <w:r w:rsidR="00F34BA3" w:rsidRPr="00273810">
        <w:t xml:space="preserve"> </w:t>
      </w:r>
      <w:r w:rsidR="00954BF5" w:rsidRPr="00273810">
        <w:t xml:space="preserve">Section </w:t>
      </w:r>
      <w:r w:rsidR="00F34BA3" w:rsidRPr="00273810">
        <w:t xml:space="preserve">4 </w:t>
      </w:r>
      <w:r w:rsidR="0087482A">
        <w:t>sets out</w:t>
      </w:r>
      <w:r w:rsidR="0087482A" w:rsidRPr="00273810">
        <w:t xml:space="preserve"> </w:t>
      </w:r>
      <w:r w:rsidR="00954BF5" w:rsidRPr="00273810">
        <w:t xml:space="preserve">the conditions </w:t>
      </w:r>
      <w:r w:rsidR="0087482A">
        <w:t xml:space="preserve">to meet </w:t>
      </w:r>
      <w:r w:rsidR="00954BF5" w:rsidRPr="00273810">
        <w:t xml:space="preserve">this criterion </w:t>
      </w:r>
      <w:proofErr w:type="gramStart"/>
      <w:r w:rsidRPr="00273810">
        <w:t>with regard to</w:t>
      </w:r>
      <w:proofErr w:type="gramEnd"/>
      <w:r w:rsidRPr="00273810">
        <w:t xml:space="preserve"> </w:t>
      </w:r>
      <w:r w:rsidR="004D53CF" w:rsidRPr="00273810">
        <w:t>services</w:t>
      </w:r>
      <w:r w:rsidR="00F34BA3" w:rsidRPr="00273810">
        <w:t>:</w:t>
      </w:r>
    </w:p>
    <w:p w14:paraId="54CD66AC" w14:textId="01A2DAE8" w:rsidR="00806977" w:rsidRPr="00273810" w:rsidRDefault="00F34BA3" w:rsidP="00170436">
      <w:pPr>
        <w:pStyle w:val="Paragraphe"/>
        <w:numPr>
          <w:ilvl w:val="0"/>
          <w:numId w:val="0"/>
        </w:numPr>
        <w:spacing w:line="240" w:lineRule="auto"/>
      </w:pPr>
      <w:r w:rsidRPr="00273810">
        <w:t xml:space="preserve"> </w:t>
      </w:r>
    </w:p>
    <w:tbl>
      <w:tblPr>
        <w:tblW w:w="9366" w:type="dxa"/>
        <w:tblCellMar>
          <w:left w:w="70" w:type="dxa"/>
          <w:right w:w="70" w:type="dxa"/>
        </w:tblCellMar>
        <w:tblLook w:val="0000" w:firstRow="0" w:lastRow="0" w:firstColumn="0" w:lastColumn="0" w:noHBand="0" w:noVBand="0"/>
      </w:tblPr>
      <w:tblGrid>
        <w:gridCol w:w="4683"/>
        <w:gridCol w:w="4683"/>
      </w:tblGrid>
      <w:tr w:rsidR="00012CC3" w:rsidRPr="00273810" w14:paraId="147BF33E" w14:textId="2329A9B3" w:rsidTr="00012CC3">
        <w:tc>
          <w:tcPr>
            <w:tcW w:w="4683" w:type="dxa"/>
          </w:tcPr>
          <w:p w14:paraId="7F6D1DC4" w14:textId="77777777" w:rsidR="00012CC3" w:rsidRPr="00012CC3" w:rsidRDefault="00012CC3" w:rsidP="00012CC3">
            <w:pPr>
              <w:pStyle w:val="Tableaudroiteanglais"/>
              <w:spacing w:line="240" w:lineRule="auto"/>
              <w:ind w:left="634"/>
              <w:rPr>
                <w:b/>
              </w:rPr>
            </w:pPr>
            <w:r w:rsidRPr="00012CC3">
              <w:rPr>
                <w:b/>
              </w:rPr>
              <w:t xml:space="preserve">When deemed to be </w:t>
            </w:r>
            <w:proofErr w:type="gramStart"/>
            <w:r w:rsidRPr="00012CC3">
              <w:rPr>
                <w:b/>
              </w:rPr>
              <w:t>used</w:t>
            </w:r>
            <w:proofErr w:type="gramEnd"/>
          </w:p>
          <w:p w14:paraId="181BF6CB" w14:textId="77777777" w:rsidR="00012CC3" w:rsidRPr="00012CC3" w:rsidRDefault="00012CC3" w:rsidP="00012CC3">
            <w:pPr>
              <w:pStyle w:val="Tableaudroiteanglais"/>
              <w:spacing w:line="240" w:lineRule="auto"/>
              <w:ind w:left="634"/>
            </w:pPr>
          </w:p>
          <w:p w14:paraId="03D796B4" w14:textId="77777777" w:rsidR="00012CC3" w:rsidRPr="00012CC3" w:rsidRDefault="00012CC3" w:rsidP="00012CC3">
            <w:pPr>
              <w:pStyle w:val="Tableaudroiteanglais"/>
              <w:spacing w:line="240" w:lineRule="auto"/>
              <w:ind w:left="634"/>
            </w:pPr>
          </w:p>
          <w:p w14:paraId="00BD196A" w14:textId="77777777" w:rsidR="00012CC3" w:rsidRPr="00012CC3" w:rsidRDefault="00012CC3" w:rsidP="00012CC3">
            <w:pPr>
              <w:pStyle w:val="Tableaudroiteanglais"/>
              <w:spacing w:line="240" w:lineRule="auto"/>
              <w:ind w:left="634"/>
            </w:pPr>
            <w:r w:rsidRPr="00012CC3">
              <w:rPr>
                <w:b/>
              </w:rPr>
              <w:t>4 (1)</w:t>
            </w:r>
            <w:r w:rsidRPr="00012CC3">
              <w:t xml:space="preserve"> (…) </w:t>
            </w:r>
          </w:p>
          <w:p w14:paraId="71849673" w14:textId="77777777" w:rsidR="00012CC3" w:rsidRPr="00012CC3" w:rsidRDefault="00012CC3" w:rsidP="00012CC3">
            <w:pPr>
              <w:pStyle w:val="Tableaudroiteanglais"/>
              <w:spacing w:line="240" w:lineRule="auto"/>
              <w:ind w:left="634"/>
            </w:pPr>
          </w:p>
          <w:p w14:paraId="068CBAA9" w14:textId="77777777" w:rsidR="00012CC3" w:rsidRPr="00012CC3" w:rsidRDefault="00012CC3" w:rsidP="00012CC3">
            <w:pPr>
              <w:pStyle w:val="Tableaudroiteanglais"/>
              <w:spacing w:line="240" w:lineRule="auto"/>
              <w:ind w:left="634"/>
            </w:pPr>
            <w:r w:rsidRPr="00012CC3">
              <w:rPr>
                <w:b/>
              </w:rPr>
              <w:t>(2)</w:t>
            </w:r>
            <w:r w:rsidRPr="00012CC3">
              <w:t xml:space="preserve"> A trademark is deemed to be </w:t>
            </w:r>
            <w:r w:rsidRPr="00012CC3">
              <w:rPr>
                <w:u w:val="single"/>
              </w:rPr>
              <w:t>used in association with services if it is used or displayed in the performance or advertising of those services</w:t>
            </w:r>
            <w:r w:rsidRPr="00012CC3">
              <w:t>.</w:t>
            </w:r>
          </w:p>
          <w:p w14:paraId="5FE18E3B" w14:textId="77777777" w:rsidR="00012CC3" w:rsidRPr="00012CC3" w:rsidRDefault="00012CC3" w:rsidP="00012CC3">
            <w:pPr>
              <w:pStyle w:val="Tableaudroiteanglais"/>
              <w:spacing w:line="240" w:lineRule="auto"/>
              <w:ind w:left="634"/>
            </w:pPr>
          </w:p>
          <w:p w14:paraId="6B1A470C" w14:textId="3BF53665" w:rsidR="00012CC3" w:rsidRPr="00012CC3" w:rsidRDefault="00012CC3" w:rsidP="00012CC3">
            <w:pPr>
              <w:pStyle w:val="Tableaudroiteanglais"/>
              <w:spacing w:line="240" w:lineRule="auto"/>
              <w:ind w:left="634"/>
            </w:pPr>
            <w:r w:rsidRPr="00012CC3">
              <w:t>…</w:t>
            </w:r>
          </w:p>
          <w:p w14:paraId="6A247A7D" w14:textId="3BD9C4B6" w:rsidR="00012CC3" w:rsidRPr="00012CC3" w:rsidRDefault="00012CC3" w:rsidP="00012CC3">
            <w:pPr>
              <w:pStyle w:val="Tableaudroiteanglais"/>
              <w:spacing w:line="240" w:lineRule="auto"/>
              <w:jc w:val="right"/>
            </w:pPr>
          </w:p>
        </w:tc>
        <w:tc>
          <w:tcPr>
            <w:tcW w:w="4683" w:type="dxa"/>
          </w:tcPr>
          <w:p w14:paraId="3E02FCEA" w14:textId="77777777" w:rsidR="00012CC3" w:rsidRPr="00012CC3" w:rsidRDefault="00012CC3" w:rsidP="00012CC3">
            <w:pPr>
              <w:pStyle w:val="Tableaugauchefranais"/>
              <w:spacing w:line="240" w:lineRule="auto"/>
              <w:ind w:left="496"/>
              <w:rPr>
                <w:b/>
                <w:bCs/>
                <w:lang w:val="fr-CA"/>
              </w:rPr>
            </w:pPr>
            <w:r w:rsidRPr="00012CC3">
              <w:rPr>
                <w:sz w:val="24"/>
                <w:lang w:val="fr-CA"/>
              </w:rPr>
              <w:lastRenderedPageBreak/>
              <w:br w:type="page"/>
            </w:r>
            <w:r w:rsidRPr="00012CC3">
              <w:rPr>
                <w:sz w:val="24"/>
                <w:lang w:val="fr-CA"/>
              </w:rPr>
              <w:br w:type="page"/>
            </w:r>
            <w:r w:rsidRPr="00012CC3">
              <w:rPr>
                <w:b/>
                <w:bCs/>
                <w:lang w:val="fr-CA"/>
              </w:rPr>
              <w:t>Quand une marque de commerce est réputée employée</w:t>
            </w:r>
          </w:p>
          <w:p w14:paraId="13AD6B89" w14:textId="77777777" w:rsidR="00012CC3" w:rsidRPr="00012CC3" w:rsidRDefault="00012CC3" w:rsidP="00012CC3">
            <w:pPr>
              <w:pStyle w:val="Tableaugauchefranais"/>
              <w:spacing w:line="240" w:lineRule="auto"/>
              <w:ind w:left="496"/>
              <w:rPr>
                <w:b/>
                <w:bCs/>
                <w:lang w:val="fr-CA"/>
              </w:rPr>
            </w:pPr>
          </w:p>
          <w:p w14:paraId="7F032807" w14:textId="77777777" w:rsidR="00012CC3" w:rsidRPr="00012CC3" w:rsidRDefault="00012CC3" w:rsidP="00012CC3">
            <w:pPr>
              <w:pStyle w:val="Tableaugauchefranais"/>
              <w:spacing w:line="240" w:lineRule="auto"/>
              <w:ind w:left="496"/>
              <w:rPr>
                <w:bCs/>
                <w:lang w:val="fr-CA"/>
              </w:rPr>
            </w:pPr>
            <w:r w:rsidRPr="00012CC3">
              <w:rPr>
                <w:b/>
                <w:bCs/>
                <w:lang w:val="fr-CA"/>
              </w:rPr>
              <w:t xml:space="preserve">4 (1) </w:t>
            </w:r>
            <w:r w:rsidRPr="00012CC3">
              <w:rPr>
                <w:bCs/>
                <w:lang w:val="fr-CA"/>
              </w:rPr>
              <w:t>(…)</w:t>
            </w:r>
          </w:p>
          <w:p w14:paraId="37239CC3" w14:textId="77777777" w:rsidR="00012CC3" w:rsidRPr="00012CC3" w:rsidRDefault="00012CC3" w:rsidP="00012CC3">
            <w:pPr>
              <w:pStyle w:val="Tableaugauchefranais"/>
              <w:spacing w:line="240" w:lineRule="auto"/>
              <w:ind w:left="496"/>
              <w:rPr>
                <w:b/>
                <w:bCs/>
                <w:lang w:val="fr-CA"/>
              </w:rPr>
            </w:pPr>
          </w:p>
          <w:p w14:paraId="6C41C75E" w14:textId="77777777" w:rsidR="00012CC3" w:rsidRPr="00012CC3" w:rsidRDefault="00012CC3" w:rsidP="00012CC3">
            <w:pPr>
              <w:pStyle w:val="Tableaugauchefranais"/>
              <w:spacing w:line="240" w:lineRule="auto"/>
              <w:ind w:left="496"/>
              <w:rPr>
                <w:bCs/>
                <w:lang w:val="fr-CA"/>
              </w:rPr>
            </w:pPr>
            <w:r w:rsidRPr="00012CC3">
              <w:rPr>
                <w:b/>
                <w:bCs/>
                <w:lang w:val="fr-CA"/>
              </w:rPr>
              <w:t xml:space="preserve">(2) </w:t>
            </w:r>
            <w:r w:rsidRPr="00012CC3">
              <w:rPr>
                <w:bCs/>
                <w:lang w:val="fr-CA"/>
              </w:rPr>
              <w:t xml:space="preserve">Une marque de commerce est réputée </w:t>
            </w:r>
            <w:r w:rsidRPr="00012CC3">
              <w:rPr>
                <w:bCs/>
                <w:u w:val="single"/>
                <w:lang w:val="fr-CA"/>
              </w:rPr>
              <w:t>employée en liaison avec des services si elle est employée ou montrée dans l’exécution ou l’annonce de ces services</w:t>
            </w:r>
            <w:r w:rsidRPr="00012CC3">
              <w:rPr>
                <w:bCs/>
                <w:lang w:val="fr-CA"/>
              </w:rPr>
              <w:t>.</w:t>
            </w:r>
          </w:p>
          <w:p w14:paraId="328A5BE2" w14:textId="77777777" w:rsidR="00012CC3" w:rsidRPr="00012CC3" w:rsidRDefault="00012CC3" w:rsidP="00012CC3">
            <w:pPr>
              <w:pStyle w:val="Tableaugauchefranais"/>
              <w:spacing w:line="240" w:lineRule="auto"/>
              <w:ind w:left="496"/>
              <w:rPr>
                <w:bCs/>
              </w:rPr>
            </w:pPr>
            <w:r w:rsidRPr="00012CC3">
              <w:rPr>
                <w:bCs/>
              </w:rPr>
              <w:lastRenderedPageBreak/>
              <w:t>[…]</w:t>
            </w:r>
          </w:p>
          <w:p w14:paraId="105FFD7D" w14:textId="5B7242ED" w:rsidR="00012CC3" w:rsidRPr="00012CC3" w:rsidRDefault="00012CC3" w:rsidP="00012CC3">
            <w:pPr>
              <w:pStyle w:val="Tableaudroiteanglais"/>
              <w:spacing w:line="240" w:lineRule="auto"/>
              <w:jc w:val="right"/>
              <w:rPr>
                <w:b/>
              </w:rPr>
            </w:pPr>
            <w:r w:rsidRPr="004567C6">
              <w:t>[Emphasis added]</w:t>
            </w:r>
          </w:p>
        </w:tc>
      </w:tr>
    </w:tbl>
    <w:p w14:paraId="722F3F3A" w14:textId="01BE4369" w:rsidR="001B46E4" w:rsidRPr="00273810" w:rsidRDefault="00F245AB" w:rsidP="003C0F1B">
      <w:pPr>
        <w:pStyle w:val="Paragraphe"/>
        <w:spacing w:line="240" w:lineRule="auto"/>
      </w:pPr>
      <w:r w:rsidRPr="00273810">
        <w:lastRenderedPageBreak/>
        <w:t xml:space="preserve">In </w:t>
      </w:r>
      <w:r w:rsidR="0087482A">
        <w:t>short</w:t>
      </w:r>
      <w:r w:rsidRPr="00273810">
        <w:t xml:space="preserve">, to benefit from </w:t>
      </w:r>
      <w:r w:rsidR="00811968" w:rsidRPr="00273810">
        <w:t xml:space="preserve">protection </w:t>
      </w:r>
      <w:r w:rsidRPr="00273810">
        <w:t xml:space="preserve">under the </w:t>
      </w:r>
      <w:r w:rsidRPr="00273810">
        <w:rPr>
          <w:i/>
        </w:rPr>
        <w:t>TA,</w:t>
      </w:r>
      <w:r w:rsidRPr="00273810">
        <w:t xml:space="preserve"> a trademark must meet the following </w:t>
      </w:r>
      <w:r w:rsidR="00811968" w:rsidRPr="00273810">
        <w:t xml:space="preserve">conditions: </w:t>
      </w:r>
      <w:r w:rsidRPr="00273810">
        <w:t xml:space="preserve">it must be distinctive (inherently or </w:t>
      </w:r>
      <w:r w:rsidR="00B429EF" w:rsidRPr="00273810">
        <w:t xml:space="preserve">acquired </w:t>
      </w:r>
      <w:r w:rsidRPr="00273810">
        <w:t>with use)</w:t>
      </w:r>
      <w:r w:rsidR="00B429EF" w:rsidRPr="00273810">
        <w:t>;</w:t>
      </w:r>
      <w:r w:rsidR="00811968" w:rsidRPr="00273810">
        <w:t xml:space="preserve"> </w:t>
      </w:r>
      <w:r w:rsidR="00B429EF" w:rsidRPr="00273810">
        <w:t xml:space="preserve">it must </w:t>
      </w:r>
      <w:proofErr w:type="gramStart"/>
      <w:r w:rsidR="0087482A">
        <w:t xml:space="preserve">actually </w:t>
      </w:r>
      <w:r w:rsidR="00B429EF" w:rsidRPr="00273810">
        <w:t>be</w:t>
      </w:r>
      <w:proofErr w:type="gramEnd"/>
      <w:r w:rsidR="00B429EF" w:rsidRPr="00273810">
        <w:t xml:space="preserve"> used</w:t>
      </w:r>
      <w:r w:rsidR="00012CC3">
        <w:t>,</w:t>
      </w:r>
      <w:r w:rsidR="00B429EF" w:rsidRPr="00273810">
        <w:t xml:space="preserve"> and this use must be associat</w:t>
      </w:r>
      <w:r w:rsidR="0087482A">
        <w:t>ed</w:t>
      </w:r>
      <w:r w:rsidR="00B429EF" w:rsidRPr="00273810">
        <w:t xml:space="preserve"> with products or, as in this case, with services. </w:t>
      </w:r>
    </w:p>
    <w:p w14:paraId="19998CA2" w14:textId="2F609237" w:rsidR="002270F9" w:rsidRPr="00273810" w:rsidRDefault="0087482A" w:rsidP="003C0F1B">
      <w:pPr>
        <w:pStyle w:val="Paragraphe"/>
        <w:spacing w:line="240" w:lineRule="auto"/>
      </w:pPr>
      <w:r>
        <w:t xml:space="preserve">Considering </w:t>
      </w:r>
      <w:r w:rsidR="00B429EF" w:rsidRPr="00273810">
        <w:t>these principles</w:t>
      </w:r>
      <w:r>
        <w:t>,</w:t>
      </w:r>
      <w:r w:rsidR="00B429EF" w:rsidRPr="00273810">
        <w:t xml:space="preserve"> </w:t>
      </w:r>
      <w:r>
        <w:t xml:space="preserve">what </w:t>
      </w:r>
      <w:r w:rsidR="0081301D">
        <w:t xml:space="preserve">should we now make </w:t>
      </w:r>
      <w:r>
        <w:t xml:space="preserve">of </w:t>
      </w:r>
      <w:r w:rsidR="00B429EF" w:rsidRPr="00273810">
        <w:t xml:space="preserve">the appellant’s </w:t>
      </w:r>
      <w:r>
        <w:t xml:space="preserve">ground </w:t>
      </w:r>
      <w:r w:rsidR="00B429EF" w:rsidRPr="00273810">
        <w:t>that the judge committed a reviewable error in finding that the names “</w:t>
      </w:r>
      <w:r w:rsidR="00F34BA3" w:rsidRPr="00273810">
        <w:t>Ville du Rock</w:t>
      </w:r>
      <w:r w:rsidR="00B429EF" w:rsidRPr="00273810">
        <w:t>”</w:t>
      </w:r>
      <w:r w:rsidR="00F34BA3" w:rsidRPr="00273810">
        <w:t xml:space="preserve"> </w:t>
      </w:r>
      <w:r w:rsidR="00B429EF" w:rsidRPr="00273810">
        <w:t>and “</w:t>
      </w:r>
      <w:r w:rsidR="00F34BA3" w:rsidRPr="00273810">
        <w:t>Lévis Ville du Rock</w:t>
      </w:r>
      <w:r w:rsidR="00B429EF" w:rsidRPr="00273810">
        <w:t xml:space="preserve">” are trademarks </w:t>
      </w:r>
      <w:r>
        <w:t xml:space="preserve">owned by </w:t>
      </w:r>
      <w:r w:rsidR="0098209A">
        <w:t xml:space="preserve">the </w:t>
      </w:r>
      <w:r w:rsidR="00615CF8" w:rsidRPr="00273810">
        <w:t xml:space="preserve">respondent </w:t>
      </w:r>
      <w:r w:rsidR="00A52F54" w:rsidRPr="00273810">
        <w:t>9220?</w:t>
      </w:r>
    </w:p>
    <w:p w14:paraId="32B4E05E" w14:textId="0B5F0ABB" w:rsidR="00BE68F4" w:rsidRPr="00D178B0" w:rsidRDefault="00615CF8" w:rsidP="003C0F1B">
      <w:pPr>
        <w:pStyle w:val="Paragraphe"/>
        <w:spacing w:line="240" w:lineRule="auto"/>
      </w:pPr>
      <w:r w:rsidRPr="00273810">
        <w:t xml:space="preserve">First, the record as it stands </w:t>
      </w:r>
      <w:r w:rsidR="0087482A">
        <w:t xml:space="preserve">establishes </w:t>
      </w:r>
      <w:r w:rsidRPr="00273810">
        <w:t xml:space="preserve">that no evidence </w:t>
      </w:r>
      <w:r w:rsidR="0087482A">
        <w:t xml:space="preserve">was adduced </w:t>
      </w:r>
      <w:r w:rsidR="0081301D">
        <w:t xml:space="preserve">as to </w:t>
      </w:r>
      <w:r w:rsidRPr="00273810">
        <w:t xml:space="preserve">continued use by either respondent of the </w:t>
      </w:r>
      <w:r w:rsidR="00170436">
        <w:t>merely</w:t>
      </w:r>
      <w:r w:rsidRPr="00273810">
        <w:t xml:space="preserve"> descriptive and generic term or name “Ville du Rock” in </w:t>
      </w:r>
      <w:r w:rsidR="0087482A">
        <w:t xml:space="preserve">association </w:t>
      </w:r>
      <w:r w:rsidRPr="00273810">
        <w:t xml:space="preserve">with the music contests they </w:t>
      </w:r>
      <w:r w:rsidRPr="00D178B0">
        <w:t xml:space="preserve">organized. In these matters, and in the circumstances revealed in this case, more cannot </w:t>
      </w:r>
      <w:proofErr w:type="gramStart"/>
      <w:r w:rsidR="0081301D">
        <w:t>include</w:t>
      </w:r>
      <w:r w:rsidR="0081301D" w:rsidRPr="00D178B0">
        <w:t xml:space="preserve"> </w:t>
      </w:r>
      <w:r w:rsidRPr="00D178B0">
        <w:t>less,</w:t>
      </w:r>
      <w:proofErr w:type="gramEnd"/>
      <w:r w:rsidRPr="00D178B0">
        <w:t xml:space="preserve"> </w:t>
      </w:r>
      <w:r w:rsidR="0087482A">
        <w:t xml:space="preserve">such that </w:t>
      </w:r>
      <w:r w:rsidRPr="00D178B0">
        <w:t xml:space="preserve">it </w:t>
      </w:r>
      <w:r w:rsidR="0087482A">
        <w:t xml:space="preserve">does not </w:t>
      </w:r>
      <w:r w:rsidRPr="00D178B0">
        <w:t>automatically follow that </w:t>
      </w:r>
      <w:r w:rsidR="0087482A">
        <w:t>because</w:t>
      </w:r>
      <w:r w:rsidR="00170436" w:rsidRPr="00D178B0">
        <w:t xml:space="preserve"> </w:t>
      </w:r>
      <w:r w:rsidRPr="00D178B0">
        <w:t>“</w:t>
      </w:r>
      <w:r w:rsidR="00F34BA3" w:rsidRPr="00D178B0">
        <w:t xml:space="preserve">Lévis </w:t>
      </w:r>
      <w:r w:rsidR="008A2961" w:rsidRPr="00D178B0">
        <w:t>V</w:t>
      </w:r>
      <w:r w:rsidR="00F34BA3" w:rsidRPr="00D178B0">
        <w:t>ille du Rock</w:t>
      </w:r>
      <w:r w:rsidRPr="00D178B0">
        <w:t xml:space="preserve">” </w:t>
      </w:r>
      <w:r w:rsidR="0087482A">
        <w:t xml:space="preserve">is </w:t>
      </w:r>
      <w:r w:rsidRPr="00D178B0">
        <w:t>a trademark</w:t>
      </w:r>
      <w:r w:rsidR="00170436" w:rsidRPr="00D178B0">
        <w:t xml:space="preserve">, </w:t>
      </w:r>
      <w:r w:rsidRPr="00D178B0">
        <w:t>“</w:t>
      </w:r>
      <w:r w:rsidR="001B46E4" w:rsidRPr="00D178B0">
        <w:t>Ville du Rock</w:t>
      </w:r>
      <w:r w:rsidRPr="00D178B0">
        <w:t>”</w:t>
      </w:r>
      <w:r w:rsidR="00170436" w:rsidRPr="00D178B0">
        <w:t xml:space="preserve"> is necessarily one</w:t>
      </w:r>
      <w:r w:rsidR="00F34BA3" w:rsidRPr="00D178B0">
        <w:t>.</w:t>
      </w:r>
    </w:p>
    <w:p w14:paraId="601054DB" w14:textId="5CC712DB" w:rsidR="00760B88" w:rsidRPr="00273810" w:rsidRDefault="00DD4C83" w:rsidP="003C0F1B">
      <w:pPr>
        <w:pStyle w:val="Paragraphe"/>
        <w:spacing w:line="240" w:lineRule="auto"/>
      </w:pPr>
      <w:r w:rsidRPr="00273810">
        <w:t xml:space="preserve">The judge therefore </w:t>
      </w:r>
      <w:r w:rsidR="004B6CD8">
        <w:t xml:space="preserve">committed </w:t>
      </w:r>
      <w:r w:rsidRPr="00273810">
        <w:t xml:space="preserve">a reviewable error in concluding that these </w:t>
      </w:r>
      <w:r w:rsidR="0087482A" w:rsidRPr="00273810">
        <w:t xml:space="preserve">purely generic and descriptive </w:t>
      </w:r>
      <w:r w:rsidRPr="00273810">
        <w:t xml:space="preserve">words </w:t>
      </w:r>
      <w:r w:rsidR="0087482A">
        <w:t xml:space="preserve">alone </w:t>
      </w:r>
      <w:r w:rsidRPr="00273810">
        <w:t xml:space="preserve">constitute a trademark </w:t>
      </w:r>
      <w:r w:rsidR="0087482A">
        <w:t xml:space="preserve">owned by </w:t>
      </w:r>
      <w:r w:rsidR="00A52F54" w:rsidRPr="00273810">
        <w:t>9220</w:t>
      </w:r>
      <w:r w:rsidR="00F34BA3" w:rsidRPr="00273810">
        <w:t>.</w:t>
      </w:r>
      <w:r w:rsidR="0008605E" w:rsidRPr="00273810">
        <w:t xml:space="preserve"> </w:t>
      </w:r>
    </w:p>
    <w:p w14:paraId="6D94462C" w14:textId="3BB71DF9" w:rsidR="002270F9" w:rsidRPr="00273810" w:rsidRDefault="00F14678" w:rsidP="003C0F1B">
      <w:pPr>
        <w:pStyle w:val="Paragraphe"/>
        <w:spacing w:line="240" w:lineRule="auto"/>
      </w:pPr>
      <w:r>
        <w:t xml:space="preserve">There is therefore reason to intervene </w:t>
      </w:r>
      <w:r w:rsidR="00DD4C83" w:rsidRPr="00273810">
        <w:t xml:space="preserve">to set aside </w:t>
      </w:r>
      <w:r w:rsidR="0087482A">
        <w:t xml:space="preserve">and vary </w:t>
      </w:r>
      <w:r w:rsidR="00DD4C83" w:rsidRPr="00273810">
        <w:t xml:space="preserve">the </w:t>
      </w:r>
      <w:r w:rsidR="004B6D74">
        <w:t>conclusions</w:t>
      </w:r>
      <w:r w:rsidR="00DD4C83" w:rsidRPr="00273810">
        <w:t xml:space="preserve"> </w:t>
      </w:r>
      <w:r w:rsidR="009E6EC9">
        <w:t xml:space="preserve">at issue </w:t>
      </w:r>
      <w:r w:rsidR="00DD4C83" w:rsidRPr="00273810">
        <w:t xml:space="preserve">in the judgment under appeal </w:t>
      </w:r>
      <w:r w:rsidR="0087482A">
        <w:t xml:space="preserve">to </w:t>
      </w:r>
      <w:r w:rsidR="00DD4C83" w:rsidRPr="00273810">
        <w:t>remov</w:t>
      </w:r>
      <w:r w:rsidR="0087482A">
        <w:t>e</w:t>
      </w:r>
      <w:r w:rsidR="00DD4C83" w:rsidRPr="00273810">
        <w:t xml:space="preserve"> the reference to “</w:t>
      </w:r>
      <w:r w:rsidR="00F34BA3" w:rsidRPr="00273810">
        <w:t>Ville du Rock</w:t>
      </w:r>
      <w:r w:rsidR="00DD4C83" w:rsidRPr="00273810">
        <w:t>”</w:t>
      </w:r>
      <w:r w:rsidR="00F34BA3" w:rsidRPr="00273810">
        <w:t>.</w:t>
      </w:r>
    </w:p>
    <w:p w14:paraId="6C550669" w14:textId="53244DF0" w:rsidR="008463C2" w:rsidRPr="00273810" w:rsidRDefault="00DD4C83" w:rsidP="00D75624">
      <w:pPr>
        <w:pStyle w:val="Paragraphe"/>
        <w:spacing w:line="240" w:lineRule="auto"/>
      </w:pPr>
      <w:r w:rsidRPr="00273810">
        <w:t>As for “</w:t>
      </w:r>
      <w:r w:rsidR="00F34BA3" w:rsidRPr="00273810">
        <w:t>Lévis Ville du Rock</w:t>
      </w:r>
      <w:r w:rsidRPr="00273810">
        <w:t>”</w:t>
      </w:r>
      <w:r w:rsidR="00F34BA3" w:rsidRPr="00273810">
        <w:t xml:space="preserve">, </w:t>
      </w:r>
      <w:r w:rsidR="00D75624" w:rsidRPr="00273810">
        <w:t xml:space="preserve">the </w:t>
      </w:r>
      <w:r w:rsidR="00F34BA3" w:rsidRPr="00273810">
        <w:t>ju</w:t>
      </w:r>
      <w:r w:rsidR="00D75624" w:rsidRPr="00273810">
        <w:t>d</w:t>
      </w:r>
      <w:r w:rsidR="00F34BA3" w:rsidRPr="00273810">
        <w:t xml:space="preserve">ge </w:t>
      </w:r>
      <w:r w:rsidR="00D75624" w:rsidRPr="00273810">
        <w:t xml:space="preserve">found that it </w:t>
      </w:r>
      <w:r w:rsidR="0087482A">
        <w:t>i</w:t>
      </w:r>
      <w:r w:rsidR="00D75624" w:rsidRPr="00273810">
        <w:t xml:space="preserve">s a trademark owned by the respondent </w:t>
      </w:r>
      <w:r w:rsidR="00E502F5" w:rsidRPr="00273810">
        <w:t xml:space="preserve">9220. </w:t>
      </w:r>
      <w:r w:rsidR="009E6EC9">
        <w:t>From</w:t>
      </w:r>
      <w:r w:rsidR="009E6EC9" w:rsidRPr="00273810">
        <w:t xml:space="preserve"> </w:t>
      </w:r>
      <w:r w:rsidR="00E540F9" w:rsidRPr="00273810">
        <w:t xml:space="preserve">2010 </w:t>
      </w:r>
      <w:r w:rsidR="00D75624" w:rsidRPr="00273810">
        <w:t xml:space="preserve">until </w:t>
      </w:r>
      <w:r w:rsidR="00E46F71" w:rsidRPr="00273810">
        <w:t>2018</w:t>
      </w:r>
      <w:r w:rsidR="009E6EC9">
        <w:t>,</w:t>
      </w:r>
      <w:r w:rsidR="00E46F71" w:rsidRPr="00273810">
        <w:t xml:space="preserve"> </w:t>
      </w:r>
      <w:r w:rsidR="00D75624" w:rsidRPr="00273810">
        <w:t xml:space="preserve">when the dispute arose between the </w:t>
      </w:r>
      <w:r w:rsidR="00E46F71" w:rsidRPr="00273810">
        <w:t xml:space="preserve">parties, </w:t>
      </w:r>
      <w:r w:rsidR="00D75624" w:rsidRPr="00273810">
        <w:t>9220 us</w:t>
      </w:r>
      <w:r w:rsidR="00916663">
        <w:t>ed</w:t>
      </w:r>
      <w:r w:rsidR="00D75624" w:rsidRPr="00273810">
        <w:t xml:space="preserve"> this name </w:t>
      </w:r>
      <w:r w:rsidR="0087482A">
        <w:t xml:space="preserve">in </w:t>
      </w:r>
      <w:r w:rsidR="00D75624" w:rsidRPr="00273810">
        <w:t xml:space="preserve">close connection with the public music contests organized at </w:t>
      </w:r>
      <w:r w:rsidR="004B6D74">
        <w:t>the respondent’s</w:t>
      </w:r>
      <w:r w:rsidR="00D75624" w:rsidRPr="00273810">
        <w:t xml:space="preserve"> </w:t>
      </w:r>
      <w:r w:rsidR="0087482A">
        <w:t>establishment</w:t>
      </w:r>
      <w:r w:rsidR="00D75624" w:rsidRPr="00273810">
        <w:t xml:space="preserve">, the </w:t>
      </w:r>
      <w:r w:rsidRPr="00273810">
        <w:t>“</w:t>
      </w:r>
      <w:r w:rsidR="00A32755" w:rsidRPr="00273810">
        <w:t>P’tite G</w:t>
      </w:r>
      <w:r w:rsidR="00231226" w:rsidRPr="00273810">
        <w:t>renouille de Lévis</w:t>
      </w:r>
      <w:r w:rsidR="00D75624" w:rsidRPr="00273810">
        <w:t>”.</w:t>
      </w:r>
      <w:r w:rsidR="00E502F5" w:rsidRPr="00273810">
        <w:t xml:space="preserve"> </w:t>
      </w:r>
      <w:r w:rsidR="0087482A">
        <w:t xml:space="preserve">It </w:t>
      </w:r>
      <w:r w:rsidR="00AC3606" w:rsidRPr="00273810">
        <w:t xml:space="preserve">therefore </w:t>
      </w:r>
      <w:r w:rsidR="0087482A">
        <w:t>made public, continued</w:t>
      </w:r>
      <w:r w:rsidR="00916663">
        <w:t>,</w:t>
      </w:r>
      <w:r w:rsidR="0087482A">
        <w:t xml:space="preserve"> and constant </w:t>
      </w:r>
      <w:r w:rsidR="005C09D7" w:rsidRPr="00273810">
        <w:t>use of it</w:t>
      </w:r>
      <w:r w:rsidR="00AC3606" w:rsidRPr="00273810">
        <w:t xml:space="preserve"> </w:t>
      </w:r>
      <w:r w:rsidR="00916663">
        <w:t>in</w:t>
      </w:r>
      <w:r w:rsidR="00916663" w:rsidRPr="00273810">
        <w:t xml:space="preserve"> </w:t>
      </w:r>
      <w:r w:rsidR="00AC3606" w:rsidRPr="00D178B0">
        <w:t>large</w:t>
      </w:r>
      <w:r w:rsidR="005A63FD" w:rsidRPr="00D178B0">
        <w:t>-</w:t>
      </w:r>
      <w:r w:rsidR="00AC3606" w:rsidRPr="00D178B0">
        <w:t>scale</w:t>
      </w:r>
      <w:r w:rsidR="00AC3606" w:rsidRPr="00273810">
        <w:t xml:space="preserve"> advertising,</w:t>
      </w:r>
      <w:r w:rsidR="00AC3606" w:rsidRPr="00273810">
        <w:rPr>
          <w:rStyle w:val="Appelnotedebasdep"/>
          <w:lang w:val="en-CA"/>
        </w:rPr>
        <w:footnoteReference w:id="19"/>
      </w:r>
      <w:r w:rsidR="00AC3606" w:rsidRPr="00273810">
        <w:t xml:space="preserve"> and</w:t>
      </w:r>
      <w:r w:rsidR="004B6D74">
        <w:t xml:space="preserve"> </w:t>
      </w:r>
      <w:r w:rsidR="00AC3606" w:rsidRPr="00273810">
        <w:t xml:space="preserve">this specific name </w:t>
      </w:r>
      <w:r w:rsidR="00916663">
        <w:t xml:space="preserve">therefore contributed </w:t>
      </w:r>
      <w:r w:rsidR="00AC3606" w:rsidRPr="00273810">
        <w:t>to develop</w:t>
      </w:r>
      <w:r w:rsidR="00916663">
        <w:t>ing</w:t>
      </w:r>
      <w:r w:rsidR="00AC3606" w:rsidRPr="00273810">
        <w:t xml:space="preserve"> significant goodwill. Moreover, t</w:t>
      </w:r>
      <w:r w:rsidR="00962B81" w:rsidRPr="00273810">
        <w:t>he appellant</w:t>
      </w:r>
      <w:r w:rsidR="00E46F71" w:rsidRPr="00273810">
        <w:t xml:space="preserve"> </w:t>
      </w:r>
      <w:r w:rsidR="00AC3606" w:rsidRPr="00273810">
        <w:t xml:space="preserve">does not dispute the </w:t>
      </w:r>
      <w:r w:rsidR="00916663">
        <w:t xml:space="preserve">marked </w:t>
      </w:r>
      <w:r w:rsidR="00AC3606" w:rsidRPr="00273810">
        <w:t>increase in goodwill associated with “</w:t>
      </w:r>
      <w:r w:rsidR="00E502F5" w:rsidRPr="00273810">
        <w:t>Lévis Ville du Rock</w:t>
      </w:r>
      <w:r w:rsidR="00AC3606" w:rsidRPr="00273810">
        <w:t>”</w:t>
      </w:r>
      <w:r w:rsidR="00E502F5" w:rsidRPr="00273810">
        <w:t xml:space="preserve"> </w:t>
      </w:r>
      <w:r w:rsidR="00AC3606" w:rsidRPr="00273810">
        <w:t xml:space="preserve">between </w:t>
      </w:r>
      <w:r w:rsidR="00E502F5" w:rsidRPr="00273810">
        <w:t>201</w:t>
      </w:r>
      <w:r w:rsidR="00E46F71" w:rsidRPr="00273810">
        <w:t xml:space="preserve">0 </w:t>
      </w:r>
      <w:r w:rsidR="00AC3606" w:rsidRPr="00273810">
        <w:t xml:space="preserve">and </w:t>
      </w:r>
      <w:r w:rsidR="00E46F71" w:rsidRPr="00273810">
        <w:t>2018.</w:t>
      </w:r>
    </w:p>
    <w:p w14:paraId="14E3D0E0" w14:textId="3F4FCE94" w:rsidR="00575727" w:rsidRPr="00273810" w:rsidRDefault="00B96028" w:rsidP="009C7C30">
      <w:pPr>
        <w:pStyle w:val="Paragraphe"/>
        <w:spacing w:after="0" w:line="240" w:lineRule="auto"/>
      </w:pPr>
      <w:r w:rsidRPr="00273810">
        <w:t xml:space="preserve">The judge </w:t>
      </w:r>
      <w:r w:rsidR="00916663">
        <w:t xml:space="preserve">correctly </w:t>
      </w:r>
      <w:r w:rsidR="009E6EC9">
        <w:t>directed herself in</w:t>
      </w:r>
      <w:r w:rsidR="005A63FD" w:rsidRPr="00273810">
        <w:t xml:space="preserve"> law </w:t>
      </w:r>
      <w:r w:rsidRPr="00273810">
        <w:t>by relying on the teachings of th</w:t>
      </w:r>
      <w:r w:rsidR="004B6CD8">
        <w:t>is</w:t>
      </w:r>
      <w:r w:rsidRPr="00273810">
        <w:t xml:space="preserve"> Court’s judgment in </w:t>
      </w:r>
      <w:r w:rsidR="00E540F9" w:rsidRPr="00273810">
        <w:rPr>
          <w:i/>
        </w:rPr>
        <w:t>Montréal Auto Prix</w:t>
      </w:r>
      <w:r w:rsidRPr="00273810">
        <w:rPr>
          <w:i/>
        </w:rPr>
        <w:t>.</w:t>
      </w:r>
      <w:r w:rsidR="00F34BA3" w:rsidRPr="00273810">
        <w:rPr>
          <w:rStyle w:val="Appelnotedebasdep"/>
          <w:lang w:val="en-CA"/>
        </w:rPr>
        <w:footnoteReference w:id="20"/>
      </w:r>
      <w:r w:rsidR="003C4489" w:rsidRPr="00273810">
        <w:t xml:space="preserve"> </w:t>
      </w:r>
      <w:r w:rsidRPr="00273810">
        <w:t>In th</w:t>
      </w:r>
      <w:r w:rsidR="004B6CD8">
        <w:t>at</w:t>
      </w:r>
      <w:r w:rsidRPr="00273810">
        <w:t xml:space="preserve"> case, which had </w:t>
      </w:r>
      <w:r w:rsidR="00824E97" w:rsidRPr="00273810">
        <w:t xml:space="preserve">certain </w:t>
      </w:r>
      <w:r w:rsidRPr="00273810">
        <w:t xml:space="preserve">similarities </w:t>
      </w:r>
      <w:r w:rsidR="005A63FD" w:rsidRPr="00273810">
        <w:t>to</w:t>
      </w:r>
      <w:r w:rsidR="00824E97" w:rsidRPr="00273810">
        <w:t xml:space="preserve"> the present </w:t>
      </w:r>
      <w:r w:rsidR="004B6CD8">
        <w:t>one</w:t>
      </w:r>
      <w:r w:rsidR="00824E97" w:rsidRPr="00273810">
        <w:t xml:space="preserve">, the Court found that the judge had not </w:t>
      </w:r>
      <w:r w:rsidR="004B6CD8">
        <w:t xml:space="preserve">committed </w:t>
      </w:r>
      <w:r w:rsidR="00824E97" w:rsidRPr="00273810">
        <w:t xml:space="preserve">a reviewable error in </w:t>
      </w:r>
      <w:r w:rsidR="004B6CD8">
        <w:t>determining</w:t>
      </w:r>
      <w:r w:rsidR="009E6EC9">
        <w:t>,  based on</w:t>
      </w:r>
      <w:r w:rsidR="00824E97" w:rsidRPr="00273810">
        <w:t xml:space="preserve"> the evidence and </w:t>
      </w:r>
      <w:r w:rsidR="004B6CD8">
        <w:t xml:space="preserve">the </w:t>
      </w:r>
      <w:r w:rsidR="00824E97" w:rsidRPr="00273810">
        <w:t>circumstances</w:t>
      </w:r>
      <w:r w:rsidR="009E6EC9">
        <w:t>,</w:t>
      </w:r>
      <w:r w:rsidR="005807FA" w:rsidRPr="00273810">
        <w:t xml:space="preserve"> that</w:t>
      </w:r>
      <w:r w:rsidR="009E6EC9">
        <w:t xml:space="preserve"> </w:t>
      </w:r>
      <w:r w:rsidR="005807FA" w:rsidRPr="00273810">
        <w:t>the name</w:t>
      </w:r>
      <w:r w:rsidR="00F34BA3" w:rsidRPr="00273810">
        <w:t> </w:t>
      </w:r>
      <w:r w:rsidR="005807FA" w:rsidRPr="00273810">
        <w:t>“</w:t>
      </w:r>
      <w:r w:rsidR="00F34BA3" w:rsidRPr="00273810">
        <w:t>Montréal Auto Prix</w:t>
      </w:r>
      <w:r w:rsidR="005807FA" w:rsidRPr="00273810">
        <w:t>”</w:t>
      </w:r>
      <w:r w:rsidR="009E6EC9">
        <w:t>, although appearing merely descriptive and generic at first glance,</w:t>
      </w:r>
      <w:r w:rsidR="00F34BA3" w:rsidRPr="00273810">
        <w:t xml:space="preserve"> </w:t>
      </w:r>
      <w:r w:rsidR="005807FA" w:rsidRPr="00273810">
        <w:t xml:space="preserve">was a protected trademark within the meaning of the </w:t>
      </w:r>
      <w:r w:rsidR="005807FA" w:rsidRPr="00273810">
        <w:rPr>
          <w:i/>
        </w:rPr>
        <w:t>TA</w:t>
      </w:r>
      <w:r w:rsidR="00F34BA3" w:rsidRPr="00273810">
        <w:t>:</w:t>
      </w:r>
    </w:p>
    <w:p w14:paraId="21541022" w14:textId="77777777" w:rsidR="009C7C30" w:rsidRPr="00273810" w:rsidRDefault="009C7C30" w:rsidP="00B326AC">
      <w:pPr>
        <w:pStyle w:val="Citationenretrait"/>
        <w:keepNext/>
        <w:spacing w:after="0" w:line="240" w:lineRule="auto"/>
      </w:pPr>
      <w:r w:rsidRPr="00273810">
        <w:rPr>
          <w:smallCaps/>
        </w:rPr>
        <w:lastRenderedPageBreak/>
        <w:t>[translation]</w:t>
      </w:r>
      <w:r w:rsidRPr="00273810">
        <w:t xml:space="preserve"> </w:t>
      </w:r>
    </w:p>
    <w:p w14:paraId="02D0D60E" w14:textId="650F3CD9" w:rsidR="003F3EF4" w:rsidRPr="00273810" w:rsidRDefault="00F34BA3" w:rsidP="00B326AC">
      <w:pPr>
        <w:pStyle w:val="Citationenretrait"/>
        <w:keepNext/>
        <w:spacing w:line="240" w:lineRule="auto"/>
        <w:rPr>
          <w:lang w:eastAsia="fr-CA"/>
        </w:rPr>
      </w:pPr>
      <w:r w:rsidRPr="00273810">
        <w:t>[</w:t>
      </w:r>
      <w:bookmarkStart w:id="15" w:name="par15"/>
      <w:r w:rsidRPr="00273810">
        <w:t>15</w:t>
      </w:r>
      <w:bookmarkEnd w:id="15"/>
      <w:r w:rsidRPr="00273810">
        <w:t>]</w:t>
      </w:r>
      <w:r w:rsidRPr="00273810">
        <w:rPr>
          <w:sz w:val="14"/>
          <w:szCs w:val="14"/>
        </w:rPr>
        <w:t xml:space="preserve"> </w:t>
      </w:r>
      <w:r w:rsidR="005A63FD" w:rsidRPr="00273810">
        <w:t>In this case</w:t>
      </w:r>
      <w:r w:rsidRPr="00273810">
        <w:t xml:space="preserve">, </w:t>
      </w:r>
      <w:r w:rsidR="008620B4" w:rsidRPr="00273810">
        <w:t>the evidence, as the trial judge</w:t>
      </w:r>
      <w:r w:rsidR="00867645">
        <w:t xml:space="preserve"> noted</w:t>
      </w:r>
      <w:r w:rsidR="008620B4" w:rsidRPr="00273810">
        <w:t xml:space="preserve">, </w:t>
      </w:r>
      <w:r w:rsidR="008620B4" w:rsidRPr="00273810">
        <w:rPr>
          <w:u w:val="single"/>
        </w:rPr>
        <w:t xml:space="preserve">first reveals that the </w:t>
      </w:r>
      <w:r w:rsidR="00867645">
        <w:rPr>
          <w:u w:val="single"/>
        </w:rPr>
        <w:t xml:space="preserve">respondent has been using the </w:t>
      </w:r>
      <w:r w:rsidR="008620B4" w:rsidRPr="00273810">
        <w:rPr>
          <w:u w:val="single"/>
        </w:rPr>
        <w:t xml:space="preserve">term </w:t>
      </w:r>
      <w:r w:rsidR="00AF64D1" w:rsidRPr="00273810">
        <w:rPr>
          <w:u w:val="single"/>
        </w:rPr>
        <w:t>“</w:t>
      </w:r>
      <w:r w:rsidRPr="00273810">
        <w:rPr>
          <w:u w:val="single"/>
        </w:rPr>
        <w:t>Auto Prix</w:t>
      </w:r>
      <w:r w:rsidR="00AF64D1" w:rsidRPr="00273810">
        <w:rPr>
          <w:u w:val="single"/>
        </w:rPr>
        <w:t>”</w:t>
      </w:r>
      <w:r w:rsidRPr="00273810">
        <w:rPr>
          <w:u w:val="single"/>
        </w:rPr>
        <w:t xml:space="preserve"> </w:t>
      </w:r>
      <w:r w:rsidR="00E95FB0">
        <w:rPr>
          <w:u w:val="single"/>
        </w:rPr>
        <w:t xml:space="preserve">for a few years </w:t>
      </w:r>
      <w:r w:rsidR="00867645">
        <w:rPr>
          <w:u w:val="single"/>
        </w:rPr>
        <w:t>in large-scale</w:t>
      </w:r>
      <w:r w:rsidR="00867645" w:rsidRPr="00273810">
        <w:rPr>
          <w:u w:val="single"/>
        </w:rPr>
        <w:t xml:space="preserve"> </w:t>
      </w:r>
      <w:proofErr w:type="gramStart"/>
      <w:r w:rsidR="00867645" w:rsidRPr="00273810">
        <w:rPr>
          <w:u w:val="single"/>
        </w:rPr>
        <w:t xml:space="preserve">advertising </w:t>
      </w:r>
      <w:r w:rsidR="00AF64D1" w:rsidRPr="00273810">
        <w:rPr>
          <w:u w:val="single"/>
        </w:rPr>
        <w:t xml:space="preserve"> </w:t>
      </w:r>
      <w:r w:rsidR="00E95FB0">
        <w:rPr>
          <w:u w:val="single"/>
        </w:rPr>
        <w:t>and</w:t>
      </w:r>
      <w:proofErr w:type="gramEnd"/>
      <w:r w:rsidR="00E95FB0">
        <w:rPr>
          <w:u w:val="single"/>
        </w:rPr>
        <w:t xml:space="preserve"> has </w:t>
      </w:r>
      <w:r w:rsidR="00AF64D1" w:rsidRPr="00273810">
        <w:rPr>
          <w:u w:val="single"/>
        </w:rPr>
        <w:t>quickly buil</w:t>
      </w:r>
      <w:r w:rsidR="00E95FB0">
        <w:rPr>
          <w:u w:val="single"/>
        </w:rPr>
        <w:t>t</w:t>
      </w:r>
      <w:r w:rsidR="00AF64D1" w:rsidRPr="00273810">
        <w:rPr>
          <w:u w:val="single"/>
        </w:rPr>
        <w:t xml:space="preserve"> the reputation of </w:t>
      </w:r>
      <w:r w:rsidR="00867645">
        <w:rPr>
          <w:u w:val="single"/>
        </w:rPr>
        <w:t>its</w:t>
      </w:r>
      <w:r w:rsidR="00AF64D1" w:rsidRPr="00273810">
        <w:rPr>
          <w:u w:val="single"/>
        </w:rPr>
        <w:t xml:space="preserve"> business and its services </w:t>
      </w:r>
      <w:r w:rsidR="00E95FB0">
        <w:rPr>
          <w:u w:val="single"/>
        </w:rPr>
        <w:t xml:space="preserve">in a way that </w:t>
      </w:r>
      <w:r w:rsidR="00AF64D1" w:rsidRPr="00273810">
        <w:rPr>
          <w:u w:val="single"/>
        </w:rPr>
        <w:t>identif</w:t>
      </w:r>
      <w:r w:rsidR="00E95FB0">
        <w:rPr>
          <w:u w:val="single"/>
        </w:rPr>
        <w:t>ies</w:t>
      </w:r>
      <w:r w:rsidR="00AF64D1" w:rsidRPr="00273810">
        <w:rPr>
          <w:u w:val="single"/>
        </w:rPr>
        <w:t xml:space="preserve"> and distinguish</w:t>
      </w:r>
      <w:r w:rsidR="00E95FB0">
        <w:rPr>
          <w:u w:val="single"/>
        </w:rPr>
        <w:t>es</w:t>
      </w:r>
      <w:r w:rsidR="00AF64D1" w:rsidRPr="00273810">
        <w:rPr>
          <w:u w:val="single"/>
        </w:rPr>
        <w:t xml:space="preserve"> them from other </w:t>
      </w:r>
      <w:r w:rsidR="00867645">
        <w:rPr>
          <w:u w:val="single"/>
        </w:rPr>
        <w:t>businesses</w:t>
      </w:r>
      <w:r w:rsidR="00867645" w:rsidRPr="00273810">
        <w:rPr>
          <w:u w:val="single"/>
        </w:rPr>
        <w:t xml:space="preserve"> </w:t>
      </w:r>
      <w:r w:rsidR="00AF64D1" w:rsidRPr="00273810">
        <w:rPr>
          <w:u w:val="single"/>
        </w:rPr>
        <w:t>in the</w:t>
      </w:r>
      <w:r w:rsidR="00AF64D1" w:rsidRPr="00916663">
        <w:t xml:space="preserve"> </w:t>
      </w:r>
      <w:r w:rsidR="00AF64D1" w:rsidRPr="00012CC3">
        <w:t xml:space="preserve">highly competitive </w:t>
      </w:r>
      <w:r w:rsidR="00AF64D1" w:rsidRPr="00273810">
        <w:rPr>
          <w:u w:val="single"/>
        </w:rPr>
        <w:t>market</w:t>
      </w:r>
      <w:r w:rsidR="00AF64D1" w:rsidRPr="00273810">
        <w:t xml:space="preserve"> of the purchase and sale of used vehicles. </w:t>
      </w:r>
      <w:r w:rsidR="001B3003" w:rsidRPr="00273810">
        <w:rPr>
          <w:u w:val="single"/>
        </w:rPr>
        <w:t xml:space="preserve">The respondent </w:t>
      </w:r>
      <w:r w:rsidR="00F21206" w:rsidRPr="00273810">
        <w:rPr>
          <w:u w:val="single"/>
        </w:rPr>
        <w:t xml:space="preserve">has </w:t>
      </w:r>
      <w:r w:rsidR="00867645">
        <w:rPr>
          <w:u w:val="single"/>
        </w:rPr>
        <w:t xml:space="preserve">been using it </w:t>
      </w:r>
      <w:r w:rsidR="001B3003" w:rsidRPr="00273810">
        <w:rPr>
          <w:u w:val="single"/>
        </w:rPr>
        <w:t>continuously and constantly</w:t>
      </w:r>
      <w:r w:rsidR="00E95FB0">
        <w:rPr>
          <w:u w:val="single"/>
        </w:rPr>
        <w:t>,</w:t>
      </w:r>
      <w:r w:rsidR="00867645">
        <w:rPr>
          <w:u w:val="single"/>
        </w:rPr>
        <w:t xml:space="preserve"> and </w:t>
      </w:r>
      <w:r w:rsidR="001B3003" w:rsidRPr="00273810">
        <w:rPr>
          <w:u w:val="single"/>
        </w:rPr>
        <w:t>all</w:t>
      </w:r>
      <w:r w:rsidR="00E17BEA" w:rsidRPr="00273810">
        <w:rPr>
          <w:u w:val="single"/>
        </w:rPr>
        <w:t xml:space="preserve"> its advertising and marketing </w:t>
      </w:r>
      <w:r w:rsidR="00867645">
        <w:rPr>
          <w:u w:val="single"/>
        </w:rPr>
        <w:t xml:space="preserve">is built </w:t>
      </w:r>
      <w:r w:rsidR="00E17BEA" w:rsidRPr="00273810">
        <w:rPr>
          <w:u w:val="single"/>
        </w:rPr>
        <w:t xml:space="preserve">around this term, which </w:t>
      </w:r>
      <w:r w:rsidR="00867645">
        <w:rPr>
          <w:u w:val="single"/>
        </w:rPr>
        <w:t xml:space="preserve">is the </w:t>
      </w:r>
      <w:r w:rsidR="00916663">
        <w:rPr>
          <w:u w:val="single"/>
        </w:rPr>
        <w:t>term it goes by</w:t>
      </w:r>
      <w:r w:rsidR="00C424FC">
        <w:rPr>
          <w:u w:val="single"/>
        </w:rPr>
        <w:t>;</w:t>
      </w:r>
      <w:r w:rsidR="00E17BEA" w:rsidRPr="00273810">
        <w:rPr>
          <w:u w:val="single"/>
        </w:rPr>
        <w:t xml:space="preserve"> </w:t>
      </w:r>
      <w:r w:rsidR="00C424FC">
        <w:rPr>
          <w:u w:val="single"/>
        </w:rPr>
        <w:t xml:space="preserve">it has </w:t>
      </w:r>
      <w:r w:rsidR="00E17BEA" w:rsidRPr="00273810">
        <w:rPr>
          <w:u w:val="single"/>
        </w:rPr>
        <w:t>cultivat</w:t>
      </w:r>
      <w:r w:rsidR="00C424FC">
        <w:rPr>
          <w:u w:val="single"/>
        </w:rPr>
        <w:t>ed</w:t>
      </w:r>
      <w:r w:rsidR="00E17BEA" w:rsidRPr="00273810">
        <w:rPr>
          <w:u w:val="single"/>
        </w:rPr>
        <w:t xml:space="preserve"> its goodwill</w:t>
      </w:r>
      <w:r w:rsidR="00C424FC">
        <w:rPr>
          <w:u w:val="single"/>
        </w:rPr>
        <w:t xml:space="preserve"> </w:t>
      </w:r>
      <w:r w:rsidR="00E95FB0">
        <w:rPr>
          <w:u w:val="single"/>
        </w:rPr>
        <w:t xml:space="preserve">using </w:t>
      </w:r>
      <w:r w:rsidR="00C424FC">
        <w:rPr>
          <w:u w:val="single"/>
        </w:rPr>
        <w:t xml:space="preserve">this term, </w:t>
      </w:r>
      <w:r w:rsidR="00916663">
        <w:rPr>
          <w:u w:val="single"/>
        </w:rPr>
        <w:t>under</w:t>
      </w:r>
      <w:r w:rsidR="005F3AC2" w:rsidRPr="00273810">
        <w:rPr>
          <w:u w:val="single"/>
        </w:rPr>
        <w:t xml:space="preserve"> which it is </w:t>
      </w:r>
      <w:r w:rsidR="00867645">
        <w:rPr>
          <w:u w:val="single"/>
        </w:rPr>
        <w:t xml:space="preserve">now </w:t>
      </w:r>
      <w:r w:rsidR="005F3AC2" w:rsidRPr="00273810">
        <w:rPr>
          <w:u w:val="single"/>
        </w:rPr>
        <w:t xml:space="preserve">known and </w:t>
      </w:r>
      <w:r w:rsidR="00867645">
        <w:rPr>
          <w:u w:val="single"/>
        </w:rPr>
        <w:t>recognized</w:t>
      </w:r>
      <w:r w:rsidRPr="00273810">
        <w:t>. I</w:t>
      </w:r>
      <w:r w:rsidR="005F3AC2" w:rsidRPr="00273810">
        <w:t>t is the distinctive mark of the respondent’s business and services.</w:t>
      </w:r>
    </w:p>
    <w:p w14:paraId="20B07ECD" w14:textId="1680F000" w:rsidR="003F3EF4" w:rsidRPr="00273810" w:rsidRDefault="00F34BA3" w:rsidP="003C0F1B">
      <w:pPr>
        <w:pStyle w:val="Citationenretrait"/>
        <w:spacing w:line="240" w:lineRule="auto"/>
      </w:pPr>
      <w:r w:rsidRPr="00273810">
        <w:t>[</w:t>
      </w:r>
      <w:bookmarkStart w:id="16" w:name="par16"/>
      <w:r w:rsidRPr="00273810">
        <w:t>16</w:t>
      </w:r>
      <w:bookmarkEnd w:id="16"/>
      <w:r w:rsidRPr="00273810">
        <w:t>]</w:t>
      </w:r>
      <w:r w:rsidRPr="00273810">
        <w:rPr>
          <w:sz w:val="14"/>
          <w:szCs w:val="14"/>
        </w:rPr>
        <w:t xml:space="preserve"> </w:t>
      </w:r>
      <w:r w:rsidR="00867645">
        <w:rPr>
          <w:u w:val="single"/>
        </w:rPr>
        <w:t>Finally</w:t>
      </w:r>
      <w:r w:rsidR="00F21206" w:rsidRPr="00273810">
        <w:rPr>
          <w:u w:val="single"/>
        </w:rPr>
        <w:t xml:space="preserve">, </w:t>
      </w:r>
      <w:r w:rsidR="00867645">
        <w:rPr>
          <w:u w:val="single"/>
        </w:rPr>
        <w:t>on its own</w:t>
      </w:r>
      <w:r w:rsidR="00F21206" w:rsidRPr="00273810">
        <w:rPr>
          <w:u w:val="single"/>
        </w:rPr>
        <w:t>, the fact that the respondent use</w:t>
      </w:r>
      <w:r w:rsidR="00867645">
        <w:rPr>
          <w:u w:val="single"/>
        </w:rPr>
        <w:t>d</w:t>
      </w:r>
      <w:r w:rsidR="00F21206" w:rsidRPr="00273810">
        <w:rPr>
          <w:u w:val="single"/>
        </w:rPr>
        <w:t xml:space="preserve"> a mark composed of two </w:t>
      </w:r>
      <w:r w:rsidR="00F21206" w:rsidRPr="006F2306">
        <w:rPr>
          <w:u w:val="single"/>
        </w:rPr>
        <w:t>common nouns</w:t>
      </w:r>
      <w:r w:rsidR="00867645">
        <w:rPr>
          <w:u w:val="single"/>
        </w:rPr>
        <w:t xml:space="preserve"> taken </w:t>
      </w:r>
      <w:r w:rsidR="00F21206" w:rsidRPr="006F2306">
        <w:rPr>
          <w:u w:val="single"/>
        </w:rPr>
        <w:t xml:space="preserve">from everyday </w:t>
      </w:r>
      <w:r w:rsidR="00867645">
        <w:rPr>
          <w:u w:val="single"/>
        </w:rPr>
        <w:t xml:space="preserve">speech </w:t>
      </w:r>
      <w:r w:rsidR="00F21206" w:rsidRPr="006F2306">
        <w:rPr>
          <w:u w:val="single"/>
        </w:rPr>
        <w:t xml:space="preserve">does not prevent this mark from being distinctive and </w:t>
      </w:r>
      <w:r w:rsidR="00867645">
        <w:rPr>
          <w:u w:val="single"/>
        </w:rPr>
        <w:t>thus from being</w:t>
      </w:r>
      <w:r w:rsidR="00F21206" w:rsidRPr="006F2306">
        <w:rPr>
          <w:u w:val="single"/>
        </w:rPr>
        <w:t xml:space="preserve"> a </w:t>
      </w:r>
      <w:proofErr w:type="gramStart"/>
      <w:r w:rsidR="00F21206" w:rsidRPr="006F2306">
        <w:rPr>
          <w:u w:val="single"/>
        </w:rPr>
        <w:t>trade</w:t>
      </w:r>
      <w:r w:rsidR="00867645">
        <w:rPr>
          <w:u w:val="single"/>
        </w:rPr>
        <w:t>-</w:t>
      </w:r>
      <w:r w:rsidR="00F21206" w:rsidRPr="006F2306">
        <w:rPr>
          <w:u w:val="single"/>
        </w:rPr>
        <w:t>mark</w:t>
      </w:r>
      <w:proofErr w:type="gramEnd"/>
      <w:r w:rsidR="00F21206" w:rsidRPr="006F2306">
        <w:rPr>
          <w:u w:val="single"/>
        </w:rPr>
        <w:t xml:space="preserve"> within the meaning of the </w:t>
      </w:r>
      <w:r w:rsidR="00F21206" w:rsidRPr="006F2306">
        <w:rPr>
          <w:i/>
          <w:u w:val="single"/>
        </w:rPr>
        <w:t>Trade</w:t>
      </w:r>
      <w:r w:rsidR="00867645">
        <w:rPr>
          <w:i/>
          <w:u w:val="single"/>
        </w:rPr>
        <w:t>-</w:t>
      </w:r>
      <w:r w:rsidR="00F21206" w:rsidRPr="006F2306">
        <w:rPr>
          <w:i/>
          <w:u w:val="single"/>
        </w:rPr>
        <w:t>marks Act</w:t>
      </w:r>
      <w:r w:rsidR="00F21206" w:rsidRPr="006F2306">
        <w:rPr>
          <w:u w:val="single"/>
        </w:rPr>
        <w:t xml:space="preserve">. </w:t>
      </w:r>
      <w:r w:rsidR="00867645">
        <w:rPr>
          <w:u w:val="single"/>
        </w:rPr>
        <w:t>A great m</w:t>
      </w:r>
      <w:r w:rsidR="00F21206" w:rsidRPr="006F2306">
        <w:rPr>
          <w:u w:val="single"/>
        </w:rPr>
        <w:t xml:space="preserve">any marks are </w:t>
      </w:r>
      <w:r w:rsidR="00867645">
        <w:rPr>
          <w:u w:val="single"/>
        </w:rPr>
        <w:t>constituted by</w:t>
      </w:r>
      <w:r w:rsidR="00F21206" w:rsidRPr="006F2306">
        <w:rPr>
          <w:u w:val="single"/>
        </w:rPr>
        <w:t xml:space="preserve"> a combination of common nouns, which does</w:t>
      </w:r>
      <w:r w:rsidR="00F21206" w:rsidRPr="00273810">
        <w:rPr>
          <w:u w:val="single"/>
        </w:rPr>
        <w:t xml:space="preserve"> not </w:t>
      </w:r>
      <w:r w:rsidR="00867645">
        <w:rPr>
          <w:u w:val="single"/>
        </w:rPr>
        <w:t xml:space="preserve">impair </w:t>
      </w:r>
      <w:r w:rsidR="00F21206" w:rsidRPr="00273810">
        <w:rPr>
          <w:u w:val="single"/>
        </w:rPr>
        <w:t xml:space="preserve">their distinctiveness </w:t>
      </w:r>
      <w:r w:rsidR="00867645">
        <w:rPr>
          <w:u w:val="single"/>
        </w:rPr>
        <w:t xml:space="preserve">so long as </w:t>
      </w:r>
      <w:r w:rsidR="00F21206" w:rsidRPr="00273810">
        <w:rPr>
          <w:u w:val="single"/>
        </w:rPr>
        <w:t xml:space="preserve">they </w:t>
      </w:r>
      <w:r w:rsidR="00867645">
        <w:rPr>
          <w:u w:val="single"/>
        </w:rPr>
        <w:t xml:space="preserve">are not </w:t>
      </w:r>
      <w:r w:rsidR="00F21206" w:rsidRPr="00273810">
        <w:rPr>
          <w:u w:val="single"/>
        </w:rPr>
        <w:t>merely descriptive</w:t>
      </w:r>
      <w:r w:rsidRPr="00273810">
        <w:t>.</w:t>
      </w:r>
      <w:r w:rsidRPr="00273810">
        <w:rPr>
          <w:rStyle w:val="Appelnotedebasdep"/>
          <w:lang w:val="en-CA"/>
        </w:rPr>
        <w:footnoteReference w:id="21"/>
      </w:r>
    </w:p>
    <w:p w14:paraId="2DFD3C4B" w14:textId="6CFA78F5" w:rsidR="00575727" w:rsidRPr="00273810" w:rsidRDefault="00F34BA3" w:rsidP="003C0F1B">
      <w:pPr>
        <w:pStyle w:val="Citationenretrait"/>
        <w:spacing w:line="240" w:lineRule="auto"/>
        <w:jc w:val="right"/>
      </w:pPr>
      <w:r w:rsidRPr="00273810">
        <w:t>[</w:t>
      </w:r>
      <w:r w:rsidR="00D1517C" w:rsidRPr="00273810">
        <w:t>Emphasis added</w:t>
      </w:r>
      <w:r w:rsidRPr="00273810">
        <w:t>]</w:t>
      </w:r>
    </w:p>
    <w:p w14:paraId="66FECE1A" w14:textId="2BBAAFD7" w:rsidR="002B565F" w:rsidRPr="00273810" w:rsidRDefault="00C340B4" w:rsidP="003C0F1B">
      <w:pPr>
        <w:pStyle w:val="Paragraphe"/>
        <w:spacing w:line="240" w:lineRule="auto"/>
      </w:pPr>
      <w:r w:rsidRPr="00273810">
        <w:t xml:space="preserve">In short, and </w:t>
      </w:r>
      <w:proofErr w:type="gramStart"/>
      <w:r w:rsidR="00836A0F" w:rsidRPr="00273810">
        <w:t>in light of</w:t>
      </w:r>
      <w:proofErr w:type="gramEnd"/>
      <w:r w:rsidR="00836A0F" w:rsidRPr="00273810">
        <w:t xml:space="preserve"> </w:t>
      </w:r>
      <w:r w:rsidRPr="00273810">
        <w:t xml:space="preserve">the </w:t>
      </w:r>
      <w:r w:rsidR="00F34BA3" w:rsidRPr="00273810">
        <w:t>princip</w:t>
      </w:r>
      <w:r w:rsidRPr="00273810">
        <w:t>l</w:t>
      </w:r>
      <w:r w:rsidR="00F34BA3" w:rsidRPr="00273810">
        <w:t xml:space="preserve">es </w:t>
      </w:r>
      <w:r w:rsidR="00942498">
        <w:t xml:space="preserve">that emerge </w:t>
      </w:r>
      <w:r w:rsidR="00836A0F" w:rsidRPr="00273810">
        <w:t>from this precedent</w:t>
      </w:r>
      <w:r w:rsidR="00F34BA3" w:rsidRPr="00273810">
        <w:t xml:space="preserve">, </w:t>
      </w:r>
      <w:r w:rsidR="00962B81" w:rsidRPr="00273810">
        <w:t>the appellant</w:t>
      </w:r>
      <w:r w:rsidR="00AA7E5C" w:rsidRPr="00273810">
        <w:t xml:space="preserve"> </w:t>
      </w:r>
      <w:r w:rsidR="00942498">
        <w:t xml:space="preserve">has </w:t>
      </w:r>
      <w:r w:rsidR="00836A0F" w:rsidRPr="00273810">
        <w:t>fail</w:t>
      </w:r>
      <w:r w:rsidR="00942498">
        <w:t>ed</w:t>
      </w:r>
      <w:r w:rsidR="00836A0F" w:rsidRPr="00273810">
        <w:t xml:space="preserve"> to meet his burden of proving </w:t>
      </w:r>
      <w:r w:rsidR="00501591" w:rsidRPr="00273810">
        <w:t xml:space="preserve">that the judge </w:t>
      </w:r>
      <w:r w:rsidR="00AA0490">
        <w:t>committed</w:t>
      </w:r>
      <w:r w:rsidR="00501591" w:rsidRPr="00273810">
        <w:t xml:space="preserve"> a palpable and overriding error </w:t>
      </w:r>
      <w:r w:rsidRPr="00273810">
        <w:t xml:space="preserve">in her assessment of the evidence by finding that </w:t>
      </w:r>
      <w:r w:rsidRPr="00273810">
        <w:rPr>
          <w:rFonts w:cs="Arial"/>
        </w:rPr>
        <w:t>“</w:t>
      </w:r>
      <w:r w:rsidR="00AA7E5C" w:rsidRPr="00273810">
        <w:t>Lévis Ville du Rock</w:t>
      </w:r>
      <w:r w:rsidRPr="00273810">
        <w:t>”</w:t>
      </w:r>
      <w:r w:rsidR="00AA7E5C" w:rsidRPr="00273810">
        <w:t> </w:t>
      </w:r>
      <w:r w:rsidR="00942498">
        <w:t>i</w:t>
      </w:r>
      <w:r w:rsidRPr="00273810">
        <w:t xml:space="preserve">s a trademark </w:t>
      </w:r>
      <w:r w:rsidR="00942498">
        <w:t xml:space="preserve">owned by </w:t>
      </w:r>
      <w:r w:rsidR="00AA0490">
        <w:t xml:space="preserve">the </w:t>
      </w:r>
      <w:r w:rsidRPr="00273810">
        <w:t xml:space="preserve">respondent </w:t>
      </w:r>
      <w:r w:rsidR="00E46F71" w:rsidRPr="00273810">
        <w:t>9220</w:t>
      </w:r>
      <w:r w:rsidR="00AA7E5C" w:rsidRPr="00273810">
        <w:t>.</w:t>
      </w:r>
      <w:r w:rsidR="00E540F9" w:rsidRPr="00273810">
        <w:t xml:space="preserve"> </w:t>
      </w:r>
      <w:r w:rsidRPr="00273810">
        <w:t>This finding is well supported by the evidence and is consistent with the law.</w:t>
      </w:r>
    </w:p>
    <w:p w14:paraId="5835B8E0" w14:textId="6B8F8A9E" w:rsidR="008D5D56" w:rsidRPr="00273810" w:rsidRDefault="00F9114F" w:rsidP="003C0F1B">
      <w:pPr>
        <w:pStyle w:val="Paragraphe"/>
        <w:spacing w:line="240" w:lineRule="auto"/>
      </w:pPr>
      <w:r>
        <w:t>I</w:t>
      </w:r>
      <w:r w:rsidR="004B6CD8" w:rsidRPr="003E60E8">
        <w:t xml:space="preserve">n his notice of appeal, </w:t>
      </w:r>
      <w:r w:rsidR="004B6CD8">
        <w:t>as an issue in his brief, in his written arguments, or at the hearing,</w:t>
      </w:r>
      <w:r>
        <w:t xml:space="preserve"> the appellant </w:t>
      </w:r>
      <w:r w:rsidR="00E5612C">
        <w:t>did</w:t>
      </w:r>
      <w:r>
        <w:t xml:space="preserve"> not attack</w:t>
      </w:r>
      <w:r w:rsidR="004B6CD8">
        <w:t xml:space="preserve"> </w:t>
      </w:r>
      <w:r w:rsidR="006B0131" w:rsidRPr="003E60E8">
        <w:t xml:space="preserve">the part of the judgment under appeal that orders </w:t>
      </w:r>
      <w:r w:rsidR="00962B81" w:rsidRPr="003E60E8">
        <w:t>the appellant</w:t>
      </w:r>
      <w:r w:rsidR="003C4489" w:rsidRPr="003E60E8">
        <w:t xml:space="preserve"> </w:t>
      </w:r>
      <w:r w:rsidR="003E60E8">
        <w:t xml:space="preserve">not </w:t>
      </w:r>
      <w:r w:rsidR="006B0131" w:rsidRPr="003E60E8">
        <w:t>to us</w:t>
      </w:r>
      <w:r w:rsidR="003E60E8">
        <w:t>e</w:t>
      </w:r>
      <w:r w:rsidR="009C0766">
        <w:t>,</w:t>
      </w:r>
      <w:r w:rsidR="006B0131" w:rsidRPr="003E60E8">
        <w:t xml:space="preserve"> or to </w:t>
      </w:r>
      <w:r w:rsidR="002105BD">
        <w:t>stop</w:t>
      </w:r>
      <w:r w:rsidR="002105BD" w:rsidRPr="003E60E8">
        <w:t xml:space="preserve"> </w:t>
      </w:r>
      <w:r w:rsidR="006B0131" w:rsidRPr="003E60E8">
        <w:t>using</w:t>
      </w:r>
      <w:r w:rsidR="009C0766">
        <w:t>,</w:t>
      </w:r>
      <w:r w:rsidR="006B0131" w:rsidRPr="003E60E8">
        <w:t xml:space="preserve"> the name </w:t>
      </w:r>
      <w:r w:rsidR="006B0131" w:rsidRPr="003E60E8">
        <w:rPr>
          <w:rFonts w:cs="Arial"/>
        </w:rPr>
        <w:t>“</w:t>
      </w:r>
      <w:r w:rsidR="003C4489" w:rsidRPr="003E60E8">
        <w:t>Québec Ville du Rock</w:t>
      </w:r>
      <w:r w:rsidR="006B0131" w:rsidRPr="003E60E8">
        <w:t>”</w:t>
      </w:r>
      <w:r w:rsidR="003C4489" w:rsidRPr="003E60E8">
        <w:t xml:space="preserve">, </w:t>
      </w:r>
      <w:r w:rsidR="003E60E8">
        <w:t xml:space="preserve">not </w:t>
      </w:r>
      <w:r w:rsidR="006B0131" w:rsidRPr="003E60E8">
        <w:t xml:space="preserve">to </w:t>
      </w:r>
      <w:r w:rsidR="003E60E8">
        <w:t>dis</w:t>
      </w:r>
      <w:r w:rsidR="004B6CD8">
        <w:t>seminate</w:t>
      </w:r>
      <w:r w:rsidR="003E60E8">
        <w:t xml:space="preserve"> it </w:t>
      </w:r>
      <w:r w:rsidR="006B0131" w:rsidRPr="003E60E8">
        <w:t xml:space="preserve">or </w:t>
      </w:r>
      <w:r w:rsidR="003E60E8">
        <w:t xml:space="preserve">to </w:t>
      </w:r>
      <w:r w:rsidR="002105BD">
        <w:t>stop</w:t>
      </w:r>
      <w:r w:rsidR="002105BD" w:rsidRPr="003E60E8">
        <w:t xml:space="preserve"> </w:t>
      </w:r>
      <w:r w:rsidR="003828C9" w:rsidRPr="003E60E8">
        <w:t>dis</w:t>
      </w:r>
      <w:r w:rsidR="004B6CD8">
        <w:t>seminat</w:t>
      </w:r>
      <w:r w:rsidR="003E60E8">
        <w:t>ing</w:t>
      </w:r>
      <w:r w:rsidR="006B0131" w:rsidRPr="003E60E8">
        <w:t xml:space="preserve"> it, and </w:t>
      </w:r>
      <w:r w:rsidR="003E60E8">
        <w:t xml:space="preserve">not </w:t>
      </w:r>
      <w:r w:rsidR="006B0131" w:rsidRPr="003E60E8">
        <w:t xml:space="preserve">to </w:t>
      </w:r>
      <w:r w:rsidR="009C0766">
        <w:t xml:space="preserve">promote it </w:t>
      </w:r>
      <w:r w:rsidR="003E60E8">
        <w:t xml:space="preserve">or use it </w:t>
      </w:r>
      <w:r w:rsidR="00910932" w:rsidRPr="003E60E8">
        <w:t xml:space="preserve">in </w:t>
      </w:r>
      <w:r w:rsidR="004B6CD8">
        <w:t xml:space="preserve">connection </w:t>
      </w:r>
      <w:r w:rsidR="00910932" w:rsidRPr="003E60E8">
        <w:t xml:space="preserve">with a contest or </w:t>
      </w:r>
      <w:r w:rsidR="003E60E8">
        <w:t xml:space="preserve">an </w:t>
      </w:r>
      <w:r w:rsidR="00910932" w:rsidRPr="003E60E8">
        <w:t>event</w:t>
      </w:r>
      <w:r>
        <w:t>, unlike the names “Lévis Ville du Rock” and “Ville du Rock”</w:t>
      </w:r>
      <w:r w:rsidR="004B6CD8">
        <w:t>.</w:t>
      </w:r>
      <w:r w:rsidR="00F34BA3" w:rsidRPr="003E60E8">
        <w:rPr>
          <w:rStyle w:val="Appelnotedebasdep"/>
          <w:lang w:val="en-CA"/>
        </w:rPr>
        <w:footnoteReference w:id="22"/>
      </w:r>
      <w:r w:rsidR="003C4489" w:rsidRPr="003E60E8">
        <w:t xml:space="preserve"> </w:t>
      </w:r>
      <w:r w:rsidR="00942498" w:rsidRPr="003E60E8">
        <w:t xml:space="preserve">In the </w:t>
      </w:r>
      <w:r w:rsidR="008E343B" w:rsidRPr="003E60E8">
        <w:t xml:space="preserve">circumstances, </w:t>
      </w:r>
      <w:r>
        <w:t xml:space="preserve">and what is more </w:t>
      </w:r>
      <w:r w:rsidR="008E343B" w:rsidRPr="003E60E8">
        <w:t>given that the judge noted that this name was</w:t>
      </w:r>
      <w:r w:rsidR="007744DC" w:rsidRPr="003E60E8">
        <w:t> </w:t>
      </w:r>
      <w:r w:rsidR="00B85888" w:rsidRPr="003E60E8">
        <w:rPr>
          <w:smallCaps/>
        </w:rPr>
        <w:t xml:space="preserve">[translation] </w:t>
      </w:r>
      <w:r w:rsidR="008E343B" w:rsidRPr="003E60E8">
        <w:rPr>
          <w:rFonts w:cs="Arial"/>
        </w:rPr>
        <w:t>“</w:t>
      </w:r>
      <w:r w:rsidR="007744DC" w:rsidRPr="003E60E8">
        <w:t>disso</w:t>
      </w:r>
      <w:r w:rsidR="0065399F" w:rsidRPr="003E60E8">
        <w:t>lved</w:t>
      </w:r>
      <w:r w:rsidR="008E343B" w:rsidRPr="003E60E8">
        <w:t>”,</w:t>
      </w:r>
      <w:r w:rsidR="00F34BA3" w:rsidRPr="003E60E8">
        <w:rPr>
          <w:rStyle w:val="Appelnotedebasdep"/>
          <w:lang w:val="en-CA"/>
        </w:rPr>
        <w:footnoteReference w:id="23"/>
      </w:r>
      <w:r w:rsidR="007744DC" w:rsidRPr="003E60E8">
        <w:t xml:space="preserve"> </w:t>
      </w:r>
      <w:r w:rsidR="0065399F" w:rsidRPr="003E60E8">
        <w:t xml:space="preserve">there is no need for the Court to intervene in this </w:t>
      </w:r>
      <w:r w:rsidR="009C0766">
        <w:t>regard</w:t>
      </w:r>
      <w:r w:rsidR="003C4489" w:rsidRPr="00273810">
        <w:t>.</w:t>
      </w:r>
    </w:p>
    <w:p w14:paraId="200245C4" w14:textId="61CD7DF9" w:rsidR="009F646E" w:rsidRPr="00273810" w:rsidRDefault="008E79D7" w:rsidP="006C0FA2">
      <w:pPr>
        <w:pStyle w:val="Paragraphe"/>
        <w:keepNext/>
        <w:numPr>
          <w:ilvl w:val="0"/>
          <w:numId w:val="0"/>
        </w:numPr>
        <w:spacing w:line="240" w:lineRule="auto"/>
        <w:rPr>
          <w:rFonts w:eastAsia="Arial Unicode MS"/>
          <w:b/>
        </w:rPr>
      </w:pPr>
      <w:r>
        <w:rPr>
          <w:b/>
        </w:rPr>
        <w:lastRenderedPageBreak/>
        <w:t>Third i</w:t>
      </w:r>
      <w:r w:rsidR="005D58ED" w:rsidRPr="008F5071">
        <w:rPr>
          <w:b/>
        </w:rPr>
        <w:t>ssue</w:t>
      </w:r>
      <w:r w:rsidR="009E6FBE" w:rsidRPr="00273810">
        <w:rPr>
          <w:b/>
        </w:rPr>
        <w:t>:</w:t>
      </w:r>
      <w:r w:rsidR="00307AF2" w:rsidRPr="00273810">
        <w:rPr>
          <w:b/>
        </w:rPr>
        <w:t xml:space="preserve"> </w:t>
      </w:r>
      <w:r w:rsidR="00307AF2" w:rsidRPr="00273810">
        <w:rPr>
          <w:rFonts w:eastAsia="Arial Unicode MS"/>
          <w:b/>
        </w:rPr>
        <w:t xml:space="preserve">Did the judge </w:t>
      </w:r>
      <w:r w:rsidR="004B6CD8">
        <w:rPr>
          <w:rFonts w:eastAsia="Arial Unicode MS"/>
          <w:b/>
        </w:rPr>
        <w:t>commit</w:t>
      </w:r>
      <w:r w:rsidR="004B6CD8" w:rsidRPr="00273810">
        <w:rPr>
          <w:rFonts w:eastAsia="Arial Unicode MS"/>
          <w:b/>
        </w:rPr>
        <w:t xml:space="preserve"> </w:t>
      </w:r>
      <w:r w:rsidR="00307AF2" w:rsidRPr="00273810">
        <w:rPr>
          <w:rFonts w:eastAsia="Arial Unicode MS"/>
          <w:b/>
        </w:rPr>
        <w:t xml:space="preserve">a reviewable error by </w:t>
      </w:r>
      <w:r w:rsidR="004567C6">
        <w:rPr>
          <w:rFonts w:eastAsia="Arial Unicode MS"/>
          <w:b/>
        </w:rPr>
        <w:t xml:space="preserve">characterizing </w:t>
      </w:r>
      <w:r w:rsidR="00307AF2" w:rsidRPr="00273810">
        <w:rPr>
          <w:rFonts w:eastAsia="Arial Unicode MS"/>
          <w:b/>
        </w:rPr>
        <w:t xml:space="preserve">the “Lévis Ville du Rock” </w:t>
      </w:r>
      <w:r w:rsidR="004567C6" w:rsidRPr="00273810">
        <w:rPr>
          <w:rFonts w:eastAsia="Arial Unicode MS"/>
          <w:b/>
        </w:rPr>
        <w:t xml:space="preserve">Facebook page </w:t>
      </w:r>
      <w:r w:rsidR="00307AF2" w:rsidRPr="00273810">
        <w:rPr>
          <w:rFonts w:eastAsia="Arial Unicode MS"/>
          <w:b/>
        </w:rPr>
        <w:t xml:space="preserve">as a “work” within the meaning of the </w:t>
      </w:r>
      <w:r w:rsidR="00307AF2" w:rsidRPr="00273810">
        <w:rPr>
          <w:rFonts w:eastAsia="Arial Unicode MS"/>
          <w:b/>
          <w:i/>
        </w:rPr>
        <w:t>Copyright</w:t>
      </w:r>
      <w:r w:rsidR="00307AF2" w:rsidRPr="00273810">
        <w:rPr>
          <w:rFonts w:eastAsia="Arial Unicode MS"/>
          <w:b/>
        </w:rPr>
        <w:t xml:space="preserve"> </w:t>
      </w:r>
      <w:r w:rsidR="00307AF2" w:rsidRPr="00273810">
        <w:rPr>
          <w:rFonts w:eastAsia="Arial Unicode MS"/>
          <w:b/>
          <w:i/>
        </w:rPr>
        <w:t xml:space="preserve">Act </w:t>
      </w:r>
      <w:r w:rsidR="00307AF2" w:rsidRPr="00273810">
        <w:rPr>
          <w:rFonts w:eastAsia="Arial Unicode MS"/>
          <w:b/>
        </w:rPr>
        <w:t>(“</w:t>
      </w:r>
      <w:r w:rsidR="00307AF2" w:rsidRPr="00C375F3">
        <w:rPr>
          <w:rFonts w:eastAsia="Arial Unicode MS"/>
          <w:b/>
          <w:i/>
          <w:iCs/>
        </w:rPr>
        <w:t>CA</w:t>
      </w:r>
      <w:r w:rsidR="00307AF2" w:rsidRPr="00273810">
        <w:rPr>
          <w:rFonts w:eastAsia="Arial Unicode MS"/>
          <w:b/>
          <w:i/>
        </w:rPr>
        <w:t>”</w:t>
      </w:r>
      <w:r w:rsidR="00307AF2" w:rsidRPr="00273810">
        <w:rPr>
          <w:rFonts w:eastAsia="Arial Unicode MS"/>
          <w:b/>
        </w:rPr>
        <w:t xml:space="preserve">)? </w:t>
      </w:r>
    </w:p>
    <w:p w14:paraId="123B2242" w14:textId="7CC5C6E8" w:rsidR="00AD392F" w:rsidRPr="00273810" w:rsidRDefault="0073146A" w:rsidP="006C0FA2">
      <w:pPr>
        <w:pStyle w:val="Paragraphe"/>
        <w:keepNext/>
        <w:spacing w:line="240" w:lineRule="auto"/>
        <w:rPr>
          <w:color w:val="000000"/>
          <w:szCs w:val="24"/>
        </w:rPr>
      </w:pPr>
      <w:r w:rsidRPr="00273810">
        <w:rPr>
          <w:color w:val="000000"/>
          <w:szCs w:val="24"/>
        </w:rPr>
        <w:t xml:space="preserve">First, it should be noted that the judge </w:t>
      </w:r>
      <w:r w:rsidR="00E5612C">
        <w:rPr>
          <w:color w:val="000000"/>
          <w:szCs w:val="24"/>
        </w:rPr>
        <w:t>found</w:t>
      </w:r>
      <w:r w:rsidR="00E5612C" w:rsidRPr="00273810">
        <w:rPr>
          <w:color w:val="000000"/>
          <w:szCs w:val="24"/>
        </w:rPr>
        <w:t xml:space="preserve"> </w:t>
      </w:r>
      <w:r w:rsidRPr="00273810">
        <w:rPr>
          <w:color w:val="000000"/>
          <w:szCs w:val="24"/>
        </w:rPr>
        <w:t xml:space="preserve">that the </w:t>
      </w:r>
      <w:r w:rsidR="00962B81" w:rsidRPr="00273810">
        <w:rPr>
          <w:color w:val="000000"/>
          <w:szCs w:val="24"/>
        </w:rPr>
        <w:t>appellant</w:t>
      </w:r>
      <w:r w:rsidR="00F34BA3" w:rsidRPr="00273810">
        <w:rPr>
          <w:color w:val="000000"/>
          <w:szCs w:val="24"/>
        </w:rPr>
        <w:t xml:space="preserve"> </w:t>
      </w:r>
      <w:r w:rsidRPr="00273810">
        <w:rPr>
          <w:color w:val="000000"/>
          <w:szCs w:val="24"/>
        </w:rPr>
        <w:t xml:space="preserve">used </w:t>
      </w:r>
      <w:r w:rsidR="009C7C30" w:rsidRPr="00273810">
        <w:rPr>
          <w:color w:val="000000"/>
          <w:szCs w:val="24"/>
        </w:rPr>
        <w:t>[</w:t>
      </w:r>
      <w:r w:rsidR="009C7C30" w:rsidRPr="00273810">
        <w:rPr>
          <w:smallCaps/>
          <w:color w:val="000000"/>
          <w:szCs w:val="24"/>
        </w:rPr>
        <w:t xml:space="preserve">translation] </w:t>
      </w:r>
      <w:r w:rsidRPr="00273810">
        <w:rPr>
          <w:color w:val="000000"/>
          <w:szCs w:val="24"/>
        </w:rPr>
        <w:t xml:space="preserve">“the </w:t>
      </w:r>
      <w:r w:rsidR="007A3B5C">
        <w:rPr>
          <w:color w:val="000000"/>
          <w:szCs w:val="24"/>
        </w:rPr>
        <w:t>“</w:t>
      </w:r>
      <w:r w:rsidR="00F34BA3" w:rsidRPr="00273810">
        <w:rPr>
          <w:color w:val="000000"/>
          <w:szCs w:val="24"/>
        </w:rPr>
        <w:t>Lévis Ville du Rock</w:t>
      </w:r>
      <w:r w:rsidR="007A3B5C">
        <w:rPr>
          <w:color w:val="000000"/>
          <w:szCs w:val="24"/>
        </w:rPr>
        <w:t>”</w:t>
      </w:r>
      <w:r w:rsidR="00C502C1" w:rsidRPr="00273810">
        <w:rPr>
          <w:color w:val="000000"/>
          <w:szCs w:val="24"/>
        </w:rPr>
        <w:t xml:space="preserve"> Facebook page to </w:t>
      </w:r>
      <w:r w:rsidRPr="00273810">
        <w:rPr>
          <w:color w:val="000000"/>
          <w:szCs w:val="24"/>
        </w:rPr>
        <w:t>appropriate</w:t>
      </w:r>
      <w:r w:rsidR="00C502C1" w:rsidRPr="00273810">
        <w:rPr>
          <w:color w:val="000000"/>
          <w:szCs w:val="24"/>
        </w:rPr>
        <w:t>, for his own benefit, the considerable goodwill built up over the years by the plaintiffs.”</w:t>
      </w:r>
      <w:r w:rsidR="00F34BA3" w:rsidRPr="00273810">
        <w:rPr>
          <w:rStyle w:val="Appelnotedebasdep"/>
          <w:color w:val="000000"/>
          <w:szCs w:val="24"/>
          <w:lang w:val="en-CA"/>
        </w:rPr>
        <w:footnoteReference w:id="24"/>
      </w:r>
    </w:p>
    <w:p w14:paraId="019DFE58" w14:textId="456A236B" w:rsidR="00AD392F" w:rsidRPr="00273810" w:rsidRDefault="009C7C30" w:rsidP="000E5003">
      <w:pPr>
        <w:pStyle w:val="Paragraphe"/>
        <w:spacing w:after="0" w:line="240" w:lineRule="auto"/>
        <w:rPr>
          <w:color w:val="000000"/>
          <w:szCs w:val="24"/>
        </w:rPr>
      </w:pPr>
      <w:r w:rsidRPr="00273810">
        <w:rPr>
          <w:color w:val="000000"/>
          <w:szCs w:val="24"/>
        </w:rPr>
        <w:t xml:space="preserve">The judge </w:t>
      </w:r>
      <w:r w:rsidR="00942498">
        <w:rPr>
          <w:color w:val="000000"/>
          <w:szCs w:val="24"/>
        </w:rPr>
        <w:t>not</w:t>
      </w:r>
      <w:r w:rsidR="0000150B">
        <w:rPr>
          <w:color w:val="000000"/>
          <w:szCs w:val="24"/>
        </w:rPr>
        <w:t>ed</w:t>
      </w:r>
      <w:r w:rsidR="00942498">
        <w:rPr>
          <w:color w:val="000000"/>
          <w:szCs w:val="24"/>
        </w:rPr>
        <w:t xml:space="preserve"> </w:t>
      </w:r>
      <w:r w:rsidR="00694DCE">
        <w:rPr>
          <w:color w:val="000000"/>
          <w:szCs w:val="24"/>
        </w:rPr>
        <w:t>in passing</w:t>
      </w:r>
      <w:r w:rsidR="004B6CD8">
        <w:rPr>
          <w:color w:val="000000"/>
          <w:szCs w:val="24"/>
        </w:rPr>
        <w:t>,</w:t>
      </w:r>
      <w:r w:rsidR="00694DCE">
        <w:rPr>
          <w:color w:val="000000"/>
          <w:szCs w:val="24"/>
        </w:rPr>
        <w:t xml:space="preserve"> </w:t>
      </w:r>
      <w:r w:rsidRPr="00273810">
        <w:rPr>
          <w:color w:val="000000"/>
          <w:szCs w:val="24"/>
        </w:rPr>
        <w:t xml:space="preserve">as </w:t>
      </w:r>
      <w:r w:rsidR="0000150B">
        <w:rPr>
          <w:color w:val="000000"/>
          <w:szCs w:val="24"/>
        </w:rPr>
        <w:t xml:space="preserve">she did </w:t>
      </w:r>
      <w:r w:rsidR="004B6CD8">
        <w:rPr>
          <w:color w:val="000000"/>
          <w:szCs w:val="24"/>
        </w:rPr>
        <w:t xml:space="preserve">with </w:t>
      </w:r>
      <w:r w:rsidRPr="00273810">
        <w:rPr>
          <w:color w:val="000000"/>
          <w:szCs w:val="24"/>
        </w:rPr>
        <w:t xml:space="preserve">other </w:t>
      </w:r>
      <w:r w:rsidR="00F34BA3" w:rsidRPr="00273810">
        <w:rPr>
          <w:color w:val="000000"/>
          <w:szCs w:val="24"/>
        </w:rPr>
        <w:t>points</w:t>
      </w:r>
      <w:r w:rsidR="00191E05" w:rsidRPr="00273810">
        <w:rPr>
          <w:color w:val="000000"/>
          <w:szCs w:val="24"/>
        </w:rPr>
        <w:t>,</w:t>
      </w:r>
      <w:r w:rsidR="00F34BA3" w:rsidRPr="00273810">
        <w:rPr>
          <w:rStyle w:val="Appelnotedebasdep"/>
          <w:color w:val="000000"/>
          <w:szCs w:val="24"/>
          <w:lang w:val="en-CA"/>
        </w:rPr>
        <w:footnoteReference w:id="25"/>
      </w:r>
      <w:r w:rsidR="006633F4" w:rsidRPr="00273810">
        <w:rPr>
          <w:color w:val="000000"/>
          <w:szCs w:val="24"/>
        </w:rPr>
        <w:t xml:space="preserve"> </w:t>
      </w:r>
      <w:r w:rsidR="00DE7CEB" w:rsidRPr="00273810">
        <w:rPr>
          <w:color w:val="000000"/>
          <w:szCs w:val="24"/>
        </w:rPr>
        <w:t xml:space="preserve">the appellant’s lack of credibility, </w:t>
      </w:r>
      <w:r w:rsidR="0000150B">
        <w:rPr>
          <w:color w:val="000000"/>
          <w:szCs w:val="24"/>
        </w:rPr>
        <w:t xml:space="preserve">yet </w:t>
      </w:r>
      <w:r w:rsidR="000E5003" w:rsidRPr="00273810">
        <w:rPr>
          <w:color w:val="000000"/>
          <w:szCs w:val="24"/>
        </w:rPr>
        <w:t xml:space="preserve">also </w:t>
      </w:r>
      <w:r w:rsidR="00694DCE">
        <w:rPr>
          <w:color w:val="000000"/>
          <w:szCs w:val="24"/>
        </w:rPr>
        <w:t xml:space="preserve">determined </w:t>
      </w:r>
      <w:r w:rsidR="000E5003" w:rsidRPr="00273810">
        <w:rPr>
          <w:color w:val="000000"/>
          <w:szCs w:val="24"/>
        </w:rPr>
        <w:t xml:space="preserve">that neither </w:t>
      </w:r>
      <w:r w:rsidR="0000150B">
        <w:rPr>
          <w:color w:val="000000"/>
          <w:szCs w:val="24"/>
        </w:rPr>
        <w:t xml:space="preserve">of the </w:t>
      </w:r>
      <w:r w:rsidR="000E5003" w:rsidRPr="00273810">
        <w:rPr>
          <w:color w:val="000000"/>
          <w:szCs w:val="24"/>
        </w:rPr>
        <w:t>respondent</w:t>
      </w:r>
      <w:r w:rsidR="0000150B">
        <w:rPr>
          <w:color w:val="000000"/>
          <w:szCs w:val="24"/>
        </w:rPr>
        <w:t>s</w:t>
      </w:r>
      <w:r w:rsidR="000E5003" w:rsidRPr="00273810">
        <w:rPr>
          <w:color w:val="000000"/>
          <w:szCs w:val="24"/>
        </w:rPr>
        <w:t xml:space="preserve"> ever acknowledged the appellant</w:t>
      </w:r>
      <w:r w:rsidR="00DE7CEB">
        <w:rPr>
          <w:color w:val="000000"/>
          <w:szCs w:val="24"/>
        </w:rPr>
        <w:t>’s</w:t>
      </w:r>
      <w:r w:rsidR="000E5003" w:rsidRPr="00273810">
        <w:rPr>
          <w:color w:val="000000"/>
          <w:szCs w:val="24"/>
        </w:rPr>
        <w:t xml:space="preserve"> </w:t>
      </w:r>
      <w:r w:rsidR="00694DCE">
        <w:rPr>
          <w:rFonts w:cs="Arial"/>
          <w:color w:val="000000"/>
          <w:szCs w:val="24"/>
        </w:rPr>
        <w:t>[</w:t>
      </w:r>
      <w:r w:rsidR="00694DCE">
        <w:rPr>
          <w:rFonts w:cs="Arial"/>
          <w:smallCaps/>
          <w:color w:val="000000"/>
          <w:szCs w:val="24"/>
        </w:rPr>
        <w:t>translation</w:t>
      </w:r>
      <w:r w:rsidR="00694DCE">
        <w:rPr>
          <w:rFonts w:cs="Arial"/>
          <w:color w:val="000000"/>
          <w:szCs w:val="24"/>
        </w:rPr>
        <w:t>]</w:t>
      </w:r>
      <w:r w:rsidR="00694DCE">
        <w:rPr>
          <w:color w:val="000000"/>
          <w:szCs w:val="24"/>
        </w:rPr>
        <w:t xml:space="preserve"> </w:t>
      </w:r>
      <w:r w:rsidR="000E5003" w:rsidRPr="00273810">
        <w:rPr>
          <w:color w:val="000000"/>
          <w:szCs w:val="24"/>
        </w:rPr>
        <w:t xml:space="preserve">“ownership” of the “Lévis Ville du Rock” Facebook page: </w:t>
      </w:r>
    </w:p>
    <w:p w14:paraId="492D53D3" w14:textId="77777777" w:rsidR="000E5003" w:rsidRPr="00273810" w:rsidRDefault="000E5003" w:rsidP="000E5003">
      <w:pPr>
        <w:pStyle w:val="Citationenretrait"/>
        <w:spacing w:after="0" w:line="240" w:lineRule="auto"/>
        <w:rPr>
          <w:color w:val="000000"/>
          <w:szCs w:val="24"/>
        </w:rPr>
      </w:pPr>
      <w:r w:rsidRPr="00273810">
        <w:rPr>
          <w:smallCaps/>
        </w:rPr>
        <w:t>[translation]</w:t>
      </w:r>
      <w:r w:rsidRPr="00273810">
        <w:rPr>
          <w:color w:val="000000"/>
          <w:szCs w:val="24"/>
        </w:rPr>
        <w:t xml:space="preserve"> </w:t>
      </w:r>
    </w:p>
    <w:p w14:paraId="25332A92" w14:textId="354AE4B7" w:rsidR="00AD392F" w:rsidRPr="00273810" w:rsidRDefault="00F34BA3" w:rsidP="003C0F1B">
      <w:pPr>
        <w:pStyle w:val="Citationenretrait"/>
        <w:spacing w:line="240" w:lineRule="auto"/>
      </w:pPr>
      <w:r w:rsidRPr="00273810">
        <w:rPr>
          <w:color w:val="000000"/>
          <w:szCs w:val="24"/>
        </w:rPr>
        <w:t xml:space="preserve">[149] </w:t>
      </w:r>
      <w:r w:rsidR="00694DCE">
        <w:rPr>
          <w:color w:val="000000"/>
          <w:szCs w:val="24"/>
        </w:rPr>
        <w:t xml:space="preserve">At times, </w:t>
      </w:r>
      <w:r w:rsidRPr="00273810">
        <w:t>M</w:t>
      </w:r>
      <w:r w:rsidR="000E5003" w:rsidRPr="00273810">
        <w:t>r. </w:t>
      </w:r>
      <w:r w:rsidRPr="00273810">
        <w:t xml:space="preserve">Girard </w:t>
      </w:r>
      <w:r w:rsidR="000E5003" w:rsidRPr="00273810">
        <w:t xml:space="preserve">bases his testimony on exhibits to which he refers but also </w:t>
      </w:r>
      <w:r w:rsidR="00694DCE">
        <w:t xml:space="preserve">largely </w:t>
      </w:r>
      <w:r w:rsidR="00591542" w:rsidRPr="00273810">
        <w:t xml:space="preserve">on </w:t>
      </w:r>
      <w:r w:rsidRPr="00273810">
        <w:t>impressions, approximations</w:t>
      </w:r>
      <w:r w:rsidR="00DE7CEB">
        <w:t>,</w:t>
      </w:r>
      <w:r w:rsidRPr="00273810">
        <w:t xml:space="preserve"> o</w:t>
      </w:r>
      <w:r w:rsidR="00591542" w:rsidRPr="00273810">
        <w:t xml:space="preserve">r </w:t>
      </w:r>
      <w:r w:rsidR="00694DCE">
        <w:t xml:space="preserve">rather vague </w:t>
      </w:r>
      <w:r w:rsidR="00591542" w:rsidRPr="00273810">
        <w:t>memories. Consequently, he sa</w:t>
      </w:r>
      <w:r w:rsidR="00892072" w:rsidRPr="00273810">
        <w:t>ys</w:t>
      </w:r>
      <w:r w:rsidR="00591542" w:rsidRPr="00273810">
        <w:t xml:space="preserve"> he </w:t>
      </w:r>
      <w:r w:rsidR="00892072" w:rsidRPr="00273810">
        <w:t>is</w:t>
      </w:r>
      <w:r w:rsidR="00591542" w:rsidRPr="00273810">
        <w:t xml:space="preserve"> convinced that he own</w:t>
      </w:r>
      <w:r w:rsidR="00892072" w:rsidRPr="00273810">
        <w:t>s</w:t>
      </w:r>
      <w:r w:rsidR="00591542" w:rsidRPr="00273810">
        <w:t xml:space="preserve"> the </w:t>
      </w:r>
      <w:r w:rsidR="00591542" w:rsidRPr="00273810">
        <w:rPr>
          <w:color w:val="000000"/>
          <w:szCs w:val="24"/>
        </w:rPr>
        <w:t xml:space="preserve">“Lévis Ville du Rock” contest and its </w:t>
      </w:r>
      <w:r w:rsidRPr="00273810">
        <w:t>Facebook</w:t>
      </w:r>
      <w:r w:rsidR="00591542" w:rsidRPr="00273810">
        <w:t xml:space="preserve"> page</w:t>
      </w:r>
      <w:r w:rsidRPr="00273810">
        <w:t xml:space="preserve">. </w:t>
      </w:r>
      <w:r w:rsidR="00DE7CEB">
        <w:t>W</w:t>
      </w:r>
      <w:r w:rsidR="00591542" w:rsidRPr="00273810">
        <w:t xml:space="preserve">hen </w:t>
      </w:r>
      <w:r w:rsidR="00DE7CEB">
        <w:t xml:space="preserve">subsequently </w:t>
      </w:r>
      <w:r w:rsidR="00591542" w:rsidRPr="00273810">
        <w:t>questioned on the subject, he ha</w:t>
      </w:r>
      <w:r w:rsidR="00DE7CEB">
        <w:t>d</w:t>
      </w:r>
      <w:r w:rsidR="00591542" w:rsidRPr="00273810">
        <w:t xml:space="preserve"> to acknowledge that he never </w:t>
      </w:r>
      <w:r w:rsidR="0000150B">
        <w:t>had</w:t>
      </w:r>
      <w:r w:rsidR="0000150B" w:rsidRPr="00273810">
        <w:t xml:space="preserve"> </w:t>
      </w:r>
      <w:r w:rsidR="00591542" w:rsidRPr="00273810">
        <w:t xml:space="preserve">anything in writing </w:t>
      </w:r>
      <w:r w:rsidR="00191E05" w:rsidRPr="00273810">
        <w:t xml:space="preserve">giving </w:t>
      </w:r>
      <w:r w:rsidR="00591542" w:rsidRPr="00273810">
        <w:t>him this ownership. He ha</w:t>
      </w:r>
      <w:r w:rsidR="00DE7CEB">
        <w:t>d</w:t>
      </w:r>
      <w:r w:rsidR="00591542" w:rsidRPr="00273810">
        <w:t xml:space="preserve"> to admit that during his negotiations with Mr.</w:t>
      </w:r>
      <w:r w:rsidR="00892072" w:rsidRPr="00273810">
        <w:t> </w:t>
      </w:r>
      <w:r w:rsidRPr="00273810">
        <w:t xml:space="preserve">Pouliot, </w:t>
      </w:r>
      <w:r w:rsidR="00892072" w:rsidRPr="00273810">
        <w:t xml:space="preserve">in </w:t>
      </w:r>
      <w:r w:rsidRPr="00273810">
        <w:t xml:space="preserve">2014 </w:t>
      </w:r>
      <w:r w:rsidR="00892072" w:rsidRPr="00273810">
        <w:t>and in 2015 and</w:t>
      </w:r>
      <w:r w:rsidRPr="00273810">
        <w:t xml:space="preserve"> 2016, </w:t>
      </w:r>
      <w:r w:rsidR="00892072" w:rsidRPr="00273810">
        <w:t xml:space="preserve">he </w:t>
      </w:r>
      <w:r w:rsidR="00DE7CEB">
        <w:t>did not</w:t>
      </w:r>
      <w:r w:rsidR="00DE7CEB" w:rsidRPr="00273810">
        <w:t xml:space="preserve"> </w:t>
      </w:r>
      <w:r w:rsidR="00892072" w:rsidRPr="00273810">
        <w:t xml:space="preserve">obtain written acknowledgement of any right </w:t>
      </w:r>
      <w:r w:rsidR="0000150B">
        <w:t xml:space="preserve">whatsoever </w:t>
      </w:r>
      <w:r w:rsidR="00DE7CEB">
        <w:t>in</w:t>
      </w:r>
      <w:r w:rsidR="00892072" w:rsidRPr="00273810">
        <w:t xml:space="preserve"> the contest or its </w:t>
      </w:r>
      <w:r w:rsidRPr="00273810">
        <w:t>Facebook</w:t>
      </w:r>
      <w:r w:rsidR="00892072" w:rsidRPr="00273810">
        <w:t xml:space="preserve"> page</w:t>
      </w:r>
      <w:r w:rsidRPr="00273810">
        <w:t>.</w:t>
      </w:r>
    </w:p>
    <w:p w14:paraId="36F4EA26" w14:textId="56C4CD7A" w:rsidR="00160BBF" w:rsidRPr="00273810" w:rsidRDefault="00F34BA3" w:rsidP="003C0F1B">
      <w:pPr>
        <w:pStyle w:val="Citationenretrait"/>
        <w:spacing w:line="240" w:lineRule="auto"/>
      </w:pPr>
      <w:r w:rsidRPr="00273810">
        <w:t xml:space="preserve">[150] </w:t>
      </w:r>
      <w:r w:rsidR="00694DCE">
        <w:t xml:space="preserve">On several occasions, </w:t>
      </w:r>
      <w:r w:rsidR="00892072" w:rsidRPr="00273810">
        <w:t>Mr. </w:t>
      </w:r>
      <w:r w:rsidRPr="00273810">
        <w:t>Girard t</w:t>
      </w:r>
      <w:r w:rsidR="00892072" w:rsidRPr="00273810">
        <w:t>rie</w:t>
      </w:r>
      <w:r w:rsidR="00694DCE">
        <w:t>d</w:t>
      </w:r>
      <w:r w:rsidR="00892072" w:rsidRPr="00273810">
        <w:t xml:space="preserve"> to </w:t>
      </w:r>
      <w:r w:rsidR="00694DCE">
        <w:t xml:space="preserve">avoid </w:t>
      </w:r>
      <w:r w:rsidR="00892072" w:rsidRPr="00273810">
        <w:t xml:space="preserve">the </w:t>
      </w:r>
      <w:r w:rsidRPr="00273810">
        <w:t xml:space="preserve">questions </w:t>
      </w:r>
      <w:r w:rsidR="00892072" w:rsidRPr="00273810">
        <w:t xml:space="preserve">he </w:t>
      </w:r>
      <w:r w:rsidR="00694DCE">
        <w:t>wa</w:t>
      </w:r>
      <w:r w:rsidR="00191E05" w:rsidRPr="00273810">
        <w:t>s</w:t>
      </w:r>
      <w:r w:rsidR="00892072" w:rsidRPr="00273810">
        <w:t xml:space="preserve"> asked. </w:t>
      </w:r>
      <w:r w:rsidR="00191E05" w:rsidRPr="00273810">
        <w:t>He want</w:t>
      </w:r>
      <w:r w:rsidR="00694DCE">
        <w:t>ed</w:t>
      </w:r>
      <w:r w:rsidR="00191E05" w:rsidRPr="00273810">
        <w:t xml:space="preserve"> to be right at any </w:t>
      </w:r>
      <w:r w:rsidR="00694DCE">
        <w:t xml:space="preserve">cost, </w:t>
      </w:r>
      <w:r w:rsidR="00191E05" w:rsidRPr="00273810">
        <w:t xml:space="preserve">even if the facts to which he </w:t>
      </w:r>
      <w:r w:rsidR="00694DCE">
        <w:t>wa</w:t>
      </w:r>
      <w:r w:rsidR="00191E05" w:rsidRPr="00273810">
        <w:t>s referred contradict</w:t>
      </w:r>
      <w:r w:rsidR="00DE7CEB">
        <w:t>ed</w:t>
      </w:r>
      <w:r w:rsidR="00191E05" w:rsidRPr="00273810">
        <w:t xml:space="preserve"> him</w:t>
      </w:r>
      <w:r w:rsidRPr="00273810">
        <w:t>.</w:t>
      </w:r>
    </w:p>
    <w:p w14:paraId="6CC7813E" w14:textId="65CF0659" w:rsidR="00160BBF" w:rsidRPr="00273810" w:rsidRDefault="00F34BA3" w:rsidP="003C0F1B">
      <w:pPr>
        <w:pStyle w:val="Citationenretrait"/>
        <w:spacing w:line="240" w:lineRule="auto"/>
      </w:pPr>
      <w:r w:rsidRPr="00273810">
        <w:t xml:space="preserve">[151] </w:t>
      </w:r>
      <w:r w:rsidR="00191E05" w:rsidRPr="00273810">
        <w:t>For these reasons, the Court cannot grant Mr.</w:t>
      </w:r>
      <w:r w:rsidR="005A2227" w:rsidRPr="00273810">
        <w:t xml:space="preserve"> </w:t>
      </w:r>
      <w:r w:rsidR="00191E05" w:rsidRPr="00273810">
        <w:t xml:space="preserve">Girard the credibility he </w:t>
      </w:r>
      <w:r w:rsidR="00694DCE">
        <w:t>would like</w:t>
      </w:r>
      <w:r w:rsidR="00191E05" w:rsidRPr="00273810">
        <w:t xml:space="preserve">. </w:t>
      </w:r>
    </w:p>
    <w:p w14:paraId="3CB609FB" w14:textId="6563C659" w:rsidR="00FE0D90" w:rsidRPr="004E34C6" w:rsidRDefault="00962B81" w:rsidP="003C0F1B">
      <w:pPr>
        <w:pStyle w:val="Paragraphe"/>
        <w:spacing w:line="240" w:lineRule="auto"/>
      </w:pPr>
      <w:r w:rsidRPr="004E34C6">
        <w:t>The appellant</w:t>
      </w:r>
      <w:r w:rsidR="00F34BA3" w:rsidRPr="004E34C6">
        <w:t xml:space="preserve"> </w:t>
      </w:r>
      <w:r w:rsidR="00AC12AB" w:rsidRPr="004E34C6">
        <w:t xml:space="preserve">has </w:t>
      </w:r>
      <w:r w:rsidR="003400B0" w:rsidRPr="004E34C6">
        <w:t>fail</w:t>
      </w:r>
      <w:r w:rsidR="00AC12AB" w:rsidRPr="004E34C6">
        <w:t>ed</w:t>
      </w:r>
      <w:r w:rsidR="003400B0" w:rsidRPr="004E34C6">
        <w:t xml:space="preserve"> to </w:t>
      </w:r>
      <w:r w:rsidR="00AC12AB" w:rsidRPr="004E34C6">
        <w:t xml:space="preserve">identify </w:t>
      </w:r>
      <w:r w:rsidR="003400B0" w:rsidRPr="004E34C6">
        <w:t xml:space="preserve">how the judge’s factual findings in paragraph </w:t>
      </w:r>
      <w:r w:rsidR="003A5C8A" w:rsidRPr="004E34C6">
        <w:t xml:space="preserve">149 </w:t>
      </w:r>
      <w:r w:rsidR="008515FE" w:rsidRPr="004E34C6">
        <w:t>of her r</w:t>
      </w:r>
      <w:r w:rsidR="003400B0" w:rsidRPr="004E34C6">
        <w:t xml:space="preserve">easons </w:t>
      </w:r>
      <w:r w:rsidR="005A2227" w:rsidRPr="004E34C6">
        <w:t xml:space="preserve">are </w:t>
      </w:r>
      <w:r w:rsidR="00AC12AB" w:rsidRPr="004E34C6">
        <w:t xml:space="preserve">tainted </w:t>
      </w:r>
      <w:r w:rsidR="005A2227" w:rsidRPr="004E34C6">
        <w:t xml:space="preserve">by a </w:t>
      </w:r>
      <w:r w:rsidR="00501591" w:rsidRPr="004E34C6">
        <w:t>palpable and overriding error</w:t>
      </w:r>
      <w:r w:rsidR="005A2227" w:rsidRPr="004E34C6">
        <w:t xml:space="preserve"> in </w:t>
      </w:r>
      <w:r w:rsidR="004B6CD8" w:rsidRPr="004E34C6">
        <w:t xml:space="preserve">the </w:t>
      </w:r>
      <w:r w:rsidR="00AC12AB" w:rsidRPr="004E34C6">
        <w:t>assess</w:t>
      </w:r>
      <w:r w:rsidR="004B6CD8" w:rsidRPr="004E34C6">
        <w:t>ment</w:t>
      </w:r>
      <w:r w:rsidR="00AC12AB" w:rsidRPr="004E34C6">
        <w:t xml:space="preserve"> </w:t>
      </w:r>
      <w:r w:rsidR="004B6CD8" w:rsidRPr="004E34C6">
        <w:t xml:space="preserve">of </w:t>
      </w:r>
      <w:r w:rsidR="005A2227" w:rsidRPr="004E34C6">
        <w:t>the evidence</w:t>
      </w:r>
      <w:r w:rsidR="004E34C6">
        <w:t>,</w:t>
      </w:r>
      <w:r w:rsidR="005A2227" w:rsidRPr="004E34C6">
        <w:t xml:space="preserve"> or </w:t>
      </w:r>
      <w:r w:rsidR="004E34C6">
        <w:t xml:space="preserve">in the assessment </w:t>
      </w:r>
      <w:r w:rsidR="004B6CD8" w:rsidRPr="004E34C6">
        <w:t xml:space="preserve">of </w:t>
      </w:r>
      <w:r w:rsidR="005A2227" w:rsidRPr="004E34C6">
        <w:t>his credibility</w:t>
      </w:r>
      <w:r w:rsidR="00CA70EF" w:rsidRPr="004E34C6">
        <w:t xml:space="preserve">, </w:t>
      </w:r>
      <w:r w:rsidR="005A2227" w:rsidRPr="004E34C6">
        <w:t xml:space="preserve">which is also a </w:t>
      </w:r>
      <w:r w:rsidR="00CA70EF" w:rsidRPr="004E34C6">
        <w:t xml:space="preserve">question </w:t>
      </w:r>
      <w:r w:rsidR="005A2227" w:rsidRPr="004E34C6">
        <w:t>of fact.</w:t>
      </w:r>
      <w:r w:rsidR="00F34BA3" w:rsidRPr="004E34C6">
        <w:rPr>
          <w:rStyle w:val="Appelnotedebasdep"/>
          <w:lang w:val="en-CA"/>
        </w:rPr>
        <w:footnoteReference w:id="26"/>
      </w:r>
      <w:r w:rsidR="00F34BA3" w:rsidRPr="004E34C6">
        <w:t xml:space="preserve"> </w:t>
      </w:r>
      <w:r w:rsidR="00FF08BB" w:rsidRPr="004E34C6">
        <w:t xml:space="preserve">These </w:t>
      </w:r>
      <w:r w:rsidR="00AC12AB" w:rsidRPr="004E34C6">
        <w:t xml:space="preserve">findings </w:t>
      </w:r>
      <w:r w:rsidR="00FF08BB" w:rsidRPr="004E34C6">
        <w:t xml:space="preserve">are clearly supported </w:t>
      </w:r>
      <w:r w:rsidR="00AC12AB" w:rsidRPr="004E34C6">
        <w:t xml:space="preserve">by </w:t>
      </w:r>
      <w:r w:rsidR="00FF08BB" w:rsidRPr="004E34C6">
        <w:t xml:space="preserve">the evidence. </w:t>
      </w:r>
      <w:r w:rsidR="00AC12AB" w:rsidRPr="004E34C6">
        <w:t xml:space="preserve">One need </w:t>
      </w:r>
      <w:r w:rsidR="00FF08BB" w:rsidRPr="004E34C6">
        <w:t xml:space="preserve">only </w:t>
      </w:r>
      <w:r w:rsidR="00AC12AB" w:rsidRPr="004E34C6">
        <w:t>observe that</w:t>
      </w:r>
      <w:r w:rsidR="00FF08BB" w:rsidRPr="004E34C6">
        <w:t xml:space="preserve">, from the </w:t>
      </w:r>
      <w:r w:rsidR="004B6CD8" w:rsidRPr="004E34C6">
        <w:t>start</w:t>
      </w:r>
      <w:r w:rsidR="00FF08BB" w:rsidRPr="004E34C6">
        <w:t xml:space="preserve">, in the </w:t>
      </w:r>
      <w:r w:rsidR="00AC12AB" w:rsidRPr="004E34C6">
        <w:rPr>
          <w:rFonts w:cs="Arial"/>
        </w:rPr>
        <w:t>[</w:t>
      </w:r>
      <w:r w:rsidR="00AC12AB" w:rsidRPr="004E34C6">
        <w:rPr>
          <w:rFonts w:cs="Arial"/>
          <w:smallCaps/>
        </w:rPr>
        <w:t>translation</w:t>
      </w:r>
      <w:r w:rsidR="00AC12AB" w:rsidRPr="004E34C6">
        <w:rPr>
          <w:rFonts w:cs="Arial"/>
        </w:rPr>
        <w:t>]</w:t>
      </w:r>
      <w:r w:rsidR="00AC12AB" w:rsidRPr="004E34C6">
        <w:t xml:space="preserve"> </w:t>
      </w:r>
      <w:r w:rsidR="00FF08BB" w:rsidRPr="004E34C6">
        <w:t xml:space="preserve">“Marketing </w:t>
      </w:r>
      <w:r w:rsidR="00F34BA3" w:rsidRPr="004E34C6">
        <w:t>Plan</w:t>
      </w:r>
      <w:r w:rsidR="00FF08BB" w:rsidRPr="004E34C6">
        <w:t>”</w:t>
      </w:r>
      <w:r w:rsidR="00C764F9" w:rsidRPr="004E34C6">
        <w:t xml:space="preserve"> </w:t>
      </w:r>
      <w:r w:rsidR="00FF08BB" w:rsidRPr="004E34C6">
        <w:t xml:space="preserve"> </w:t>
      </w:r>
      <w:r w:rsidR="00AC12AB" w:rsidRPr="004E34C6">
        <w:t>he</w:t>
      </w:r>
      <w:r w:rsidR="00FF08BB" w:rsidRPr="004E34C6">
        <w:t xml:space="preserve"> discussed </w:t>
      </w:r>
      <w:r w:rsidR="00AA2FC5" w:rsidRPr="004E34C6">
        <w:t>with Mr. Landry</w:t>
      </w:r>
      <w:r w:rsidR="002105BD" w:rsidRPr="004E34C6">
        <w:t>, the head of 9220, in January 2010</w:t>
      </w:r>
      <w:r w:rsidR="00AA2FC5" w:rsidRPr="004E34C6">
        <w:t>, before</w:t>
      </w:r>
      <w:r w:rsidR="002D0AF4" w:rsidRPr="004E34C6">
        <w:t xml:space="preserve"> </w:t>
      </w:r>
      <w:r w:rsidR="002105BD" w:rsidRPr="004E34C6">
        <w:t xml:space="preserve">he </w:t>
      </w:r>
      <w:r w:rsidR="00AC12AB" w:rsidRPr="004E34C6">
        <w:t>was</w:t>
      </w:r>
      <w:r w:rsidR="00AA2FC5" w:rsidRPr="004E34C6">
        <w:t xml:space="preserve"> hired, </w:t>
      </w:r>
      <w:r w:rsidR="002105BD" w:rsidRPr="004E34C6">
        <w:t>t</w:t>
      </w:r>
      <w:r w:rsidRPr="004E34C6">
        <w:t xml:space="preserve">he </w:t>
      </w:r>
      <w:r w:rsidR="002105BD" w:rsidRPr="004E34C6">
        <w:t xml:space="preserve">appellant </w:t>
      </w:r>
      <w:r w:rsidR="00AC12AB" w:rsidRPr="004E34C6">
        <w:t xml:space="preserve">said that </w:t>
      </w:r>
      <w:r w:rsidR="00AA2FC5" w:rsidRPr="004E34C6">
        <w:t>as a prospective employee</w:t>
      </w:r>
      <w:r w:rsidR="00C764F9" w:rsidRPr="004E34C6">
        <w:t xml:space="preserve"> he was prepared</w:t>
      </w:r>
      <w:r w:rsidR="00AA2FC5" w:rsidRPr="004E34C6">
        <w:t xml:space="preserve"> [</w:t>
      </w:r>
      <w:r w:rsidR="00AA2FC5" w:rsidRPr="004E34C6">
        <w:rPr>
          <w:smallCaps/>
        </w:rPr>
        <w:t xml:space="preserve">translation] </w:t>
      </w:r>
      <w:r w:rsidR="00AA2FC5" w:rsidRPr="004E34C6">
        <w:t>“</w:t>
      </w:r>
      <w:r w:rsidR="002105BD" w:rsidRPr="004E34C6">
        <w:t xml:space="preserve">to accept </w:t>
      </w:r>
      <w:r w:rsidR="002D0AF4" w:rsidRPr="004E34C6">
        <w:t xml:space="preserve">as </w:t>
      </w:r>
      <w:r w:rsidR="00AA2FC5" w:rsidRPr="004E34C6">
        <w:t xml:space="preserve">tasks and responsibilities </w:t>
      </w:r>
      <w:r w:rsidR="00F34BA3" w:rsidRPr="004E34C6">
        <w:t xml:space="preserve">… </w:t>
      </w:r>
      <w:r w:rsidR="004B6CD8" w:rsidRPr="004E34C6">
        <w:t xml:space="preserve">to </w:t>
      </w:r>
      <w:r w:rsidR="00AC12AB" w:rsidRPr="004E34C6">
        <w:t>manag</w:t>
      </w:r>
      <w:r w:rsidR="004B6CD8" w:rsidRPr="004E34C6">
        <w:t>e</w:t>
      </w:r>
      <w:r w:rsidR="00AC12AB" w:rsidRPr="004E34C6">
        <w:t xml:space="preserve"> </w:t>
      </w:r>
      <w:r w:rsidR="00AA2FC5" w:rsidRPr="004E34C6">
        <w:t xml:space="preserve">the </w:t>
      </w:r>
      <w:r w:rsidR="00F34BA3" w:rsidRPr="004E34C6">
        <w:t xml:space="preserve">promotion </w:t>
      </w:r>
      <w:r w:rsidR="00AA2FC5" w:rsidRPr="004E34C6">
        <w:t xml:space="preserve">on </w:t>
      </w:r>
      <w:r w:rsidR="00F34BA3" w:rsidRPr="004E34C6">
        <w:t xml:space="preserve">Facebook </w:t>
      </w:r>
      <w:r w:rsidR="00AA2FC5" w:rsidRPr="004E34C6">
        <w:t>and</w:t>
      </w:r>
      <w:r w:rsidR="00F34BA3" w:rsidRPr="004E34C6">
        <w:t xml:space="preserve"> Twitter </w:t>
      </w:r>
      <w:r w:rsidR="00AA2FC5" w:rsidRPr="004E34C6">
        <w:t>with the possibility of organizing contests</w:t>
      </w:r>
      <w:r w:rsidR="00F34BA3" w:rsidRPr="004E34C6">
        <w:t>…</w:t>
      </w:r>
      <w:r w:rsidR="00AA2FC5" w:rsidRPr="004E34C6">
        <w:rPr>
          <w:rFonts w:cs="Arial"/>
        </w:rPr>
        <w:t>”</w:t>
      </w:r>
      <w:r w:rsidR="003A5C8A" w:rsidRPr="004E34C6">
        <w:t xml:space="preserve">. </w:t>
      </w:r>
      <w:r w:rsidR="001E0AC0" w:rsidRPr="004E34C6">
        <w:t xml:space="preserve">Nothing in this </w:t>
      </w:r>
      <w:r w:rsidR="003A5C8A" w:rsidRPr="004E34C6">
        <w:t xml:space="preserve">marketing </w:t>
      </w:r>
      <w:r w:rsidR="005F4187" w:rsidRPr="004E34C6">
        <w:t xml:space="preserve">plan </w:t>
      </w:r>
      <w:r w:rsidR="001E0AC0" w:rsidRPr="004E34C6">
        <w:t xml:space="preserve">or </w:t>
      </w:r>
      <w:r w:rsidR="002105BD" w:rsidRPr="004E34C6">
        <w:t xml:space="preserve">thereafter </w:t>
      </w:r>
      <w:r w:rsidR="001D2417" w:rsidRPr="004E34C6">
        <w:t>lead</w:t>
      </w:r>
      <w:r w:rsidR="00AC12AB" w:rsidRPr="004E34C6">
        <w:t>s</w:t>
      </w:r>
      <w:r w:rsidR="001D2417" w:rsidRPr="004E34C6">
        <w:t xml:space="preserve"> to </w:t>
      </w:r>
      <w:r w:rsidR="00AC12AB" w:rsidRPr="004E34C6">
        <w:t xml:space="preserve">the conclusion </w:t>
      </w:r>
      <w:r w:rsidR="001D2417" w:rsidRPr="004E34C6">
        <w:t>that either</w:t>
      </w:r>
      <w:r w:rsidR="004E34C6">
        <w:t xml:space="preserve"> of the</w:t>
      </w:r>
      <w:r w:rsidR="001D2417" w:rsidRPr="004E34C6">
        <w:t xml:space="preserve"> respondent</w:t>
      </w:r>
      <w:r w:rsidR="004E34C6">
        <w:t>s</w:t>
      </w:r>
      <w:r w:rsidR="001D2417" w:rsidRPr="004E34C6">
        <w:t xml:space="preserve"> acknowledged or </w:t>
      </w:r>
      <w:r w:rsidR="004B6CD8" w:rsidRPr="004E34C6">
        <w:t xml:space="preserve">assigned </w:t>
      </w:r>
      <w:r w:rsidR="001D2417" w:rsidRPr="004E34C6">
        <w:t>ownership of the “</w:t>
      </w:r>
      <w:r w:rsidR="00803033" w:rsidRPr="004E34C6">
        <w:t>Lévis Ville du Rock</w:t>
      </w:r>
      <w:r w:rsidR="001D2417" w:rsidRPr="004E34C6">
        <w:t xml:space="preserve">” contest </w:t>
      </w:r>
      <w:r w:rsidR="00AC12AB" w:rsidRPr="004E34C6">
        <w:t xml:space="preserve">Facebook page </w:t>
      </w:r>
      <w:r w:rsidR="001D2417" w:rsidRPr="004E34C6">
        <w:t>to the appellant</w:t>
      </w:r>
      <w:r w:rsidR="00D76D78" w:rsidRPr="004E34C6">
        <w:t xml:space="preserve">. </w:t>
      </w:r>
      <w:r w:rsidR="001D2417" w:rsidRPr="004E34C6">
        <w:t>More</w:t>
      </w:r>
      <w:r w:rsidR="00AB14B2" w:rsidRPr="004E34C6">
        <w:t>o</w:t>
      </w:r>
      <w:r w:rsidR="001D2417" w:rsidRPr="004E34C6">
        <w:t xml:space="preserve">ver, the appellant’s insistence at the hearing that the Court </w:t>
      </w:r>
      <w:r w:rsidR="004B6CD8" w:rsidRPr="004E34C6">
        <w:t xml:space="preserve">note </w:t>
      </w:r>
      <w:r w:rsidR="004E34C6">
        <w:t xml:space="preserve">the </w:t>
      </w:r>
      <w:r w:rsidR="001D2417" w:rsidRPr="004E34C6">
        <w:t xml:space="preserve">acknowledgement, </w:t>
      </w:r>
      <w:r w:rsidR="00B51F8E" w:rsidRPr="004E34C6">
        <w:t>even</w:t>
      </w:r>
      <w:r w:rsidR="001D2417" w:rsidRPr="004E34C6">
        <w:t xml:space="preserve"> admission, </w:t>
      </w:r>
      <w:r w:rsidR="004E34C6">
        <w:t xml:space="preserve">by 9220 </w:t>
      </w:r>
      <w:r w:rsidR="001D2417" w:rsidRPr="004E34C6">
        <w:t xml:space="preserve">in a brief </w:t>
      </w:r>
      <w:r w:rsidR="001D2417" w:rsidRPr="004E34C6">
        <w:lastRenderedPageBreak/>
        <w:t>exchange of text messages between him</w:t>
      </w:r>
      <w:r w:rsidR="00AC12AB" w:rsidRPr="004E34C6">
        <w:t>self</w:t>
      </w:r>
      <w:r w:rsidR="001D2417" w:rsidRPr="004E34C6">
        <w:t xml:space="preserve"> and Mr. </w:t>
      </w:r>
      <w:r w:rsidR="00615E63" w:rsidRPr="004E34C6">
        <w:t xml:space="preserve">Deschâtelets </w:t>
      </w:r>
      <w:r w:rsidR="001D2417" w:rsidRPr="004E34C6">
        <w:t>on February </w:t>
      </w:r>
      <w:r w:rsidR="00615E63" w:rsidRPr="004E34C6">
        <w:t>14</w:t>
      </w:r>
      <w:r w:rsidR="001D2417" w:rsidRPr="004E34C6">
        <w:t>,</w:t>
      </w:r>
      <w:r w:rsidR="00615E63" w:rsidRPr="004E34C6">
        <w:t xml:space="preserve"> 2013</w:t>
      </w:r>
      <w:r w:rsidR="004E34C6">
        <w:t>,</w:t>
      </w:r>
      <w:r w:rsidR="00F34BA3" w:rsidRPr="004E34C6">
        <w:rPr>
          <w:rStyle w:val="Appelnotedebasdep"/>
          <w:lang w:val="en-CA"/>
        </w:rPr>
        <w:footnoteReference w:id="27"/>
      </w:r>
      <w:r w:rsidR="00615E63" w:rsidRPr="004E34C6">
        <w:t xml:space="preserve"> l</w:t>
      </w:r>
      <w:r w:rsidR="00AB14B2" w:rsidRPr="004E34C6">
        <w:t xml:space="preserve">eaves </w:t>
      </w:r>
      <w:r w:rsidR="00AC12AB" w:rsidRPr="004E34C6">
        <w:t xml:space="preserve">the Court </w:t>
      </w:r>
      <w:r w:rsidR="00F83128">
        <w:t>beyond</w:t>
      </w:r>
      <w:r w:rsidR="00AC12AB" w:rsidRPr="004E34C6">
        <w:t xml:space="preserve"> </w:t>
      </w:r>
      <w:r w:rsidR="00AB14B2" w:rsidRPr="004E34C6">
        <w:t>perplexed</w:t>
      </w:r>
      <w:r w:rsidR="00F83128">
        <w:t>,</w:t>
      </w:r>
      <w:r w:rsidR="00AB14B2" w:rsidRPr="004E34C6">
        <w:t xml:space="preserve"> in view of Mr. Deschâtelets’</w:t>
      </w:r>
      <w:r w:rsidR="004567C6" w:rsidRPr="004E34C6">
        <w:t>s</w:t>
      </w:r>
      <w:r w:rsidR="00AB14B2" w:rsidRPr="004E34C6">
        <w:t xml:space="preserve"> testimony at trial where he </w:t>
      </w:r>
      <w:r w:rsidR="00AC12AB" w:rsidRPr="004E34C6">
        <w:t xml:space="preserve">explained </w:t>
      </w:r>
      <w:r w:rsidR="00AB14B2" w:rsidRPr="004E34C6">
        <w:t xml:space="preserve">the circumstances and </w:t>
      </w:r>
      <w:r w:rsidR="00AC12AB" w:rsidRPr="004E34C6">
        <w:t xml:space="preserve">true meaning of </w:t>
      </w:r>
      <w:r w:rsidR="00AB14B2" w:rsidRPr="004E34C6">
        <w:t>th</w:t>
      </w:r>
      <w:r w:rsidR="00AC12AB" w:rsidRPr="004E34C6">
        <w:t>is</w:t>
      </w:r>
      <w:r w:rsidR="00AB14B2" w:rsidRPr="004E34C6">
        <w:t xml:space="preserve"> exchange. </w:t>
      </w:r>
    </w:p>
    <w:p w14:paraId="2EA9AFBC" w14:textId="670749AD" w:rsidR="00E72456" w:rsidRPr="00273810" w:rsidRDefault="00E07999" w:rsidP="003C0F1B">
      <w:pPr>
        <w:pStyle w:val="Paragraphe"/>
        <w:spacing w:line="240" w:lineRule="auto"/>
        <w:rPr>
          <w:color w:val="000000"/>
          <w:szCs w:val="24"/>
        </w:rPr>
      </w:pPr>
      <w:r w:rsidRPr="00273810">
        <w:rPr>
          <w:color w:val="000000"/>
          <w:szCs w:val="24"/>
        </w:rPr>
        <w:t xml:space="preserve">In fact, as the respondents </w:t>
      </w:r>
      <w:r w:rsidR="00AC12AB">
        <w:rPr>
          <w:color w:val="000000"/>
          <w:szCs w:val="24"/>
        </w:rPr>
        <w:t>correctly note</w:t>
      </w:r>
      <w:r w:rsidRPr="00273810">
        <w:rPr>
          <w:color w:val="000000"/>
          <w:szCs w:val="24"/>
        </w:rPr>
        <w:t xml:space="preserve">, </w:t>
      </w:r>
      <w:r w:rsidR="002105BD">
        <w:rPr>
          <w:color w:val="000000"/>
          <w:szCs w:val="24"/>
        </w:rPr>
        <w:t xml:space="preserve">with this issue, </w:t>
      </w:r>
      <w:r w:rsidR="00962B81" w:rsidRPr="00273810">
        <w:rPr>
          <w:color w:val="000000"/>
          <w:szCs w:val="24"/>
        </w:rPr>
        <w:t>the appellant</w:t>
      </w:r>
      <w:r w:rsidRPr="00273810">
        <w:rPr>
          <w:color w:val="000000"/>
          <w:szCs w:val="24"/>
        </w:rPr>
        <w:t xml:space="preserve"> </w:t>
      </w:r>
      <w:r w:rsidR="002105BD">
        <w:rPr>
          <w:color w:val="000000"/>
          <w:szCs w:val="24"/>
        </w:rPr>
        <w:t xml:space="preserve">improperly amplifies </w:t>
      </w:r>
      <w:r w:rsidRPr="00273810">
        <w:rPr>
          <w:color w:val="000000"/>
          <w:szCs w:val="24"/>
        </w:rPr>
        <w:t xml:space="preserve">the judge’s analysis </w:t>
      </w:r>
      <w:r w:rsidR="00F83128">
        <w:rPr>
          <w:color w:val="000000"/>
          <w:szCs w:val="24"/>
        </w:rPr>
        <w:t>of</w:t>
      </w:r>
      <w:r w:rsidR="00F83128" w:rsidRPr="00273810">
        <w:rPr>
          <w:color w:val="000000"/>
          <w:szCs w:val="24"/>
        </w:rPr>
        <w:t xml:space="preserve"> </w:t>
      </w:r>
      <w:r w:rsidR="002105BD">
        <w:rPr>
          <w:color w:val="000000"/>
          <w:szCs w:val="24"/>
        </w:rPr>
        <w:t xml:space="preserve">the </w:t>
      </w:r>
      <w:r w:rsidR="0099321B" w:rsidRPr="00273810">
        <w:rPr>
          <w:color w:val="000000"/>
          <w:szCs w:val="24"/>
        </w:rPr>
        <w:t>copyright in the Facebook page.</w:t>
      </w:r>
      <w:r w:rsidR="003A5C8A" w:rsidRPr="00273810">
        <w:rPr>
          <w:color w:val="000000"/>
          <w:szCs w:val="24"/>
        </w:rPr>
        <w:t xml:space="preserve"> </w:t>
      </w:r>
      <w:r w:rsidR="00AC12AB">
        <w:rPr>
          <w:color w:val="000000"/>
          <w:szCs w:val="24"/>
        </w:rPr>
        <w:t>F</w:t>
      </w:r>
      <w:r w:rsidR="00AC12AB" w:rsidRPr="00273810">
        <w:rPr>
          <w:color w:val="000000"/>
          <w:szCs w:val="24"/>
        </w:rPr>
        <w:t xml:space="preserve">or </w:t>
      </w:r>
      <w:r w:rsidR="00AC12AB">
        <w:rPr>
          <w:color w:val="000000"/>
          <w:szCs w:val="24"/>
        </w:rPr>
        <w:t xml:space="preserve">this </w:t>
      </w:r>
      <w:r w:rsidR="00AC12AB" w:rsidRPr="00273810">
        <w:rPr>
          <w:color w:val="000000"/>
          <w:szCs w:val="24"/>
        </w:rPr>
        <w:t>reason, but also because th</w:t>
      </w:r>
      <w:r w:rsidR="00AC12AB">
        <w:rPr>
          <w:color w:val="000000"/>
          <w:szCs w:val="24"/>
        </w:rPr>
        <w:t xml:space="preserve">is is not the proper case to do so </w:t>
      </w:r>
      <w:r w:rsidR="00AC12AB" w:rsidRPr="00273810">
        <w:rPr>
          <w:color w:val="000000"/>
          <w:szCs w:val="24"/>
        </w:rPr>
        <w:t xml:space="preserve">and </w:t>
      </w:r>
      <w:r w:rsidR="00AC12AB">
        <w:rPr>
          <w:color w:val="000000"/>
          <w:szCs w:val="24"/>
        </w:rPr>
        <w:t xml:space="preserve">it </w:t>
      </w:r>
      <w:r w:rsidR="00AC12AB" w:rsidRPr="00273810">
        <w:rPr>
          <w:color w:val="000000"/>
          <w:szCs w:val="24"/>
        </w:rPr>
        <w:t xml:space="preserve">is </w:t>
      </w:r>
      <w:r w:rsidR="004B6CD8">
        <w:rPr>
          <w:color w:val="000000"/>
          <w:szCs w:val="24"/>
        </w:rPr>
        <w:t xml:space="preserve">not </w:t>
      </w:r>
      <w:r w:rsidR="00AC12AB">
        <w:rPr>
          <w:color w:val="000000"/>
          <w:szCs w:val="24"/>
        </w:rPr>
        <w:t xml:space="preserve">necessary </w:t>
      </w:r>
      <w:r w:rsidR="00AC12AB" w:rsidRPr="00273810">
        <w:rPr>
          <w:color w:val="000000"/>
          <w:szCs w:val="24"/>
        </w:rPr>
        <w:t xml:space="preserve">to </w:t>
      </w:r>
      <w:r w:rsidR="00F83128">
        <w:rPr>
          <w:color w:val="000000"/>
          <w:szCs w:val="24"/>
        </w:rPr>
        <w:t>do so</w:t>
      </w:r>
      <w:r w:rsidR="00AC12AB" w:rsidRPr="00273810">
        <w:rPr>
          <w:color w:val="000000"/>
          <w:szCs w:val="24"/>
        </w:rPr>
        <w:t xml:space="preserve"> to decide the appeal</w:t>
      </w:r>
      <w:r w:rsidR="00AC12AB">
        <w:rPr>
          <w:color w:val="000000"/>
          <w:szCs w:val="24"/>
        </w:rPr>
        <w:t>, t</w:t>
      </w:r>
      <w:r w:rsidR="0099321B" w:rsidRPr="00273810">
        <w:rPr>
          <w:color w:val="000000"/>
          <w:szCs w:val="24"/>
        </w:rPr>
        <w:t xml:space="preserve">he Court will not respond to his counsel’s invitation at the hearing </w:t>
      </w:r>
      <w:r w:rsidR="0099321B" w:rsidRPr="00273810">
        <w:rPr>
          <w:smallCaps/>
        </w:rPr>
        <w:t>[translation] “</w:t>
      </w:r>
      <w:r w:rsidR="0099321B" w:rsidRPr="00273810">
        <w:rPr>
          <w:color w:val="000000"/>
          <w:szCs w:val="24"/>
        </w:rPr>
        <w:t>to</w:t>
      </w:r>
      <w:r w:rsidR="001043DA" w:rsidRPr="00273810">
        <w:rPr>
          <w:color w:val="000000"/>
          <w:szCs w:val="24"/>
        </w:rPr>
        <w:t> </w:t>
      </w:r>
      <w:r w:rsidR="0099321B" w:rsidRPr="00273810">
        <w:rPr>
          <w:color w:val="000000"/>
          <w:szCs w:val="24"/>
        </w:rPr>
        <w:t xml:space="preserve">legally </w:t>
      </w:r>
      <w:r w:rsidR="00AC12AB">
        <w:rPr>
          <w:color w:val="000000"/>
          <w:szCs w:val="24"/>
        </w:rPr>
        <w:t xml:space="preserve">characterize </w:t>
      </w:r>
      <w:r w:rsidR="0099321B" w:rsidRPr="00273810">
        <w:rPr>
          <w:color w:val="000000"/>
          <w:szCs w:val="24"/>
        </w:rPr>
        <w:t xml:space="preserve">a </w:t>
      </w:r>
      <w:r w:rsidR="001043DA" w:rsidRPr="00273810">
        <w:rPr>
          <w:color w:val="000000"/>
          <w:szCs w:val="24"/>
        </w:rPr>
        <w:t>Facebook</w:t>
      </w:r>
      <w:r w:rsidR="0099321B" w:rsidRPr="00273810">
        <w:rPr>
          <w:color w:val="000000"/>
          <w:szCs w:val="24"/>
        </w:rPr>
        <w:t xml:space="preserve"> page”</w:t>
      </w:r>
      <w:r w:rsidR="007E2A04" w:rsidRPr="00273810">
        <w:rPr>
          <w:color w:val="000000"/>
          <w:szCs w:val="24"/>
        </w:rPr>
        <w:t xml:space="preserve"> </w:t>
      </w:r>
      <w:r w:rsidR="0099321B" w:rsidRPr="00273810">
        <w:rPr>
          <w:color w:val="000000"/>
          <w:szCs w:val="24"/>
        </w:rPr>
        <w:t xml:space="preserve">in </w:t>
      </w:r>
      <w:r w:rsidR="00AC12AB">
        <w:rPr>
          <w:color w:val="000000"/>
          <w:szCs w:val="24"/>
        </w:rPr>
        <w:t xml:space="preserve">this </w:t>
      </w:r>
      <w:r w:rsidR="0099321B" w:rsidRPr="00273810">
        <w:rPr>
          <w:color w:val="000000"/>
          <w:szCs w:val="24"/>
        </w:rPr>
        <w:t>judgment</w:t>
      </w:r>
      <w:r w:rsidR="007E2A04" w:rsidRPr="00273810">
        <w:rPr>
          <w:color w:val="000000"/>
          <w:szCs w:val="24"/>
        </w:rPr>
        <w:t>.</w:t>
      </w:r>
      <w:r w:rsidR="00F34BA3" w:rsidRPr="00273810">
        <w:rPr>
          <w:color w:val="000000"/>
          <w:szCs w:val="24"/>
        </w:rPr>
        <w:t xml:space="preserve"> </w:t>
      </w:r>
    </w:p>
    <w:p w14:paraId="3EC79910" w14:textId="7789F4C3" w:rsidR="001705BB" w:rsidRPr="00273810" w:rsidRDefault="0091043F" w:rsidP="00F70E82">
      <w:pPr>
        <w:pStyle w:val="Paragraphe"/>
        <w:spacing w:after="0" w:line="240" w:lineRule="auto"/>
      </w:pPr>
      <w:r>
        <w:t xml:space="preserve">Moreover, </w:t>
      </w:r>
      <w:r w:rsidR="00F70E82" w:rsidRPr="00273810">
        <w:t xml:space="preserve">the judgment under appeal does not contain any </w:t>
      </w:r>
      <w:r w:rsidR="002F59A0">
        <w:t xml:space="preserve">declaratory or other </w:t>
      </w:r>
      <w:r w:rsidR="00F70E82" w:rsidRPr="00273810">
        <w:t xml:space="preserve">conclusion confirming that any </w:t>
      </w:r>
      <w:r w:rsidR="002F59A0">
        <w:t xml:space="preserve">of the </w:t>
      </w:r>
      <w:r w:rsidR="00F70E82" w:rsidRPr="00273810">
        <w:t>part</w:t>
      </w:r>
      <w:r w:rsidR="002F59A0">
        <w:t>ies</w:t>
      </w:r>
      <w:r w:rsidR="00F70E82" w:rsidRPr="00273810">
        <w:t xml:space="preserve"> </w:t>
      </w:r>
      <w:r>
        <w:t xml:space="preserve">owns </w:t>
      </w:r>
      <w:r w:rsidR="00AC12AB">
        <w:t>the</w:t>
      </w:r>
      <w:r w:rsidR="00F70E82" w:rsidRPr="00273810">
        <w:t xml:space="preserve"> “copyright” in the</w:t>
      </w:r>
      <w:r>
        <w:t xml:space="preserve"> actual</w:t>
      </w:r>
      <w:r w:rsidR="00F70E82" w:rsidRPr="00273810">
        <w:t xml:space="preserve"> </w:t>
      </w:r>
      <w:r w:rsidR="00FC7983" w:rsidRPr="00273810">
        <w:t>Facebook p</w:t>
      </w:r>
      <w:r w:rsidR="00F70E82" w:rsidRPr="00273810">
        <w:t>age</w:t>
      </w:r>
      <w:r w:rsidR="00FC7983" w:rsidRPr="00273810">
        <w:t xml:space="preserve">. </w:t>
      </w:r>
      <w:r w:rsidR="00F70E82" w:rsidRPr="00273810">
        <w:t xml:space="preserve">The judge really only </w:t>
      </w:r>
      <w:r w:rsidR="002F59A0">
        <w:t xml:space="preserve">dealt with </w:t>
      </w:r>
      <w:r w:rsidR="00F70E82" w:rsidRPr="00273810">
        <w:t xml:space="preserve">this </w:t>
      </w:r>
      <w:r w:rsidR="00AC12AB">
        <w:t xml:space="preserve">issue </w:t>
      </w:r>
      <w:r w:rsidR="00F70E82" w:rsidRPr="00273810">
        <w:t>in one s</w:t>
      </w:r>
      <w:r w:rsidR="008515FE" w:rsidRPr="00273810">
        <w:t>entence in paragraph 58 of her r</w:t>
      </w:r>
      <w:r w:rsidR="00F70E82" w:rsidRPr="00273810">
        <w:t xml:space="preserve">easons where, after </w:t>
      </w:r>
      <w:r w:rsidR="002105BD">
        <w:t>conclud</w:t>
      </w:r>
      <w:r>
        <w:t>ing</w:t>
      </w:r>
      <w:r w:rsidR="00F70E82" w:rsidRPr="00273810">
        <w:t xml:space="preserve"> without </w:t>
      </w:r>
      <w:r w:rsidR="004469A7">
        <w:t>error</w:t>
      </w:r>
      <w:r w:rsidR="004469A7" w:rsidRPr="00273810">
        <w:t xml:space="preserve"> </w:t>
      </w:r>
      <w:r w:rsidR="00F70E82" w:rsidRPr="00273810">
        <w:t>that</w:t>
      </w:r>
      <w:r w:rsidR="00883271">
        <w:t xml:space="preserve"> </w:t>
      </w:r>
      <w:r w:rsidR="00883271" w:rsidRPr="00273810">
        <w:rPr>
          <w:smallCaps/>
        </w:rPr>
        <w:t>[translation]</w:t>
      </w:r>
      <w:r w:rsidR="00F70E82" w:rsidRPr="00273810">
        <w:t xml:space="preserve"> </w:t>
      </w:r>
      <w:r w:rsidR="00E07999" w:rsidRPr="00273810">
        <w:t xml:space="preserve">“the </w:t>
      </w:r>
      <w:r w:rsidR="00750C85" w:rsidRPr="00273810">
        <w:t>“</w:t>
      </w:r>
      <w:r w:rsidR="00FC7983" w:rsidRPr="00273810">
        <w:t>Lévis Ville du Rock</w:t>
      </w:r>
      <w:r w:rsidR="00750C85" w:rsidRPr="00273810">
        <w:t>”</w:t>
      </w:r>
      <w:r w:rsidR="00E07999" w:rsidRPr="00273810">
        <w:t xml:space="preserve"> Facebook page </w:t>
      </w:r>
      <w:r w:rsidR="00AC12AB">
        <w:t xml:space="preserve">is </w:t>
      </w:r>
      <w:r w:rsidR="002105BD">
        <w:t xml:space="preserve">an accessory </w:t>
      </w:r>
      <w:r w:rsidR="00AC12AB">
        <w:t xml:space="preserve">to </w:t>
      </w:r>
      <w:r w:rsidR="00F237D6" w:rsidRPr="00273810">
        <w:t>the contest with the same name</w:t>
      </w:r>
      <w:r w:rsidR="00E07999" w:rsidRPr="00273810">
        <w:t>”</w:t>
      </w:r>
      <w:r w:rsidR="00F237D6" w:rsidRPr="00273810">
        <w:t>,</w:t>
      </w:r>
      <w:r w:rsidR="00FC7983" w:rsidRPr="00273810">
        <w:t xml:space="preserve"> </w:t>
      </w:r>
      <w:r w:rsidR="00750C85" w:rsidRPr="00273810">
        <w:t xml:space="preserve">she </w:t>
      </w:r>
      <w:r w:rsidR="004469A7">
        <w:t>wrote</w:t>
      </w:r>
      <w:r w:rsidR="00FC7983" w:rsidRPr="00273810">
        <w:t xml:space="preserve">, </w:t>
      </w:r>
      <w:r w:rsidR="00750C85" w:rsidRPr="00273810">
        <w:t xml:space="preserve">without further explanation, that: </w:t>
      </w:r>
      <w:r w:rsidR="00FC7983" w:rsidRPr="00273810">
        <w:t> </w:t>
      </w:r>
      <w:r w:rsidR="00750C85" w:rsidRPr="00273810">
        <w:rPr>
          <w:smallCaps/>
        </w:rPr>
        <w:t xml:space="preserve">[translation] </w:t>
      </w:r>
      <w:r w:rsidR="00750C85" w:rsidRPr="00273810">
        <w:t>“The</w:t>
      </w:r>
      <w:r w:rsidR="00FC7983" w:rsidRPr="00273810">
        <w:t> </w:t>
      </w:r>
      <w:r w:rsidR="00AC12AB">
        <w:t>“</w:t>
      </w:r>
      <w:r w:rsidR="00FC7983" w:rsidRPr="00273810">
        <w:t>Lévis Ville du Rock</w:t>
      </w:r>
      <w:r w:rsidR="00AC12AB">
        <w:t>”</w:t>
      </w:r>
      <w:r w:rsidR="00750C85" w:rsidRPr="00273810">
        <w:t xml:space="preserve"> Facebook page is, in the Court’s opinion, a</w:t>
      </w:r>
      <w:r w:rsidR="00FC7983" w:rsidRPr="00273810">
        <w:t> </w:t>
      </w:r>
      <w:r w:rsidR="00AC12AB">
        <w:t>“</w:t>
      </w:r>
      <w:r w:rsidR="00750C85" w:rsidRPr="00273810">
        <w:t>work</w:t>
      </w:r>
      <w:r w:rsidR="00AC12AB">
        <w:t>”</w:t>
      </w:r>
      <w:r w:rsidR="00FC7983" w:rsidRPr="00273810">
        <w:t xml:space="preserve"> </w:t>
      </w:r>
      <w:r w:rsidR="00750C85" w:rsidRPr="00273810">
        <w:t xml:space="preserve">within the meaning of the </w:t>
      </w:r>
      <w:r w:rsidR="00750C85" w:rsidRPr="00273810">
        <w:rPr>
          <w:i/>
        </w:rPr>
        <w:t>Copyright Act</w:t>
      </w:r>
      <w:r w:rsidR="00750C85" w:rsidRPr="00273810">
        <w:t>”</w:t>
      </w:r>
      <w:r w:rsidR="00D0114D" w:rsidRPr="00273810">
        <w:t xml:space="preserve">. </w:t>
      </w:r>
      <w:r w:rsidR="00F70E82" w:rsidRPr="00273810">
        <w:t xml:space="preserve">However, she </w:t>
      </w:r>
      <w:r w:rsidR="00E07999" w:rsidRPr="00273810">
        <w:t>s</w:t>
      </w:r>
      <w:r w:rsidR="00F237D6" w:rsidRPr="00273810">
        <w:t>tate</w:t>
      </w:r>
      <w:r w:rsidR="002F59A0">
        <w:t>d the following</w:t>
      </w:r>
      <w:r w:rsidR="00074D4E" w:rsidRPr="00273810">
        <w:t>:</w:t>
      </w:r>
    </w:p>
    <w:p w14:paraId="7E59FC7E" w14:textId="765734BF" w:rsidR="009B17EF" w:rsidRPr="00273810" w:rsidRDefault="009B17EF" w:rsidP="00F70E82">
      <w:pPr>
        <w:pStyle w:val="Citationenretrait"/>
        <w:spacing w:after="0" w:line="240" w:lineRule="auto"/>
        <w:rPr>
          <w:smallCaps/>
        </w:rPr>
      </w:pPr>
      <w:r w:rsidRPr="00273810">
        <w:rPr>
          <w:smallCaps/>
        </w:rPr>
        <w:t>[translation]</w:t>
      </w:r>
    </w:p>
    <w:p w14:paraId="0A47C585" w14:textId="0D5AC8B6" w:rsidR="00D0114D" w:rsidRPr="00273810" w:rsidRDefault="00F34BA3" w:rsidP="003C0F1B">
      <w:pPr>
        <w:pStyle w:val="Citationenretrait"/>
        <w:spacing w:line="240" w:lineRule="auto"/>
        <w:rPr>
          <w:u w:val="single"/>
        </w:rPr>
      </w:pPr>
      <w:r w:rsidRPr="00273810">
        <w:t xml:space="preserve">[66] </w:t>
      </w:r>
      <w:r w:rsidR="005B0E8C" w:rsidRPr="00273810">
        <w:t xml:space="preserve">In light of the evidence adduced at the hearing, </w:t>
      </w:r>
      <w:r w:rsidR="005B0E8C" w:rsidRPr="00273810">
        <w:rPr>
          <w:u w:val="single"/>
        </w:rPr>
        <w:t xml:space="preserve">the Court finds that at no time </w:t>
      </w:r>
      <w:r w:rsidR="00AC12AB">
        <w:rPr>
          <w:u w:val="single"/>
        </w:rPr>
        <w:t>did</w:t>
      </w:r>
      <w:r w:rsidR="00AC12AB" w:rsidRPr="00273810">
        <w:rPr>
          <w:u w:val="single"/>
        </w:rPr>
        <w:t xml:space="preserve"> </w:t>
      </w:r>
      <w:r w:rsidRPr="00273810">
        <w:rPr>
          <w:u w:val="single"/>
        </w:rPr>
        <w:t xml:space="preserve">Sébastien Girard </w:t>
      </w:r>
      <w:r w:rsidR="002F59A0">
        <w:rPr>
          <w:u w:val="single"/>
        </w:rPr>
        <w:t xml:space="preserve">in any way </w:t>
      </w:r>
      <w:r w:rsidR="0091043F">
        <w:rPr>
          <w:u w:val="single"/>
        </w:rPr>
        <w:t>own</w:t>
      </w:r>
      <w:r w:rsidR="0091043F" w:rsidRPr="00273810">
        <w:rPr>
          <w:u w:val="single"/>
        </w:rPr>
        <w:t xml:space="preserve"> </w:t>
      </w:r>
      <w:r w:rsidR="009B17EF" w:rsidRPr="00273810">
        <w:rPr>
          <w:u w:val="single"/>
        </w:rPr>
        <w:t>any copyright</w:t>
      </w:r>
      <w:r w:rsidRPr="00273810">
        <w:t xml:space="preserve"> </w:t>
      </w:r>
      <w:r w:rsidR="009B17EF" w:rsidRPr="00273810">
        <w:t xml:space="preserve">in the </w:t>
      </w:r>
      <w:r w:rsidR="005B0E8C" w:rsidRPr="00273810">
        <w:t>“</w:t>
      </w:r>
      <w:r w:rsidRPr="00273810">
        <w:t>Lévis Ville du Rock</w:t>
      </w:r>
      <w:r w:rsidR="005B0E8C" w:rsidRPr="00273810">
        <w:t>”</w:t>
      </w:r>
      <w:r w:rsidRPr="00273810">
        <w:t xml:space="preserve"> </w:t>
      </w:r>
      <w:r w:rsidR="009B17EF" w:rsidRPr="00273810">
        <w:t>contest or</w:t>
      </w:r>
      <w:r w:rsidR="002105BD" w:rsidRPr="002105BD">
        <w:rPr>
          <w:u w:val="single"/>
        </w:rPr>
        <w:t xml:space="preserve"> in</w:t>
      </w:r>
      <w:r w:rsidR="009B17EF" w:rsidRPr="002105BD">
        <w:rPr>
          <w:u w:val="single"/>
        </w:rPr>
        <w:t xml:space="preserve"> </w:t>
      </w:r>
      <w:r w:rsidR="009B17EF" w:rsidRPr="00273810">
        <w:rPr>
          <w:u w:val="single"/>
        </w:rPr>
        <w:t xml:space="preserve">the </w:t>
      </w:r>
      <w:r w:rsidRPr="00273810">
        <w:rPr>
          <w:u w:val="single"/>
        </w:rPr>
        <w:t xml:space="preserve">Facebook </w:t>
      </w:r>
      <w:r w:rsidR="009B17EF" w:rsidRPr="00273810">
        <w:rPr>
          <w:u w:val="single"/>
        </w:rPr>
        <w:t>page that</w:t>
      </w:r>
      <w:r w:rsidR="002105BD">
        <w:rPr>
          <w:u w:val="single"/>
        </w:rPr>
        <w:t xml:space="preserve"> is an accessory to</w:t>
      </w:r>
      <w:r w:rsidR="009B17EF" w:rsidRPr="00273810">
        <w:rPr>
          <w:u w:val="single"/>
        </w:rPr>
        <w:t xml:space="preserve"> it</w:t>
      </w:r>
      <w:r w:rsidRPr="00273810">
        <w:rPr>
          <w:u w:val="single"/>
        </w:rPr>
        <w:t>.</w:t>
      </w:r>
    </w:p>
    <w:p w14:paraId="7E713676" w14:textId="2056DCF6" w:rsidR="00074D4E" w:rsidRPr="00273810" w:rsidRDefault="00F34BA3" w:rsidP="003C0F1B">
      <w:pPr>
        <w:pStyle w:val="Citationenretrait"/>
        <w:spacing w:line="240" w:lineRule="auto"/>
        <w:jc w:val="right"/>
      </w:pPr>
      <w:r w:rsidRPr="00273810">
        <w:t>[</w:t>
      </w:r>
      <w:r w:rsidR="00607CD6" w:rsidRPr="00273810">
        <w:t>Emphasis added</w:t>
      </w:r>
      <w:r w:rsidRPr="00273810">
        <w:t>]</w:t>
      </w:r>
    </w:p>
    <w:p w14:paraId="58434114" w14:textId="7D1C2E81" w:rsidR="00D0114D" w:rsidRPr="00B51F8E" w:rsidRDefault="00607CD6" w:rsidP="003C0F1B">
      <w:pPr>
        <w:pStyle w:val="Paragraphe"/>
        <w:spacing w:line="240" w:lineRule="auto"/>
      </w:pPr>
      <w:r w:rsidRPr="00273810">
        <w:t xml:space="preserve">Furthermore, </w:t>
      </w:r>
      <w:r w:rsidR="004469A7">
        <w:t>al</w:t>
      </w:r>
      <w:r w:rsidRPr="00273810">
        <w:t xml:space="preserve">though the wording is not </w:t>
      </w:r>
      <w:r w:rsidR="00F34BA3" w:rsidRPr="00273810">
        <w:t>d</w:t>
      </w:r>
      <w:r w:rsidRPr="00273810">
        <w:t>eterminative</w:t>
      </w:r>
      <w:r w:rsidR="00F34BA3" w:rsidRPr="00273810">
        <w:t xml:space="preserve">, </w:t>
      </w:r>
      <w:r w:rsidRPr="00273810">
        <w:t>th</w:t>
      </w:r>
      <w:r w:rsidR="00AC12AB">
        <w:t>e judge’s</w:t>
      </w:r>
      <w:r w:rsidRPr="00273810">
        <w:t xml:space="preserve"> </w:t>
      </w:r>
      <w:r w:rsidR="00F34BA3" w:rsidRPr="00273810">
        <w:t xml:space="preserve">discussion </w:t>
      </w:r>
      <w:r w:rsidR="002F59A0">
        <w:t xml:space="preserve">appears </w:t>
      </w:r>
      <w:r w:rsidR="004469A7">
        <w:t>in</w:t>
      </w:r>
      <w:r w:rsidR="004469A7" w:rsidRPr="00273810">
        <w:t xml:space="preserve"> </w:t>
      </w:r>
      <w:r w:rsidRPr="00273810">
        <w:t xml:space="preserve">the </w:t>
      </w:r>
      <w:r w:rsidR="002F59A0">
        <w:t>section</w:t>
      </w:r>
      <w:r w:rsidR="00AC12AB">
        <w:t xml:space="preserve"> on </w:t>
      </w:r>
      <w:r w:rsidRPr="00273810">
        <w:t>“ownership” </w:t>
      </w:r>
      <w:r w:rsidR="00AC12AB">
        <w:t>of the Facebook page</w:t>
      </w:r>
      <w:r w:rsidR="00F34BA3" w:rsidRPr="00273810">
        <w:t xml:space="preserve">, </w:t>
      </w:r>
      <w:r w:rsidRPr="00273810">
        <w:t xml:space="preserve">a separate concept from whether </w:t>
      </w:r>
      <w:r w:rsidRPr="008822C4">
        <w:t xml:space="preserve">copyright </w:t>
      </w:r>
      <w:r w:rsidR="00AC12AB">
        <w:t>exists in</w:t>
      </w:r>
      <w:r w:rsidRPr="008822C4">
        <w:t xml:space="preserve"> </w:t>
      </w:r>
      <w:r w:rsidRPr="00B51F8E">
        <w:t xml:space="preserve">the </w:t>
      </w:r>
      <w:r w:rsidR="00AC12AB">
        <w:t xml:space="preserve">Facebook </w:t>
      </w:r>
      <w:r w:rsidRPr="00B51F8E">
        <w:t>page</w:t>
      </w:r>
      <w:r w:rsidR="00AC12AB">
        <w:t>’s content</w:t>
      </w:r>
      <w:r w:rsidR="00F34BA3" w:rsidRPr="00B51F8E">
        <w:t>.</w:t>
      </w:r>
    </w:p>
    <w:p w14:paraId="3D7B0015" w14:textId="3D30F736" w:rsidR="007B0783" w:rsidRPr="00273810" w:rsidRDefault="005D58ED" w:rsidP="003C0F1B">
      <w:pPr>
        <w:pStyle w:val="Paragraphe"/>
        <w:spacing w:line="240" w:lineRule="auto"/>
      </w:pPr>
      <w:r w:rsidRPr="00273810">
        <w:t>That said</w:t>
      </w:r>
      <w:r w:rsidR="00F34BA3" w:rsidRPr="00273810">
        <w:t xml:space="preserve">, </w:t>
      </w:r>
      <w:r w:rsidRPr="00273810">
        <w:t xml:space="preserve">having found that </w:t>
      </w:r>
      <w:r w:rsidR="00962B81" w:rsidRPr="00273810">
        <w:t>the appellant</w:t>
      </w:r>
      <w:r w:rsidR="000B1B70" w:rsidRPr="00273810">
        <w:t xml:space="preserve"> </w:t>
      </w:r>
      <w:r w:rsidR="00AC12AB">
        <w:t xml:space="preserve">engaged in </w:t>
      </w:r>
      <w:r w:rsidRPr="00273810">
        <w:t xml:space="preserve">unfair competition within the meaning of the </w:t>
      </w:r>
      <w:r w:rsidR="00F237D6" w:rsidRPr="00273810">
        <w:rPr>
          <w:rFonts w:eastAsia="Arial Unicode MS"/>
          <w:i/>
        </w:rPr>
        <w:t>TA</w:t>
      </w:r>
      <w:r w:rsidR="00C7042A" w:rsidRPr="00273810">
        <w:t xml:space="preserve">, </w:t>
      </w:r>
      <w:r w:rsidRPr="00273810">
        <w:t xml:space="preserve">particularly </w:t>
      </w:r>
      <w:r w:rsidR="00676332" w:rsidRPr="00273810">
        <w:t xml:space="preserve">by using the </w:t>
      </w:r>
      <w:r w:rsidR="00A517E4" w:rsidRPr="002105BD">
        <w:rPr>
          <w:i/>
          <w:iCs/>
        </w:rPr>
        <w:t>LévisVilleduRock</w:t>
      </w:r>
      <w:r w:rsidR="00A517E4" w:rsidRPr="00273810">
        <w:rPr>
          <w:i/>
        </w:rPr>
        <w:t>.</w:t>
      </w:r>
      <w:r w:rsidR="00A517E4" w:rsidRPr="00273810">
        <w:t xml:space="preserve">com </w:t>
      </w:r>
      <w:r w:rsidR="00AC12AB">
        <w:t xml:space="preserve">website </w:t>
      </w:r>
      <w:r w:rsidR="00676332" w:rsidRPr="00273810">
        <w:t xml:space="preserve">and the </w:t>
      </w:r>
      <w:r w:rsidR="00AC12AB" w:rsidRPr="00273810">
        <w:t>contest</w:t>
      </w:r>
      <w:r w:rsidR="00DB5F80">
        <w:t>’s</w:t>
      </w:r>
      <w:r w:rsidR="00AC12AB" w:rsidRPr="00273810">
        <w:t xml:space="preserve"> </w:t>
      </w:r>
      <w:r w:rsidR="00A517E4" w:rsidRPr="00273810">
        <w:t xml:space="preserve">Facebook </w:t>
      </w:r>
      <w:r w:rsidR="00676332" w:rsidRPr="00273810">
        <w:t xml:space="preserve">page to redirect, for his own benefit, the </w:t>
      </w:r>
      <w:r w:rsidR="00AC12AB" w:rsidRPr="00273810">
        <w:t>respondents</w:t>
      </w:r>
      <w:r w:rsidR="00AC12AB">
        <w:t>'</w:t>
      </w:r>
      <w:r w:rsidR="00AC12AB" w:rsidRPr="00273810">
        <w:t xml:space="preserve"> </w:t>
      </w:r>
      <w:r w:rsidR="00676332" w:rsidRPr="00273810">
        <w:t xml:space="preserve">goodwill and the groups </w:t>
      </w:r>
      <w:r w:rsidR="00AC12AB">
        <w:t>entered in</w:t>
      </w:r>
      <w:r w:rsidR="00676332" w:rsidRPr="00273810">
        <w:t xml:space="preserve"> the “</w:t>
      </w:r>
      <w:r w:rsidR="000B29BF" w:rsidRPr="00273810">
        <w:t>Lévis Ville du Rock</w:t>
      </w:r>
      <w:r w:rsidR="00676332" w:rsidRPr="00273810">
        <w:t>”</w:t>
      </w:r>
      <w:r w:rsidR="000B29BF" w:rsidRPr="00273810">
        <w:t> </w:t>
      </w:r>
      <w:r w:rsidR="00676332" w:rsidRPr="00273810">
        <w:t>contest,</w:t>
      </w:r>
      <w:r w:rsidR="00F34BA3" w:rsidRPr="00273810">
        <w:rPr>
          <w:rStyle w:val="Appelnotedebasdep"/>
          <w:lang w:val="en-CA"/>
        </w:rPr>
        <w:footnoteReference w:id="28"/>
      </w:r>
      <w:r w:rsidR="00A517E4" w:rsidRPr="00273810">
        <w:rPr>
          <w:i/>
        </w:rPr>
        <w:t xml:space="preserve"> </w:t>
      </w:r>
      <w:r w:rsidR="00676332" w:rsidRPr="00273810">
        <w:t xml:space="preserve">the judge </w:t>
      </w:r>
      <w:r w:rsidR="00AC12AB">
        <w:t xml:space="preserve">had </w:t>
      </w:r>
      <w:r w:rsidR="00676332" w:rsidRPr="00273810">
        <w:t xml:space="preserve">broad discretion </w:t>
      </w:r>
      <w:r w:rsidR="00DB5F80">
        <w:t>under</w:t>
      </w:r>
      <w:r w:rsidR="00676332" w:rsidRPr="00273810">
        <w:t xml:space="preserve"> section </w:t>
      </w:r>
      <w:r w:rsidR="00C7042A" w:rsidRPr="00273810">
        <w:t>53.2</w:t>
      </w:r>
      <w:r w:rsidR="00F237D6" w:rsidRPr="00273810">
        <w:t> </w:t>
      </w:r>
      <w:r w:rsidR="00A75650" w:rsidRPr="002F59A0">
        <w:rPr>
          <w:i/>
          <w:iCs/>
        </w:rPr>
        <w:t>TA</w:t>
      </w:r>
      <w:r w:rsidR="00EB1FFD" w:rsidRPr="00273810">
        <w:rPr>
          <w:i/>
        </w:rPr>
        <w:t xml:space="preserve"> </w:t>
      </w:r>
      <w:r w:rsidR="00A75650" w:rsidRPr="00273810">
        <w:t xml:space="preserve">to </w:t>
      </w:r>
      <w:r w:rsidR="00AC12AB">
        <w:t>mak</w:t>
      </w:r>
      <w:r w:rsidR="00AC12AB" w:rsidRPr="00273810">
        <w:t xml:space="preserve">e </w:t>
      </w:r>
      <w:r w:rsidR="00AC12AB">
        <w:t xml:space="preserve">the </w:t>
      </w:r>
      <w:r w:rsidR="00A75650" w:rsidRPr="00273810">
        <w:t xml:space="preserve">orders that she </w:t>
      </w:r>
      <w:r w:rsidR="004F5FDD" w:rsidRPr="00273810">
        <w:t>considered appropriate in the circumstances</w:t>
      </w:r>
      <w:r w:rsidR="00F34BA3" w:rsidRPr="00273810">
        <w:t>:</w:t>
      </w:r>
    </w:p>
    <w:p w14:paraId="32BEF61A" w14:textId="4E3D7FB7" w:rsidR="00EB1FFD" w:rsidRPr="002F59A0" w:rsidRDefault="004567C6" w:rsidP="003C0F1B">
      <w:pPr>
        <w:pStyle w:val="Citationenretrait"/>
        <w:spacing w:line="240" w:lineRule="auto"/>
        <w:rPr>
          <w:rFonts w:cs="Arial"/>
          <w:b/>
          <w:lang w:eastAsia="fr-CA"/>
        </w:rPr>
      </w:pPr>
      <w:r w:rsidRPr="002F59A0">
        <w:rPr>
          <w:rFonts w:cs="Arial"/>
          <w:b/>
        </w:rPr>
        <w:t xml:space="preserve">Power of court to grant </w:t>
      </w:r>
      <w:proofErr w:type="gramStart"/>
      <w:r w:rsidRPr="002F59A0">
        <w:rPr>
          <w:rFonts w:cs="Arial"/>
          <w:b/>
        </w:rPr>
        <w:t>relief</w:t>
      </w:r>
      <w:proofErr w:type="gramEnd"/>
    </w:p>
    <w:p w14:paraId="62F4206E" w14:textId="57A501BF" w:rsidR="00EB1FFD" w:rsidRPr="002F59A0" w:rsidRDefault="00F34BA3" w:rsidP="00B51F8E">
      <w:pPr>
        <w:pStyle w:val="Citationenretrait"/>
        <w:spacing w:after="0" w:line="240" w:lineRule="auto"/>
        <w:rPr>
          <w:rFonts w:cs="Arial"/>
          <w:sz w:val="21"/>
          <w:szCs w:val="21"/>
        </w:rPr>
      </w:pPr>
      <w:r w:rsidRPr="002F59A0">
        <w:rPr>
          <w:rStyle w:val="sectionlabel"/>
          <w:rFonts w:cs="Arial"/>
          <w:bCs/>
          <w:color w:val="000000"/>
          <w:sz w:val="21"/>
          <w:szCs w:val="21"/>
        </w:rPr>
        <w:t>53.2</w:t>
      </w:r>
      <w:r w:rsidRPr="002F59A0">
        <w:rPr>
          <w:rFonts w:cs="Arial"/>
          <w:sz w:val="21"/>
          <w:szCs w:val="21"/>
        </w:rPr>
        <w:t> </w:t>
      </w:r>
      <w:r w:rsidRPr="002F59A0">
        <w:rPr>
          <w:rStyle w:val="canliisectionwithsubsection"/>
          <w:rFonts w:cs="Arial"/>
          <w:bCs/>
          <w:color w:val="000000"/>
          <w:sz w:val="21"/>
          <w:szCs w:val="21"/>
        </w:rPr>
        <w:t>(1)</w:t>
      </w:r>
      <w:r w:rsidRPr="002F59A0">
        <w:rPr>
          <w:rFonts w:cs="Arial"/>
          <w:sz w:val="21"/>
          <w:szCs w:val="21"/>
        </w:rPr>
        <w:t> </w:t>
      </w:r>
      <w:r w:rsidR="004567C6" w:rsidRPr="002F59A0">
        <w:rPr>
          <w:rFonts w:cs="Arial"/>
          <w:color w:val="000000"/>
          <w:szCs w:val="22"/>
        </w:rPr>
        <w:t xml:space="preserve">If a court is satisfied, on application of any interested person, that any act has been done contrary to this Act, the court may make any order that it considers appropriate in the circumstances, including an order providing for relief by way of injunction and the recovery of damages or profits, for punitive damages and for the </w:t>
      </w:r>
      <w:r w:rsidR="004567C6" w:rsidRPr="002F59A0">
        <w:rPr>
          <w:rFonts w:cs="Arial"/>
          <w:color w:val="000000"/>
          <w:szCs w:val="22"/>
        </w:rPr>
        <w:lastRenderedPageBreak/>
        <w:t>destruction or other disposition of any offending goods, packaging, labels and advertising material and of any equipment used to produce the goods, packaging, labels or advertising material</w:t>
      </w:r>
      <w:r w:rsidRPr="002F59A0">
        <w:rPr>
          <w:rFonts w:cs="Arial"/>
          <w:sz w:val="21"/>
          <w:szCs w:val="21"/>
        </w:rPr>
        <w:t>.</w:t>
      </w:r>
    </w:p>
    <w:p w14:paraId="4A8D05C2" w14:textId="34B046F4" w:rsidR="007B0783" w:rsidRPr="00273810" w:rsidRDefault="00F34BA3" w:rsidP="00FB694E">
      <w:pPr>
        <w:pStyle w:val="Citationenretrait"/>
        <w:spacing w:before="0" w:after="200" w:line="240" w:lineRule="auto"/>
        <w:jc w:val="right"/>
        <w:rPr>
          <w:rStyle w:val="sectionlabel"/>
          <w:rFonts w:cs="Arial"/>
          <w:bCs/>
          <w:color w:val="000000"/>
          <w:sz w:val="21"/>
          <w:szCs w:val="21"/>
        </w:rPr>
      </w:pPr>
      <w:r w:rsidRPr="00273810">
        <w:rPr>
          <w:rStyle w:val="sectionlabel"/>
          <w:rFonts w:cs="Arial"/>
          <w:bCs/>
          <w:color w:val="000000"/>
          <w:sz w:val="21"/>
          <w:szCs w:val="21"/>
        </w:rPr>
        <w:t>[</w:t>
      </w:r>
      <w:r w:rsidR="00FE0AC1" w:rsidRPr="00273810">
        <w:rPr>
          <w:rStyle w:val="sectionlabel"/>
          <w:rFonts w:cs="Arial"/>
          <w:bCs/>
          <w:color w:val="000000"/>
          <w:sz w:val="21"/>
          <w:szCs w:val="21"/>
        </w:rPr>
        <w:t>Emphasis added</w:t>
      </w:r>
      <w:r w:rsidRPr="00273810">
        <w:rPr>
          <w:rStyle w:val="sectionlabel"/>
          <w:rFonts w:cs="Arial"/>
          <w:bCs/>
          <w:color w:val="000000"/>
          <w:sz w:val="21"/>
          <w:szCs w:val="21"/>
        </w:rPr>
        <w:t>]</w:t>
      </w:r>
    </w:p>
    <w:p w14:paraId="1F22CF9A" w14:textId="45EE3729" w:rsidR="00EB1FFD" w:rsidRPr="00273810" w:rsidRDefault="00FE5B44" w:rsidP="00307AF2">
      <w:pPr>
        <w:pStyle w:val="Paragraphe"/>
        <w:spacing w:before="0" w:line="240" w:lineRule="auto"/>
      </w:pPr>
      <w:r w:rsidRPr="00273810">
        <w:t>I</w:t>
      </w:r>
      <w:r w:rsidR="002548C6">
        <w:t>n</w:t>
      </w:r>
      <w:r w:rsidRPr="00273810">
        <w:t xml:space="preserve"> exercis</w:t>
      </w:r>
      <w:r w:rsidR="00AC12AB">
        <w:t>ing</w:t>
      </w:r>
      <w:r w:rsidRPr="00273810">
        <w:t xml:space="preserve"> this power</w:t>
      </w:r>
      <w:r w:rsidR="00AC12AB">
        <w:t>,</w:t>
      </w:r>
      <w:r w:rsidRPr="00273810">
        <w:t xml:space="preserve"> the judge </w:t>
      </w:r>
      <w:r w:rsidR="00AC12AB">
        <w:t xml:space="preserve">considered </w:t>
      </w:r>
      <w:r w:rsidRPr="00273810">
        <w:t xml:space="preserve">it appropriate to grant the respondents the last two remedies in paragraph 218 of her judgment and in the conclusion in paragraph 219: </w:t>
      </w:r>
    </w:p>
    <w:p w14:paraId="608B4163" w14:textId="59586C33" w:rsidR="00307AF2" w:rsidRPr="00273810" w:rsidRDefault="00307AF2" w:rsidP="003C0F1B">
      <w:pPr>
        <w:pStyle w:val="Citationenretrait"/>
        <w:spacing w:line="240" w:lineRule="auto"/>
        <w:rPr>
          <w:b/>
        </w:rPr>
      </w:pPr>
      <w:r w:rsidRPr="00273810">
        <w:rPr>
          <w:smallCaps/>
          <w:lang w:eastAsia="fr-CA"/>
        </w:rPr>
        <w:t>[translation]</w:t>
      </w:r>
    </w:p>
    <w:p w14:paraId="1582FE8C" w14:textId="0DE9E1E2" w:rsidR="00EB1FFD" w:rsidRPr="00273810" w:rsidRDefault="00307AF2" w:rsidP="006B0850">
      <w:pPr>
        <w:pStyle w:val="Citationenretrait"/>
        <w:spacing w:before="0" w:after="0" w:line="240" w:lineRule="auto"/>
        <w:rPr>
          <w:b/>
        </w:rPr>
      </w:pPr>
      <w:r w:rsidRPr="00273810">
        <w:rPr>
          <w:b/>
        </w:rPr>
        <w:t>FOR THESE REASONS, THE COURT</w:t>
      </w:r>
      <w:r w:rsidR="00F34BA3" w:rsidRPr="00273810">
        <w:rPr>
          <w:b/>
        </w:rPr>
        <w:t>:</w:t>
      </w:r>
    </w:p>
    <w:p w14:paraId="5D6BEBCB" w14:textId="34900D78" w:rsidR="007C6D51" w:rsidRPr="00273810" w:rsidRDefault="00F34BA3" w:rsidP="006B0850">
      <w:pPr>
        <w:pStyle w:val="Citationenretrait"/>
        <w:spacing w:before="0" w:after="0" w:line="240" w:lineRule="auto"/>
        <w:rPr>
          <w:kern w:val="28"/>
          <w:szCs w:val="24"/>
        </w:rPr>
      </w:pPr>
      <w:r w:rsidRPr="00273810">
        <w:rPr>
          <w:kern w:val="28"/>
          <w:szCs w:val="24"/>
        </w:rPr>
        <w:t>…</w:t>
      </w:r>
    </w:p>
    <w:p w14:paraId="1041A7A9" w14:textId="4E9C0C61" w:rsidR="00EB1FFD" w:rsidRPr="00273810" w:rsidRDefault="00F34BA3" w:rsidP="003C0F1B">
      <w:pPr>
        <w:pStyle w:val="Citationenretrait"/>
        <w:spacing w:line="240" w:lineRule="auto"/>
        <w:rPr>
          <w:kern w:val="28"/>
          <w:szCs w:val="24"/>
        </w:rPr>
      </w:pPr>
      <w:r w:rsidRPr="00273810">
        <w:rPr>
          <w:bCs/>
          <w:kern w:val="28"/>
          <w:szCs w:val="24"/>
        </w:rPr>
        <w:t xml:space="preserve">[217] </w:t>
      </w:r>
      <w:r w:rsidR="006B0850" w:rsidRPr="00273810">
        <w:rPr>
          <w:b/>
          <w:bCs/>
          <w:kern w:val="28"/>
          <w:szCs w:val="24"/>
        </w:rPr>
        <w:t xml:space="preserve">ISSUES </w:t>
      </w:r>
      <w:r w:rsidR="006B0850" w:rsidRPr="00273810">
        <w:rPr>
          <w:kern w:val="28"/>
          <w:szCs w:val="24"/>
        </w:rPr>
        <w:t xml:space="preserve">a </w:t>
      </w:r>
      <w:r w:rsidRPr="00273810">
        <w:rPr>
          <w:kern w:val="28"/>
          <w:szCs w:val="24"/>
        </w:rPr>
        <w:t>permanent</w:t>
      </w:r>
      <w:r w:rsidR="006B0850" w:rsidRPr="00273810">
        <w:rPr>
          <w:kern w:val="28"/>
          <w:szCs w:val="24"/>
        </w:rPr>
        <w:t xml:space="preserve"> injunction for the following purposes</w:t>
      </w:r>
      <w:r w:rsidRPr="00273810">
        <w:rPr>
          <w:kern w:val="28"/>
          <w:szCs w:val="24"/>
        </w:rPr>
        <w:t xml:space="preserve">: </w:t>
      </w:r>
    </w:p>
    <w:p w14:paraId="41C9BADD" w14:textId="3CCC01B6" w:rsidR="00EB1FFD" w:rsidRPr="00273810" w:rsidRDefault="00F34BA3" w:rsidP="003C0F1B">
      <w:pPr>
        <w:pStyle w:val="Citationenretrait"/>
        <w:spacing w:line="240" w:lineRule="auto"/>
        <w:rPr>
          <w:kern w:val="28"/>
          <w:szCs w:val="24"/>
        </w:rPr>
      </w:pPr>
      <w:r w:rsidRPr="00273810">
        <w:rPr>
          <w:bCs/>
          <w:kern w:val="28"/>
          <w:szCs w:val="24"/>
        </w:rPr>
        <w:t xml:space="preserve">[218] </w:t>
      </w:r>
      <w:r w:rsidRPr="00273810">
        <w:rPr>
          <w:b/>
          <w:bCs/>
          <w:kern w:val="28"/>
          <w:szCs w:val="24"/>
        </w:rPr>
        <w:t>ORD</w:t>
      </w:r>
      <w:r w:rsidR="006B0850" w:rsidRPr="00273810">
        <w:rPr>
          <w:b/>
          <w:bCs/>
          <w:kern w:val="28"/>
          <w:szCs w:val="24"/>
        </w:rPr>
        <w:t>ERS</w:t>
      </w:r>
      <w:r w:rsidRPr="00273810">
        <w:rPr>
          <w:bCs/>
          <w:kern w:val="28"/>
          <w:szCs w:val="24"/>
        </w:rPr>
        <w:t xml:space="preserve"> </w:t>
      </w:r>
      <w:r w:rsidR="006B0850" w:rsidRPr="00273810">
        <w:t xml:space="preserve">the defendant Sébastien Girard and any </w:t>
      </w:r>
      <w:r w:rsidR="00AC12AB">
        <w:t xml:space="preserve">corporation </w:t>
      </w:r>
      <w:r w:rsidR="006B0850" w:rsidRPr="00273810">
        <w:t xml:space="preserve">in which he </w:t>
      </w:r>
      <w:r w:rsidR="00AC12AB">
        <w:t xml:space="preserve">is </w:t>
      </w:r>
      <w:r w:rsidR="006B0850" w:rsidRPr="00273810">
        <w:t>directly or indirectly a shareholder or a director to:</w:t>
      </w:r>
    </w:p>
    <w:p w14:paraId="73127A29" w14:textId="42243F28" w:rsidR="007C6D51" w:rsidRPr="00273810" w:rsidRDefault="00F34BA3" w:rsidP="006B0850">
      <w:pPr>
        <w:pStyle w:val="Citationenretrait"/>
        <w:spacing w:before="0" w:after="0" w:line="240" w:lineRule="auto"/>
        <w:rPr>
          <w:szCs w:val="24"/>
        </w:rPr>
      </w:pPr>
      <w:r w:rsidRPr="00273810">
        <w:rPr>
          <w:szCs w:val="24"/>
        </w:rPr>
        <w:t xml:space="preserve">… </w:t>
      </w:r>
    </w:p>
    <w:p w14:paraId="26E57AD8" w14:textId="1A88B633" w:rsidR="00EB1FFD" w:rsidRPr="00273810" w:rsidRDefault="002105BD" w:rsidP="003C0F1B">
      <w:pPr>
        <w:pStyle w:val="Citationenretrait"/>
        <w:spacing w:line="240" w:lineRule="auto"/>
        <w:rPr>
          <w:szCs w:val="24"/>
        </w:rPr>
      </w:pPr>
      <w:r>
        <w:rPr>
          <w:b/>
          <w:bCs/>
          <w:szCs w:val="24"/>
        </w:rPr>
        <w:t>SEND</w:t>
      </w:r>
      <w:r w:rsidR="00AC12AB" w:rsidRPr="00273810">
        <w:rPr>
          <w:bCs/>
          <w:szCs w:val="24"/>
        </w:rPr>
        <w:t xml:space="preserve"> </w:t>
      </w:r>
      <w:r w:rsidR="009930BB" w:rsidRPr="00273810">
        <w:rPr>
          <w:szCs w:val="24"/>
        </w:rPr>
        <w:t>within five (5) days of the date this jud</w:t>
      </w:r>
      <w:r w:rsidR="00A0703C" w:rsidRPr="00273810">
        <w:rPr>
          <w:szCs w:val="24"/>
        </w:rPr>
        <w:t>gment</w:t>
      </w:r>
      <w:r w:rsidR="00AC12AB">
        <w:rPr>
          <w:szCs w:val="24"/>
        </w:rPr>
        <w:t xml:space="preserve"> is filed</w:t>
      </w:r>
      <w:r w:rsidR="00A0703C" w:rsidRPr="00273810">
        <w:rPr>
          <w:szCs w:val="24"/>
        </w:rPr>
        <w:t xml:space="preserve"> </w:t>
      </w:r>
      <w:r w:rsidR="009930BB" w:rsidRPr="00273810">
        <w:rPr>
          <w:szCs w:val="24"/>
        </w:rPr>
        <w:t xml:space="preserve">the identifiers, passwords </w:t>
      </w:r>
      <w:r w:rsidR="00A0703C" w:rsidRPr="00273810">
        <w:rPr>
          <w:szCs w:val="24"/>
        </w:rPr>
        <w:t>and</w:t>
      </w:r>
      <w:r w:rsidR="009930BB" w:rsidRPr="00273810">
        <w:rPr>
          <w:szCs w:val="24"/>
        </w:rPr>
        <w:t xml:space="preserve"> other relevant information regarding the Facebook page at </w:t>
      </w:r>
      <w:r w:rsidR="00053D58" w:rsidRPr="00273810">
        <w:rPr>
          <w:szCs w:val="24"/>
        </w:rPr>
        <w:t>“</w:t>
      </w:r>
      <w:r w:rsidR="009930BB" w:rsidRPr="00273810">
        <w:rPr>
          <w:szCs w:val="24"/>
        </w:rPr>
        <w:t>https://facebook.com/quebecrockcontest/</w:t>
      </w:r>
      <w:r w:rsidR="00053D58" w:rsidRPr="00273810">
        <w:rPr>
          <w:szCs w:val="24"/>
        </w:rPr>
        <w:t xml:space="preserve">” </w:t>
      </w:r>
      <w:r w:rsidR="00A0703C" w:rsidRPr="00273810">
        <w:rPr>
          <w:szCs w:val="24"/>
        </w:rPr>
        <w:t xml:space="preserve">to the representative of the plaintiff </w:t>
      </w:r>
      <w:r w:rsidR="00F34BA3" w:rsidRPr="00273810">
        <w:rPr>
          <w:szCs w:val="24"/>
        </w:rPr>
        <w:t xml:space="preserve">9220-8883 Québec </w:t>
      </w:r>
      <w:proofErr w:type="gramStart"/>
      <w:r w:rsidR="00F34BA3" w:rsidRPr="00273810">
        <w:rPr>
          <w:szCs w:val="24"/>
        </w:rPr>
        <w:t>inc.;</w:t>
      </w:r>
      <w:proofErr w:type="gramEnd"/>
    </w:p>
    <w:p w14:paraId="4CA6855D" w14:textId="09C2855E" w:rsidR="00EB1FFD" w:rsidRPr="00273810" w:rsidRDefault="002105BD" w:rsidP="003C0F1B">
      <w:pPr>
        <w:pStyle w:val="Citationenretrait"/>
        <w:spacing w:line="240" w:lineRule="auto"/>
        <w:rPr>
          <w:szCs w:val="24"/>
        </w:rPr>
      </w:pPr>
      <w:r>
        <w:rPr>
          <w:b/>
          <w:bCs/>
          <w:szCs w:val="24"/>
        </w:rPr>
        <w:t>SEN</w:t>
      </w:r>
      <w:r w:rsidR="00AC12AB">
        <w:rPr>
          <w:b/>
          <w:bCs/>
          <w:szCs w:val="24"/>
        </w:rPr>
        <w:t xml:space="preserve">D </w:t>
      </w:r>
      <w:r w:rsidR="00053D58" w:rsidRPr="00273810">
        <w:rPr>
          <w:szCs w:val="24"/>
        </w:rPr>
        <w:t>within five (5) days of the date this judgment</w:t>
      </w:r>
      <w:r w:rsidR="00AC12AB">
        <w:rPr>
          <w:szCs w:val="24"/>
        </w:rPr>
        <w:t xml:space="preserve"> is filed</w:t>
      </w:r>
      <w:r w:rsidR="00053D58" w:rsidRPr="00273810">
        <w:rPr>
          <w:szCs w:val="24"/>
        </w:rPr>
        <w:t xml:space="preserve"> the identifiers, passwords and other relevant information regarding </w:t>
      </w:r>
      <w:r w:rsidR="00A0703C" w:rsidRPr="00273810">
        <w:rPr>
          <w:szCs w:val="24"/>
        </w:rPr>
        <w:t xml:space="preserve">the “Lévis Ville du Rock.com” domain name to the representatives of the plaintiff </w:t>
      </w:r>
      <w:r w:rsidR="00F34BA3" w:rsidRPr="00273810">
        <w:rPr>
          <w:szCs w:val="24"/>
        </w:rPr>
        <w:t xml:space="preserve">9220-8883 Québec </w:t>
      </w:r>
      <w:proofErr w:type="gramStart"/>
      <w:r w:rsidR="00F34BA3" w:rsidRPr="00273810">
        <w:rPr>
          <w:szCs w:val="24"/>
        </w:rPr>
        <w:t>inc.;</w:t>
      </w:r>
      <w:proofErr w:type="gramEnd"/>
    </w:p>
    <w:p w14:paraId="2B5712E8" w14:textId="6EC3BC3E" w:rsidR="00EB1FFD" w:rsidRPr="00273810" w:rsidRDefault="00F34BA3" w:rsidP="003C0F1B">
      <w:pPr>
        <w:pStyle w:val="Citationenretrait"/>
        <w:spacing w:line="240" w:lineRule="auto"/>
        <w:rPr>
          <w:kern w:val="28"/>
          <w:szCs w:val="24"/>
        </w:rPr>
      </w:pPr>
      <w:r w:rsidRPr="00273810">
        <w:rPr>
          <w:bCs/>
          <w:kern w:val="28"/>
          <w:szCs w:val="24"/>
        </w:rPr>
        <w:t xml:space="preserve">[219] </w:t>
      </w:r>
      <w:r w:rsidR="00AC12AB">
        <w:rPr>
          <w:b/>
          <w:bCs/>
          <w:kern w:val="28"/>
          <w:szCs w:val="24"/>
        </w:rPr>
        <w:t>IN THE EVENT</w:t>
      </w:r>
      <w:r w:rsidR="0082008F" w:rsidRPr="00273810">
        <w:rPr>
          <w:bCs/>
          <w:kern w:val="28"/>
          <w:szCs w:val="24"/>
        </w:rPr>
        <w:t xml:space="preserve"> Mr. </w:t>
      </w:r>
      <w:r w:rsidRPr="00273810">
        <w:rPr>
          <w:bCs/>
          <w:kern w:val="28"/>
          <w:szCs w:val="24"/>
        </w:rPr>
        <w:t xml:space="preserve">Girard </w:t>
      </w:r>
      <w:r w:rsidR="00AC12AB" w:rsidRPr="000D328D">
        <w:rPr>
          <w:b/>
          <w:kern w:val="28"/>
          <w:szCs w:val="24"/>
        </w:rPr>
        <w:t>FAILS</w:t>
      </w:r>
      <w:r w:rsidR="00AC12AB">
        <w:rPr>
          <w:bCs/>
          <w:kern w:val="28"/>
          <w:szCs w:val="24"/>
        </w:rPr>
        <w:t xml:space="preserve"> </w:t>
      </w:r>
      <w:r w:rsidR="0082008F" w:rsidRPr="00273810">
        <w:rPr>
          <w:bCs/>
          <w:kern w:val="28"/>
          <w:szCs w:val="24"/>
        </w:rPr>
        <w:t xml:space="preserve">to </w:t>
      </w:r>
      <w:r w:rsidR="002105BD">
        <w:rPr>
          <w:bCs/>
          <w:kern w:val="28"/>
          <w:szCs w:val="24"/>
        </w:rPr>
        <w:t xml:space="preserve">send </w:t>
      </w:r>
      <w:r w:rsidR="0082008F" w:rsidRPr="00273810">
        <w:rPr>
          <w:bCs/>
          <w:kern w:val="28"/>
          <w:szCs w:val="24"/>
        </w:rPr>
        <w:t xml:space="preserve">the </w:t>
      </w:r>
      <w:r w:rsidR="00AC12AB">
        <w:rPr>
          <w:bCs/>
          <w:kern w:val="28"/>
          <w:szCs w:val="24"/>
        </w:rPr>
        <w:t xml:space="preserve">above </w:t>
      </w:r>
      <w:r w:rsidR="0082008F" w:rsidRPr="00273810">
        <w:rPr>
          <w:bCs/>
          <w:kern w:val="28"/>
          <w:szCs w:val="24"/>
        </w:rPr>
        <w:t xml:space="preserve">information within the </w:t>
      </w:r>
      <w:r w:rsidR="002105BD">
        <w:rPr>
          <w:bCs/>
          <w:kern w:val="28"/>
          <w:szCs w:val="24"/>
        </w:rPr>
        <w:t>time specified</w:t>
      </w:r>
      <w:r w:rsidRPr="00273810">
        <w:rPr>
          <w:bCs/>
          <w:kern w:val="28"/>
          <w:szCs w:val="24"/>
        </w:rPr>
        <w:t xml:space="preserve">, </w:t>
      </w:r>
      <w:r w:rsidRPr="00273810">
        <w:rPr>
          <w:b/>
          <w:bCs/>
          <w:kern w:val="28"/>
          <w:szCs w:val="24"/>
        </w:rPr>
        <w:t>ORD</w:t>
      </w:r>
      <w:r w:rsidR="00B360FB" w:rsidRPr="00273810">
        <w:rPr>
          <w:b/>
          <w:bCs/>
          <w:kern w:val="28"/>
          <w:szCs w:val="24"/>
        </w:rPr>
        <w:t>ERS</w:t>
      </w:r>
      <w:r w:rsidRPr="00273810">
        <w:rPr>
          <w:bCs/>
          <w:kern w:val="28"/>
          <w:szCs w:val="24"/>
        </w:rPr>
        <w:t xml:space="preserve"> </w:t>
      </w:r>
      <w:r w:rsidR="00B360FB" w:rsidRPr="00273810">
        <w:rPr>
          <w:bCs/>
          <w:kern w:val="28"/>
          <w:szCs w:val="24"/>
        </w:rPr>
        <w:t xml:space="preserve">that this </w:t>
      </w:r>
      <w:r w:rsidR="00053D58" w:rsidRPr="00273810">
        <w:rPr>
          <w:bCs/>
          <w:kern w:val="28"/>
          <w:szCs w:val="24"/>
        </w:rPr>
        <w:t xml:space="preserve">judgment </w:t>
      </w:r>
      <w:r w:rsidR="00E32F10">
        <w:rPr>
          <w:b/>
          <w:bCs/>
          <w:kern w:val="28"/>
          <w:szCs w:val="24"/>
        </w:rPr>
        <w:t>FIND</w:t>
      </w:r>
      <w:r w:rsidRPr="00273810">
        <w:rPr>
          <w:kern w:val="28"/>
          <w:szCs w:val="24"/>
        </w:rPr>
        <w:t xml:space="preserve"> </w:t>
      </w:r>
      <w:r w:rsidR="004631B2" w:rsidRPr="00273810">
        <w:rPr>
          <w:kern w:val="28"/>
          <w:szCs w:val="24"/>
        </w:rPr>
        <w:t xml:space="preserve">that </w:t>
      </w:r>
      <w:r w:rsidR="00B360FB" w:rsidRPr="00273810">
        <w:rPr>
          <w:kern w:val="28"/>
          <w:szCs w:val="24"/>
        </w:rPr>
        <w:t xml:space="preserve">the </w:t>
      </w:r>
      <w:r w:rsidRPr="00273810">
        <w:rPr>
          <w:kern w:val="28"/>
          <w:szCs w:val="24"/>
        </w:rPr>
        <w:t>Facebook</w:t>
      </w:r>
      <w:r w:rsidR="00B360FB" w:rsidRPr="00273810">
        <w:rPr>
          <w:kern w:val="28"/>
          <w:szCs w:val="24"/>
        </w:rPr>
        <w:t xml:space="preserve"> page at </w:t>
      </w:r>
      <w:r w:rsidR="004631B2" w:rsidRPr="00273810">
        <w:rPr>
          <w:kern w:val="28"/>
          <w:szCs w:val="24"/>
        </w:rPr>
        <w:t>“</w:t>
      </w:r>
      <w:r w:rsidRPr="00273810">
        <w:rPr>
          <w:kern w:val="28"/>
          <w:szCs w:val="24"/>
        </w:rPr>
        <w:t>https://www.facebook.com/quebecrockcontest/</w:t>
      </w:r>
      <w:r w:rsidR="004631B2" w:rsidRPr="00273810">
        <w:rPr>
          <w:szCs w:val="24"/>
        </w:rPr>
        <w:t>”</w:t>
      </w:r>
      <w:r w:rsidRPr="00273810">
        <w:rPr>
          <w:kern w:val="28"/>
          <w:szCs w:val="24"/>
        </w:rPr>
        <w:t xml:space="preserve"> </w:t>
      </w:r>
      <w:r w:rsidR="00B360FB" w:rsidRPr="00273810">
        <w:rPr>
          <w:kern w:val="28"/>
          <w:szCs w:val="24"/>
        </w:rPr>
        <w:t>and the “</w:t>
      </w:r>
      <w:r w:rsidRPr="00273810">
        <w:rPr>
          <w:kern w:val="28"/>
          <w:szCs w:val="24"/>
        </w:rPr>
        <w:t>Lévis Ville du Rock.com</w:t>
      </w:r>
      <w:r w:rsidR="00B360FB" w:rsidRPr="00273810">
        <w:rPr>
          <w:i/>
          <w:iCs/>
          <w:kern w:val="28"/>
          <w:szCs w:val="24"/>
        </w:rPr>
        <w:t xml:space="preserve">” </w:t>
      </w:r>
      <w:r w:rsidR="00B360FB" w:rsidRPr="00273810">
        <w:rPr>
          <w:kern w:val="28"/>
          <w:szCs w:val="24"/>
        </w:rPr>
        <w:t>domain name</w:t>
      </w:r>
      <w:r w:rsidR="004631B2" w:rsidRPr="00273810">
        <w:rPr>
          <w:kern w:val="28"/>
          <w:szCs w:val="24"/>
        </w:rPr>
        <w:t xml:space="preserve"> are owned exclusively by the plaintiff 9220-8883 Québec </w:t>
      </w:r>
      <w:proofErr w:type="gramStart"/>
      <w:r w:rsidR="004631B2" w:rsidRPr="00273810">
        <w:rPr>
          <w:kern w:val="28"/>
          <w:szCs w:val="24"/>
        </w:rPr>
        <w:t>inc.</w:t>
      </w:r>
      <w:r w:rsidRPr="00273810">
        <w:rPr>
          <w:kern w:val="28"/>
          <w:szCs w:val="24"/>
        </w:rPr>
        <w:t>;</w:t>
      </w:r>
      <w:proofErr w:type="gramEnd"/>
      <w:r w:rsidRPr="00273810">
        <w:rPr>
          <w:kern w:val="28"/>
          <w:szCs w:val="24"/>
        </w:rPr>
        <w:t xml:space="preserve"> </w:t>
      </w:r>
    </w:p>
    <w:p w14:paraId="4A379BC5" w14:textId="5345AEFA" w:rsidR="008A2961" w:rsidRPr="00273810" w:rsidRDefault="00E32F10" w:rsidP="003C0F1B">
      <w:pPr>
        <w:pStyle w:val="Paragraphe"/>
        <w:spacing w:line="240" w:lineRule="auto"/>
        <w:rPr>
          <w:lang w:eastAsia="fr-CA"/>
        </w:rPr>
      </w:pPr>
      <w:r>
        <w:t>T</w:t>
      </w:r>
      <w:r w:rsidR="0082008F" w:rsidRPr="00273810">
        <w:t xml:space="preserve">he judge had </w:t>
      </w:r>
      <w:r>
        <w:t xml:space="preserve">the </w:t>
      </w:r>
      <w:r w:rsidR="0082008F" w:rsidRPr="00273810">
        <w:t xml:space="preserve">discretion to </w:t>
      </w:r>
      <w:r w:rsidR="00AC12AB">
        <w:t xml:space="preserve">make </w:t>
      </w:r>
      <w:r>
        <w:t xml:space="preserve">these orders </w:t>
      </w:r>
      <w:r w:rsidR="0082008F" w:rsidRPr="00273810">
        <w:t>under the circumstances.</w:t>
      </w:r>
      <w:r w:rsidR="00E91813" w:rsidRPr="00273810">
        <w:t xml:space="preserve"> </w:t>
      </w:r>
      <w:r w:rsidR="0082008F" w:rsidRPr="00273810">
        <w:t xml:space="preserve">She did not exercise this discretion </w:t>
      </w:r>
      <w:r w:rsidR="002032AB">
        <w:t>non-judicially</w:t>
      </w:r>
      <w:r w:rsidR="00AC12AB">
        <w:t xml:space="preserve"> or </w:t>
      </w:r>
      <w:r w:rsidR="00F237D6" w:rsidRPr="00273810">
        <w:t>unreasonably</w:t>
      </w:r>
      <w:r w:rsidR="00F34BA3" w:rsidRPr="00273810">
        <w:t xml:space="preserve">. </w:t>
      </w:r>
      <w:r>
        <w:t xml:space="preserve">Similar </w:t>
      </w:r>
      <w:r w:rsidR="0082008F" w:rsidRPr="00273810">
        <w:t xml:space="preserve">orders have been made in similar cases; </w:t>
      </w:r>
      <w:r w:rsidR="00926C5C" w:rsidRPr="00273810">
        <w:t>see</w:t>
      </w:r>
      <w:r w:rsidR="00A75650" w:rsidRPr="00273810">
        <w:t>,</w:t>
      </w:r>
      <w:r w:rsidR="00926C5C" w:rsidRPr="00273810">
        <w:t xml:space="preserve"> for </w:t>
      </w:r>
      <w:r w:rsidR="002032AB">
        <w:t>example</w:t>
      </w:r>
      <w:r w:rsidR="0082008F" w:rsidRPr="00273810">
        <w:t xml:space="preserve"> </w:t>
      </w:r>
      <w:r w:rsidR="00A354A9" w:rsidRPr="00273810">
        <w:rPr>
          <w:i/>
        </w:rPr>
        <w:t xml:space="preserve">Thoi Bao </w:t>
      </w:r>
      <w:r w:rsidR="00926C5C" w:rsidRPr="00273810">
        <w:rPr>
          <w:i/>
        </w:rPr>
        <w:t>I</w:t>
      </w:r>
      <w:r w:rsidR="00A354A9" w:rsidRPr="00273810">
        <w:rPr>
          <w:i/>
        </w:rPr>
        <w:t xml:space="preserve">nc. </w:t>
      </w:r>
      <w:r w:rsidR="00926C5C" w:rsidRPr="00273810">
        <w:rPr>
          <w:i/>
        </w:rPr>
        <w:t>v</w:t>
      </w:r>
      <w:r w:rsidR="00A354A9" w:rsidRPr="00273810">
        <w:rPr>
          <w:i/>
        </w:rPr>
        <w:t>. 1913075 Ontario L</w:t>
      </w:r>
      <w:r w:rsidR="00926C5C" w:rsidRPr="00273810">
        <w:rPr>
          <w:i/>
        </w:rPr>
        <w:t>imited</w:t>
      </w:r>
      <w:r w:rsidR="00F34BA3" w:rsidRPr="00273810">
        <w:rPr>
          <w:rStyle w:val="Appelnotedebasdep"/>
          <w:lang w:val="en-CA"/>
        </w:rPr>
        <w:footnoteReference w:id="29"/>
      </w:r>
      <w:r w:rsidR="006527AF" w:rsidRPr="00273810">
        <w:t xml:space="preserve"> </w:t>
      </w:r>
      <w:r w:rsidR="00926C5C" w:rsidRPr="00273810">
        <w:t>and</w:t>
      </w:r>
      <w:r w:rsidR="006527AF" w:rsidRPr="00273810">
        <w:t xml:space="preserve"> </w:t>
      </w:r>
      <w:r w:rsidR="006527AF" w:rsidRPr="00273810">
        <w:rPr>
          <w:i/>
        </w:rPr>
        <w:t>Kaira District Co-operative Milk Producers' Union L</w:t>
      </w:r>
      <w:r w:rsidR="00926C5C" w:rsidRPr="00273810">
        <w:rPr>
          <w:i/>
        </w:rPr>
        <w:t>imited</w:t>
      </w:r>
      <w:r w:rsidR="006527AF" w:rsidRPr="00273810">
        <w:rPr>
          <w:i/>
        </w:rPr>
        <w:t xml:space="preserve"> </w:t>
      </w:r>
      <w:r w:rsidR="00926C5C" w:rsidRPr="00273810">
        <w:rPr>
          <w:i/>
        </w:rPr>
        <w:t>v</w:t>
      </w:r>
      <w:r w:rsidR="006527AF" w:rsidRPr="00273810">
        <w:rPr>
          <w:i/>
        </w:rPr>
        <w:t>. AMUL Canada</w:t>
      </w:r>
      <w:r w:rsidR="0082008F" w:rsidRPr="00273810">
        <w:rPr>
          <w:i/>
        </w:rPr>
        <w:t>.</w:t>
      </w:r>
      <w:r w:rsidR="00F34BA3" w:rsidRPr="00273810">
        <w:rPr>
          <w:rStyle w:val="Appelnotedebasdep"/>
          <w:lang w:val="en-CA"/>
        </w:rPr>
        <w:footnoteReference w:id="30"/>
      </w:r>
      <w:bookmarkStart w:id="17" w:name="par46"/>
      <w:bookmarkEnd w:id="17"/>
    </w:p>
    <w:p w14:paraId="3BFF4A31" w14:textId="2E22AD21" w:rsidR="00BF57F5" w:rsidRPr="00273810" w:rsidRDefault="00926C5C" w:rsidP="003C0F1B">
      <w:pPr>
        <w:pStyle w:val="Paragraphe"/>
        <w:spacing w:line="240" w:lineRule="auto"/>
        <w:rPr>
          <w:lang w:eastAsia="fr-CA"/>
        </w:rPr>
      </w:pPr>
      <w:r w:rsidRPr="00273810">
        <w:rPr>
          <w:lang w:eastAsia="fr-CA"/>
        </w:rPr>
        <w:t xml:space="preserve">This ground must therefore also fail. </w:t>
      </w:r>
    </w:p>
    <w:p w14:paraId="4BCE0840" w14:textId="33568B9B" w:rsidR="00366C6F" w:rsidRPr="00273810" w:rsidRDefault="002032AB" w:rsidP="003C0F1B">
      <w:pPr>
        <w:pStyle w:val="Paragraphe"/>
        <w:numPr>
          <w:ilvl w:val="0"/>
          <w:numId w:val="0"/>
        </w:numPr>
        <w:spacing w:line="240" w:lineRule="auto"/>
        <w:rPr>
          <w:rFonts w:eastAsia="Arial Unicode MS"/>
          <w:b/>
        </w:rPr>
      </w:pPr>
      <w:r>
        <w:rPr>
          <w:b/>
        </w:rPr>
        <w:t>Fourth i</w:t>
      </w:r>
      <w:r w:rsidR="005D58ED" w:rsidRPr="00273810">
        <w:rPr>
          <w:b/>
        </w:rPr>
        <w:t>ssue</w:t>
      </w:r>
      <w:r w:rsidR="00F34BA3" w:rsidRPr="00273810">
        <w:rPr>
          <w:b/>
        </w:rPr>
        <w:t xml:space="preserve">: </w:t>
      </w:r>
      <w:r w:rsidR="00501591" w:rsidRPr="00273810">
        <w:rPr>
          <w:rFonts w:eastAsia="Arial Unicode MS"/>
          <w:b/>
        </w:rPr>
        <w:t xml:space="preserve">Did the judge </w:t>
      </w:r>
      <w:r w:rsidR="0091043F">
        <w:rPr>
          <w:rFonts w:eastAsia="Arial Unicode MS"/>
          <w:b/>
        </w:rPr>
        <w:t>commit</w:t>
      </w:r>
      <w:r w:rsidR="0091043F" w:rsidRPr="00273810">
        <w:rPr>
          <w:rFonts w:eastAsia="Arial Unicode MS"/>
          <w:b/>
        </w:rPr>
        <w:t xml:space="preserve"> </w:t>
      </w:r>
      <w:r w:rsidR="00501591" w:rsidRPr="00273810">
        <w:rPr>
          <w:rFonts w:eastAsia="Arial Unicode MS"/>
          <w:b/>
        </w:rPr>
        <w:t xml:space="preserve">a reviewable error in assessing </w:t>
      </w:r>
      <w:r>
        <w:rPr>
          <w:rFonts w:eastAsia="Arial Unicode MS"/>
          <w:b/>
        </w:rPr>
        <w:t xml:space="preserve">the </w:t>
      </w:r>
      <w:r w:rsidR="00501591" w:rsidRPr="00273810">
        <w:rPr>
          <w:rFonts w:eastAsia="Arial Unicode MS"/>
          <w:b/>
        </w:rPr>
        <w:t xml:space="preserve">damages </w:t>
      </w:r>
      <w:r w:rsidR="00034949">
        <w:rPr>
          <w:rFonts w:eastAsia="Arial Unicode MS"/>
          <w:b/>
        </w:rPr>
        <w:t>owed</w:t>
      </w:r>
      <w:r w:rsidR="00501591" w:rsidRPr="00273810">
        <w:rPr>
          <w:rFonts w:eastAsia="Arial Unicode MS"/>
          <w:b/>
        </w:rPr>
        <w:t xml:space="preserve">, both to the respondents in the </w:t>
      </w:r>
      <w:r w:rsidR="004567C6">
        <w:rPr>
          <w:rFonts w:eastAsia="Arial Unicode MS"/>
          <w:b/>
        </w:rPr>
        <w:t xml:space="preserve">principal application </w:t>
      </w:r>
      <w:r w:rsidR="00501591" w:rsidRPr="00273810">
        <w:rPr>
          <w:rFonts w:eastAsia="Arial Unicode MS"/>
          <w:b/>
        </w:rPr>
        <w:t xml:space="preserve">and to the appellant in the cross-application? </w:t>
      </w:r>
    </w:p>
    <w:p w14:paraId="3A1F5FE8" w14:textId="6D3E9D11" w:rsidR="00D20B11" w:rsidRPr="00273810" w:rsidRDefault="00926C5C" w:rsidP="003C0F1B">
      <w:pPr>
        <w:pStyle w:val="Paragraphe"/>
        <w:spacing w:line="240" w:lineRule="auto"/>
        <w:rPr>
          <w:rFonts w:eastAsia="Arial Unicode MS"/>
        </w:rPr>
      </w:pPr>
      <w:r w:rsidRPr="00273810">
        <w:rPr>
          <w:rFonts w:eastAsia="Arial Unicode MS"/>
        </w:rPr>
        <w:lastRenderedPageBreak/>
        <w:t xml:space="preserve">The </w:t>
      </w:r>
      <w:r w:rsidR="002032AB">
        <w:rPr>
          <w:rFonts w:eastAsia="Arial Unicode MS"/>
        </w:rPr>
        <w:t xml:space="preserve">trial judge’s </w:t>
      </w:r>
      <w:r w:rsidR="00B51F8E">
        <w:rPr>
          <w:rFonts w:eastAsia="Arial Unicode MS"/>
        </w:rPr>
        <w:t xml:space="preserve">assessment of </w:t>
      </w:r>
      <w:r w:rsidRPr="00273810">
        <w:rPr>
          <w:rFonts w:eastAsia="Arial Unicode MS"/>
        </w:rPr>
        <w:t xml:space="preserve">damages </w:t>
      </w:r>
      <w:r w:rsidR="00B51F8E">
        <w:rPr>
          <w:rFonts w:eastAsia="Arial Unicode MS"/>
        </w:rPr>
        <w:t>is</w:t>
      </w:r>
      <w:r w:rsidRPr="00273810">
        <w:rPr>
          <w:rFonts w:eastAsia="Arial Unicode MS"/>
        </w:rPr>
        <w:t xml:space="preserve"> also a question of fact, which requires </w:t>
      </w:r>
      <w:r w:rsidR="00DA06A7" w:rsidRPr="00273810">
        <w:rPr>
          <w:rFonts w:eastAsia="Arial Unicode MS"/>
        </w:rPr>
        <w:t xml:space="preserve">the </w:t>
      </w:r>
      <w:r w:rsidR="00DA06A7" w:rsidRPr="00254F47">
        <w:rPr>
          <w:rFonts w:eastAsia="Arial Unicode MS"/>
        </w:rPr>
        <w:t>greatest deference</w:t>
      </w:r>
      <w:r w:rsidR="006904AE">
        <w:rPr>
          <w:rFonts w:eastAsia="Arial Unicode MS"/>
        </w:rPr>
        <w:t>,</w:t>
      </w:r>
      <w:r w:rsidR="0091043F">
        <w:rPr>
          <w:rFonts w:eastAsia="Arial Unicode MS"/>
        </w:rPr>
        <w:t xml:space="preserve"> </w:t>
      </w:r>
      <w:r w:rsidR="006904AE">
        <w:rPr>
          <w:rFonts w:eastAsia="Arial Unicode MS"/>
        </w:rPr>
        <w:t xml:space="preserve">or </w:t>
      </w:r>
      <w:r w:rsidR="0032793B" w:rsidRPr="00254F47">
        <w:rPr>
          <w:rFonts w:eastAsia="Arial Unicode MS"/>
        </w:rPr>
        <w:t>“</w:t>
      </w:r>
      <w:r w:rsidR="0032793B" w:rsidRPr="006C0FA2">
        <w:rPr>
          <w:rFonts w:eastAsia="Arial Unicode MS"/>
          <w:i/>
          <w:iCs/>
        </w:rPr>
        <w:t>surdéférence</w:t>
      </w:r>
      <w:r w:rsidR="0032793B" w:rsidRPr="00254F47">
        <w:rPr>
          <w:rFonts w:eastAsia="Arial Unicode MS"/>
        </w:rPr>
        <w:t>”</w:t>
      </w:r>
      <w:r w:rsidR="006904AE">
        <w:rPr>
          <w:rFonts w:eastAsia="Arial Unicode MS"/>
        </w:rPr>
        <w:t>,</w:t>
      </w:r>
      <w:r w:rsidR="0032793B" w:rsidRPr="00254F47">
        <w:rPr>
          <w:rFonts w:eastAsia="Arial Unicode MS"/>
        </w:rPr>
        <w:t xml:space="preserve"> </w:t>
      </w:r>
      <w:r w:rsidR="00DA06A7" w:rsidRPr="00254F47">
        <w:rPr>
          <w:rFonts w:eastAsia="Arial Unicode MS"/>
        </w:rPr>
        <w:t xml:space="preserve">according to </w:t>
      </w:r>
      <w:r w:rsidR="002032AB">
        <w:rPr>
          <w:rFonts w:eastAsia="Arial Unicode MS"/>
        </w:rPr>
        <w:t xml:space="preserve">several recent judgments </w:t>
      </w:r>
      <w:r w:rsidR="00DA06A7" w:rsidRPr="00254F47">
        <w:rPr>
          <w:rFonts w:eastAsia="Arial Unicode MS"/>
        </w:rPr>
        <w:t>of the Court</w:t>
      </w:r>
      <w:r w:rsidR="00DA06A7" w:rsidRPr="00273810">
        <w:rPr>
          <w:rFonts w:eastAsia="Arial Unicode MS"/>
        </w:rPr>
        <w:t>.</w:t>
      </w:r>
      <w:r w:rsidR="00F34BA3" w:rsidRPr="00273810">
        <w:rPr>
          <w:rStyle w:val="Appelnotedebasdep"/>
          <w:rFonts w:eastAsia="Arial Unicode MS"/>
          <w:lang w:val="en-CA"/>
        </w:rPr>
        <w:footnoteReference w:id="31"/>
      </w:r>
    </w:p>
    <w:p w14:paraId="60AF2D42" w14:textId="0995FB4A" w:rsidR="00BA14EB" w:rsidRPr="00273810" w:rsidRDefault="002105BD" w:rsidP="003C0F1B">
      <w:pPr>
        <w:pStyle w:val="Paragraphe"/>
        <w:spacing w:line="240" w:lineRule="auto"/>
        <w:rPr>
          <w:rStyle w:val="Hyperlien"/>
          <w:rFonts w:eastAsia="Arial Unicode MS"/>
          <w:color w:val="auto"/>
          <w:u w:val="none"/>
        </w:rPr>
      </w:pPr>
      <w:r>
        <w:rPr>
          <w:rFonts w:eastAsia="Arial Unicode MS"/>
        </w:rPr>
        <w:t>I</w:t>
      </w:r>
      <w:r w:rsidR="002032AB">
        <w:rPr>
          <w:rFonts w:eastAsia="Arial Unicode MS"/>
        </w:rPr>
        <w:t xml:space="preserve">t is </w:t>
      </w:r>
      <w:r w:rsidR="00CA34A8">
        <w:rPr>
          <w:rFonts w:eastAsia="Arial Unicode MS"/>
        </w:rPr>
        <w:t>the</w:t>
      </w:r>
      <w:r w:rsidR="002032AB">
        <w:rPr>
          <w:rFonts w:eastAsia="Arial Unicode MS"/>
        </w:rPr>
        <w:t xml:space="preserve"> </w:t>
      </w:r>
      <w:r w:rsidR="00996E20" w:rsidRPr="00273810">
        <w:rPr>
          <w:rFonts w:eastAsia="Arial Unicode MS"/>
        </w:rPr>
        <w:t>trial judge</w:t>
      </w:r>
      <w:r w:rsidR="002032AB">
        <w:rPr>
          <w:rFonts w:eastAsia="Arial Unicode MS"/>
        </w:rPr>
        <w:t>’</w:t>
      </w:r>
      <w:r w:rsidR="00996E20" w:rsidRPr="00273810">
        <w:rPr>
          <w:rFonts w:eastAsia="Arial Unicode MS"/>
        </w:rPr>
        <w:t xml:space="preserve">s </w:t>
      </w:r>
      <w:r w:rsidR="002032AB">
        <w:rPr>
          <w:rFonts w:eastAsia="Arial Unicode MS"/>
        </w:rPr>
        <w:t xml:space="preserve">role </w:t>
      </w:r>
      <w:r w:rsidR="00996E20" w:rsidRPr="00273810">
        <w:rPr>
          <w:rFonts w:eastAsia="Arial Unicode MS"/>
        </w:rPr>
        <w:t>to quantify the damages whe</w:t>
      </w:r>
      <w:r w:rsidR="0073321F" w:rsidRPr="00273810">
        <w:rPr>
          <w:rFonts w:eastAsia="Arial Unicode MS"/>
        </w:rPr>
        <w:t>re</w:t>
      </w:r>
      <w:r w:rsidR="00996E20" w:rsidRPr="00273810">
        <w:rPr>
          <w:rFonts w:eastAsia="Arial Unicode MS"/>
        </w:rPr>
        <w:t xml:space="preserve"> a party </w:t>
      </w:r>
      <w:r w:rsidR="002032AB">
        <w:rPr>
          <w:rFonts w:eastAsia="Arial Unicode MS"/>
        </w:rPr>
        <w:t xml:space="preserve">is found to have </w:t>
      </w:r>
      <w:r w:rsidR="002F7204" w:rsidRPr="00273810">
        <w:rPr>
          <w:rFonts w:eastAsia="Arial Unicode MS"/>
        </w:rPr>
        <w:t xml:space="preserve">breached </w:t>
      </w:r>
      <w:r w:rsidR="00996E20" w:rsidRPr="00273810">
        <w:rPr>
          <w:rFonts w:eastAsia="Arial Unicode MS"/>
        </w:rPr>
        <w:t xml:space="preserve">its </w:t>
      </w:r>
      <w:r w:rsidR="002032AB">
        <w:rPr>
          <w:rFonts w:eastAsia="Arial Unicode MS"/>
        </w:rPr>
        <w:t>explicit or tac</w:t>
      </w:r>
      <w:r w:rsidR="000D328D">
        <w:rPr>
          <w:rFonts w:eastAsia="Arial Unicode MS"/>
        </w:rPr>
        <w:t>i</w:t>
      </w:r>
      <w:r w:rsidR="002032AB">
        <w:rPr>
          <w:rFonts w:eastAsia="Arial Unicode MS"/>
        </w:rPr>
        <w:t xml:space="preserve">t </w:t>
      </w:r>
      <w:r w:rsidR="00996E20" w:rsidRPr="00273810">
        <w:rPr>
          <w:rFonts w:eastAsia="Arial Unicode MS"/>
        </w:rPr>
        <w:t xml:space="preserve">legal or contractual obligations and such </w:t>
      </w:r>
      <w:r w:rsidR="002F7204" w:rsidRPr="00273810">
        <w:rPr>
          <w:rFonts w:eastAsia="Arial Unicode MS"/>
        </w:rPr>
        <w:t>breach</w:t>
      </w:r>
      <w:r w:rsidR="00996E20" w:rsidRPr="00273810">
        <w:rPr>
          <w:rFonts w:eastAsia="Arial Unicode MS"/>
        </w:rPr>
        <w:t xml:space="preserve"> </w:t>
      </w:r>
      <w:r w:rsidR="002032AB">
        <w:rPr>
          <w:rFonts w:eastAsia="Arial Unicode MS"/>
        </w:rPr>
        <w:t xml:space="preserve">has </w:t>
      </w:r>
      <w:r w:rsidR="00CA34A8">
        <w:rPr>
          <w:rFonts w:eastAsia="Arial Unicode MS"/>
        </w:rPr>
        <w:t xml:space="preserve">caused </w:t>
      </w:r>
      <w:r w:rsidR="002032AB">
        <w:rPr>
          <w:rFonts w:eastAsia="Arial Unicode MS"/>
        </w:rPr>
        <w:t>another party</w:t>
      </w:r>
      <w:r w:rsidR="00CA34A8">
        <w:rPr>
          <w:rFonts w:eastAsia="Arial Unicode MS"/>
        </w:rPr>
        <w:t xml:space="preserve"> injury</w:t>
      </w:r>
      <w:r w:rsidR="00DC1A54" w:rsidRPr="00273810">
        <w:rPr>
          <w:rFonts w:eastAsia="Arial Unicode MS"/>
        </w:rPr>
        <w:t xml:space="preserve">, </w:t>
      </w:r>
      <w:r w:rsidR="00034949">
        <w:rPr>
          <w:rFonts w:eastAsia="Arial Unicode MS"/>
        </w:rPr>
        <w:t xml:space="preserve">including, </w:t>
      </w:r>
      <w:r w:rsidR="00DC1A54" w:rsidRPr="00273810">
        <w:rPr>
          <w:rFonts w:eastAsia="Arial Unicode MS"/>
        </w:rPr>
        <w:t xml:space="preserve">as in </w:t>
      </w:r>
      <w:r w:rsidR="002032AB">
        <w:rPr>
          <w:rFonts w:eastAsia="Arial Unicode MS"/>
        </w:rPr>
        <w:t xml:space="preserve">this </w:t>
      </w:r>
      <w:r w:rsidR="00DC1A54" w:rsidRPr="00273810">
        <w:rPr>
          <w:rFonts w:eastAsia="Arial Unicode MS"/>
        </w:rPr>
        <w:t xml:space="preserve">case, </w:t>
      </w:r>
      <w:r w:rsidR="00034949">
        <w:rPr>
          <w:rFonts w:eastAsia="Arial Unicode MS"/>
        </w:rPr>
        <w:t xml:space="preserve">injury </w:t>
      </w:r>
      <w:r w:rsidR="00264B88" w:rsidRPr="00273810">
        <w:rPr>
          <w:rFonts w:eastAsia="Arial Unicode MS"/>
        </w:rPr>
        <w:t xml:space="preserve">to </w:t>
      </w:r>
      <w:r w:rsidR="00DC1A54" w:rsidRPr="00273810">
        <w:rPr>
          <w:rFonts w:eastAsia="Arial Unicode MS"/>
        </w:rPr>
        <w:t>its goodwill</w:t>
      </w:r>
      <w:r w:rsidR="00AC7B12" w:rsidRPr="00273810">
        <w:rPr>
          <w:rFonts w:eastAsia="Arial Unicode MS"/>
        </w:rPr>
        <w:t xml:space="preserve">. </w:t>
      </w:r>
      <w:r w:rsidR="00DC1A54" w:rsidRPr="00273810">
        <w:rPr>
          <w:rFonts w:eastAsia="Arial Unicode MS"/>
        </w:rPr>
        <w:t xml:space="preserve">In such a case, </w:t>
      </w:r>
      <w:r w:rsidR="00034949">
        <w:rPr>
          <w:rFonts w:eastAsia="Arial Unicode MS"/>
        </w:rPr>
        <w:t>al</w:t>
      </w:r>
      <w:r w:rsidR="002032AB">
        <w:rPr>
          <w:rFonts w:eastAsia="Arial Unicode MS"/>
        </w:rPr>
        <w:t xml:space="preserve">though </w:t>
      </w:r>
      <w:r w:rsidR="00034949">
        <w:rPr>
          <w:rFonts w:eastAsia="Arial Unicode MS"/>
        </w:rPr>
        <w:t xml:space="preserve">the </w:t>
      </w:r>
      <w:r w:rsidR="002032AB">
        <w:rPr>
          <w:rFonts w:eastAsia="Arial Unicode MS"/>
        </w:rPr>
        <w:t>exercise m</w:t>
      </w:r>
      <w:r>
        <w:rPr>
          <w:rFonts w:eastAsia="Arial Unicode MS"/>
        </w:rPr>
        <w:t>ay</w:t>
      </w:r>
      <w:r w:rsidR="002032AB">
        <w:rPr>
          <w:rFonts w:eastAsia="Arial Unicode MS"/>
        </w:rPr>
        <w:t xml:space="preserve"> present </w:t>
      </w:r>
      <w:r>
        <w:rPr>
          <w:rFonts w:eastAsia="Arial Unicode MS"/>
        </w:rPr>
        <w:t xml:space="preserve">certain </w:t>
      </w:r>
      <w:r w:rsidR="00DC1A54" w:rsidRPr="00273810">
        <w:rPr>
          <w:rFonts w:eastAsia="Arial Unicode MS"/>
        </w:rPr>
        <w:t xml:space="preserve">difficulties, the </w:t>
      </w:r>
      <w:r w:rsidR="009E2B52">
        <w:rPr>
          <w:rFonts w:eastAsia="Arial Unicode MS"/>
        </w:rPr>
        <w:t>judge</w:t>
      </w:r>
      <w:r w:rsidR="00DC1A54" w:rsidRPr="00273810">
        <w:rPr>
          <w:rFonts w:eastAsia="Arial Unicode MS"/>
        </w:rPr>
        <w:t xml:space="preserve"> must sometimes </w:t>
      </w:r>
      <w:r w:rsidR="00427C20" w:rsidRPr="009E2B52">
        <w:rPr>
          <w:rFonts w:eastAsia="Arial Unicode MS"/>
        </w:rPr>
        <w:t>a</w:t>
      </w:r>
      <w:r w:rsidR="00F237D6" w:rsidRPr="009E2B52">
        <w:rPr>
          <w:rFonts w:eastAsia="Arial Unicode MS"/>
        </w:rPr>
        <w:t>ssess</w:t>
      </w:r>
      <w:r w:rsidR="00427C20" w:rsidRPr="009E2B52">
        <w:rPr>
          <w:rFonts w:eastAsia="Arial Unicode MS"/>
        </w:rPr>
        <w:t xml:space="preserve"> </w:t>
      </w:r>
      <w:r w:rsidR="00DC1A54" w:rsidRPr="009E2B52">
        <w:rPr>
          <w:rFonts w:eastAsia="Arial Unicode MS"/>
        </w:rPr>
        <w:t>the</w:t>
      </w:r>
      <w:r w:rsidR="00DC1A54" w:rsidRPr="00273810">
        <w:rPr>
          <w:rFonts w:eastAsia="Arial Unicode MS"/>
        </w:rPr>
        <w:t xml:space="preserve"> </w:t>
      </w:r>
      <w:r w:rsidR="00DC1A54" w:rsidRPr="000D328D">
        <w:rPr>
          <w:rFonts w:eastAsia="Arial Unicode MS"/>
          <w:i/>
          <w:iCs/>
        </w:rPr>
        <w:t>quantum</w:t>
      </w:r>
      <w:r w:rsidR="00DC1A54" w:rsidRPr="00273810">
        <w:rPr>
          <w:rFonts w:eastAsia="Arial Unicode MS"/>
        </w:rPr>
        <w:t xml:space="preserve"> </w:t>
      </w:r>
      <w:r w:rsidR="00034949">
        <w:rPr>
          <w:rFonts w:eastAsia="Arial Unicode MS"/>
        </w:rPr>
        <w:t xml:space="preserve">by </w:t>
      </w:r>
      <w:r w:rsidR="002032AB">
        <w:rPr>
          <w:rFonts w:eastAsia="Arial Unicode MS"/>
        </w:rPr>
        <w:t xml:space="preserve">relying </w:t>
      </w:r>
      <w:r w:rsidR="002F7204" w:rsidRPr="00273810">
        <w:rPr>
          <w:rFonts w:eastAsia="Arial Unicode MS"/>
        </w:rPr>
        <w:t xml:space="preserve">on </w:t>
      </w:r>
      <w:r>
        <w:rPr>
          <w:rFonts w:eastAsia="Arial Unicode MS"/>
        </w:rPr>
        <w:t xml:space="preserve">a certain amount of </w:t>
      </w:r>
      <w:r w:rsidR="0054154B" w:rsidRPr="00273810">
        <w:rPr>
          <w:rStyle w:val="Citationintgre"/>
          <w:i w:val="0"/>
          <w:sz w:val="24"/>
          <w:szCs w:val="24"/>
          <w:lang w:val="en-CA"/>
        </w:rPr>
        <w:t>approximation</w:t>
      </w:r>
      <w:r>
        <w:rPr>
          <w:rStyle w:val="Citationintgre"/>
          <w:i w:val="0"/>
          <w:sz w:val="24"/>
          <w:szCs w:val="24"/>
          <w:lang w:val="en-CA"/>
        </w:rPr>
        <w:t xml:space="preserve">, </w:t>
      </w:r>
      <w:r w:rsidR="002F7204" w:rsidRPr="00273810">
        <w:rPr>
          <w:rStyle w:val="Citationintgre"/>
          <w:i w:val="0"/>
          <w:sz w:val="24"/>
          <w:szCs w:val="24"/>
          <w:lang w:val="en-CA"/>
        </w:rPr>
        <w:t>estimation</w:t>
      </w:r>
      <w:r w:rsidR="00034949">
        <w:rPr>
          <w:rStyle w:val="Citationintgre"/>
          <w:i w:val="0"/>
          <w:sz w:val="24"/>
          <w:szCs w:val="24"/>
          <w:lang w:val="en-CA"/>
        </w:rPr>
        <w:t>,</w:t>
      </w:r>
      <w:r>
        <w:rPr>
          <w:rStyle w:val="Citationintgre"/>
          <w:i w:val="0"/>
          <w:sz w:val="24"/>
          <w:szCs w:val="24"/>
          <w:lang w:val="en-CA"/>
        </w:rPr>
        <w:t xml:space="preserve"> and </w:t>
      </w:r>
      <w:r w:rsidR="002032AB">
        <w:rPr>
          <w:rStyle w:val="Citationintgre"/>
          <w:i w:val="0"/>
          <w:sz w:val="24"/>
          <w:szCs w:val="24"/>
          <w:lang w:val="en-CA"/>
        </w:rPr>
        <w:t xml:space="preserve">the judge’s </w:t>
      </w:r>
      <w:r>
        <w:rPr>
          <w:rStyle w:val="Citationintgre"/>
          <w:i w:val="0"/>
          <w:sz w:val="24"/>
          <w:szCs w:val="24"/>
          <w:lang w:val="en-CA"/>
        </w:rPr>
        <w:t xml:space="preserve">own </w:t>
      </w:r>
      <w:r w:rsidR="002F7204" w:rsidRPr="00273810">
        <w:rPr>
          <w:rStyle w:val="Citationintgre"/>
          <w:i w:val="0"/>
          <w:sz w:val="24"/>
          <w:szCs w:val="24"/>
          <w:lang w:val="en-CA"/>
        </w:rPr>
        <w:t>discretion</w:t>
      </w:r>
      <w:r w:rsidR="0054154B" w:rsidRPr="00273810">
        <w:rPr>
          <w:rStyle w:val="Citationintgre"/>
          <w:i w:val="0"/>
          <w:sz w:val="24"/>
          <w:szCs w:val="24"/>
          <w:lang w:val="en-CA"/>
        </w:rPr>
        <w:t xml:space="preserve">, </w:t>
      </w:r>
      <w:r w:rsidR="006873A4" w:rsidRPr="00273810">
        <w:rPr>
          <w:rStyle w:val="Citationintgre"/>
          <w:i w:val="0"/>
          <w:sz w:val="24"/>
          <w:szCs w:val="24"/>
          <w:lang w:val="en-CA"/>
        </w:rPr>
        <w:t>“</w:t>
      </w:r>
      <w:r w:rsidR="0054154B" w:rsidRPr="00916663">
        <w:rPr>
          <w:rStyle w:val="Citationintgre"/>
          <w:i w:val="0"/>
          <w:sz w:val="24"/>
          <w:szCs w:val="24"/>
          <w:lang w:val="en-CA"/>
        </w:rPr>
        <w:t>based upon whatever credible evidence may be available to it</w:t>
      </w:r>
      <w:r w:rsidR="00F76E6D">
        <w:rPr>
          <w:rStyle w:val="Citationintgre"/>
          <w:rFonts w:cs="Arial"/>
          <w:i w:val="0"/>
          <w:sz w:val="24"/>
          <w:szCs w:val="24"/>
          <w:lang w:val="en-CA"/>
        </w:rPr>
        <w:t>”</w:t>
      </w:r>
      <w:r w:rsidR="00FF415C">
        <w:rPr>
          <w:rStyle w:val="Citationintgre"/>
          <w:rFonts w:cs="Arial"/>
          <w:i w:val="0"/>
          <w:sz w:val="24"/>
          <w:szCs w:val="24"/>
          <w:lang w:val="en-CA"/>
        </w:rPr>
        <w:t>.</w:t>
      </w:r>
      <w:r w:rsidR="00F34BA3" w:rsidRPr="00273810">
        <w:rPr>
          <w:rStyle w:val="Appelnotedebasdep"/>
          <w:szCs w:val="24"/>
          <w:lang w:val="en-CA"/>
        </w:rPr>
        <w:footnoteReference w:id="32"/>
      </w:r>
      <w:r w:rsidR="004B1DF3" w:rsidRPr="00273810">
        <w:rPr>
          <w:rStyle w:val="Citationintgre"/>
          <w:i w:val="0"/>
          <w:sz w:val="24"/>
          <w:szCs w:val="24"/>
          <w:lang w:val="en-CA"/>
        </w:rPr>
        <w:t xml:space="preserve"> </w:t>
      </w:r>
      <w:r w:rsidR="006873A4" w:rsidRPr="00273810">
        <w:rPr>
          <w:rStyle w:val="Citationintgre"/>
          <w:i w:val="0"/>
          <w:sz w:val="24"/>
          <w:szCs w:val="24"/>
          <w:lang w:val="en-CA"/>
        </w:rPr>
        <w:t xml:space="preserve">The Court will intervene </w:t>
      </w:r>
      <w:r w:rsidR="00916663">
        <w:rPr>
          <w:rStyle w:val="Citationintgre"/>
          <w:i w:val="0"/>
          <w:sz w:val="24"/>
          <w:szCs w:val="24"/>
          <w:lang w:val="en-CA"/>
        </w:rPr>
        <w:t>i</w:t>
      </w:r>
      <w:r w:rsidR="002032AB">
        <w:rPr>
          <w:rStyle w:val="Citationintgre"/>
          <w:i w:val="0"/>
          <w:sz w:val="24"/>
          <w:szCs w:val="24"/>
          <w:lang w:val="en-CA"/>
        </w:rPr>
        <w:t xml:space="preserve">n </w:t>
      </w:r>
      <w:r w:rsidR="006873A4" w:rsidRPr="00273810">
        <w:rPr>
          <w:rStyle w:val="Citationintgre"/>
          <w:i w:val="0"/>
          <w:sz w:val="24"/>
          <w:szCs w:val="24"/>
          <w:lang w:val="en-CA"/>
        </w:rPr>
        <w:t xml:space="preserve">the amount of damages </w:t>
      </w:r>
      <w:r>
        <w:rPr>
          <w:rStyle w:val="Citationintgre"/>
          <w:i w:val="0"/>
          <w:sz w:val="24"/>
          <w:szCs w:val="24"/>
          <w:lang w:val="en-CA"/>
        </w:rPr>
        <w:t xml:space="preserve">only if </w:t>
      </w:r>
      <w:r w:rsidR="002032AB">
        <w:rPr>
          <w:rStyle w:val="Citationintgre"/>
          <w:i w:val="0"/>
          <w:sz w:val="24"/>
          <w:szCs w:val="24"/>
          <w:lang w:val="en-CA"/>
        </w:rPr>
        <w:t xml:space="preserve">it </w:t>
      </w:r>
      <w:r w:rsidR="00916663">
        <w:rPr>
          <w:rStyle w:val="Citationintgre"/>
          <w:i w:val="0"/>
          <w:sz w:val="24"/>
          <w:szCs w:val="24"/>
          <w:lang w:val="en-CA"/>
        </w:rPr>
        <w:t xml:space="preserve">is the </w:t>
      </w:r>
      <w:r w:rsidR="006873A4" w:rsidRPr="00273810">
        <w:rPr>
          <w:rStyle w:val="Citationintgre"/>
          <w:i w:val="0"/>
          <w:sz w:val="24"/>
          <w:szCs w:val="24"/>
          <w:lang w:val="en-CA"/>
        </w:rPr>
        <w:t>result</w:t>
      </w:r>
      <w:r w:rsidR="00916663">
        <w:rPr>
          <w:rStyle w:val="Citationintgre"/>
          <w:i w:val="0"/>
          <w:sz w:val="24"/>
          <w:szCs w:val="24"/>
          <w:lang w:val="en-CA"/>
        </w:rPr>
        <w:t xml:space="preserve"> of</w:t>
      </w:r>
      <w:r w:rsidR="006873A4" w:rsidRPr="00273810">
        <w:rPr>
          <w:rStyle w:val="Citationintgre"/>
          <w:i w:val="0"/>
          <w:sz w:val="24"/>
          <w:szCs w:val="24"/>
          <w:lang w:val="en-CA"/>
        </w:rPr>
        <w:t xml:space="preserve"> a </w:t>
      </w:r>
      <w:r w:rsidR="00501591" w:rsidRPr="00273810">
        <w:rPr>
          <w:rStyle w:val="Hyperlien"/>
          <w:color w:val="auto"/>
          <w:szCs w:val="24"/>
          <w:u w:val="none"/>
        </w:rPr>
        <w:t xml:space="preserve">palpable and overriding error in </w:t>
      </w:r>
      <w:r>
        <w:rPr>
          <w:rStyle w:val="Hyperlien"/>
          <w:color w:val="auto"/>
          <w:szCs w:val="24"/>
          <w:u w:val="none"/>
        </w:rPr>
        <w:t xml:space="preserve">the </w:t>
      </w:r>
      <w:r w:rsidR="002032AB">
        <w:rPr>
          <w:rStyle w:val="Hyperlien"/>
          <w:color w:val="auto"/>
          <w:szCs w:val="24"/>
          <w:u w:val="none"/>
        </w:rPr>
        <w:t>assess</w:t>
      </w:r>
      <w:r>
        <w:rPr>
          <w:rStyle w:val="Hyperlien"/>
          <w:color w:val="auto"/>
          <w:szCs w:val="24"/>
          <w:u w:val="none"/>
        </w:rPr>
        <w:t>ment of</w:t>
      </w:r>
      <w:r w:rsidR="002032AB">
        <w:rPr>
          <w:rStyle w:val="Hyperlien"/>
          <w:color w:val="auto"/>
          <w:szCs w:val="24"/>
          <w:u w:val="none"/>
        </w:rPr>
        <w:t xml:space="preserve"> </w:t>
      </w:r>
      <w:r w:rsidR="00501591" w:rsidRPr="00273810">
        <w:rPr>
          <w:rStyle w:val="Hyperlien"/>
          <w:color w:val="auto"/>
          <w:szCs w:val="24"/>
          <w:u w:val="none"/>
        </w:rPr>
        <w:t>the evidence</w:t>
      </w:r>
      <w:r w:rsidR="0038438F" w:rsidRPr="00273810">
        <w:rPr>
          <w:rStyle w:val="Hyperlien"/>
          <w:color w:val="auto"/>
          <w:szCs w:val="24"/>
          <w:u w:val="none"/>
        </w:rPr>
        <w:t xml:space="preserve"> o</w:t>
      </w:r>
      <w:r w:rsidR="006873A4" w:rsidRPr="00273810">
        <w:rPr>
          <w:rStyle w:val="Hyperlien"/>
          <w:color w:val="auto"/>
          <w:szCs w:val="24"/>
          <w:u w:val="none"/>
        </w:rPr>
        <w:t>r</w:t>
      </w:r>
      <w:r w:rsidR="0038438F" w:rsidRPr="00273810">
        <w:rPr>
          <w:rStyle w:val="Hyperlien"/>
          <w:color w:val="auto"/>
          <w:szCs w:val="24"/>
          <w:u w:val="none"/>
        </w:rPr>
        <w:t xml:space="preserve">, </w:t>
      </w:r>
      <w:r w:rsidR="00DB5A88" w:rsidRPr="00273810">
        <w:rPr>
          <w:rStyle w:val="Hyperlien"/>
          <w:color w:val="auto"/>
          <w:szCs w:val="24"/>
          <w:u w:val="none"/>
        </w:rPr>
        <w:t xml:space="preserve">in </w:t>
      </w:r>
      <w:r w:rsidR="006873A4" w:rsidRPr="00273810">
        <w:rPr>
          <w:rStyle w:val="Hyperlien"/>
          <w:color w:val="auto"/>
          <w:szCs w:val="24"/>
          <w:u w:val="none"/>
        </w:rPr>
        <w:t>rarer case</w:t>
      </w:r>
      <w:r w:rsidR="002032AB">
        <w:rPr>
          <w:rStyle w:val="Hyperlien"/>
          <w:color w:val="auto"/>
          <w:szCs w:val="24"/>
          <w:u w:val="none"/>
        </w:rPr>
        <w:t>s</w:t>
      </w:r>
      <w:r w:rsidR="0038438F" w:rsidRPr="00273810">
        <w:rPr>
          <w:rStyle w:val="Hyperlien"/>
          <w:color w:val="auto"/>
          <w:szCs w:val="24"/>
          <w:u w:val="none"/>
        </w:rPr>
        <w:t xml:space="preserve">, </w:t>
      </w:r>
      <w:r w:rsidR="006873A4" w:rsidRPr="00273810">
        <w:rPr>
          <w:rStyle w:val="Hyperlien"/>
          <w:color w:val="auto"/>
          <w:szCs w:val="24"/>
          <w:u w:val="none"/>
        </w:rPr>
        <w:t>an error of law</w:t>
      </w:r>
      <w:r w:rsidR="0038438F" w:rsidRPr="00273810">
        <w:rPr>
          <w:rStyle w:val="Hyperlien"/>
          <w:color w:val="auto"/>
          <w:szCs w:val="24"/>
          <w:u w:val="none"/>
        </w:rPr>
        <w:t>, o</w:t>
      </w:r>
      <w:r w:rsidR="006873A4" w:rsidRPr="00273810">
        <w:rPr>
          <w:rStyle w:val="Hyperlien"/>
          <w:color w:val="auto"/>
          <w:szCs w:val="24"/>
          <w:u w:val="none"/>
        </w:rPr>
        <w:t xml:space="preserve">r even </w:t>
      </w:r>
      <w:r w:rsidR="002032AB">
        <w:rPr>
          <w:rStyle w:val="Hyperlien"/>
          <w:color w:val="auto"/>
          <w:szCs w:val="24"/>
          <w:u w:val="none"/>
        </w:rPr>
        <w:t xml:space="preserve">where </w:t>
      </w:r>
      <w:r w:rsidR="006873A4" w:rsidRPr="00273810">
        <w:rPr>
          <w:rStyle w:val="Hyperlien"/>
          <w:color w:val="auto"/>
          <w:szCs w:val="24"/>
          <w:u w:val="none"/>
        </w:rPr>
        <w:t xml:space="preserve">the amount granted </w:t>
      </w:r>
      <w:r w:rsidR="00DB5A88" w:rsidRPr="00273810">
        <w:rPr>
          <w:rStyle w:val="Hyperlien"/>
          <w:color w:val="auto"/>
          <w:szCs w:val="24"/>
          <w:u w:val="none"/>
        </w:rPr>
        <w:t>offend</w:t>
      </w:r>
      <w:r w:rsidR="002032AB">
        <w:rPr>
          <w:rStyle w:val="Hyperlien"/>
          <w:color w:val="auto"/>
          <w:szCs w:val="24"/>
          <w:u w:val="none"/>
        </w:rPr>
        <w:t>s</w:t>
      </w:r>
      <w:r w:rsidR="00DB5A88" w:rsidRPr="00273810">
        <w:rPr>
          <w:rStyle w:val="Hyperlien"/>
          <w:color w:val="auto"/>
          <w:szCs w:val="24"/>
          <w:u w:val="none"/>
        </w:rPr>
        <w:t xml:space="preserve"> the sense of justice because it </w:t>
      </w:r>
      <w:r w:rsidR="002032AB">
        <w:rPr>
          <w:rStyle w:val="Hyperlien"/>
          <w:color w:val="auto"/>
          <w:szCs w:val="24"/>
          <w:u w:val="none"/>
        </w:rPr>
        <w:t>i</w:t>
      </w:r>
      <w:r w:rsidR="00DB5A88" w:rsidRPr="00273810">
        <w:rPr>
          <w:rStyle w:val="Hyperlien"/>
          <w:color w:val="auto"/>
          <w:szCs w:val="24"/>
          <w:u w:val="none"/>
        </w:rPr>
        <w:t>s patently disproportionate or unreasonable.</w:t>
      </w:r>
      <w:r w:rsidR="00F34BA3" w:rsidRPr="00273810">
        <w:rPr>
          <w:rStyle w:val="Appelnotedebasdep"/>
          <w:szCs w:val="24"/>
          <w:lang w:val="en-CA"/>
        </w:rPr>
        <w:footnoteReference w:id="33"/>
      </w:r>
    </w:p>
    <w:p w14:paraId="3B681EFC" w14:textId="5AA43403" w:rsidR="009C654E" w:rsidRPr="00273810" w:rsidRDefault="00DB5A88" w:rsidP="003C0F1B">
      <w:pPr>
        <w:pStyle w:val="Paragraphe"/>
        <w:spacing w:line="240" w:lineRule="auto"/>
        <w:rPr>
          <w:rFonts w:eastAsia="Arial Unicode MS"/>
        </w:rPr>
      </w:pPr>
      <w:r w:rsidRPr="00273810">
        <w:rPr>
          <w:rFonts w:eastAsia="Arial Unicode MS"/>
        </w:rPr>
        <w:t xml:space="preserve">That is not the situation in this case. </w:t>
      </w:r>
      <w:r w:rsidR="00962B81" w:rsidRPr="00273810">
        <w:rPr>
          <w:rFonts w:eastAsia="Arial Unicode MS"/>
        </w:rPr>
        <w:t>The appellant</w:t>
      </w:r>
      <w:r w:rsidR="00674FF1" w:rsidRPr="00273810">
        <w:rPr>
          <w:rFonts w:eastAsia="Arial Unicode MS"/>
        </w:rPr>
        <w:t xml:space="preserve"> </w:t>
      </w:r>
      <w:r w:rsidR="00273810">
        <w:rPr>
          <w:rFonts w:eastAsia="Arial Unicode MS"/>
        </w:rPr>
        <w:t xml:space="preserve">has </w:t>
      </w:r>
      <w:r w:rsidRPr="00273810">
        <w:rPr>
          <w:rFonts w:eastAsia="Arial Unicode MS"/>
        </w:rPr>
        <w:t>not show</w:t>
      </w:r>
      <w:r w:rsidR="00273810">
        <w:rPr>
          <w:rFonts w:eastAsia="Arial Unicode MS"/>
        </w:rPr>
        <w:t>n</w:t>
      </w:r>
      <w:r w:rsidRPr="00273810">
        <w:rPr>
          <w:rFonts w:eastAsia="Arial Unicode MS"/>
        </w:rPr>
        <w:t xml:space="preserve"> that </w:t>
      </w:r>
      <w:r w:rsidR="00CA3FF7" w:rsidRPr="00273810">
        <w:rPr>
          <w:rFonts w:eastAsia="Arial Unicode MS"/>
        </w:rPr>
        <w:t xml:space="preserve">the judge’s </w:t>
      </w:r>
      <w:r w:rsidR="0091043F">
        <w:rPr>
          <w:rFonts w:eastAsia="Arial Unicode MS"/>
        </w:rPr>
        <w:t xml:space="preserve">quantification </w:t>
      </w:r>
      <w:r w:rsidR="00CA3FF7" w:rsidRPr="00273810">
        <w:rPr>
          <w:rFonts w:eastAsia="Arial Unicode MS"/>
        </w:rPr>
        <w:t xml:space="preserve">of </w:t>
      </w:r>
      <w:r w:rsidR="00034949">
        <w:rPr>
          <w:rFonts w:eastAsia="Arial Unicode MS"/>
        </w:rPr>
        <w:t xml:space="preserve">the </w:t>
      </w:r>
      <w:r w:rsidR="00CA3FF7" w:rsidRPr="00273810">
        <w:rPr>
          <w:rFonts w:eastAsia="Arial Unicode MS"/>
        </w:rPr>
        <w:t xml:space="preserve">$25,000 </w:t>
      </w:r>
      <w:r w:rsidR="00034949">
        <w:rPr>
          <w:rFonts w:eastAsia="Arial Unicode MS"/>
        </w:rPr>
        <w:t xml:space="preserve">in damages </w:t>
      </w:r>
      <w:r w:rsidR="002032AB">
        <w:rPr>
          <w:rFonts w:eastAsia="Arial Unicode MS"/>
        </w:rPr>
        <w:t>awarded</w:t>
      </w:r>
      <w:r w:rsidR="002032AB" w:rsidRPr="00273810">
        <w:rPr>
          <w:rFonts w:eastAsia="Arial Unicode MS"/>
        </w:rPr>
        <w:t xml:space="preserve"> </w:t>
      </w:r>
      <w:r w:rsidR="00CA3FF7" w:rsidRPr="00273810">
        <w:rPr>
          <w:rFonts w:eastAsia="Arial Unicode MS"/>
        </w:rPr>
        <w:t xml:space="preserve">to </w:t>
      </w:r>
      <w:r w:rsidR="00F7666D" w:rsidRPr="00273810">
        <w:rPr>
          <w:rFonts w:eastAsia="Arial Unicode MS"/>
        </w:rPr>
        <w:t xml:space="preserve">9220 </w:t>
      </w:r>
      <w:r w:rsidR="00CF0D18">
        <w:rPr>
          <w:rFonts w:eastAsia="Arial Unicode MS"/>
        </w:rPr>
        <w:t>is</w:t>
      </w:r>
      <w:r w:rsidR="00CA3FF7" w:rsidRPr="00273810">
        <w:rPr>
          <w:rFonts w:eastAsia="Arial Unicode MS"/>
        </w:rPr>
        <w:t xml:space="preserve"> </w:t>
      </w:r>
      <w:r w:rsidR="002032AB">
        <w:rPr>
          <w:rFonts w:eastAsia="Arial Unicode MS"/>
        </w:rPr>
        <w:t>tainted</w:t>
      </w:r>
      <w:r w:rsidR="002032AB" w:rsidRPr="00273810">
        <w:rPr>
          <w:rFonts w:eastAsia="Arial Unicode MS"/>
        </w:rPr>
        <w:t xml:space="preserve"> </w:t>
      </w:r>
      <w:r w:rsidR="00CA3FF7" w:rsidRPr="00273810">
        <w:rPr>
          <w:rFonts w:eastAsia="Arial Unicode MS"/>
        </w:rPr>
        <w:t>by reviewable error</w:t>
      </w:r>
      <w:r w:rsidR="00F34BA3" w:rsidRPr="00273810">
        <w:rPr>
          <w:rFonts w:eastAsia="Arial Unicode MS"/>
        </w:rPr>
        <w:t>.</w:t>
      </w:r>
      <w:r w:rsidR="00F7666D" w:rsidRPr="00273810">
        <w:rPr>
          <w:rFonts w:eastAsia="Arial Unicode MS"/>
        </w:rPr>
        <w:t xml:space="preserve"> </w:t>
      </w:r>
      <w:r w:rsidR="00CA3FF7" w:rsidRPr="00273810">
        <w:rPr>
          <w:rFonts w:eastAsia="Arial Unicode MS"/>
        </w:rPr>
        <w:t xml:space="preserve">The judge’s reasons </w:t>
      </w:r>
      <w:r w:rsidR="00B67D22" w:rsidRPr="00273810">
        <w:rPr>
          <w:rFonts w:eastAsia="Arial Unicode MS"/>
        </w:rPr>
        <w:t xml:space="preserve">in support of </w:t>
      </w:r>
      <w:r w:rsidR="00CA3FF7" w:rsidRPr="00CF0D18">
        <w:rPr>
          <w:rFonts w:eastAsia="Arial Unicode MS"/>
        </w:rPr>
        <w:t xml:space="preserve">this amount, </w:t>
      </w:r>
      <w:r w:rsidR="002032AB">
        <w:rPr>
          <w:rFonts w:eastAsia="Arial Unicode MS"/>
        </w:rPr>
        <w:t xml:space="preserve">although the </w:t>
      </w:r>
      <w:r w:rsidR="00B67D22" w:rsidRPr="00CF0D18">
        <w:rPr>
          <w:rFonts w:eastAsia="Arial Unicode MS"/>
        </w:rPr>
        <w:t>result of a</w:t>
      </w:r>
      <w:r w:rsidR="0091043F">
        <w:rPr>
          <w:rFonts w:eastAsia="Arial Unicode MS"/>
        </w:rPr>
        <w:t xml:space="preserve"> certain</w:t>
      </w:r>
      <w:r w:rsidR="00B67D22" w:rsidRPr="00CF0D18">
        <w:rPr>
          <w:rFonts w:eastAsia="Arial Unicode MS"/>
        </w:rPr>
        <w:t xml:space="preserve"> </w:t>
      </w:r>
      <w:r w:rsidR="00CA3FF7" w:rsidRPr="00CF0D18">
        <w:rPr>
          <w:rFonts w:eastAsia="Arial Unicode MS"/>
        </w:rPr>
        <w:t>approximat</w:t>
      </w:r>
      <w:r w:rsidR="00B67D22" w:rsidRPr="00CF0D18">
        <w:rPr>
          <w:rFonts w:eastAsia="Arial Unicode MS"/>
        </w:rPr>
        <w:t>ion</w:t>
      </w:r>
      <w:r w:rsidR="00CA3FF7" w:rsidRPr="00CF0D18">
        <w:rPr>
          <w:rFonts w:eastAsia="Arial Unicode MS"/>
        </w:rPr>
        <w:t xml:space="preserve">, are </w:t>
      </w:r>
      <w:r w:rsidR="00352022" w:rsidRPr="00CF0D18">
        <w:rPr>
          <w:rFonts w:eastAsia="Arial Unicode MS"/>
        </w:rPr>
        <w:t>understandable and ba</w:t>
      </w:r>
      <w:r w:rsidR="00352022" w:rsidRPr="00273810">
        <w:rPr>
          <w:rFonts w:eastAsia="Arial Unicode MS"/>
        </w:rPr>
        <w:t>sed on the evidence</w:t>
      </w:r>
      <w:r w:rsidR="00F7666D" w:rsidRPr="00273810">
        <w:rPr>
          <w:rFonts w:eastAsia="Arial Unicode MS"/>
        </w:rPr>
        <w:t>.</w:t>
      </w:r>
    </w:p>
    <w:p w14:paraId="24797381" w14:textId="1DF47DCA" w:rsidR="00B44498" w:rsidRPr="00273810" w:rsidRDefault="002032AB" w:rsidP="003C0F1B">
      <w:pPr>
        <w:pStyle w:val="Paragraphe"/>
        <w:spacing w:line="240" w:lineRule="auto"/>
        <w:rPr>
          <w:rFonts w:eastAsia="Arial Unicode MS"/>
        </w:rPr>
      </w:pPr>
      <w:r>
        <w:rPr>
          <w:rFonts w:eastAsia="Arial Unicode MS"/>
        </w:rPr>
        <w:t>T</w:t>
      </w:r>
      <w:r w:rsidRPr="00273810">
        <w:rPr>
          <w:rFonts w:eastAsia="Arial Unicode MS"/>
        </w:rPr>
        <w:t xml:space="preserve">he appellant did not attack the judge’s </w:t>
      </w:r>
      <w:r>
        <w:rPr>
          <w:rFonts w:eastAsia="Arial Unicode MS"/>
        </w:rPr>
        <w:t>conclusions regarding</w:t>
      </w:r>
      <w:r w:rsidR="00840075" w:rsidRPr="00273810">
        <w:rPr>
          <w:rFonts w:eastAsia="Arial Unicode MS"/>
        </w:rPr>
        <w:t xml:space="preserve"> punitive damages</w:t>
      </w:r>
      <w:r w:rsidR="00F34BA3" w:rsidRPr="00273810">
        <w:rPr>
          <w:rFonts w:eastAsia="Arial Unicode MS"/>
        </w:rPr>
        <w:t xml:space="preserve"> </w:t>
      </w:r>
      <w:r w:rsidR="00840075" w:rsidRPr="00273810">
        <w:rPr>
          <w:rFonts w:eastAsia="Arial Unicode MS"/>
        </w:rPr>
        <w:t xml:space="preserve">in his original </w:t>
      </w:r>
      <w:r>
        <w:rPr>
          <w:rFonts w:eastAsia="Arial Unicode MS"/>
        </w:rPr>
        <w:t>or re</w:t>
      </w:r>
      <w:r w:rsidR="0091043F">
        <w:rPr>
          <w:rFonts w:eastAsia="Arial Unicode MS"/>
        </w:rPr>
        <w:t>-</w:t>
      </w:r>
      <w:r>
        <w:rPr>
          <w:rFonts w:eastAsia="Arial Unicode MS"/>
        </w:rPr>
        <w:t xml:space="preserve">amended notice </w:t>
      </w:r>
      <w:r w:rsidR="00840075" w:rsidRPr="00273810">
        <w:rPr>
          <w:rFonts w:eastAsia="Arial Unicode MS"/>
        </w:rPr>
        <w:t>of appeal</w:t>
      </w:r>
      <w:r w:rsidR="00F34BA3" w:rsidRPr="00273810">
        <w:rPr>
          <w:rFonts w:eastAsia="Arial Unicode MS"/>
        </w:rPr>
        <w:t xml:space="preserve">. </w:t>
      </w:r>
      <w:r w:rsidR="00B0250B">
        <w:rPr>
          <w:rFonts w:eastAsia="Arial Unicode MS"/>
        </w:rPr>
        <w:t>However, on</w:t>
      </w:r>
      <w:r w:rsidR="00840075" w:rsidRPr="00273810">
        <w:rPr>
          <w:rFonts w:eastAsia="Arial Unicode MS"/>
        </w:rPr>
        <w:t xml:space="preserve"> October 12, </w:t>
      </w:r>
      <w:r w:rsidR="00EC5E06" w:rsidRPr="00273810">
        <w:rPr>
          <w:rFonts w:eastAsia="Arial Unicode MS"/>
        </w:rPr>
        <w:t xml:space="preserve">2021, </w:t>
      </w:r>
      <w:r w:rsidR="00840075" w:rsidRPr="00273810">
        <w:rPr>
          <w:rFonts w:eastAsia="Arial Unicode MS"/>
        </w:rPr>
        <w:t>three months after the respondents</w:t>
      </w:r>
      <w:r w:rsidR="000D328D">
        <w:rPr>
          <w:rFonts w:eastAsia="Arial Unicode MS"/>
        </w:rPr>
        <w:t xml:space="preserve"> filed their</w:t>
      </w:r>
      <w:r w:rsidR="00840075" w:rsidRPr="00273810">
        <w:rPr>
          <w:rFonts w:eastAsia="Arial Unicode MS"/>
        </w:rPr>
        <w:t xml:space="preserve"> brief contest</w:t>
      </w:r>
      <w:r w:rsidR="000D328D">
        <w:rPr>
          <w:rFonts w:eastAsia="Arial Unicode MS"/>
        </w:rPr>
        <w:t>ing</w:t>
      </w:r>
      <w:r w:rsidR="00840075" w:rsidRPr="00273810">
        <w:rPr>
          <w:rFonts w:eastAsia="Arial Unicode MS"/>
        </w:rPr>
        <w:t xml:space="preserve"> his right to rais</w:t>
      </w:r>
      <w:r w:rsidR="000C2E37" w:rsidRPr="00273810">
        <w:rPr>
          <w:rFonts w:eastAsia="Arial Unicode MS"/>
        </w:rPr>
        <w:t>e</w:t>
      </w:r>
      <w:r w:rsidR="00840075" w:rsidRPr="00273810">
        <w:rPr>
          <w:rFonts w:eastAsia="Arial Unicode MS"/>
        </w:rPr>
        <w:t xml:space="preserve"> this issue for the first time in his brief, </w:t>
      </w:r>
      <w:r>
        <w:rPr>
          <w:rFonts w:eastAsia="Arial Unicode MS"/>
        </w:rPr>
        <w:t>the appellant</w:t>
      </w:r>
      <w:r w:rsidR="000C2E37" w:rsidRPr="00273810">
        <w:rPr>
          <w:rFonts w:eastAsia="Arial Unicode MS"/>
        </w:rPr>
        <w:t xml:space="preserve"> filed a </w:t>
      </w:r>
      <w:r>
        <w:rPr>
          <w:rFonts w:eastAsia="Arial Unicode MS"/>
        </w:rPr>
        <w:t>re-</w:t>
      </w:r>
      <w:r w:rsidR="000C2E37" w:rsidRPr="00273810">
        <w:rPr>
          <w:rFonts w:eastAsia="Arial Unicode MS"/>
        </w:rPr>
        <w:t xml:space="preserve">re-amended </w:t>
      </w:r>
      <w:r>
        <w:rPr>
          <w:rFonts w:eastAsia="Arial Unicode MS"/>
        </w:rPr>
        <w:t>notice of appeal</w:t>
      </w:r>
      <w:r w:rsidR="000C2E37" w:rsidRPr="00273810">
        <w:rPr>
          <w:rFonts w:eastAsia="Arial Unicode MS"/>
        </w:rPr>
        <w:t xml:space="preserve">, </w:t>
      </w:r>
      <w:r>
        <w:rPr>
          <w:rFonts w:eastAsia="Arial Unicode MS"/>
        </w:rPr>
        <w:t xml:space="preserve">alleging </w:t>
      </w:r>
      <w:r w:rsidR="000C2E37" w:rsidRPr="00273810">
        <w:rPr>
          <w:rFonts w:eastAsia="Arial Unicode MS"/>
        </w:rPr>
        <w:t xml:space="preserve">for the first time </w:t>
      </w:r>
      <w:r>
        <w:rPr>
          <w:rFonts w:eastAsia="Arial Unicode MS"/>
        </w:rPr>
        <w:t xml:space="preserve">that the judge </w:t>
      </w:r>
      <w:r w:rsidR="000C2E37" w:rsidRPr="00273810">
        <w:rPr>
          <w:rFonts w:eastAsia="Arial Unicode MS"/>
        </w:rPr>
        <w:t xml:space="preserve">erred </w:t>
      </w:r>
      <w:r>
        <w:rPr>
          <w:rFonts w:eastAsia="Arial Unicode MS"/>
        </w:rPr>
        <w:t xml:space="preserve">in condemning </w:t>
      </w:r>
      <w:r w:rsidR="000C2E37" w:rsidRPr="00273810">
        <w:rPr>
          <w:rFonts w:eastAsia="Arial Unicode MS"/>
        </w:rPr>
        <w:t>him to pay punitive damages.</w:t>
      </w:r>
      <w:r w:rsidR="00B0250B">
        <w:rPr>
          <w:rFonts w:eastAsia="Arial Unicode MS"/>
        </w:rPr>
        <w:t xml:space="preserve"> Thus</w:t>
      </w:r>
      <w:r w:rsidR="000C2E37" w:rsidRPr="00273810">
        <w:rPr>
          <w:rFonts w:eastAsia="Arial Unicode MS"/>
        </w:rPr>
        <w:t>, the</w:t>
      </w:r>
      <w:r w:rsidR="00962B81" w:rsidRPr="00273810">
        <w:rPr>
          <w:rFonts w:eastAsia="Arial Unicode MS"/>
        </w:rPr>
        <w:t xml:space="preserve"> appellant</w:t>
      </w:r>
      <w:r w:rsidR="00F34BA3" w:rsidRPr="00273810">
        <w:rPr>
          <w:rFonts w:eastAsia="Arial Unicode MS"/>
        </w:rPr>
        <w:t xml:space="preserve"> </w:t>
      </w:r>
      <w:r w:rsidR="000C2E37" w:rsidRPr="00273810">
        <w:rPr>
          <w:rFonts w:eastAsia="Arial Unicode MS"/>
        </w:rPr>
        <w:t>n</w:t>
      </w:r>
      <w:r w:rsidR="00CA34A8">
        <w:rPr>
          <w:rFonts w:eastAsia="Arial Unicode MS"/>
        </w:rPr>
        <w:t>either</w:t>
      </w:r>
      <w:r w:rsidR="000C2E37" w:rsidRPr="00273810">
        <w:rPr>
          <w:rFonts w:eastAsia="Arial Unicode MS"/>
        </w:rPr>
        <w:t xml:space="preserve"> requ</w:t>
      </w:r>
      <w:r w:rsidR="0091043F">
        <w:rPr>
          <w:rFonts w:eastAsia="Arial Unicode MS"/>
        </w:rPr>
        <w:t>est</w:t>
      </w:r>
      <w:r w:rsidR="00CA34A8">
        <w:rPr>
          <w:rFonts w:eastAsia="Arial Unicode MS"/>
        </w:rPr>
        <w:t>ed</w:t>
      </w:r>
      <w:r w:rsidR="000C2E37" w:rsidRPr="00273810">
        <w:rPr>
          <w:rFonts w:eastAsia="Arial Unicode MS"/>
        </w:rPr>
        <w:t xml:space="preserve"> nor </w:t>
      </w:r>
      <w:r>
        <w:rPr>
          <w:rFonts w:eastAsia="Arial Unicode MS"/>
        </w:rPr>
        <w:t xml:space="preserve">was </w:t>
      </w:r>
      <w:r w:rsidR="000C2E37" w:rsidRPr="00273810">
        <w:rPr>
          <w:rFonts w:eastAsia="Arial Unicode MS"/>
        </w:rPr>
        <w:t xml:space="preserve">granted leave to make this amendment to his </w:t>
      </w:r>
      <w:r>
        <w:rPr>
          <w:rFonts w:eastAsia="Arial Unicode MS"/>
        </w:rPr>
        <w:t xml:space="preserve">notice </w:t>
      </w:r>
      <w:r w:rsidR="000C2E37" w:rsidRPr="00273810">
        <w:rPr>
          <w:rFonts w:eastAsia="Arial Unicode MS"/>
        </w:rPr>
        <w:t xml:space="preserve">of appeal, and this ground must </w:t>
      </w:r>
      <w:r>
        <w:rPr>
          <w:rFonts w:eastAsia="Arial Unicode MS"/>
        </w:rPr>
        <w:t xml:space="preserve">therefore </w:t>
      </w:r>
      <w:r w:rsidR="000C2E37" w:rsidRPr="00273810">
        <w:rPr>
          <w:rFonts w:eastAsia="Arial Unicode MS"/>
        </w:rPr>
        <w:t>be dismissed.</w:t>
      </w:r>
      <w:r w:rsidR="00F34BA3" w:rsidRPr="00273810">
        <w:rPr>
          <w:rStyle w:val="Appelnotedebasdep"/>
          <w:rFonts w:eastAsia="Arial Unicode MS"/>
          <w:lang w:val="en-CA"/>
        </w:rPr>
        <w:footnoteReference w:id="34"/>
      </w:r>
    </w:p>
    <w:p w14:paraId="6250DA0D" w14:textId="21CAEAD4" w:rsidR="009F646E" w:rsidRPr="00273810" w:rsidRDefault="00836A0F" w:rsidP="003C0F1B">
      <w:pPr>
        <w:pStyle w:val="Paragraphe"/>
        <w:numPr>
          <w:ilvl w:val="0"/>
          <w:numId w:val="0"/>
        </w:numPr>
        <w:spacing w:line="240" w:lineRule="auto"/>
        <w:rPr>
          <w:b/>
        </w:rPr>
      </w:pPr>
      <w:r w:rsidRPr="00273810">
        <w:rPr>
          <w:b/>
        </w:rPr>
        <w:t>FOR THESE REASONS, THE COURT</w:t>
      </w:r>
      <w:r w:rsidR="00F34BA3" w:rsidRPr="00273810">
        <w:rPr>
          <w:b/>
        </w:rPr>
        <w:t>:</w:t>
      </w:r>
    </w:p>
    <w:p w14:paraId="52CA1BC8" w14:textId="562252D9" w:rsidR="00B62582" w:rsidRPr="00273810" w:rsidRDefault="00F34BA3" w:rsidP="003C0F1B">
      <w:pPr>
        <w:pStyle w:val="Paragraphe"/>
        <w:spacing w:line="240" w:lineRule="auto"/>
      </w:pPr>
      <w:r w:rsidRPr="00273810">
        <w:rPr>
          <w:b/>
        </w:rPr>
        <w:t>A</w:t>
      </w:r>
      <w:r w:rsidR="00836A0F" w:rsidRPr="00273810">
        <w:rPr>
          <w:b/>
        </w:rPr>
        <w:t xml:space="preserve">LLOWS </w:t>
      </w:r>
      <w:r w:rsidR="00836A0F" w:rsidRPr="00273810">
        <w:t xml:space="preserve">the appeal in part, for the following </w:t>
      </w:r>
      <w:r w:rsidR="00631C3C" w:rsidRPr="00273810">
        <w:t>p</w:t>
      </w:r>
      <w:r w:rsidR="00B67D22" w:rsidRPr="00273810">
        <w:t>urposes</w:t>
      </w:r>
      <w:r w:rsidR="00836A0F" w:rsidRPr="00273810">
        <w:t xml:space="preserve"> only</w:t>
      </w:r>
      <w:r w:rsidR="00E04919" w:rsidRPr="00273810">
        <w:t>:</w:t>
      </w:r>
    </w:p>
    <w:p w14:paraId="2E98B98C" w14:textId="5CC3CE2F" w:rsidR="009F646E" w:rsidRDefault="00631C3C" w:rsidP="00720C2C">
      <w:pPr>
        <w:pStyle w:val="Paragraphe"/>
        <w:spacing w:after="0" w:line="240" w:lineRule="auto"/>
      </w:pPr>
      <w:r w:rsidRPr="00273810">
        <w:rPr>
          <w:b/>
        </w:rPr>
        <w:lastRenderedPageBreak/>
        <w:t>VARIES</w:t>
      </w:r>
      <w:r w:rsidR="00F34BA3" w:rsidRPr="00273810">
        <w:t xml:space="preserve"> </w:t>
      </w:r>
      <w:r w:rsidRPr="00273810">
        <w:t xml:space="preserve">the following orders contained in </w:t>
      </w:r>
      <w:r w:rsidR="00F34BA3" w:rsidRPr="00273810">
        <w:t>paragraph</w:t>
      </w:r>
      <w:r w:rsidR="00B62582" w:rsidRPr="00273810">
        <w:t>s</w:t>
      </w:r>
      <w:r w:rsidR="00F34BA3" w:rsidRPr="00273810">
        <w:t xml:space="preserve"> </w:t>
      </w:r>
      <w:r w:rsidR="00B62582" w:rsidRPr="00273810">
        <w:t xml:space="preserve">215 </w:t>
      </w:r>
      <w:r w:rsidRPr="00273810">
        <w:t>and</w:t>
      </w:r>
      <w:r w:rsidR="00B62582" w:rsidRPr="00273810">
        <w:t xml:space="preserve"> </w:t>
      </w:r>
      <w:r w:rsidR="00F34BA3" w:rsidRPr="00273810">
        <w:t xml:space="preserve">218 </w:t>
      </w:r>
      <w:r w:rsidRPr="00273810">
        <w:t>of the judg</w:t>
      </w:r>
      <w:r w:rsidR="00720C2C" w:rsidRPr="00273810">
        <w:t xml:space="preserve">ment under appeal </w:t>
      </w:r>
      <w:r w:rsidR="00B67D22" w:rsidRPr="00273810">
        <w:t xml:space="preserve">to </w:t>
      </w:r>
      <w:r w:rsidR="00720C2C" w:rsidRPr="00273810">
        <w:t xml:space="preserve">remove </w:t>
      </w:r>
      <w:r w:rsidR="000D328D">
        <w:t xml:space="preserve">the </w:t>
      </w:r>
      <w:r w:rsidR="00720C2C" w:rsidRPr="00273810">
        <w:t>references to “</w:t>
      </w:r>
      <w:r w:rsidR="00F34BA3" w:rsidRPr="00273810">
        <w:t>Ville du Rock</w:t>
      </w:r>
      <w:r w:rsidR="00720C2C" w:rsidRPr="00273810">
        <w:t>”</w:t>
      </w:r>
      <w:r w:rsidR="00F34BA3" w:rsidRPr="00273810">
        <w:t xml:space="preserve"> </w:t>
      </w:r>
      <w:r w:rsidR="00720C2C" w:rsidRPr="00273810">
        <w:t>so that they read as follows</w:t>
      </w:r>
      <w:r w:rsidR="00F34BA3" w:rsidRPr="00273810">
        <w:t>:</w:t>
      </w:r>
    </w:p>
    <w:p w14:paraId="5FD843CA" w14:textId="62DE43AE" w:rsidR="00D346CE" w:rsidRDefault="00D346CE" w:rsidP="003C0F1B">
      <w:pPr>
        <w:pStyle w:val="Citationenretrait"/>
        <w:spacing w:line="240" w:lineRule="auto"/>
        <w:rPr>
          <w:bCs/>
        </w:rPr>
      </w:pPr>
      <w:r>
        <w:rPr>
          <w:rFonts w:cs="Arial"/>
          <w:bCs/>
        </w:rPr>
        <w:t>[</w:t>
      </w:r>
      <w:r>
        <w:rPr>
          <w:rFonts w:cs="Arial"/>
          <w:bCs/>
          <w:smallCaps/>
        </w:rPr>
        <w:t>translation</w:t>
      </w:r>
      <w:r>
        <w:rPr>
          <w:rFonts w:cs="Arial"/>
          <w:bCs/>
        </w:rPr>
        <w:t>]</w:t>
      </w:r>
    </w:p>
    <w:p w14:paraId="34130D4C" w14:textId="496A2758" w:rsidR="00B62582" w:rsidRPr="00273810" w:rsidRDefault="00F34BA3" w:rsidP="003C0F1B">
      <w:pPr>
        <w:pStyle w:val="Citationenretrait"/>
        <w:spacing w:line="240" w:lineRule="auto"/>
      </w:pPr>
      <w:r w:rsidRPr="00273810">
        <w:rPr>
          <w:bCs/>
        </w:rPr>
        <w:t>[215]</w:t>
      </w:r>
      <w:r w:rsidRPr="00273810">
        <w:rPr>
          <w:b/>
          <w:bCs/>
        </w:rPr>
        <w:t xml:space="preserve"> D</w:t>
      </w:r>
      <w:r w:rsidR="00720C2C" w:rsidRPr="00273810">
        <w:rPr>
          <w:b/>
          <w:bCs/>
        </w:rPr>
        <w:t>E</w:t>
      </w:r>
      <w:r w:rsidRPr="00273810">
        <w:rPr>
          <w:b/>
          <w:bCs/>
        </w:rPr>
        <w:t>CLARE</w:t>
      </w:r>
      <w:r w:rsidR="00720C2C" w:rsidRPr="00273810">
        <w:rPr>
          <w:b/>
          <w:bCs/>
        </w:rPr>
        <w:t xml:space="preserve">S </w:t>
      </w:r>
      <w:r w:rsidR="00720C2C" w:rsidRPr="00273810">
        <w:t xml:space="preserve">that </w:t>
      </w:r>
      <w:r w:rsidR="00720C2C" w:rsidRPr="006C0FA2">
        <w:t>the</w:t>
      </w:r>
      <w:r w:rsidR="00720C2C" w:rsidRPr="00B0250B">
        <w:t xml:space="preserve"> </w:t>
      </w:r>
      <w:r w:rsidR="00720C2C" w:rsidRPr="006C0FA2">
        <w:rPr>
          <w:u w:val="single"/>
        </w:rPr>
        <w:t>trademark</w:t>
      </w:r>
      <w:r w:rsidR="00720C2C" w:rsidRPr="00273810">
        <w:t xml:space="preserve"> “</w:t>
      </w:r>
      <w:r w:rsidRPr="00273810">
        <w:t>Lévis Ville du Rock</w:t>
      </w:r>
      <w:r w:rsidR="00720C2C" w:rsidRPr="00273810">
        <w:t>”</w:t>
      </w:r>
      <w:r w:rsidR="0091043F">
        <w:t xml:space="preserve"> </w:t>
      </w:r>
      <w:r w:rsidRPr="00273810">
        <w:t>… u</w:t>
      </w:r>
      <w:r w:rsidR="00720C2C" w:rsidRPr="00273810">
        <w:t xml:space="preserve">sed in </w:t>
      </w:r>
      <w:r w:rsidR="00F22621">
        <w:t xml:space="preserve">connection with </w:t>
      </w:r>
      <w:r w:rsidR="00720C2C" w:rsidRPr="00273810">
        <w:t>a music contest belong</w:t>
      </w:r>
      <w:r w:rsidR="00F56245" w:rsidRPr="00273810">
        <w:t>s</w:t>
      </w:r>
      <w:r w:rsidR="00720C2C" w:rsidRPr="00273810">
        <w:t xml:space="preserve"> to the plaintiff </w:t>
      </w:r>
      <w:r w:rsidRPr="00273810">
        <w:t xml:space="preserve">9220-8883 Québec </w:t>
      </w:r>
      <w:proofErr w:type="gramStart"/>
      <w:r w:rsidRPr="00273810">
        <w:t>inc.;</w:t>
      </w:r>
      <w:proofErr w:type="gramEnd"/>
    </w:p>
    <w:p w14:paraId="59F1E37E" w14:textId="1158D9BF" w:rsidR="00B62582" w:rsidRPr="00273810" w:rsidRDefault="00F34BA3" w:rsidP="003C0F1B">
      <w:pPr>
        <w:pStyle w:val="Citationenretrait"/>
        <w:spacing w:line="240" w:lineRule="auto"/>
      </w:pPr>
      <w:r w:rsidRPr="00273810">
        <w:t>…</w:t>
      </w:r>
    </w:p>
    <w:p w14:paraId="2FB12C2C" w14:textId="42A0A426" w:rsidR="00B62582" w:rsidRPr="00273810" w:rsidRDefault="00F34BA3" w:rsidP="003C0F1B">
      <w:pPr>
        <w:pStyle w:val="Citationenretrait"/>
        <w:spacing w:line="240" w:lineRule="auto"/>
      </w:pPr>
      <w:r w:rsidRPr="00273810">
        <w:t xml:space="preserve">[218] </w:t>
      </w:r>
      <w:r w:rsidRPr="00273810">
        <w:rPr>
          <w:b/>
          <w:bCs/>
        </w:rPr>
        <w:t>ORD</w:t>
      </w:r>
      <w:r w:rsidR="00F56245" w:rsidRPr="00273810">
        <w:rPr>
          <w:b/>
          <w:bCs/>
        </w:rPr>
        <w:t>ERS</w:t>
      </w:r>
      <w:r w:rsidRPr="00273810">
        <w:rPr>
          <w:b/>
          <w:bCs/>
        </w:rPr>
        <w:t xml:space="preserve"> </w:t>
      </w:r>
      <w:r w:rsidR="00F56245" w:rsidRPr="00273810">
        <w:t>the defendant</w:t>
      </w:r>
      <w:r w:rsidRPr="00273810">
        <w:t xml:space="preserve"> Sébastien Girard a</w:t>
      </w:r>
      <w:r w:rsidR="00F56245" w:rsidRPr="00273810">
        <w:t>nd</w:t>
      </w:r>
      <w:r w:rsidRPr="00273810">
        <w:t xml:space="preserve"> </w:t>
      </w:r>
      <w:r w:rsidR="00F56245" w:rsidRPr="00273810">
        <w:t xml:space="preserve">any </w:t>
      </w:r>
      <w:r w:rsidR="008E79D7">
        <w:t>corporation</w:t>
      </w:r>
      <w:r w:rsidR="008E79D7" w:rsidRPr="00273810">
        <w:t xml:space="preserve"> </w:t>
      </w:r>
      <w:r w:rsidR="00F56245" w:rsidRPr="00273810">
        <w:t xml:space="preserve">in which he </w:t>
      </w:r>
      <w:r w:rsidR="008E79D7">
        <w:t>is</w:t>
      </w:r>
      <w:r w:rsidR="00F56245" w:rsidRPr="00273810">
        <w:t xml:space="preserve"> directly or indirectly a shareholder or a director</w:t>
      </w:r>
      <w:r w:rsidRPr="00273810">
        <w:t>:</w:t>
      </w:r>
    </w:p>
    <w:p w14:paraId="3AF84DD4" w14:textId="37EED50F" w:rsidR="00B62582" w:rsidRPr="00273810" w:rsidRDefault="008E79D7" w:rsidP="003C0F1B">
      <w:pPr>
        <w:pStyle w:val="Citationenretrait"/>
        <w:spacing w:line="240" w:lineRule="auto"/>
        <w:ind w:left="1440"/>
      </w:pPr>
      <w:r>
        <w:rPr>
          <w:b/>
        </w:rPr>
        <w:t>NOT</w:t>
      </w:r>
      <w:r w:rsidR="00F56245" w:rsidRPr="00273810">
        <w:rPr>
          <w:b/>
        </w:rPr>
        <w:t xml:space="preserve"> </w:t>
      </w:r>
      <w:r w:rsidR="002105BD">
        <w:rPr>
          <w:b/>
        </w:rPr>
        <w:t xml:space="preserve">TO </w:t>
      </w:r>
      <w:r w:rsidR="00F56245" w:rsidRPr="00273810">
        <w:rPr>
          <w:b/>
        </w:rPr>
        <w:t>US</w:t>
      </w:r>
      <w:r>
        <w:rPr>
          <w:b/>
        </w:rPr>
        <w:t>E</w:t>
      </w:r>
      <w:r w:rsidR="00F56245" w:rsidRPr="00273810">
        <w:rPr>
          <w:b/>
        </w:rPr>
        <w:t xml:space="preserve"> AND </w:t>
      </w:r>
      <w:r>
        <w:rPr>
          <w:b/>
        </w:rPr>
        <w:t xml:space="preserve">TO </w:t>
      </w:r>
      <w:r w:rsidR="002105BD">
        <w:rPr>
          <w:b/>
        </w:rPr>
        <w:t xml:space="preserve">STOP </w:t>
      </w:r>
      <w:r w:rsidR="00F56245" w:rsidRPr="00273810">
        <w:rPr>
          <w:b/>
        </w:rPr>
        <w:t xml:space="preserve">USING </w:t>
      </w:r>
      <w:r w:rsidR="005B62CD" w:rsidRPr="00273810">
        <w:t xml:space="preserve">in </w:t>
      </w:r>
      <w:r w:rsidR="00F34BA3" w:rsidRPr="00273810">
        <w:t>Qu</w:t>
      </w:r>
      <w:r w:rsidR="005B62CD" w:rsidRPr="00273810">
        <w:t>e</w:t>
      </w:r>
      <w:r w:rsidR="00F34BA3" w:rsidRPr="00273810">
        <w:t xml:space="preserve">bec </w:t>
      </w:r>
      <w:r w:rsidR="005B62CD" w:rsidRPr="00273810">
        <w:t>any trademark</w:t>
      </w:r>
      <w:r w:rsidR="00F34BA3" w:rsidRPr="00273810">
        <w:t xml:space="preserve">, </w:t>
      </w:r>
      <w:r w:rsidR="005B62CD" w:rsidRPr="00273810">
        <w:t>trade name</w:t>
      </w:r>
      <w:r w:rsidR="00F34BA3" w:rsidRPr="00273810">
        <w:t xml:space="preserve"> o</w:t>
      </w:r>
      <w:r w:rsidR="006B0850" w:rsidRPr="00273810">
        <w:t>r</w:t>
      </w:r>
      <w:r w:rsidR="00F34BA3" w:rsidRPr="00273810">
        <w:t xml:space="preserve"> </w:t>
      </w:r>
      <w:r w:rsidR="005B62CD" w:rsidRPr="00273810">
        <w:t xml:space="preserve">corporate </w:t>
      </w:r>
      <w:r w:rsidR="006B0850" w:rsidRPr="00273810">
        <w:t xml:space="preserve">or business </w:t>
      </w:r>
      <w:r w:rsidR="005B62CD" w:rsidRPr="00273810">
        <w:t>name including the words “</w:t>
      </w:r>
      <w:r w:rsidR="00F34BA3" w:rsidRPr="00273810">
        <w:t>Québec Ville du Rock</w:t>
      </w:r>
      <w:r w:rsidR="005B62CD" w:rsidRPr="00273810">
        <w:t>”</w:t>
      </w:r>
      <w:r w:rsidR="00F34BA3" w:rsidRPr="00273810">
        <w:t xml:space="preserve">, </w:t>
      </w:r>
      <w:r w:rsidR="005B62CD" w:rsidRPr="00273810">
        <w:t>“</w:t>
      </w:r>
      <w:r w:rsidR="00F34BA3" w:rsidRPr="00273810">
        <w:t>Lévis Ville du Rock</w:t>
      </w:r>
      <w:r w:rsidR="005B62CD" w:rsidRPr="00273810">
        <w:t>”</w:t>
      </w:r>
      <w:r w:rsidR="009C0766">
        <w:t xml:space="preserve"> </w:t>
      </w:r>
      <w:r w:rsidR="00F34BA3" w:rsidRPr="00273810">
        <w:t>… o</w:t>
      </w:r>
      <w:r w:rsidR="005B62CD" w:rsidRPr="00273810">
        <w:t xml:space="preserve">r any other mark or trade name that could be confused with the name </w:t>
      </w:r>
      <w:r w:rsidR="00BB5528" w:rsidRPr="00273810">
        <w:t xml:space="preserve">and mark </w:t>
      </w:r>
      <w:r w:rsidR="005B62CD" w:rsidRPr="00273810">
        <w:t>“</w:t>
      </w:r>
      <w:r w:rsidR="00F34BA3" w:rsidRPr="00273810">
        <w:t>Lévis Ville du Rock</w:t>
      </w:r>
      <w:r w:rsidR="005B62CD" w:rsidRPr="00273810">
        <w:t>”</w:t>
      </w:r>
      <w:r w:rsidR="009C0766">
        <w:t xml:space="preserve"> </w:t>
      </w:r>
      <w:r w:rsidR="00F34BA3" w:rsidRPr="00273810">
        <w:t xml:space="preserve">… </w:t>
      </w:r>
      <w:r w:rsidR="009C0766">
        <w:t xml:space="preserve">owned by </w:t>
      </w:r>
      <w:r w:rsidR="005B62CD" w:rsidRPr="00273810">
        <w:t>the plaintiff</w:t>
      </w:r>
      <w:r w:rsidR="00F34BA3" w:rsidRPr="00273810">
        <w:t xml:space="preserve"> 9220-8883 Québec </w:t>
      </w:r>
      <w:proofErr w:type="gramStart"/>
      <w:r w:rsidR="00F34BA3" w:rsidRPr="00273810">
        <w:t>inc.;</w:t>
      </w:r>
      <w:proofErr w:type="gramEnd"/>
      <w:r w:rsidR="00F34BA3" w:rsidRPr="00273810">
        <w:t xml:space="preserve"> </w:t>
      </w:r>
    </w:p>
    <w:p w14:paraId="5C749631" w14:textId="236BA000" w:rsidR="00B67D22" w:rsidRPr="00273810" w:rsidRDefault="00D93CE8" w:rsidP="00C3771B">
      <w:pPr>
        <w:pStyle w:val="Citationenretrait"/>
        <w:spacing w:line="240" w:lineRule="auto"/>
        <w:ind w:left="1440"/>
        <w:rPr>
          <w:b/>
        </w:rPr>
      </w:pPr>
      <w:r>
        <w:rPr>
          <w:b/>
        </w:rPr>
        <w:t>NOT TO</w:t>
      </w:r>
      <w:r w:rsidR="001A488E" w:rsidRPr="00B84BEA">
        <w:rPr>
          <w:b/>
        </w:rPr>
        <w:t xml:space="preserve"> </w:t>
      </w:r>
      <w:r w:rsidR="00B84BEA" w:rsidRPr="00B84BEA">
        <w:rPr>
          <w:b/>
        </w:rPr>
        <w:t>DIS</w:t>
      </w:r>
      <w:r w:rsidR="002569D5">
        <w:rPr>
          <w:b/>
        </w:rPr>
        <w:t>SEMINATE</w:t>
      </w:r>
      <w:r w:rsidR="001A488E" w:rsidRPr="00B84BEA">
        <w:rPr>
          <w:b/>
        </w:rPr>
        <w:t xml:space="preserve"> AND </w:t>
      </w:r>
      <w:r>
        <w:rPr>
          <w:b/>
        </w:rPr>
        <w:t xml:space="preserve">TO </w:t>
      </w:r>
      <w:r w:rsidR="002105BD">
        <w:rPr>
          <w:b/>
        </w:rPr>
        <w:t xml:space="preserve">STOP </w:t>
      </w:r>
      <w:r w:rsidR="00B84BEA" w:rsidRPr="00B84BEA">
        <w:rPr>
          <w:b/>
        </w:rPr>
        <w:t>DIS</w:t>
      </w:r>
      <w:r w:rsidR="002569D5">
        <w:rPr>
          <w:b/>
        </w:rPr>
        <w:t>SEMINAT</w:t>
      </w:r>
      <w:r w:rsidR="00B84BEA" w:rsidRPr="00B84BEA">
        <w:rPr>
          <w:b/>
        </w:rPr>
        <w:t>ING</w:t>
      </w:r>
      <w:r w:rsidR="001A488E" w:rsidRPr="00B84BEA">
        <w:rPr>
          <w:b/>
        </w:rPr>
        <w:t xml:space="preserve"> OR </w:t>
      </w:r>
      <w:r>
        <w:rPr>
          <w:b/>
        </w:rPr>
        <w:t>ALLOW</w:t>
      </w:r>
      <w:r w:rsidR="00126CE9">
        <w:rPr>
          <w:b/>
        </w:rPr>
        <w:t>ING</w:t>
      </w:r>
      <w:r w:rsidR="001A488E" w:rsidRPr="00B84BEA">
        <w:rPr>
          <w:b/>
        </w:rPr>
        <w:t xml:space="preserve"> </w:t>
      </w:r>
      <w:r w:rsidR="001A488E" w:rsidRPr="00B84BEA">
        <w:t xml:space="preserve">any advertising </w:t>
      </w:r>
      <w:r w:rsidR="009832E3">
        <w:t>to be disseminated in Quebec,</w:t>
      </w:r>
      <w:r w:rsidR="00126CE9">
        <w:t xml:space="preserve"> on</w:t>
      </w:r>
      <w:r w:rsidR="009C0766">
        <w:t xml:space="preserve"> </w:t>
      </w:r>
      <w:r w:rsidR="001A488E" w:rsidRPr="00B84BEA">
        <w:t xml:space="preserve">any medium </w:t>
      </w:r>
      <w:r w:rsidR="009C0766">
        <w:t xml:space="preserve">in any publication </w:t>
      </w:r>
      <w:r w:rsidR="00126CE9">
        <w:t xml:space="preserve">whatsoever, </w:t>
      </w:r>
      <w:r w:rsidR="001A488E" w:rsidRPr="00B84BEA">
        <w:t>reproducing the</w:t>
      </w:r>
      <w:r w:rsidR="001A488E" w:rsidRPr="00273810">
        <w:t xml:space="preserve"> name</w:t>
      </w:r>
      <w:r w:rsidR="00E04919" w:rsidRPr="00273810">
        <w:t> </w:t>
      </w:r>
      <w:r w:rsidR="001A488E" w:rsidRPr="00273810">
        <w:t>“</w:t>
      </w:r>
      <w:r w:rsidR="00F34BA3" w:rsidRPr="00273810">
        <w:t>Québec Ville du Rock</w:t>
      </w:r>
      <w:r w:rsidR="001A488E" w:rsidRPr="00273810">
        <w:t>”</w:t>
      </w:r>
      <w:r w:rsidR="00F34BA3" w:rsidRPr="00273810">
        <w:t xml:space="preserve">, </w:t>
      </w:r>
      <w:r w:rsidR="001A488E" w:rsidRPr="00273810">
        <w:t>“</w:t>
      </w:r>
      <w:r w:rsidR="00F34BA3" w:rsidRPr="00273810">
        <w:t>Lévis Ville du Rock</w:t>
      </w:r>
      <w:r w:rsidR="001A488E" w:rsidRPr="00273810">
        <w:t>”</w:t>
      </w:r>
      <w:r w:rsidR="009C0766">
        <w:t xml:space="preserve"> </w:t>
      </w:r>
      <w:r w:rsidR="00F34BA3" w:rsidRPr="00273810">
        <w:t>…</w:t>
      </w:r>
      <w:r w:rsidR="001A488E" w:rsidRPr="00273810">
        <w:t>,</w:t>
      </w:r>
      <w:r w:rsidR="00F34BA3" w:rsidRPr="00273810">
        <w:t xml:space="preserve"> </w:t>
      </w:r>
      <w:r w:rsidR="001A488E" w:rsidRPr="00273810">
        <w:t>the who</w:t>
      </w:r>
      <w:r w:rsidR="00F34BA3" w:rsidRPr="00273810">
        <w:t xml:space="preserve">le </w:t>
      </w:r>
      <w:r w:rsidR="009C0766">
        <w:t xml:space="preserve">in </w:t>
      </w:r>
      <w:r w:rsidR="00F22621">
        <w:t xml:space="preserve">relation to </w:t>
      </w:r>
      <w:r w:rsidR="001A488E" w:rsidRPr="00273810">
        <w:t>the promotion and operation of a contest or an event</w:t>
      </w:r>
      <w:r w:rsidR="00126CE9">
        <w:t>,</w:t>
      </w:r>
      <w:r w:rsidR="001A488E" w:rsidRPr="00273810">
        <w:t xml:space="preserve"> without the </w:t>
      </w:r>
      <w:r w:rsidR="009C0766">
        <w:t xml:space="preserve">written </w:t>
      </w:r>
      <w:r w:rsidR="001A488E" w:rsidRPr="00273810">
        <w:t xml:space="preserve">consent of the plaintiff </w:t>
      </w:r>
      <w:r w:rsidR="00F34BA3" w:rsidRPr="00273810">
        <w:t xml:space="preserve">9220-8883 Québec </w:t>
      </w:r>
      <w:proofErr w:type="gramStart"/>
      <w:r w:rsidR="00F34BA3" w:rsidRPr="00273810">
        <w:t>inc.;</w:t>
      </w:r>
      <w:proofErr w:type="gramEnd"/>
      <w:r w:rsidR="00F34BA3" w:rsidRPr="00273810">
        <w:t xml:space="preserve"> </w:t>
      </w:r>
    </w:p>
    <w:p w14:paraId="2BF1EF3B" w14:textId="78DCFF3C" w:rsidR="00B62582" w:rsidRPr="00273810" w:rsidRDefault="00D93CE8" w:rsidP="003C0F1B">
      <w:pPr>
        <w:pStyle w:val="Citationenretrait"/>
        <w:spacing w:line="240" w:lineRule="auto"/>
        <w:ind w:left="1440"/>
      </w:pPr>
      <w:r>
        <w:rPr>
          <w:b/>
        </w:rPr>
        <w:t xml:space="preserve">NOT TO </w:t>
      </w:r>
      <w:r w:rsidR="00B84BEA">
        <w:rPr>
          <w:b/>
        </w:rPr>
        <w:t>DIS</w:t>
      </w:r>
      <w:r w:rsidR="002569D5">
        <w:rPr>
          <w:b/>
        </w:rPr>
        <w:t>SEMINATE</w:t>
      </w:r>
      <w:r w:rsidR="001A488E" w:rsidRPr="00273810">
        <w:rPr>
          <w:b/>
        </w:rPr>
        <w:t xml:space="preserve"> AND </w:t>
      </w:r>
      <w:r>
        <w:rPr>
          <w:b/>
        </w:rPr>
        <w:t xml:space="preserve">TO </w:t>
      </w:r>
      <w:r w:rsidR="002105BD">
        <w:rPr>
          <w:b/>
        </w:rPr>
        <w:t xml:space="preserve">STOP </w:t>
      </w:r>
      <w:r w:rsidR="00B84BEA">
        <w:rPr>
          <w:b/>
        </w:rPr>
        <w:t>DIS</w:t>
      </w:r>
      <w:r w:rsidR="002569D5">
        <w:rPr>
          <w:b/>
        </w:rPr>
        <w:t>SEMINA</w:t>
      </w:r>
      <w:r w:rsidR="001B49EE">
        <w:rPr>
          <w:b/>
        </w:rPr>
        <w:t>TING</w:t>
      </w:r>
      <w:r w:rsidR="001A488E" w:rsidRPr="00273810">
        <w:rPr>
          <w:b/>
        </w:rPr>
        <w:t xml:space="preserve"> </w:t>
      </w:r>
      <w:r w:rsidR="001A488E" w:rsidRPr="00B84BEA">
        <w:rPr>
          <w:b/>
        </w:rPr>
        <w:t xml:space="preserve">OR </w:t>
      </w:r>
      <w:r>
        <w:rPr>
          <w:b/>
        </w:rPr>
        <w:t>ALLOW</w:t>
      </w:r>
      <w:r w:rsidR="00126CE9">
        <w:rPr>
          <w:b/>
        </w:rPr>
        <w:t>ING</w:t>
      </w:r>
      <w:r w:rsidR="001A488E" w:rsidRPr="00B84BEA">
        <w:rPr>
          <w:b/>
        </w:rPr>
        <w:t xml:space="preserve"> </w:t>
      </w:r>
      <w:r w:rsidR="002225A0" w:rsidRPr="00B84BEA">
        <w:t xml:space="preserve">any advertising </w:t>
      </w:r>
      <w:r>
        <w:t xml:space="preserve">to </w:t>
      </w:r>
      <w:r w:rsidR="002225A0" w:rsidRPr="00B84BEA">
        <w:t xml:space="preserve">be provided or </w:t>
      </w:r>
      <w:r w:rsidR="00B84BEA">
        <w:t>dis</w:t>
      </w:r>
      <w:r w:rsidR="002569D5">
        <w:t>seminated</w:t>
      </w:r>
      <w:r w:rsidR="002225A0" w:rsidRPr="00B84BEA">
        <w:t xml:space="preserve"> in </w:t>
      </w:r>
      <w:r w:rsidR="00F34BA3" w:rsidRPr="00B84BEA">
        <w:t>Qu</w:t>
      </w:r>
      <w:r w:rsidR="002225A0" w:rsidRPr="00B84BEA">
        <w:t>e</w:t>
      </w:r>
      <w:r w:rsidR="00F34BA3" w:rsidRPr="00B84BEA">
        <w:t>bec</w:t>
      </w:r>
      <w:r w:rsidR="002225A0" w:rsidRPr="00B84BEA">
        <w:t xml:space="preserve">, </w:t>
      </w:r>
      <w:r w:rsidR="00126CE9">
        <w:t>on</w:t>
      </w:r>
      <w:r w:rsidR="00126CE9" w:rsidRPr="00B84BEA">
        <w:t xml:space="preserve"> </w:t>
      </w:r>
      <w:r w:rsidR="002225A0" w:rsidRPr="00B84BEA">
        <w:t>any medium</w:t>
      </w:r>
      <w:r w:rsidR="00126CE9">
        <w:t xml:space="preserve"> and</w:t>
      </w:r>
      <w:r w:rsidR="009C0766">
        <w:t xml:space="preserve"> in any form</w:t>
      </w:r>
      <w:r w:rsidR="00126CE9">
        <w:t>at</w:t>
      </w:r>
      <w:r w:rsidR="002225A0" w:rsidRPr="00B84BEA">
        <w:t xml:space="preserve">, </w:t>
      </w:r>
      <w:r w:rsidR="00F34BA3" w:rsidRPr="00B84BEA">
        <w:t>inclu</w:t>
      </w:r>
      <w:r w:rsidR="002225A0" w:rsidRPr="00B84BEA">
        <w:t xml:space="preserve">ding </w:t>
      </w:r>
      <w:r w:rsidR="009C0766">
        <w:t>but not limited to</w:t>
      </w:r>
      <w:r w:rsidR="002225A0" w:rsidRPr="00B84BEA">
        <w:t xml:space="preserve"> </w:t>
      </w:r>
      <w:r w:rsidR="00F34BA3" w:rsidRPr="00B84BEA">
        <w:t>radio, t</w:t>
      </w:r>
      <w:r w:rsidR="002225A0" w:rsidRPr="00B84BEA">
        <w:t>e</w:t>
      </w:r>
      <w:r w:rsidR="00F34BA3" w:rsidRPr="00B84BEA">
        <w:t>l</w:t>
      </w:r>
      <w:r w:rsidR="002225A0" w:rsidRPr="00B84BEA">
        <w:t>e</w:t>
      </w:r>
      <w:r w:rsidR="00F34BA3" w:rsidRPr="00B84BEA">
        <w:t>vision</w:t>
      </w:r>
      <w:r w:rsidR="002225A0" w:rsidRPr="00B84BEA">
        <w:t xml:space="preserve"> and</w:t>
      </w:r>
      <w:r w:rsidR="00F34BA3" w:rsidRPr="00B84BEA">
        <w:t xml:space="preserve"> Internet, </w:t>
      </w:r>
      <w:r w:rsidR="00A64294" w:rsidRPr="00B84BEA">
        <w:t>reproducing the name “Qué</w:t>
      </w:r>
      <w:r w:rsidR="00A64294" w:rsidRPr="00273810">
        <w:t>bec Ville du Rock”, “Lévis Ville du Rock”</w:t>
      </w:r>
      <w:r w:rsidR="009C0766">
        <w:t xml:space="preserve"> </w:t>
      </w:r>
      <w:r w:rsidR="00A64294" w:rsidRPr="00273810">
        <w:t xml:space="preserve">…, the whole </w:t>
      </w:r>
      <w:r>
        <w:t xml:space="preserve">in </w:t>
      </w:r>
      <w:r w:rsidR="000D2A05">
        <w:t xml:space="preserve">relation to </w:t>
      </w:r>
      <w:r w:rsidR="00A64294" w:rsidRPr="00273810">
        <w:t xml:space="preserve">the promotion and operation of a contest or an </w:t>
      </w:r>
      <w:proofErr w:type="gramStart"/>
      <w:r w:rsidR="00A64294" w:rsidRPr="00273810">
        <w:t>event</w:t>
      </w:r>
      <w:r w:rsidR="00F34BA3" w:rsidRPr="00273810">
        <w:t>;</w:t>
      </w:r>
      <w:proofErr w:type="gramEnd"/>
      <w:r w:rsidR="00F34BA3" w:rsidRPr="00273810">
        <w:t xml:space="preserve"> </w:t>
      </w:r>
    </w:p>
    <w:p w14:paraId="7B737223" w14:textId="235F54C0" w:rsidR="00B62582" w:rsidRPr="00273810" w:rsidRDefault="00D93CE8" w:rsidP="003C0F1B">
      <w:pPr>
        <w:pStyle w:val="Citationenretrait"/>
        <w:spacing w:line="240" w:lineRule="auto"/>
        <w:ind w:left="1440"/>
      </w:pPr>
      <w:r>
        <w:rPr>
          <w:b/>
        </w:rPr>
        <w:t xml:space="preserve">NOT TO </w:t>
      </w:r>
      <w:r w:rsidR="009C0766">
        <w:rPr>
          <w:b/>
        </w:rPr>
        <w:t xml:space="preserve">PROMOTE </w:t>
      </w:r>
      <w:r w:rsidR="00A64294" w:rsidRPr="00273810">
        <w:rPr>
          <w:b/>
        </w:rPr>
        <w:t xml:space="preserve">AND </w:t>
      </w:r>
      <w:r>
        <w:rPr>
          <w:b/>
        </w:rPr>
        <w:t xml:space="preserve">TO </w:t>
      </w:r>
      <w:r w:rsidR="002105BD">
        <w:rPr>
          <w:b/>
        </w:rPr>
        <w:t>STOP</w:t>
      </w:r>
      <w:r w:rsidR="002105BD" w:rsidRPr="00273810">
        <w:rPr>
          <w:b/>
        </w:rPr>
        <w:t xml:space="preserve"> </w:t>
      </w:r>
      <w:r w:rsidR="009C0766">
        <w:rPr>
          <w:b/>
        </w:rPr>
        <w:t>OPERATING</w:t>
      </w:r>
      <w:r w:rsidR="009C0766" w:rsidRPr="00273810">
        <w:rPr>
          <w:b/>
        </w:rPr>
        <w:t xml:space="preserve"> </w:t>
      </w:r>
      <w:r w:rsidR="00A64294" w:rsidRPr="00273810">
        <w:t xml:space="preserve">a contest or an event </w:t>
      </w:r>
      <w:r w:rsidR="009C0766">
        <w:t xml:space="preserve">associated </w:t>
      </w:r>
      <w:r w:rsidR="00A64294" w:rsidRPr="00273810">
        <w:t>with the name “Québec Ville du Rock”, “Lévis Ville du Rock”</w:t>
      </w:r>
      <w:r w:rsidR="009C0766">
        <w:t xml:space="preserve"> </w:t>
      </w:r>
      <w:r w:rsidR="00A64294" w:rsidRPr="00273810">
        <w:t>…</w:t>
      </w:r>
      <w:r w:rsidR="00F34BA3" w:rsidRPr="00273810">
        <w:t xml:space="preserve"> o</w:t>
      </w:r>
      <w:r w:rsidR="00A64294" w:rsidRPr="00273810">
        <w:t xml:space="preserve">r any other name similar to the one used by the plaintiffs in </w:t>
      </w:r>
      <w:r>
        <w:t xml:space="preserve">connection with </w:t>
      </w:r>
      <w:r w:rsidR="00A64294" w:rsidRPr="00273810">
        <w:t>the “</w:t>
      </w:r>
      <w:r w:rsidR="00F34BA3" w:rsidRPr="00273810">
        <w:t>Lévis Ville du Rock</w:t>
      </w:r>
      <w:r w:rsidR="00A64294" w:rsidRPr="00273810">
        <w:t>”</w:t>
      </w:r>
      <w:r w:rsidR="00826B0B" w:rsidRPr="00273810">
        <w:t xml:space="preserve"> </w:t>
      </w:r>
      <w:proofErr w:type="gramStart"/>
      <w:r w:rsidR="00826B0B" w:rsidRPr="00273810">
        <w:t>contest</w:t>
      </w:r>
      <w:r w:rsidR="00F34BA3" w:rsidRPr="00273810">
        <w:t>;</w:t>
      </w:r>
      <w:proofErr w:type="gramEnd"/>
      <w:r w:rsidR="00F34BA3" w:rsidRPr="00273810">
        <w:t xml:space="preserve"> </w:t>
      </w:r>
    </w:p>
    <w:p w14:paraId="5BD8FC4B" w14:textId="703E2BDF" w:rsidR="00B62582" w:rsidRDefault="00826B0B" w:rsidP="003C0F1B">
      <w:pPr>
        <w:pStyle w:val="Paragraphe"/>
        <w:spacing w:line="240" w:lineRule="auto"/>
      </w:pPr>
      <w:r w:rsidRPr="00273810">
        <w:rPr>
          <w:b/>
        </w:rPr>
        <w:t>VARIES</w:t>
      </w:r>
      <w:r w:rsidR="00F34BA3" w:rsidRPr="00273810">
        <w:t xml:space="preserve"> </w:t>
      </w:r>
      <w:r w:rsidR="00631C3C" w:rsidRPr="00273810">
        <w:t xml:space="preserve">the </w:t>
      </w:r>
      <w:r w:rsidR="00F34BA3" w:rsidRPr="00273810">
        <w:t xml:space="preserve">conclusion </w:t>
      </w:r>
      <w:r w:rsidR="00631C3C" w:rsidRPr="00273810">
        <w:t>in paragraph </w:t>
      </w:r>
      <w:r w:rsidR="00F34BA3" w:rsidRPr="00273810">
        <w:t xml:space="preserve">225 </w:t>
      </w:r>
      <w:r w:rsidR="00631C3C" w:rsidRPr="00273810">
        <w:t xml:space="preserve">of the judgment under appeal </w:t>
      </w:r>
      <w:r w:rsidR="0032793B" w:rsidRPr="00273810">
        <w:t>to read as foll</w:t>
      </w:r>
      <w:r w:rsidR="00C3771B">
        <w:t>o</w:t>
      </w:r>
      <w:r w:rsidR="0032793B" w:rsidRPr="00273810">
        <w:t>ws</w:t>
      </w:r>
      <w:r w:rsidR="00F34BA3" w:rsidRPr="00273810">
        <w:t>:</w:t>
      </w:r>
    </w:p>
    <w:p w14:paraId="2E53AFE6" w14:textId="473F5193" w:rsidR="00B62582" w:rsidRPr="00273810" w:rsidRDefault="00F34BA3" w:rsidP="003C0F1B">
      <w:pPr>
        <w:pStyle w:val="Citationenretrait"/>
        <w:spacing w:line="240" w:lineRule="auto"/>
      </w:pPr>
      <w:r w:rsidRPr="00273810">
        <w:t>[225]</w:t>
      </w:r>
      <w:r w:rsidRPr="00273810">
        <w:rPr>
          <w:b/>
        </w:rPr>
        <w:t xml:space="preserve"> </w:t>
      </w:r>
      <w:r w:rsidR="00D93CE8">
        <w:rPr>
          <w:b/>
        </w:rPr>
        <w:t>CONDEMN</w:t>
      </w:r>
      <w:r w:rsidR="00D93CE8" w:rsidRPr="00273810">
        <w:rPr>
          <w:b/>
        </w:rPr>
        <w:t>S</w:t>
      </w:r>
      <w:r w:rsidR="00D93CE8" w:rsidRPr="00273810">
        <w:t xml:space="preserve"> </w:t>
      </w:r>
      <w:r w:rsidRPr="00273810">
        <w:t xml:space="preserve">9286-3075 Québec inc. </w:t>
      </w:r>
      <w:r w:rsidR="00631C3C" w:rsidRPr="00273810">
        <w:t>to pay the defendant</w:t>
      </w:r>
      <w:r w:rsidRPr="00273810">
        <w:t xml:space="preserve"> Sébastien Girard </w:t>
      </w:r>
      <w:r w:rsidR="00631C3C" w:rsidRPr="00273810">
        <w:t>$</w:t>
      </w:r>
      <w:r w:rsidRPr="00273810">
        <w:rPr>
          <w:rFonts w:eastAsia="Arial Unicode MS"/>
          <w:u w:val="single"/>
        </w:rPr>
        <w:t>18</w:t>
      </w:r>
      <w:r w:rsidR="00631C3C" w:rsidRPr="00273810">
        <w:rPr>
          <w:rFonts w:eastAsia="Arial Unicode MS"/>
          <w:u w:val="single"/>
        </w:rPr>
        <w:t>,</w:t>
      </w:r>
      <w:r w:rsidRPr="00273810">
        <w:rPr>
          <w:rFonts w:eastAsia="Arial Unicode MS"/>
          <w:u w:val="single"/>
        </w:rPr>
        <w:t>578</w:t>
      </w:r>
      <w:r w:rsidRPr="00273810">
        <w:t xml:space="preserve"> </w:t>
      </w:r>
      <w:r w:rsidR="00631C3C" w:rsidRPr="00273810">
        <w:t xml:space="preserve">with interest </w:t>
      </w:r>
      <w:r w:rsidR="00D93CE8">
        <w:t xml:space="preserve">as of </w:t>
      </w:r>
      <w:r w:rsidR="00631C3C" w:rsidRPr="00273810">
        <w:t xml:space="preserve">April 14, </w:t>
      </w:r>
      <w:proofErr w:type="gramStart"/>
      <w:r w:rsidRPr="00273810">
        <w:t>2018;</w:t>
      </w:r>
      <w:proofErr w:type="gramEnd"/>
    </w:p>
    <w:p w14:paraId="39599274" w14:textId="04ABE039" w:rsidR="0063311F" w:rsidRPr="00273810" w:rsidRDefault="00631C3C" w:rsidP="003C0F1B">
      <w:pPr>
        <w:pStyle w:val="Paragraphe"/>
        <w:spacing w:line="240" w:lineRule="auto"/>
      </w:pPr>
      <w:r w:rsidRPr="00273810">
        <w:rPr>
          <w:b/>
        </w:rPr>
        <w:t>THE WHOLE</w:t>
      </w:r>
      <w:r w:rsidR="00F34BA3" w:rsidRPr="00273810">
        <w:rPr>
          <w:b/>
        </w:rPr>
        <w:t xml:space="preserve"> </w:t>
      </w:r>
      <w:r w:rsidRPr="00273810">
        <w:t xml:space="preserve">without </w:t>
      </w:r>
      <w:r w:rsidR="002F312C" w:rsidRPr="00273810">
        <w:t xml:space="preserve">legal </w:t>
      </w:r>
      <w:r w:rsidRPr="00273810">
        <w:t xml:space="preserve">costs on appeal given </w:t>
      </w:r>
      <w:r w:rsidR="00826B0B" w:rsidRPr="00273810">
        <w:t xml:space="preserve">the </w:t>
      </w:r>
      <w:r w:rsidRPr="00273810">
        <w:t>mixed outcome</w:t>
      </w:r>
      <w:r w:rsidR="00826B0B" w:rsidRPr="00273810">
        <w:t xml:space="preserve"> of the appeal</w:t>
      </w:r>
      <w:r w:rsidRPr="00273810">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D61C2C" w:rsidRPr="00273810" w14:paraId="046A29C3" w14:textId="77777777" w:rsidTr="003E3239">
        <w:trPr>
          <w:trHeight w:val="576"/>
        </w:trPr>
        <w:tc>
          <w:tcPr>
            <w:tcW w:w="9362" w:type="dxa"/>
            <w:gridSpan w:val="3"/>
            <w:tcBorders>
              <w:top w:val="nil"/>
              <w:bottom w:val="nil"/>
            </w:tcBorders>
          </w:tcPr>
          <w:p w14:paraId="3C542DB4" w14:textId="77777777" w:rsidR="008F364A" w:rsidRPr="00273810" w:rsidRDefault="008F364A">
            <w:pPr>
              <w:keepNext/>
            </w:pPr>
          </w:p>
        </w:tc>
      </w:tr>
      <w:tr w:rsidR="00D61C2C" w:rsidRPr="00273810" w14:paraId="2A98DA10" w14:textId="77777777" w:rsidTr="00117914">
        <w:trPr>
          <w:trHeight w:val="283"/>
        </w:trPr>
        <w:tc>
          <w:tcPr>
            <w:tcW w:w="4682" w:type="dxa"/>
            <w:gridSpan w:val="2"/>
            <w:tcBorders>
              <w:top w:val="nil"/>
              <w:bottom w:val="nil"/>
            </w:tcBorders>
          </w:tcPr>
          <w:p w14:paraId="77D0C95F" w14:textId="77777777" w:rsidR="008F364A" w:rsidRPr="00273810" w:rsidRDefault="008F364A">
            <w:pPr>
              <w:keepNext/>
            </w:pPr>
          </w:p>
        </w:tc>
        <w:tc>
          <w:tcPr>
            <w:tcW w:w="4680" w:type="dxa"/>
            <w:tcBorders>
              <w:top w:val="nil"/>
              <w:bottom w:val="single" w:sz="8" w:space="0" w:color="auto"/>
            </w:tcBorders>
          </w:tcPr>
          <w:p w14:paraId="1FCA2FCF" w14:textId="77777777" w:rsidR="008F364A" w:rsidRPr="00273810" w:rsidRDefault="008F364A">
            <w:pPr>
              <w:keepNext/>
            </w:pPr>
          </w:p>
        </w:tc>
      </w:tr>
      <w:tr w:rsidR="00D61C2C" w:rsidRPr="00273810" w14:paraId="7F1B84E8" w14:textId="77777777" w:rsidTr="00117914">
        <w:trPr>
          <w:trHeight w:val="283"/>
        </w:trPr>
        <w:tc>
          <w:tcPr>
            <w:tcW w:w="4682" w:type="dxa"/>
            <w:gridSpan w:val="2"/>
            <w:tcBorders>
              <w:top w:val="nil"/>
            </w:tcBorders>
          </w:tcPr>
          <w:p w14:paraId="44F264B0" w14:textId="77777777" w:rsidR="008F364A" w:rsidRPr="00273810" w:rsidRDefault="008F364A">
            <w:pPr>
              <w:keepNext/>
            </w:pPr>
          </w:p>
        </w:tc>
        <w:tc>
          <w:tcPr>
            <w:tcW w:w="4680" w:type="dxa"/>
            <w:tcBorders>
              <w:top w:val="single" w:sz="8" w:space="0" w:color="auto"/>
            </w:tcBorders>
          </w:tcPr>
          <w:p w14:paraId="220D9BB7" w14:textId="047B3FFD" w:rsidR="008F364A" w:rsidRPr="00273810" w:rsidRDefault="00F34BA3">
            <w:r w:rsidRPr="00273810">
              <w:t>FRANÇOIS DOYON, J.A.</w:t>
            </w:r>
          </w:p>
        </w:tc>
      </w:tr>
      <w:tr w:rsidR="00D61C2C" w:rsidRPr="00273810" w14:paraId="76AF79AA" w14:textId="77777777" w:rsidTr="00117914">
        <w:trPr>
          <w:trHeight w:val="283"/>
        </w:trPr>
        <w:tc>
          <w:tcPr>
            <w:tcW w:w="4682" w:type="dxa"/>
            <w:gridSpan w:val="2"/>
            <w:tcBorders>
              <w:top w:val="nil"/>
            </w:tcBorders>
          </w:tcPr>
          <w:p w14:paraId="5DC6B8C8" w14:textId="77777777" w:rsidR="008F364A" w:rsidRPr="00273810" w:rsidRDefault="008F364A">
            <w:pPr>
              <w:keepNext/>
            </w:pPr>
            <w:bookmarkStart w:id="18" w:name="Signature2"/>
          </w:p>
        </w:tc>
        <w:tc>
          <w:tcPr>
            <w:tcW w:w="4680" w:type="dxa"/>
            <w:tcBorders>
              <w:top w:val="nil"/>
            </w:tcBorders>
          </w:tcPr>
          <w:p w14:paraId="2BABBE47" w14:textId="77777777" w:rsidR="008F364A" w:rsidRPr="00273810" w:rsidRDefault="008F364A">
            <w:pPr>
              <w:keepNext/>
            </w:pPr>
          </w:p>
        </w:tc>
      </w:tr>
      <w:tr w:rsidR="00D61C2C" w:rsidRPr="00273810" w14:paraId="265492AB" w14:textId="77777777" w:rsidTr="00117914">
        <w:trPr>
          <w:trHeight w:val="283"/>
        </w:trPr>
        <w:tc>
          <w:tcPr>
            <w:tcW w:w="4682" w:type="dxa"/>
            <w:gridSpan w:val="2"/>
            <w:tcBorders>
              <w:top w:val="nil"/>
              <w:bottom w:val="nil"/>
            </w:tcBorders>
          </w:tcPr>
          <w:p w14:paraId="44DB60B9" w14:textId="77777777" w:rsidR="008F364A" w:rsidRPr="00273810" w:rsidRDefault="008F364A">
            <w:pPr>
              <w:keepNext/>
            </w:pPr>
          </w:p>
        </w:tc>
        <w:tc>
          <w:tcPr>
            <w:tcW w:w="4680" w:type="dxa"/>
            <w:tcBorders>
              <w:top w:val="nil"/>
              <w:bottom w:val="single" w:sz="8" w:space="0" w:color="auto"/>
            </w:tcBorders>
          </w:tcPr>
          <w:p w14:paraId="2F1A7DB0" w14:textId="77777777" w:rsidR="008F364A" w:rsidRPr="00273810" w:rsidRDefault="008F364A">
            <w:pPr>
              <w:keepNext/>
            </w:pPr>
          </w:p>
        </w:tc>
      </w:tr>
      <w:tr w:rsidR="00D61C2C" w:rsidRPr="00273810" w14:paraId="6DED85E4" w14:textId="77777777" w:rsidTr="00117914">
        <w:trPr>
          <w:trHeight w:val="283"/>
        </w:trPr>
        <w:tc>
          <w:tcPr>
            <w:tcW w:w="4682" w:type="dxa"/>
            <w:gridSpan w:val="2"/>
            <w:tcBorders>
              <w:top w:val="nil"/>
            </w:tcBorders>
          </w:tcPr>
          <w:p w14:paraId="158B79C6" w14:textId="77777777" w:rsidR="008F364A" w:rsidRPr="00273810" w:rsidRDefault="008F364A">
            <w:pPr>
              <w:keepNext/>
            </w:pPr>
          </w:p>
        </w:tc>
        <w:tc>
          <w:tcPr>
            <w:tcW w:w="4680" w:type="dxa"/>
            <w:tcBorders>
              <w:top w:val="single" w:sz="8" w:space="0" w:color="auto"/>
            </w:tcBorders>
          </w:tcPr>
          <w:p w14:paraId="22CB57A1" w14:textId="025D8F04" w:rsidR="008F364A" w:rsidRPr="00273810" w:rsidRDefault="00F34BA3">
            <w:pPr>
              <w:keepNext/>
            </w:pPr>
            <w:r w:rsidRPr="00273810">
              <w:t>JOCELYN F. RANCOURT, J.A.</w:t>
            </w:r>
          </w:p>
        </w:tc>
      </w:tr>
      <w:tr w:rsidR="00D61C2C" w:rsidRPr="00273810" w14:paraId="754E3C78" w14:textId="77777777" w:rsidTr="00117914">
        <w:trPr>
          <w:trHeight w:val="283"/>
        </w:trPr>
        <w:tc>
          <w:tcPr>
            <w:tcW w:w="4682" w:type="dxa"/>
            <w:gridSpan w:val="2"/>
            <w:tcBorders>
              <w:top w:val="nil"/>
            </w:tcBorders>
          </w:tcPr>
          <w:p w14:paraId="4C3663D4" w14:textId="77777777" w:rsidR="008F364A" w:rsidRPr="00273810" w:rsidRDefault="008F364A">
            <w:pPr>
              <w:keepNext/>
            </w:pPr>
            <w:bookmarkStart w:id="19" w:name="Signature3"/>
            <w:bookmarkEnd w:id="18"/>
          </w:p>
        </w:tc>
        <w:tc>
          <w:tcPr>
            <w:tcW w:w="4680" w:type="dxa"/>
            <w:tcBorders>
              <w:top w:val="nil"/>
            </w:tcBorders>
          </w:tcPr>
          <w:p w14:paraId="5DA09A59" w14:textId="77777777" w:rsidR="008F364A" w:rsidRPr="00273810" w:rsidRDefault="008F364A">
            <w:pPr>
              <w:keepNext/>
            </w:pPr>
          </w:p>
        </w:tc>
      </w:tr>
      <w:tr w:rsidR="00D61C2C" w:rsidRPr="00273810" w14:paraId="6B4F1D80" w14:textId="77777777" w:rsidTr="00117914">
        <w:trPr>
          <w:trHeight w:val="283"/>
        </w:trPr>
        <w:tc>
          <w:tcPr>
            <w:tcW w:w="4682" w:type="dxa"/>
            <w:gridSpan w:val="2"/>
            <w:tcBorders>
              <w:top w:val="nil"/>
              <w:bottom w:val="nil"/>
            </w:tcBorders>
          </w:tcPr>
          <w:p w14:paraId="5572B643" w14:textId="77777777" w:rsidR="008F364A" w:rsidRPr="00273810" w:rsidRDefault="008F364A">
            <w:pPr>
              <w:keepNext/>
            </w:pPr>
          </w:p>
        </w:tc>
        <w:tc>
          <w:tcPr>
            <w:tcW w:w="4680" w:type="dxa"/>
            <w:tcBorders>
              <w:top w:val="nil"/>
              <w:bottom w:val="single" w:sz="8" w:space="0" w:color="auto"/>
            </w:tcBorders>
          </w:tcPr>
          <w:p w14:paraId="2CC70D1F" w14:textId="77777777" w:rsidR="008F364A" w:rsidRPr="00273810" w:rsidRDefault="008F364A">
            <w:pPr>
              <w:keepNext/>
            </w:pPr>
          </w:p>
        </w:tc>
      </w:tr>
      <w:tr w:rsidR="00D61C2C" w:rsidRPr="00273810" w14:paraId="352B4BFF" w14:textId="77777777" w:rsidTr="00117914">
        <w:trPr>
          <w:trHeight w:val="283"/>
        </w:trPr>
        <w:tc>
          <w:tcPr>
            <w:tcW w:w="4682" w:type="dxa"/>
            <w:gridSpan w:val="2"/>
            <w:tcBorders>
              <w:top w:val="nil"/>
            </w:tcBorders>
          </w:tcPr>
          <w:p w14:paraId="552B9D07" w14:textId="77777777" w:rsidR="008F364A" w:rsidRPr="00273810" w:rsidRDefault="008F364A">
            <w:pPr>
              <w:keepNext/>
            </w:pPr>
          </w:p>
        </w:tc>
        <w:tc>
          <w:tcPr>
            <w:tcW w:w="4680" w:type="dxa"/>
            <w:tcBorders>
              <w:top w:val="single" w:sz="8" w:space="0" w:color="auto"/>
            </w:tcBorders>
          </w:tcPr>
          <w:p w14:paraId="0533F42E" w14:textId="4065045B" w:rsidR="008F364A" w:rsidRPr="00273810" w:rsidRDefault="00F34BA3">
            <w:pPr>
              <w:keepNext/>
            </w:pPr>
            <w:r w:rsidRPr="00273810">
              <w:t>MICHEL BEAUPRÉ, J.A.</w:t>
            </w:r>
          </w:p>
        </w:tc>
      </w:tr>
      <w:bookmarkEnd w:id="19"/>
      <w:tr w:rsidR="00D61C2C" w:rsidRPr="00273810" w14:paraId="3C0F857E" w14:textId="77777777" w:rsidTr="00423DF1">
        <w:tc>
          <w:tcPr>
            <w:tcW w:w="9362" w:type="dxa"/>
            <w:gridSpan w:val="3"/>
          </w:tcPr>
          <w:p w14:paraId="590F53D2" w14:textId="77777777" w:rsidR="005A78BF" w:rsidRPr="00273810" w:rsidRDefault="005A78BF" w:rsidP="005A78BF"/>
        </w:tc>
      </w:tr>
      <w:tr w:rsidR="00D61C2C" w:rsidRPr="00273810" w14:paraId="026944BF" w14:textId="77777777" w:rsidTr="00423DF1">
        <w:tc>
          <w:tcPr>
            <w:tcW w:w="9362" w:type="dxa"/>
            <w:gridSpan w:val="3"/>
          </w:tcPr>
          <w:p w14:paraId="3A810352" w14:textId="2F92873C" w:rsidR="005A78BF" w:rsidRPr="00273810" w:rsidRDefault="00F34BA3" w:rsidP="005A78BF">
            <w:pPr>
              <w:pStyle w:val="zSoquijdatNomProcureurDem"/>
            </w:pPr>
            <w:r w:rsidRPr="00273810">
              <w:t>M</w:t>
            </w:r>
            <w:r w:rsidR="004072AB" w:rsidRPr="00273810">
              <w:t>tr</w:t>
            </w:r>
            <w:r w:rsidRPr="00273810">
              <w:t>e Jean-François Labadie</w:t>
            </w:r>
          </w:p>
        </w:tc>
      </w:tr>
      <w:tr w:rsidR="00D61C2C" w:rsidRPr="00273810" w14:paraId="74FD4986" w14:textId="77777777" w:rsidTr="00423DF1">
        <w:tc>
          <w:tcPr>
            <w:tcW w:w="9362" w:type="dxa"/>
            <w:gridSpan w:val="3"/>
          </w:tcPr>
          <w:p w14:paraId="1B7F12B4" w14:textId="77777777" w:rsidR="005A78BF" w:rsidRPr="00273810" w:rsidRDefault="00F34BA3" w:rsidP="005A78BF">
            <w:pPr>
              <w:pStyle w:val="zSoquijdatCabinetProcureurDem"/>
            </w:pPr>
            <w:r w:rsidRPr="00273810">
              <w:t>L2 AVOCATS</w:t>
            </w:r>
          </w:p>
        </w:tc>
      </w:tr>
      <w:tr w:rsidR="00D61C2C" w:rsidRPr="00273810" w14:paraId="2DB7FE67" w14:textId="77777777" w:rsidTr="00423DF1">
        <w:tc>
          <w:tcPr>
            <w:tcW w:w="9362" w:type="dxa"/>
            <w:gridSpan w:val="3"/>
          </w:tcPr>
          <w:p w14:paraId="33FA8B1F" w14:textId="4722444A" w:rsidR="005A78BF" w:rsidRPr="00273810" w:rsidRDefault="004072AB" w:rsidP="005A78BF">
            <w:pPr>
              <w:pStyle w:val="zSoquijlblProcureurDem"/>
            </w:pPr>
            <w:r w:rsidRPr="00273810">
              <w:t xml:space="preserve">For </w:t>
            </w:r>
            <w:r w:rsidR="00962B81" w:rsidRPr="00273810">
              <w:t>the appellant</w:t>
            </w:r>
          </w:p>
        </w:tc>
      </w:tr>
      <w:tr w:rsidR="00D61C2C" w:rsidRPr="00273810" w14:paraId="6263E8D9" w14:textId="77777777" w:rsidTr="00EC5E06">
        <w:tc>
          <w:tcPr>
            <w:tcW w:w="9362" w:type="dxa"/>
            <w:gridSpan w:val="3"/>
            <w:tcBorders>
              <w:bottom w:val="nil"/>
            </w:tcBorders>
          </w:tcPr>
          <w:p w14:paraId="06A77C9B" w14:textId="77777777" w:rsidR="005A78BF" w:rsidRPr="00273810" w:rsidRDefault="005A78BF" w:rsidP="005A78BF"/>
        </w:tc>
      </w:tr>
      <w:tr w:rsidR="00D61C2C" w:rsidRPr="00273810" w14:paraId="558A9566" w14:textId="77777777" w:rsidTr="00EC5E06">
        <w:tc>
          <w:tcPr>
            <w:tcW w:w="9362" w:type="dxa"/>
            <w:gridSpan w:val="3"/>
            <w:tcBorders>
              <w:top w:val="nil"/>
            </w:tcBorders>
          </w:tcPr>
          <w:p w14:paraId="2DE8C2EC" w14:textId="447E81B2" w:rsidR="005A78BF" w:rsidRPr="00273810" w:rsidRDefault="00F34BA3" w:rsidP="005A78BF">
            <w:pPr>
              <w:pStyle w:val="zSoquijdatNomProcureurDef"/>
            </w:pPr>
            <w:r w:rsidRPr="00273810">
              <w:t>M</w:t>
            </w:r>
            <w:r w:rsidR="004072AB" w:rsidRPr="00273810">
              <w:t>tr</w:t>
            </w:r>
            <w:r w:rsidRPr="00273810">
              <w:t>e Charles Lapointe</w:t>
            </w:r>
          </w:p>
        </w:tc>
      </w:tr>
      <w:tr w:rsidR="00D61C2C" w:rsidRPr="00273810" w14:paraId="4914F967" w14:textId="77777777" w:rsidTr="00423DF1">
        <w:tc>
          <w:tcPr>
            <w:tcW w:w="9362" w:type="dxa"/>
            <w:gridSpan w:val="3"/>
          </w:tcPr>
          <w:p w14:paraId="409256B3" w14:textId="75868AAD" w:rsidR="005A78BF" w:rsidRPr="00273810" w:rsidRDefault="00F34BA3" w:rsidP="005A78BF">
            <w:pPr>
              <w:pStyle w:val="zSoquijdatCabinetProcureurDef"/>
            </w:pPr>
            <w:r w:rsidRPr="00273810">
              <w:t xml:space="preserve">LANGLOIS </w:t>
            </w:r>
            <w:r w:rsidR="004072AB" w:rsidRPr="00273810">
              <w:t>LAWYERS</w:t>
            </w:r>
          </w:p>
        </w:tc>
      </w:tr>
      <w:tr w:rsidR="00D61C2C" w:rsidRPr="00273810" w14:paraId="4BA519F7" w14:textId="77777777" w:rsidTr="006504ED">
        <w:tc>
          <w:tcPr>
            <w:tcW w:w="9362" w:type="dxa"/>
            <w:gridSpan w:val="3"/>
            <w:tcBorders>
              <w:bottom w:val="nil"/>
            </w:tcBorders>
          </w:tcPr>
          <w:p w14:paraId="44B0BF3B" w14:textId="4E7BDA6C" w:rsidR="005A78BF" w:rsidRPr="00273810" w:rsidRDefault="004072AB" w:rsidP="005A78BF">
            <w:pPr>
              <w:pStyle w:val="zSoquijlblProcureurDef"/>
            </w:pPr>
            <w:r w:rsidRPr="00273810">
              <w:t>For the respondents</w:t>
            </w:r>
          </w:p>
        </w:tc>
      </w:tr>
      <w:tr w:rsidR="00D61C2C" w:rsidRPr="00273810" w14:paraId="558A9586" w14:textId="77777777" w:rsidTr="006504ED">
        <w:tc>
          <w:tcPr>
            <w:tcW w:w="9362" w:type="dxa"/>
            <w:gridSpan w:val="3"/>
            <w:tcBorders>
              <w:top w:val="nil"/>
            </w:tcBorders>
          </w:tcPr>
          <w:p w14:paraId="17E20947" w14:textId="77777777" w:rsidR="005A78BF" w:rsidRPr="00273810" w:rsidRDefault="005A78BF" w:rsidP="005A78BF"/>
        </w:tc>
      </w:tr>
      <w:tr w:rsidR="00D61C2C" w:rsidRPr="00273810" w14:paraId="2C02FEB3" w14:textId="77777777" w:rsidTr="00423DF1">
        <w:tc>
          <w:tcPr>
            <w:tcW w:w="1997" w:type="dxa"/>
          </w:tcPr>
          <w:p w14:paraId="40972061" w14:textId="354FE0E8" w:rsidR="005A78BF" w:rsidRPr="00273810" w:rsidRDefault="00F34BA3" w:rsidP="005A78BF">
            <w:pPr>
              <w:pStyle w:val="zSoquijlblDateAudience"/>
            </w:pPr>
            <w:r w:rsidRPr="00273810">
              <w:t xml:space="preserve">Date </w:t>
            </w:r>
            <w:r w:rsidR="004072AB" w:rsidRPr="00273810">
              <w:t>of hearing</w:t>
            </w:r>
            <w:r w:rsidRPr="00273810">
              <w:t>:</w:t>
            </w:r>
          </w:p>
        </w:tc>
        <w:tc>
          <w:tcPr>
            <w:tcW w:w="7365" w:type="dxa"/>
            <w:gridSpan w:val="2"/>
          </w:tcPr>
          <w:p w14:paraId="00C1F5E5" w14:textId="35F6B41C" w:rsidR="005A78BF" w:rsidRPr="00273810" w:rsidRDefault="004072AB" w:rsidP="005A78BF">
            <w:pPr>
              <w:pStyle w:val="zSoquijdatDateAudience"/>
            </w:pPr>
            <w:r w:rsidRPr="00273810">
              <w:t>May </w:t>
            </w:r>
            <w:r w:rsidR="00F34BA3" w:rsidRPr="00273810">
              <w:t>4</w:t>
            </w:r>
            <w:r w:rsidRPr="00273810">
              <w:t>,</w:t>
            </w:r>
            <w:r w:rsidR="00F34BA3" w:rsidRPr="00273810">
              <w:t xml:space="preserve"> 2022</w:t>
            </w:r>
          </w:p>
        </w:tc>
      </w:tr>
      <w:bookmarkEnd w:id="8"/>
    </w:tbl>
    <w:p w14:paraId="09F1EED3" w14:textId="77777777" w:rsidR="00740A17" w:rsidRPr="00273810" w:rsidRDefault="00740A17" w:rsidP="004072AB"/>
    <w:sectPr w:rsidR="00740A17" w:rsidRPr="00273810" w:rsidSect="00FE149E">
      <w:headerReference w:type="default" r:id="rId8"/>
      <w:pgSz w:w="12242" w:h="15842" w:code="1"/>
      <w:pgMar w:top="1440" w:right="1008" w:bottom="1276"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D859" w14:textId="77777777" w:rsidR="00400961" w:rsidRDefault="00400961">
      <w:pPr>
        <w:spacing w:line="240" w:lineRule="auto"/>
      </w:pPr>
      <w:r>
        <w:separator/>
      </w:r>
    </w:p>
  </w:endnote>
  <w:endnote w:type="continuationSeparator" w:id="0">
    <w:p w14:paraId="1D39C8BC" w14:textId="77777777" w:rsidR="00400961" w:rsidRDefault="0040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A22F" w14:textId="77777777" w:rsidR="00400961" w:rsidRDefault="00400961">
      <w:r>
        <w:separator/>
      </w:r>
    </w:p>
  </w:footnote>
  <w:footnote w:type="continuationSeparator" w:id="0">
    <w:p w14:paraId="6A93FFA5" w14:textId="77777777" w:rsidR="00400961" w:rsidRDefault="00400961">
      <w:r>
        <w:continuationSeparator/>
      </w:r>
    </w:p>
  </w:footnote>
  <w:footnote w:id="1">
    <w:p w14:paraId="78D83357" w14:textId="4D925F85" w:rsidR="001D2417" w:rsidRPr="00F64487" w:rsidRDefault="001D2417" w:rsidP="00F64487">
      <w:pPr>
        <w:pStyle w:val="Notedebasdepage"/>
      </w:pPr>
      <w:r>
        <w:rPr>
          <w:rStyle w:val="Appelnotedebasdep"/>
        </w:rPr>
        <w:footnoteRef/>
      </w:r>
      <w:r w:rsidRPr="00F64487">
        <w:t xml:space="preserve"> </w:t>
      </w:r>
      <w:r w:rsidRPr="00F64487">
        <w:tab/>
      </w:r>
      <w:r w:rsidRPr="00F64487">
        <w:rPr>
          <w:i/>
        </w:rPr>
        <w:t>9220-8883 Québec inc. c. Girard</w:t>
      </w:r>
      <w:r w:rsidRPr="00F64487">
        <w:t xml:space="preserve">, 2021 QCCS 410 (the “judgment </w:t>
      </w:r>
      <w:r w:rsidRPr="006363AB">
        <w:t>under appeal</w:t>
      </w:r>
      <w:r w:rsidRPr="00F64487">
        <w:t>”).</w:t>
      </w:r>
    </w:p>
  </w:footnote>
  <w:footnote w:id="2">
    <w:p w14:paraId="1164F048" w14:textId="6D69E749" w:rsidR="001D2417" w:rsidRPr="00B935BF" w:rsidRDefault="001D2417" w:rsidP="00D442C9">
      <w:pPr>
        <w:pStyle w:val="Notedebasdepage"/>
      </w:pPr>
      <w:r>
        <w:rPr>
          <w:rStyle w:val="Appelnotedebasdep"/>
        </w:rPr>
        <w:footnoteRef/>
      </w:r>
      <w:r w:rsidRPr="00702FE9">
        <w:t xml:space="preserve"> </w:t>
      </w:r>
      <w:r w:rsidRPr="00702FE9">
        <w:tab/>
        <w:t xml:space="preserve">$14,063 </w:t>
      </w:r>
      <w:r>
        <w:t>from the shared admission revenue and photography costs</w:t>
      </w:r>
      <w:r w:rsidRPr="00702FE9">
        <w:t xml:space="preserve">, as also admitted by 9286 </w:t>
      </w:r>
      <w:r w:rsidR="004567C6">
        <w:t>at trial</w:t>
      </w:r>
      <w:r w:rsidRPr="00702FE9">
        <w:t xml:space="preserve"> (judgment </w:t>
      </w:r>
      <w:r>
        <w:t>under appeal</w:t>
      </w:r>
      <w:r w:rsidRPr="00702FE9">
        <w:t xml:space="preserve"> </w:t>
      </w:r>
      <w:r>
        <w:t xml:space="preserve">at </w:t>
      </w:r>
      <w:r w:rsidRPr="00702FE9">
        <w:t xml:space="preserve">para. </w:t>
      </w:r>
      <w:r w:rsidRPr="00B935BF">
        <w:t xml:space="preserve">134), + $4,515 for the free </w:t>
      </w:r>
      <w:r>
        <w:t>admissions</w:t>
      </w:r>
      <w:r w:rsidRPr="00B935BF">
        <w:t>.</w:t>
      </w:r>
    </w:p>
  </w:footnote>
  <w:footnote w:id="3">
    <w:p w14:paraId="62AB372A" w14:textId="7FABE908" w:rsidR="001D2417" w:rsidRPr="00B935BF" w:rsidRDefault="001D2417" w:rsidP="00D442C9">
      <w:pPr>
        <w:pStyle w:val="Notedebasdepage"/>
      </w:pPr>
      <w:r>
        <w:rPr>
          <w:rStyle w:val="Appelnotedebasdep"/>
        </w:rPr>
        <w:footnoteRef/>
      </w:r>
      <w:r w:rsidRPr="00B935BF">
        <w:t xml:space="preserve"> </w:t>
      </w:r>
      <w:r w:rsidRPr="00B935BF">
        <w:tab/>
        <w:t xml:space="preserve">61 </w:t>
      </w:r>
      <w:r w:rsidRPr="0049171C">
        <w:t>exhibits</w:t>
      </w:r>
      <w:r w:rsidRPr="00B935BF">
        <w:t xml:space="preserve"> from </w:t>
      </w:r>
      <w:r w:rsidR="00916663">
        <w:t>all</w:t>
      </w:r>
      <w:r w:rsidR="00F451CD">
        <w:t xml:space="preserve"> parties</w:t>
      </w:r>
      <w:r w:rsidRPr="00B935BF">
        <w:t>.</w:t>
      </w:r>
    </w:p>
  </w:footnote>
  <w:footnote w:id="4">
    <w:p w14:paraId="4A856110" w14:textId="1C0E1E87" w:rsidR="001D2417" w:rsidRPr="00236A0D" w:rsidRDefault="001D2417" w:rsidP="00D442C9">
      <w:pPr>
        <w:pStyle w:val="Notedebasdepage"/>
      </w:pPr>
      <w:r>
        <w:rPr>
          <w:rStyle w:val="Appelnotedebasdep"/>
        </w:rPr>
        <w:footnoteRef/>
      </w:r>
      <w:r w:rsidRPr="00236A0D">
        <w:t xml:space="preserve"> </w:t>
      </w:r>
      <w:r w:rsidRPr="00236A0D">
        <w:tab/>
      </w:r>
      <w:r w:rsidRPr="00236A0D">
        <w:rPr>
          <w:rFonts w:eastAsia="Arial Unicode MS"/>
          <w:i/>
        </w:rPr>
        <w:t>Trademarks Act,</w:t>
      </w:r>
      <w:r w:rsidRPr="00236A0D">
        <w:rPr>
          <w:i/>
        </w:rPr>
        <w:t xml:space="preserve"> </w:t>
      </w:r>
      <w:r w:rsidRPr="00236A0D">
        <w:t>R.S</w:t>
      </w:r>
      <w:r w:rsidR="00B4526B">
        <w:t>.</w:t>
      </w:r>
      <w:r w:rsidRPr="00236A0D">
        <w:t>C. 1985, c. T-13.</w:t>
      </w:r>
    </w:p>
  </w:footnote>
  <w:footnote w:id="5">
    <w:p w14:paraId="048A0F07" w14:textId="1BB5FF11" w:rsidR="001D2417" w:rsidRPr="00393C83" w:rsidRDefault="001D2417" w:rsidP="00D442C9">
      <w:pPr>
        <w:pStyle w:val="Notedebasdepage"/>
      </w:pPr>
      <w:r>
        <w:rPr>
          <w:rStyle w:val="Appelnotedebasdep"/>
        </w:rPr>
        <w:footnoteRef/>
      </w:r>
      <w:r w:rsidRPr="00393C83">
        <w:t xml:space="preserve"> </w:t>
      </w:r>
      <w:r w:rsidRPr="00393C83">
        <w:tab/>
      </w:r>
      <w:r w:rsidRPr="00393C83">
        <w:rPr>
          <w:rFonts w:eastAsia="Arial Unicode MS"/>
          <w:bCs/>
          <w:i/>
        </w:rPr>
        <w:t>Copyright</w:t>
      </w:r>
      <w:r w:rsidRPr="00393C83">
        <w:rPr>
          <w:rFonts w:eastAsia="Arial Unicode MS"/>
          <w:bCs/>
        </w:rPr>
        <w:t xml:space="preserve"> </w:t>
      </w:r>
      <w:r w:rsidRPr="00393C83">
        <w:rPr>
          <w:rFonts w:eastAsia="Arial Unicode MS"/>
          <w:bCs/>
          <w:i/>
        </w:rPr>
        <w:t>Act</w:t>
      </w:r>
      <w:r w:rsidRPr="00393C83">
        <w:t>, R.S.C. 1985, c. C-42.</w:t>
      </w:r>
    </w:p>
  </w:footnote>
  <w:footnote w:id="6">
    <w:p w14:paraId="2EC332D6" w14:textId="4A309CF3" w:rsidR="001D2417" w:rsidRPr="007928AC" w:rsidRDefault="001D2417">
      <w:pPr>
        <w:pStyle w:val="Notedebasdepage"/>
        <w:rPr>
          <w:lang w:val="fr-CA"/>
        </w:rPr>
      </w:pPr>
      <w:r>
        <w:rPr>
          <w:rStyle w:val="Appelnotedebasdep"/>
        </w:rPr>
        <w:footnoteRef/>
      </w:r>
      <w:r w:rsidRPr="007928AC">
        <w:rPr>
          <w:lang w:val="fr-CA"/>
        </w:rPr>
        <w:t xml:space="preserve"> </w:t>
      </w:r>
      <w:r w:rsidRPr="007928AC">
        <w:rPr>
          <w:lang w:val="fr-CA"/>
        </w:rPr>
        <w:tab/>
      </w:r>
      <w:r w:rsidRPr="007928AC">
        <w:rPr>
          <w:i/>
          <w:lang w:val="fr-CA"/>
        </w:rPr>
        <w:t>Beaulieu c. Paquet</w:t>
      </w:r>
      <w:r w:rsidRPr="007928AC">
        <w:rPr>
          <w:lang w:val="fr-CA"/>
        </w:rPr>
        <w:t>, 2016 QCCA 1284 at para. 17.</w:t>
      </w:r>
    </w:p>
  </w:footnote>
  <w:footnote w:id="7">
    <w:p w14:paraId="1181FD4F" w14:textId="4601F67C" w:rsidR="001D2417" w:rsidRPr="00753557" w:rsidRDefault="001D2417" w:rsidP="002F7A27">
      <w:pPr>
        <w:pStyle w:val="Notedebasdepage"/>
      </w:pPr>
      <w:r>
        <w:rPr>
          <w:rStyle w:val="Appelnotedebasdep"/>
        </w:rPr>
        <w:footnoteRef/>
      </w:r>
      <w:r w:rsidRPr="007928AC">
        <w:rPr>
          <w:lang w:val="fr-CA"/>
        </w:rPr>
        <w:t xml:space="preserve"> </w:t>
      </w:r>
      <w:r w:rsidRPr="007928AC">
        <w:rPr>
          <w:lang w:val="fr-CA"/>
        </w:rPr>
        <w:tab/>
      </w:r>
      <w:r w:rsidRPr="007928AC">
        <w:rPr>
          <w:i/>
          <w:lang w:val="fr-CA"/>
        </w:rPr>
        <w:t>Ville de Mascouche c. Architectes Rivest-Jodoin &amp; Associé</w:t>
      </w:r>
      <w:r w:rsidRPr="007928AC">
        <w:rPr>
          <w:lang w:val="fr-CA"/>
        </w:rPr>
        <w:t xml:space="preserve">, 2021 QCCA 859 at para. </w:t>
      </w:r>
      <w:r w:rsidRPr="00753557">
        <w:t>5.</w:t>
      </w:r>
    </w:p>
  </w:footnote>
  <w:footnote w:id="8">
    <w:p w14:paraId="42DF70B4" w14:textId="6EE794C4" w:rsidR="001D2417" w:rsidRPr="00753557" w:rsidRDefault="001D2417" w:rsidP="00F6741B">
      <w:pPr>
        <w:pStyle w:val="Notedebasdepage"/>
      </w:pPr>
      <w:r>
        <w:rPr>
          <w:rStyle w:val="Appelnotedebasdep"/>
        </w:rPr>
        <w:footnoteRef/>
      </w:r>
      <w:r w:rsidRPr="00753557">
        <w:t xml:space="preserve"> </w:t>
      </w:r>
      <w:r w:rsidRPr="00753557">
        <w:tab/>
      </w:r>
      <w:r w:rsidRPr="00753557">
        <w:rPr>
          <w:rFonts w:eastAsia="Arial Unicode MS"/>
          <w:i/>
        </w:rPr>
        <w:t xml:space="preserve">Gercotech inc. c. Kruger inc. Master </w:t>
      </w:r>
      <w:r>
        <w:rPr>
          <w:rFonts w:eastAsia="Arial Unicode MS"/>
          <w:i/>
        </w:rPr>
        <w:t>T</w:t>
      </w:r>
      <w:r w:rsidRPr="00753557">
        <w:rPr>
          <w:rFonts w:eastAsia="Arial Unicode MS"/>
          <w:i/>
        </w:rPr>
        <w:t>rust (CIBC Mellon Trust Company</w:t>
      </w:r>
      <w:r w:rsidRPr="00753557">
        <w:rPr>
          <w:rFonts w:eastAsia="Arial Unicode MS"/>
        </w:rPr>
        <w:t>), 2019 QCCA 1168.</w:t>
      </w:r>
    </w:p>
  </w:footnote>
  <w:footnote w:id="9">
    <w:p w14:paraId="10F37B4A" w14:textId="5459D594" w:rsidR="001D2417" w:rsidRPr="00EC5E06" w:rsidRDefault="001D2417" w:rsidP="00F6741B">
      <w:pPr>
        <w:pStyle w:val="Notedebasdepage"/>
      </w:pPr>
      <w:r>
        <w:rPr>
          <w:rStyle w:val="Appelnotedebasdep"/>
        </w:rPr>
        <w:footnoteRef/>
      </w:r>
      <w:r w:rsidRPr="00753557">
        <w:t xml:space="preserve"> </w:t>
      </w:r>
      <w:r w:rsidRPr="00753557">
        <w:tab/>
      </w:r>
      <w:r w:rsidRPr="00753557">
        <w:rPr>
          <w:rFonts w:cs="Arial"/>
          <w:i/>
          <w:lang w:eastAsia="fr-CA"/>
        </w:rPr>
        <w:t xml:space="preserve">Salomon </w:t>
      </w:r>
      <w:r>
        <w:rPr>
          <w:rFonts w:cs="Arial"/>
          <w:i/>
          <w:lang w:eastAsia="fr-CA"/>
        </w:rPr>
        <w:t>v</w:t>
      </w:r>
      <w:r w:rsidRPr="00753557">
        <w:rPr>
          <w:rFonts w:cs="Arial"/>
          <w:i/>
          <w:lang w:eastAsia="fr-CA"/>
        </w:rPr>
        <w:t>. Matte</w:t>
      </w:r>
      <w:r w:rsidRPr="00753557">
        <w:rPr>
          <w:rFonts w:cs="Arial"/>
          <w:i/>
          <w:lang w:eastAsia="fr-CA"/>
        </w:rPr>
        <w:noBreakHyphen/>
        <w:t>Thompson</w:t>
      </w:r>
      <w:r w:rsidRPr="00753557">
        <w:rPr>
          <w:rFonts w:ascii="Times New Roman" w:hAnsi="Times New Roman"/>
          <w:szCs w:val="24"/>
          <w:lang w:eastAsia="fr-CA"/>
        </w:rPr>
        <w:t xml:space="preserve">, </w:t>
      </w:r>
      <w:r w:rsidRPr="00753557">
        <w:rPr>
          <w:rFonts w:cs="Arial"/>
          <w:lang w:eastAsia="fr-CA"/>
        </w:rPr>
        <w:t xml:space="preserve">2019 </w:t>
      </w:r>
      <w:r w:rsidRPr="00EC5E06">
        <w:rPr>
          <w:rFonts w:cs="Arial"/>
          <w:lang w:eastAsia="fr-CA"/>
        </w:rPr>
        <w:t>S</w:t>
      </w:r>
      <w:r w:rsidR="000F5539">
        <w:rPr>
          <w:rFonts w:cs="Arial"/>
          <w:lang w:eastAsia="fr-CA"/>
        </w:rPr>
        <w:t>C</w:t>
      </w:r>
      <w:r w:rsidRPr="00EC5E06">
        <w:rPr>
          <w:rFonts w:cs="Arial"/>
          <w:lang w:eastAsia="fr-CA"/>
        </w:rPr>
        <w:t xml:space="preserve">C 14 </w:t>
      </w:r>
      <w:r>
        <w:rPr>
          <w:rFonts w:cs="Arial"/>
          <w:lang w:eastAsia="fr-CA"/>
        </w:rPr>
        <w:t xml:space="preserve">at </w:t>
      </w:r>
      <w:r w:rsidRPr="00EC5E06">
        <w:rPr>
          <w:rFonts w:cs="Arial"/>
          <w:lang w:eastAsia="fr-CA"/>
        </w:rPr>
        <w:t>para. 33.</w:t>
      </w:r>
    </w:p>
  </w:footnote>
  <w:footnote w:id="10">
    <w:p w14:paraId="67CD8DD0" w14:textId="15636323" w:rsidR="001D2417" w:rsidRPr="00992391" w:rsidRDefault="001D2417" w:rsidP="00F6741B">
      <w:pPr>
        <w:pStyle w:val="Notedebasdepage"/>
        <w:rPr>
          <w:rFonts w:cs="Arial"/>
          <w:lang w:eastAsia="fr-CA"/>
        </w:rPr>
      </w:pPr>
      <w:r>
        <w:rPr>
          <w:rStyle w:val="Appelnotedebasdep"/>
        </w:rPr>
        <w:footnoteRef/>
      </w:r>
      <w:r w:rsidRPr="00EC5E06">
        <w:t xml:space="preserve"> </w:t>
      </w:r>
      <w:r w:rsidRPr="00EC5E06">
        <w:tab/>
      </w:r>
      <w:r w:rsidRPr="00EC5E06">
        <w:rPr>
          <w:rFonts w:cs="Arial"/>
          <w:i/>
          <w:lang w:eastAsia="fr-CA"/>
        </w:rPr>
        <w:t xml:space="preserve">Nelson (City) </w:t>
      </w:r>
      <w:r>
        <w:rPr>
          <w:rFonts w:cs="Arial"/>
          <w:i/>
          <w:lang w:eastAsia="fr-CA"/>
        </w:rPr>
        <w:t>v</w:t>
      </w:r>
      <w:r w:rsidRPr="00EC5E06">
        <w:rPr>
          <w:rFonts w:cs="Arial"/>
          <w:i/>
          <w:lang w:eastAsia="fr-CA"/>
        </w:rPr>
        <w:t>. Mowatt</w:t>
      </w:r>
      <w:r w:rsidRPr="00EC5E06">
        <w:rPr>
          <w:rFonts w:cs="Arial"/>
          <w:lang w:eastAsia="fr-CA"/>
        </w:rPr>
        <w:t>, 2017 S</w:t>
      </w:r>
      <w:r w:rsidR="000F5539">
        <w:rPr>
          <w:rFonts w:cs="Arial"/>
          <w:lang w:eastAsia="fr-CA"/>
        </w:rPr>
        <w:t>C</w:t>
      </w:r>
      <w:r w:rsidRPr="00EC5E06">
        <w:rPr>
          <w:rFonts w:cs="Arial"/>
          <w:lang w:eastAsia="fr-CA"/>
        </w:rPr>
        <w:t xml:space="preserve">C 8 </w:t>
      </w:r>
      <w:r>
        <w:rPr>
          <w:rFonts w:cs="Arial"/>
          <w:lang w:eastAsia="fr-CA"/>
        </w:rPr>
        <w:t xml:space="preserve">at </w:t>
      </w:r>
      <w:r w:rsidRPr="00EC5E06">
        <w:rPr>
          <w:rFonts w:cs="Arial"/>
          <w:lang w:eastAsia="fr-CA"/>
        </w:rPr>
        <w:t xml:space="preserve">para. </w:t>
      </w:r>
      <w:r w:rsidRPr="00992391">
        <w:rPr>
          <w:rFonts w:cs="Arial"/>
          <w:lang w:eastAsia="fr-CA"/>
        </w:rPr>
        <w:t>38.</w:t>
      </w:r>
    </w:p>
  </w:footnote>
  <w:footnote w:id="11">
    <w:p w14:paraId="53C64CC9" w14:textId="51389F33" w:rsidR="001D2417" w:rsidRPr="00992391" w:rsidRDefault="001D2417" w:rsidP="009026BA">
      <w:pPr>
        <w:pStyle w:val="Notedebasdepage"/>
      </w:pPr>
      <w:r>
        <w:rPr>
          <w:rStyle w:val="Appelnotedebasdep"/>
        </w:rPr>
        <w:footnoteRef/>
      </w:r>
      <w:r w:rsidRPr="00C87081">
        <w:t xml:space="preserve"> </w:t>
      </w:r>
      <w:r w:rsidRPr="00C87081">
        <w:tab/>
        <w:t xml:space="preserve">Judgment under appeal at para. </w:t>
      </w:r>
      <w:r w:rsidRPr="00992391">
        <w:t>53.</w:t>
      </w:r>
    </w:p>
  </w:footnote>
  <w:footnote w:id="12">
    <w:p w14:paraId="3F3601C1" w14:textId="3377C1CC" w:rsidR="001D2417" w:rsidRPr="00310B5C" w:rsidRDefault="001D2417">
      <w:pPr>
        <w:pStyle w:val="Notedebasdepage"/>
      </w:pPr>
      <w:r>
        <w:rPr>
          <w:rStyle w:val="Appelnotedebasdep"/>
        </w:rPr>
        <w:footnoteRef/>
      </w:r>
      <w:r w:rsidRPr="00310B5C">
        <w:t xml:space="preserve"> </w:t>
      </w:r>
      <w:r w:rsidRPr="00310B5C">
        <w:tab/>
        <w:t xml:space="preserve">See the last declaration sought </w:t>
      </w:r>
      <w:r w:rsidR="009964FF">
        <w:t xml:space="preserve">as a conclusion </w:t>
      </w:r>
      <w:r w:rsidRPr="00310B5C">
        <w:t xml:space="preserve">in the </w:t>
      </w:r>
      <w:r w:rsidR="0087482A">
        <w:t xml:space="preserve">appellant and his corporation’s </w:t>
      </w:r>
      <w:r w:rsidRPr="00310B5C">
        <w:t>defence/</w:t>
      </w:r>
      <w:r>
        <w:t>cross-</w:t>
      </w:r>
      <w:r w:rsidR="009964FF">
        <w:t>application</w:t>
      </w:r>
      <w:r w:rsidRPr="00310B5C">
        <w:t xml:space="preserve">; furthermore, during </w:t>
      </w:r>
      <w:r w:rsidR="0087482A">
        <w:t xml:space="preserve">the appellant’s </w:t>
      </w:r>
      <w:r w:rsidRPr="00310B5C">
        <w:t>pre-trial examination, he confirmed that he agree</w:t>
      </w:r>
      <w:r w:rsidR="0087482A">
        <w:t>s</w:t>
      </w:r>
      <w:r w:rsidRPr="00310B5C">
        <w:t xml:space="preserve"> with the </w:t>
      </w:r>
      <w:r>
        <w:rPr>
          <w:rFonts w:eastAsia="Arial Unicode MS"/>
        </w:rPr>
        <w:t xml:space="preserve">content of this </w:t>
      </w:r>
      <w:r w:rsidR="0087482A">
        <w:rPr>
          <w:rFonts w:eastAsia="Arial Unicode MS"/>
        </w:rPr>
        <w:t>pleading</w:t>
      </w:r>
      <w:r w:rsidRPr="00310B5C">
        <w:rPr>
          <w:rFonts w:eastAsia="Arial Unicode MS"/>
        </w:rPr>
        <w:t>.</w:t>
      </w:r>
    </w:p>
  </w:footnote>
  <w:footnote w:id="13">
    <w:p w14:paraId="15EE129F" w14:textId="5CC20B01" w:rsidR="001D2417" w:rsidRPr="002E0483" w:rsidRDefault="001D2417" w:rsidP="00CB1907">
      <w:pPr>
        <w:pStyle w:val="Notedebasdepage"/>
      </w:pPr>
      <w:r>
        <w:rPr>
          <w:rStyle w:val="Appelnotedebasdep"/>
        </w:rPr>
        <w:footnoteRef/>
      </w:r>
      <w:r w:rsidRPr="00310B5C">
        <w:t xml:space="preserve"> </w:t>
      </w:r>
      <w:r w:rsidRPr="00310B5C">
        <w:tab/>
      </w:r>
      <w:r w:rsidRPr="00310B5C">
        <w:rPr>
          <w:i/>
        </w:rPr>
        <w:t xml:space="preserve">Mattel, Inc. </w:t>
      </w:r>
      <w:r>
        <w:rPr>
          <w:i/>
        </w:rPr>
        <w:t>v</w:t>
      </w:r>
      <w:r w:rsidRPr="00310B5C">
        <w:rPr>
          <w:i/>
        </w:rPr>
        <w:t>. 3894207 Canada Inc.</w:t>
      </w:r>
      <w:r w:rsidRPr="00310B5C">
        <w:t>,</w:t>
      </w:r>
      <w:r w:rsidRPr="00310B5C">
        <w:rPr>
          <w:i/>
        </w:rPr>
        <w:t xml:space="preserve"> </w:t>
      </w:r>
      <w:r w:rsidRPr="00310B5C">
        <w:t>2006 S</w:t>
      </w:r>
      <w:r>
        <w:t>C</w:t>
      </w:r>
      <w:r w:rsidRPr="00310B5C">
        <w:t xml:space="preserve">C 22 at para. </w:t>
      </w:r>
      <w:r w:rsidRPr="00C95175">
        <w:t xml:space="preserve">5; </w:t>
      </w:r>
      <w:r w:rsidRPr="00C95175">
        <w:rPr>
          <w:i/>
        </w:rPr>
        <w:t>Kirkbi AG v. Ritvik H</w:t>
      </w:r>
      <w:r>
        <w:rPr>
          <w:i/>
        </w:rPr>
        <w:t>oldings Inc</w:t>
      </w:r>
      <w:r w:rsidRPr="00C95175">
        <w:rPr>
          <w:i/>
        </w:rPr>
        <w:t>.</w:t>
      </w:r>
      <w:r w:rsidRPr="00C95175">
        <w:t>, 2005 S</w:t>
      </w:r>
      <w:r>
        <w:t>C</w:t>
      </w:r>
      <w:r w:rsidRPr="00C95175">
        <w:t xml:space="preserve">C 65 </w:t>
      </w:r>
      <w:r>
        <w:t xml:space="preserve">at </w:t>
      </w:r>
      <w:r w:rsidRPr="00C95175">
        <w:t xml:space="preserve">para. </w:t>
      </w:r>
      <w:r w:rsidRPr="002E0483">
        <w:t>58.</w:t>
      </w:r>
    </w:p>
  </w:footnote>
  <w:footnote w:id="14">
    <w:p w14:paraId="694D1881" w14:textId="1B2CFB75" w:rsidR="001D2417" w:rsidRPr="004072AB" w:rsidRDefault="001D2417">
      <w:pPr>
        <w:pStyle w:val="Notedebasdepage"/>
      </w:pPr>
      <w:r>
        <w:rPr>
          <w:rStyle w:val="Appelnotedebasdep"/>
        </w:rPr>
        <w:footnoteRef/>
      </w:r>
      <w:r w:rsidRPr="002E0483">
        <w:t xml:space="preserve"> </w:t>
      </w:r>
      <w:r w:rsidRPr="002E0483">
        <w:tab/>
        <w:t xml:space="preserve">Appellant’s </w:t>
      </w:r>
      <w:r w:rsidR="00A21205">
        <w:t>brief</w:t>
      </w:r>
      <w:r w:rsidRPr="002E0483">
        <w:t>, Vol.1, Argument</w:t>
      </w:r>
      <w:r w:rsidR="0087482A">
        <w:t>s</w:t>
      </w:r>
      <w:r w:rsidRPr="002E0483">
        <w:t xml:space="preserve">, Part III at para. </w:t>
      </w:r>
      <w:r w:rsidRPr="004072AB">
        <w:t>52.</w:t>
      </w:r>
    </w:p>
  </w:footnote>
  <w:footnote w:id="15">
    <w:p w14:paraId="4DB1F649" w14:textId="328279F9" w:rsidR="001D2417" w:rsidRPr="007813BE" w:rsidRDefault="001D2417" w:rsidP="00CB1907">
      <w:pPr>
        <w:pStyle w:val="Notedebasdepage"/>
      </w:pPr>
      <w:r>
        <w:rPr>
          <w:rStyle w:val="Appelnotedebasdep"/>
        </w:rPr>
        <w:footnoteRef/>
      </w:r>
      <w:r w:rsidRPr="007813BE">
        <w:t xml:space="preserve"> </w:t>
      </w:r>
      <w:r w:rsidRPr="007813BE">
        <w:tab/>
        <w:t xml:space="preserve">Roger T. Hughes, Sanjukta Tole </w:t>
      </w:r>
      <w:r w:rsidR="00321B3C">
        <w:t>&amp;</w:t>
      </w:r>
      <w:r w:rsidR="00321B3C" w:rsidRPr="007813BE">
        <w:t xml:space="preserve"> </w:t>
      </w:r>
      <w:r w:rsidRPr="007813BE">
        <w:t xml:space="preserve">Nathan Fan, </w:t>
      </w:r>
      <w:r w:rsidRPr="007813BE">
        <w:rPr>
          <w:i/>
        </w:rPr>
        <w:t>Trademarks Act &amp; Commentary</w:t>
      </w:r>
      <w:r w:rsidRPr="007813BE">
        <w:t xml:space="preserve"> </w:t>
      </w:r>
      <w:r w:rsidR="00321B3C">
        <w:t>(</w:t>
      </w:r>
      <w:r w:rsidRPr="007813BE">
        <w:t>Toronto</w:t>
      </w:r>
      <w:r w:rsidR="00321B3C">
        <w:t>:</w:t>
      </w:r>
      <w:r w:rsidRPr="007813BE">
        <w:t xml:space="preserve"> LexisNexis, 2021</w:t>
      </w:r>
      <w:r w:rsidR="00321B3C">
        <w:t>)</w:t>
      </w:r>
      <w:r w:rsidRPr="007813BE">
        <w:t xml:space="preserve"> </w:t>
      </w:r>
      <w:r>
        <w:t xml:space="preserve">at </w:t>
      </w:r>
      <w:r w:rsidRPr="007813BE">
        <w:t>7</w:t>
      </w:r>
      <w:r>
        <w:t>.</w:t>
      </w:r>
    </w:p>
  </w:footnote>
  <w:footnote w:id="16">
    <w:p w14:paraId="3F423E2A" w14:textId="528E1D7F" w:rsidR="001D2417" w:rsidRPr="00CB1907" w:rsidRDefault="001D2417" w:rsidP="00CB1907">
      <w:pPr>
        <w:pStyle w:val="Notedebasdepage"/>
      </w:pPr>
      <w:r>
        <w:rPr>
          <w:rStyle w:val="Appelnotedebasdep"/>
        </w:rPr>
        <w:footnoteRef/>
      </w:r>
      <w:r w:rsidRPr="006472B8">
        <w:t xml:space="preserve"> </w:t>
      </w:r>
      <w:r w:rsidRPr="006472B8">
        <w:tab/>
      </w:r>
      <w:r w:rsidRPr="006472B8">
        <w:rPr>
          <w:i/>
        </w:rPr>
        <w:t xml:space="preserve">Molson </w:t>
      </w:r>
      <w:r w:rsidRPr="001F4238">
        <w:rPr>
          <w:i/>
        </w:rPr>
        <w:t>Breweries</w:t>
      </w:r>
      <w:r w:rsidRPr="006472B8">
        <w:rPr>
          <w:i/>
        </w:rPr>
        <w:t xml:space="preserve"> v. Labatt Brewing</w:t>
      </w:r>
      <w:r>
        <w:rPr>
          <w:i/>
        </w:rPr>
        <w:t xml:space="preserve"> Co.</w:t>
      </w:r>
      <w:r w:rsidRPr="006472B8">
        <w:t xml:space="preserve">, [1992] </w:t>
      </w:r>
      <w:r w:rsidRPr="001F4238">
        <w:t>F.C.A. No</w:t>
      </w:r>
      <w:r>
        <w:t>.</w:t>
      </w:r>
      <w:r w:rsidRPr="006472B8">
        <w:t xml:space="preserve"> 523 at para. </w:t>
      </w:r>
      <w:r w:rsidRPr="00CB1907">
        <w:t xml:space="preserve">43 </w:t>
      </w:r>
      <w:r w:rsidRPr="001F4238">
        <w:t>(F.C).</w:t>
      </w:r>
      <w:r w:rsidRPr="00CB1907">
        <w:t xml:space="preserve"> </w:t>
      </w:r>
    </w:p>
  </w:footnote>
  <w:footnote w:id="17">
    <w:p w14:paraId="6B579D75" w14:textId="2EB37A0B" w:rsidR="001D2417" w:rsidRPr="007813BE" w:rsidRDefault="001D2417" w:rsidP="00CB1907">
      <w:pPr>
        <w:pStyle w:val="Notedebasdepage"/>
      </w:pPr>
      <w:r>
        <w:rPr>
          <w:rStyle w:val="Appelnotedebasdep"/>
        </w:rPr>
        <w:footnoteRef/>
      </w:r>
      <w:r w:rsidRPr="007813BE">
        <w:t xml:space="preserve"> </w:t>
      </w:r>
      <w:r w:rsidRPr="007813BE">
        <w:tab/>
        <w:t>Donald M. Cameron</w:t>
      </w:r>
      <w:r w:rsidRPr="007813BE">
        <w:rPr>
          <w:i/>
        </w:rPr>
        <w:t>, Canadian Trademark Law Benchbook</w:t>
      </w:r>
      <w:r w:rsidRPr="007813BE">
        <w:t>, 3</w:t>
      </w:r>
      <w:r>
        <w:t>rd</w:t>
      </w:r>
      <w:r w:rsidRPr="007813BE">
        <w:t xml:space="preserve"> </w:t>
      </w:r>
      <w:r>
        <w:t>e</w:t>
      </w:r>
      <w:r w:rsidRPr="007813BE">
        <w:t xml:space="preserve">d. </w:t>
      </w:r>
      <w:r w:rsidR="004567C6">
        <w:t>(</w:t>
      </w:r>
      <w:r w:rsidRPr="007813BE">
        <w:t>Toronto</w:t>
      </w:r>
      <w:r w:rsidR="004567C6">
        <w:t>:</w:t>
      </w:r>
      <w:r w:rsidRPr="007813BE">
        <w:t xml:space="preserve"> Thomson Reuters, 2019</w:t>
      </w:r>
      <w:r w:rsidR="004567C6">
        <w:t>)</w:t>
      </w:r>
      <w:r w:rsidRPr="007813BE">
        <w:t xml:space="preserve"> </w:t>
      </w:r>
      <w:r w:rsidR="003A19CD">
        <w:t xml:space="preserve">at </w:t>
      </w:r>
      <w:r w:rsidRPr="007813BE">
        <w:t>229</w:t>
      </w:r>
      <w:r w:rsidR="004567C6">
        <w:t>–</w:t>
      </w:r>
      <w:r w:rsidRPr="007813BE">
        <w:t>230</w:t>
      </w:r>
      <w:r>
        <w:t>.</w:t>
      </w:r>
    </w:p>
  </w:footnote>
  <w:footnote w:id="18">
    <w:p w14:paraId="1B40874B" w14:textId="66261259" w:rsidR="001D2417" w:rsidRPr="00875803" w:rsidRDefault="001D2417" w:rsidP="00CB1907">
      <w:pPr>
        <w:pStyle w:val="Notedebasdepage"/>
      </w:pPr>
      <w:r>
        <w:rPr>
          <w:rStyle w:val="Appelnotedebasdep"/>
        </w:rPr>
        <w:footnoteRef/>
      </w:r>
      <w:r w:rsidRPr="00875803">
        <w:t xml:space="preserve"> </w:t>
      </w:r>
      <w:r w:rsidRPr="00875803">
        <w:tab/>
      </w:r>
      <w:r w:rsidRPr="00875803">
        <w:rPr>
          <w:i/>
        </w:rPr>
        <w:t>Canadian Shredded Wheat Co. v. Kellogg Co. Of Canada Ltd.</w:t>
      </w:r>
      <w:r w:rsidRPr="00875803">
        <w:t xml:space="preserve">, </w:t>
      </w:r>
      <w:r>
        <w:t xml:space="preserve">[1938] 2 D.L.R. 145; </w:t>
      </w:r>
      <w:r w:rsidRPr="00F803D0">
        <w:t>1938 Carswell</w:t>
      </w:r>
      <w:r>
        <w:t xml:space="preserve"> </w:t>
      </w:r>
      <w:r w:rsidRPr="00F803D0">
        <w:t>Ont</w:t>
      </w:r>
      <w:r>
        <w:t>.</w:t>
      </w:r>
      <w:r w:rsidRPr="00F803D0">
        <w:t xml:space="preserve"> 300 </w:t>
      </w:r>
      <w:r>
        <w:t>(P.</w:t>
      </w:r>
      <w:r w:rsidR="0087482A">
        <w:t>C</w:t>
      </w:r>
      <w:r>
        <w:t>).</w:t>
      </w:r>
    </w:p>
  </w:footnote>
  <w:footnote w:id="19">
    <w:p w14:paraId="08E50BF5" w14:textId="0F5087A6" w:rsidR="001D2417" w:rsidRPr="00FE73C4" w:rsidRDefault="001D2417" w:rsidP="00AC3606">
      <w:pPr>
        <w:pStyle w:val="Notedebasdepage"/>
      </w:pPr>
      <w:r>
        <w:rPr>
          <w:rStyle w:val="Appelnotedebasdep"/>
        </w:rPr>
        <w:footnoteRef/>
      </w:r>
      <w:r w:rsidRPr="00FE73C4">
        <w:t xml:space="preserve"> </w:t>
      </w:r>
      <w:r w:rsidRPr="00FE73C4">
        <w:tab/>
        <w:t xml:space="preserve">For </w:t>
      </w:r>
      <w:r w:rsidR="0087482A">
        <w:t>example</w:t>
      </w:r>
      <w:r w:rsidRPr="00FE73C4">
        <w:t xml:space="preserve">, advertising </w:t>
      </w:r>
      <w:r w:rsidR="0087482A">
        <w:t xml:space="preserve">posters </w:t>
      </w:r>
      <w:r w:rsidRPr="00FE73C4">
        <w:t>P-7 and D-26</w:t>
      </w:r>
      <w:r w:rsidR="0087482A">
        <w:t xml:space="preserve"> and the </w:t>
      </w:r>
      <w:r w:rsidRPr="00FE73C4">
        <w:t xml:space="preserve">advertising </w:t>
      </w:r>
      <w:r>
        <w:t>agreements with radio stations</w:t>
      </w:r>
      <w:r w:rsidRPr="00FE73C4">
        <w:t>.</w:t>
      </w:r>
    </w:p>
  </w:footnote>
  <w:footnote w:id="20">
    <w:p w14:paraId="1A04EFF4" w14:textId="74ADF832" w:rsidR="001D2417" w:rsidRPr="007928AC" w:rsidRDefault="001D2417">
      <w:pPr>
        <w:pStyle w:val="Notedebasdepage"/>
        <w:rPr>
          <w:lang w:val="fr-CA"/>
        </w:rPr>
      </w:pPr>
      <w:r>
        <w:rPr>
          <w:rStyle w:val="Appelnotedebasdep"/>
        </w:rPr>
        <w:footnoteRef/>
      </w:r>
      <w:r w:rsidRPr="007928AC">
        <w:rPr>
          <w:lang w:val="fr-CA"/>
        </w:rPr>
        <w:t xml:space="preserve"> </w:t>
      </w:r>
      <w:r w:rsidRPr="007928AC">
        <w:rPr>
          <w:lang w:val="fr-CA"/>
        </w:rPr>
        <w:tab/>
      </w:r>
      <w:r w:rsidRPr="007928AC">
        <w:rPr>
          <w:i/>
          <w:lang w:val="fr-CA"/>
        </w:rPr>
        <w:t xml:space="preserve">9055-6473 Québec inc. c. Montréal </w:t>
      </w:r>
      <w:proofErr w:type="gramStart"/>
      <w:r w:rsidRPr="007928AC">
        <w:rPr>
          <w:i/>
          <w:lang w:val="fr-CA"/>
        </w:rPr>
        <w:t>Auto Prix</w:t>
      </w:r>
      <w:proofErr w:type="gramEnd"/>
      <w:r w:rsidRPr="007928AC">
        <w:rPr>
          <w:lang w:val="fr-CA"/>
        </w:rPr>
        <w:t xml:space="preserve">, 2006 QCCA 627. </w:t>
      </w:r>
    </w:p>
  </w:footnote>
  <w:footnote w:id="21">
    <w:p w14:paraId="4A76262D" w14:textId="3EE42C31" w:rsidR="001D2417" w:rsidRPr="002E0483" w:rsidRDefault="001D2417">
      <w:pPr>
        <w:pStyle w:val="Notedebasdepage"/>
      </w:pPr>
      <w:r>
        <w:rPr>
          <w:rStyle w:val="Appelnotedebasdep"/>
        </w:rPr>
        <w:footnoteRef/>
      </w:r>
      <w:r w:rsidRPr="002E0483">
        <w:t xml:space="preserve"> </w:t>
      </w:r>
      <w:r w:rsidRPr="002E0483">
        <w:tab/>
      </w:r>
      <w:r w:rsidRPr="002E0483">
        <w:rPr>
          <w:i/>
        </w:rPr>
        <w:t>I</w:t>
      </w:r>
      <w:r w:rsidR="004567C6">
        <w:rPr>
          <w:i/>
        </w:rPr>
        <w:t>bi</w:t>
      </w:r>
      <w:r w:rsidRPr="002E0483">
        <w:rPr>
          <w:i/>
        </w:rPr>
        <w:t>d</w:t>
      </w:r>
      <w:r w:rsidRPr="002E0483">
        <w:t>. at paras</w:t>
      </w:r>
      <w:r w:rsidR="00AA0490">
        <w:t>.</w:t>
      </w:r>
      <w:r w:rsidRPr="002E0483">
        <w:t> 15</w:t>
      </w:r>
      <w:r w:rsidR="004567C6">
        <w:t>–</w:t>
      </w:r>
      <w:r w:rsidRPr="002E0483">
        <w:t>16.</w:t>
      </w:r>
    </w:p>
  </w:footnote>
  <w:footnote w:id="22">
    <w:p w14:paraId="31A37194" w14:textId="4DE8B34C" w:rsidR="001D2417" w:rsidRPr="00741A4A" w:rsidRDefault="001D2417" w:rsidP="003C4489">
      <w:pPr>
        <w:pStyle w:val="Notedebasdepage"/>
      </w:pPr>
      <w:r>
        <w:rPr>
          <w:rStyle w:val="Appelnotedebasdep"/>
        </w:rPr>
        <w:footnoteRef/>
      </w:r>
      <w:r w:rsidRPr="00741A4A">
        <w:t xml:space="preserve"> </w:t>
      </w:r>
      <w:r w:rsidRPr="00741A4A">
        <w:tab/>
        <w:t>Ju</w:t>
      </w:r>
      <w:r>
        <w:t>d</w:t>
      </w:r>
      <w:r w:rsidRPr="00741A4A">
        <w:t>gment under appeal, orders contained in paragraph 218.</w:t>
      </w:r>
    </w:p>
  </w:footnote>
  <w:footnote w:id="23">
    <w:p w14:paraId="6648FD73" w14:textId="0D8BCD77" w:rsidR="001D2417" w:rsidRPr="004072AB" w:rsidRDefault="001D2417">
      <w:pPr>
        <w:pStyle w:val="Notedebasdepage"/>
      </w:pPr>
      <w:r>
        <w:rPr>
          <w:rStyle w:val="Appelnotedebasdep"/>
        </w:rPr>
        <w:footnoteRef/>
      </w:r>
      <w:r w:rsidRPr="004072AB">
        <w:t xml:space="preserve"> </w:t>
      </w:r>
      <w:r w:rsidRPr="004072AB">
        <w:tab/>
      </w:r>
      <w:r w:rsidRPr="004072AB">
        <w:rPr>
          <w:i/>
        </w:rPr>
        <w:t>I</w:t>
      </w:r>
      <w:r w:rsidR="004567C6">
        <w:rPr>
          <w:i/>
        </w:rPr>
        <w:t>bi</w:t>
      </w:r>
      <w:r w:rsidRPr="004072AB">
        <w:rPr>
          <w:i/>
        </w:rPr>
        <w:t>d.</w:t>
      </w:r>
      <w:r w:rsidRPr="004072AB">
        <w:t xml:space="preserve"> </w:t>
      </w:r>
      <w:r>
        <w:t xml:space="preserve">at </w:t>
      </w:r>
      <w:r w:rsidRPr="004072AB">
        <w:t>para. 191.</w:t>
      </w:r>
    </w:p>
  </w:footnote>
  <w:footnote w:id="24">
    <w:p w14:paraId="193017F2" w14:textId="475615C9" w:rsidR="001D2417" w:rsidRPr="002E0483" w:rsidRDefault="001D2417">
      <w:pPr>
        <w:pStyle w:val="Notedebasdepage"/>
      </w:pPr>
      <w:r>
        <w:rPr>
          <w:rStyle w:val="Appelnotedebasdep"/>
        </w:rPr>
        <w:footnoteRef/>
      </w:r>
      <w:r w:rsidRPr="002E0483">
        <w:t xml:space="preserve"> </w:t>
      </w:r>
      <w:r w:rsidRPr="002E0483">
        <w:tab/>
      </w:r>
      <w:r w:rsidRPr="002E0483">
        <w:rPr>
          <w:i/>
        </w:rPr>
        <w:t>I</w:t>
      </w:r>
      <w:r w:rsidR="004567C6">
        <w:rPr>
          <w:i/>
        </w:rPr>
        <w:t>bi</w:t>
      </w:r>
      <w:r w:rsidRPr="002E0483">
        <w:rPr>
          <w:i/>
        </w:rPr>
        <w:t>d</w:t>
      </w:r>
      <w:r w:rsidRPr="002E0483">
        <w:t xml:space="preserve">. </w:t>
      </w:r>
      <w:r>
        <w:t xml:space="preserve">at </w:t>
      </w:r>
      <w:r w:rsidRPr="002E0483">
        <w:t>para. 98.</w:t>
      </w:r>
    </w:p>
  </w:footnote>
  <w:footnote w:id="25">
    <w:p w14:paraId="6513595B" w14:textId="4C8EABC4" w:rsidR="001D2417" w:rsidRPr="002E0483" w:rsidRDefault="001D2417">
      <w:pPr>
        <w:pStyle w:val="Notedebasdepage"/>
      </w:pPr>
      <w:r>
        <w:rPr>
          <w:rStyle w:val="Appelnotedebasdep"/>
        </w:rPr>
        <w:footnoteRef/>
      </w:r>
      <w:r w:rsidRPr="002E0483">
        <w:t xml:space="preserve"> </w:t>
      </w:r>
      <w:r w:rsidRPr="002E0483">
        <w:tab/>
      </w:r>
      <w:r w:rsidRPr="002E0483">
        <w:rPr>
          <w:i/>
        </w:rPr>
        <w:t>I</w:t>
      </w:r>
      <w:r w:rsidR="004567C6">
        <w:rPr>
          <w:i/>
        </w:rPr>
        <w:t>bi</w:t>
      </w:r>
      <w:r w:rsidRPr="002E0483">
        <w:rPr>
          <w:i/>
        </w:rPr>
        <w:t>d</w:t>
      </w:r>
      <w:r w:rsidRPr="002E0483">
        <w:t xml:space="preserve">. </w:t>
      </w:r>
      <w:r>
        <w:t xml:space="preserve">at </w:t>
      </w:r>
      <w:r w:rsidRPr="002E0483">
        <w:t>para. 152.</w:t>
      </w:r>
    </w:p>
  </w:footnote>
  <w:footnote w:id="26">
    <w:p w14:paraId="3257EBF9" w14:textId="57F04B4B" w:rsidR="001D2417" w:rsidRPr="00A0703C" w:rsidRDefault="001D2417">
      <w:pPr>
        <w:pStyle w:val="Notedebasdepage"/>
      </w:pPr>
      <w:r>
        <w:rPr>
          <w:rStyle w:val="Appelnotedebasdep"/>
        </w:rPr>
        <w:footnoteRef/>
      </w:r>
      <w:r w:rsidRPr="000D328D">
        <w:t xml:space="preserve"> </w:t>
      </w:r>
      <w:r w:rsidRPr="000D328D">
        <w:tab/>
      </w:r>
      <w:r w:rsidRPr="000D328D">
        <w:rPr>
          <w:i/>
        </w:rPr>
        <w:t>R. v. Gagnon</w:t>
      </w:r>
      <w:r w:rsidRPr="000D328D">
        <w:t xml:space="preserve">, 2006 SCC 17 at para. </w:t>
      </w:r>
      <w:r w:rsidRPr="007928AC">
        <w:rPr>
          <w:lang w:val="fr-CA"/>
        </w:rPr>
        <w:t xml:space="preserve">10; </w:t>
      </w:r>
      <w:r w:rsidRPr="007928AC">
        <w:rPr>
          <w:i/>
          <w:lang w:val="fr-CA"/>
        </w:rPr>
        <w:t>Jean-Pierre c. Benhachmi</w:t>
      </w:r>
      <w:r w:rsidRPr="007928AC">
        <w:rPr>
          <w:lang w:val="fr-CA"/>
        </w:rPr>
        <w:t xml:space="preserve">, 2018 QCCA 348 at para. </w:t>
      </w:r>
      <w:r w:rsidRPr="007928AC">
        <w:rPr>
          <w:lang w:val="es-ES"/>
        </w:rPr>
        <w:t xml:space="preserve">43; </w:t>
      </w:r>
      <w:r w:rsidRPr="007928AC">
        <w:rPr>
          <w:i/>
          <w:lang w:val="es-ES"/>
        </w:rPr>
        <w:t xml:space="preserve">Francoeur </w:t>
      </w:r>
      <w:r w:rsidRPr="007928AC">
        <w:rPr>
          <w:rFonts w:cs="Arial"/>
          <w:i/>
          <w:iCs/>
          <w:lang w:val="es-ES" w:eastAsia="fr-CA"/>
        </w:rPr>
        <w:t>c. 4417186 Canada inc</w:t>
      </w:r>
      <w:r w:rsidRPr="007928AC">
        <w:rPr>
          <w:rFonts w:cs="Arial"/>
          <w:iCs/>
          <w:lang w:val="es-ES" w:eastAsia="fr-CA"/>
        </w:rPr>
        <w:t xml:space="preserve">., 2013 QCCA 191 at para. 55; </w:t>
      </w:r>
      <w:r w:rsidRPr="007928AC">
        <w:rPr>
          <w:i/>
          <w:lang w:val="es-ES"/>
        </w:rPr>
        <w:t>Garcia Lorenzo c. Migas (Migas Home Inspections)</w:t>
      </w:r>
      <w:r w:rsidRPr="00B326AC">
        <w:rPr>
          <w:iCs/>
          <w:lang w:val="es-ES"/>
        </w:rPr>
        <w:t>,</w:t>
      </w:r>
      <w:r w:rsidRPr="007928AC">
        <w:rPr>
          <w:i/>
          <w:lang w:val="es-ES"/>
        </w:rPr>
        <w:t xml:space="preserve"> </w:t>
      </w:r>
      <w:r w:rsidRPr="007928AC">
        <w:rPr>
          <w:lang w:val="es-ES"/>
        </w:rPr>
        <w:t xml:space="preserve">2016 QCCA 1661 at para. </w:t>
      </w:r>
      <w:r w:rsidRPr="00A0703C">
        <w:t>8.</w:t>
      </w:r>
    </w:p>
  </w:footnote>
  <w:footnote w:id="27">
    <w:p w14:paraId="72048938" w14:textId="05185CB0" w:rsidR="001D2417" w:rsidRPr="00A0703C" w:rsidRDefault="001D2417">
      <w:pPr>
        <w:pStyle w:val="Notedebasdepage"/>
      </w:pPr>
      <w:r>
        <w:rPr>
          <w:rStyle w:val="Appelnotedebasdep"/>
        </w:rPr>
        <w:footnoteRef/>
      </w:r>
      <w:r w:rsidRPr="00A0703C">
        <w:t xml:space="preserve"> </w:t>
      </w:r>
      <w:r w:rsidRPr="00A0703C">
        <w:tab/>
      </w:r>
      <w:r>
        <w:t>Exhibit</w:t>
      </w:r>
      <w:r w:rsidRPr="00A0703C">
        <w:t xml:space="preserve"> D-19.</w:t>
      </w:r>
    </w:p>
  </w:footnote>
  <w:footnote w:id="28">
    <w:p w14:paraId="6A047A9F" w14:textId="044051DB" w:rsidR="001D2417" w:rsidRPr="00A0703C" w:rsidRDefault="001D2417">
      <w:pPr>
        <w:pStyle w:val="Notedebasdepage"/>
      </w:pPr>
      <w:r>
        <w:rPr>
          <w:rStyle w:val="Appelnotedebasdep"/>
        </w:rPr>
        <w:footnoteRef/>
      </w:r>
      <w:r w:rsidRPr="006B0850">
        <w:t xml:space="preserve"> </w:t>
      </w:r>
      <w:r w:rsidRPr="006B0850">
        <w:tab/>
        <w:t>Judgment under appeal at para</w:t>
      </w:r>
      <w:r>
        <w:t>s</w:t>
      </w:r>
      <w:r w:rsidRPr="006B0850">
        <w:t xml:space="preserve">. </w:t>
      </w:r>
      <w:r w:rsidRPr="00A0703C">
        <w:t>91</w:t>
      </w:r>
      <w:r w:rsidR="004567C6">
        <w:t>–</w:t>
      </w:r>
      <w:r w:rsidRPr="00A0703C">
        <w:t>92, 98, 114, 207</w:t>
      </w:r>
      <w:r w:rsidR="004567C6">
        <w:t>,</w:t>
      </w:r>
      <w:r w:rsidRPr="00A0703C">
        <w:t xml:space="preserve"> and 210.</w:t>
      </w:r>
    </w:p>
  </w:footnote>
  <w:footnote w:id="29">
    <w:p w14:paraId="48E11794" w14:textId="34B8C1C8" w:rsidR="001D2417" w:rsidRPr="00E31989" w:rsidRDefault="001D2417">
      <w:pPr>
        <w:pStyle w:val="Notedebasdepage"/>
      </w:pPr>
      <w:r>
        <w:rPr>
          <w:rStyle w:val="Appelnotedebasdep"/>
        </w:rPr>
        <w:footnoteRef/>
      </w:r>
      <w:r w:rsidRPr="00A0703C">
        <w:t xml:space="preserve"> </w:t>
      </w:r>
      <w:r w:rsidRPr="00A0703C">
        <w:tab/>
      </w:r>
      <w:r w:rsidRPr="00A0703C">
        <w:rPr>
          <w:i/>
        </w:rPr>
        <w:t xml:space="preserve">Thoi Bao Inc. v. 1913075 Ontario </w:t>
      </w:r>
      <w:r w:rsidRPr="00E31989">
        <w:rPr>
          <w:i/>
        </w:rPr>
        <w:t xml:space="preserve">Limited (VO Media), </w:t>
      </w:r>
      <w:r w:rsidRPr="00E31989">
        <w:t>2016 FC 1339.</w:t>
      </w:r>
    </w:p>
  </w:footnote>
  <w:footnote w:id="30">
    <w:p w14:paraId="7E525F3B" w14:textId="0068A2CA" w:rsidR="001D2417" w:rsidRPr="00E31989" w:rsidRDefault="001D2417" w:rsidP="006527AF">
      <w:pPr>
        <w:pStyle w:val="Notedebasdepage"/>
      </w:pPr>
      <w:r w:rsidRPr="00E31989">
        <w:rPr>
          <w:rStyle w:val="Appelnotedebasdep"/>
        </w:rPr>
        <w:footnoteRef/>
      </w:r>
      <w:r w:rsidRPr="00E31989">
        <w:t xml:space="preserve"> </w:t>
      </w:r>
      <w:r w:rsidRPr="00E31989">
        <w:tab/>
      </w:r>
      <w:r w:rsidRPr="00E31989">
        <w:rPr>
          <w:i/>
        </w:rPr>
        <w:t>Kaira District Co-operative Milk Producers' Union Limited v. AMUL Canada</w:t>
      </w:r>
      <w:r w:rsidRPr="00E31989">
        <w:t>, 2021 FC 636.</w:t>
      </w:r>
    </w:p>
  </w:footnote>
  <w:footnote w:id="31">
    <w:p w14:paraId="0D94CA92" w14:textId="45613A6B" w:rsidR="001D2417" w:rsidRPr="00E31989" w:rsidRDefault="001D2417">
      <w:pPr>
        <w:pStyle w:val="Notedebasdepage"/>
        <w:rPr>
          <w:lang w:val="fr-CA"/>
        </w:rPr>
      </w:pPr>
      <w:r w:rsidRPr="00E31989">
        <w:rPr>
          <w:rStyle w:val="Appelnotedebasdep"/>
        </w:rPr>
        <w:footnoteRef/>
      </w:r>
      <w:r w:rsidRPr="00E31989">
        <w:rPr>
          <w:lang w:val="fr-CA"/>
        </w:rPr>
        <w:t xml:space="preserve"> </w:t>
      </w:r>
      <w:r w:rsidRPr="00E31989">
        <w:rPr>
          <w:lang w:val="fr-CA"/>
        </w:rPr>
        <w:tab/>
        <w:t xml:space="preserve">See, </w:t>
      </w:r>
      <w:r w:rsidRPr="00E31989">
        <w:rPr>
          <w:i/>
          <w:iCs/>
          <w:lang w:val="fr-CA"/>
        </w:rPr>
        <w:t>inter alia</w:t>
      </w:r>
      <w:r w:rsidRPr="00E31989">
        <w:rPr>
          <w:lang w:val="fr-CA"/>
        </w:rPr>
        <w:t xml:space="preserve">, </w:t>
      </w:r>
      <w:r w:rsidRPr="00E31989">
        <w:rPr>
          <w:i/>
          <w:lang w:val="fr-CA"/>
        </w:rPr>
        <w:t>Quenneville c. Chevalier</w:t>
      </w:r>
      <w:r w:rsidRPr="00E31989">
        <w:rPr>
          <w:lang w:val="fr-CA"/>
        </w:rPr>
        <w:t xml:space="preserve">, 2022 QCCA 219 at para. 14; </w:t>
      </w:r>
      <w:r w:rsidRPr="00E31989">
        <w:rPr>
          <w:i/>
          <w:lang w:val="fr-CA"/>
        </w:rPr>
        <w:t>P.E. c. G.V.</w:t>
      </w:r>
      <w:r w:rsidRPr="00E31989">
        <w:rPr>
          <w:lang w:val="fr-CA"/>
        </w:rPr>
        <w:t xml:space="preserve">, 2021 QCCA 445 at para. 11; </w:t>
      </w:r>
      <w:r w:rsidRPr="00E31989">
        <w:rPr>
          <w:i/>
          <w:lang w:val="fr-CA"/>
        </w:rPr>
        <w:t>Succession de Drolet c. Succession de Boilard</w:t>
      </w:r>
      <w:r w:rsidRPr="00E31989">
        <w:rPr>
          <w:lang w:val="fr-CA"/>
        </w:rPr>
        <w:t xml:space="preserve">, 2021 QCCA 144 at para. 29; </w:t>
      </w:r>
      <w:r w:rsidRPr="00E31989">
        <w:rPr>
          <w:i/>
          <w:lang w:val="fr-CA"/>
        </w:rPr>
        <w:t>9240-8434 Québec inc. c. Beterbiev</w:t>
      </w:r>
      <w:r w:rsidRPr="00E31989">
        <w:rPr>
          <w:lang w:val="fr-CA"/>
        </w:rPr>
        <w:t xml:space="preserve">, 2020 QCCA 1449 at para. 21; </w:t>
      </w:r>
      <w:r w:rsidRPr="00E31989">
        <w:rPr>
          <w:i/>
          <w:lang w:val="fr-CA"/>
        </w:rPr>
        <w:t>Beauchemin c. Wart</w:t>
      </w:r>
      <w:r w:rsidRPr="00E31989">
        <w:rPr>
          <w:lang w:val="fr-CA"/>
        </w:rPr>
        <w:t>, 2020 QCCA 945 at para. 104.</w:t>
      </w:r>
    </w:p>
  </w:footnote>
  <w:footnote w:id="32">
    <w:p w14:paraId="202C0760" w14:textId="3D6CCDEA" w:rsidR="001D2417" w:rsidRPr="007928AC" w:rsidRDefault="001D2417" w:rsidP="00372B37">
      <w:pPr>
        <w:pStyle w:val="Notedebasdepage"/>
        <w:rPr>
          <w:lang w:val="fr-CA"/>
        </w:rPr>
      </w:pPr>
      <w:r w:rsidRPr="00E31989">
        <w:rPr>
          <w:rStyle w:val="Appelnotedebasdep"/>
        </w:rPr>
        <w:footnoteRef/>
      </w:r>
      <w:r w:rsidRPr="00E31989">
        <w:rPr>
          <w:lang w:val="fr-CA"/>
        </w:rPr>
        <w:t xml:space="preserve"> </w:t>
      </w:r>
      <w:r w:rsidRPr="00E31989">
        <w:rPr>
          <w:lang w:val="fr-CA"/>
        </w:rPr>
        <w:tab/>
      </w:r>
      <w:r w:rsidRPr="00E31989">
        <w:rPr>
          <w:i/>
          <w:lang w:val="fr-CA"/>
        </w:rPr>
        <w:t>Succession de Drolet c. Succession de Boilard</w:t>
      </w:r>
      <w:r w:rsidRPr="00E31989">
        <w:rPr>
          <w:lang w:val="fr-CA"/>
        </w:rPr>
        <w:t xml:space="preserve">, </w:t>
      </w:r>
      <w:r w:rsidRPr="00E31989">
        <w:rPr>
          <w:i/>
          <w:lang w:val="fr-CA"/>
        </w:rPr>
        <w:t>supra</w:t>
      </w:r>
      <w:r w:rsidRPr="00E31989">
        <w:rPr>
          <w:lang w:val="fr-CA"/>
        </w:rPr>
        <w:t xml:space="preserve"> </w:t>
      </w:r>
      <w:r w:rsidR="00B67D22" w:rsidRPr="00E31989">
        <w:rPr>
          <w:lang w:val="fr-CA"/>
        </w:rPr>
        <w:t>n</w:t>
      </w:r>
      <w:r w:rsidRPr="00E31989">
        <w:rPr>
          <w:lang w:val="fr-CA"/>
        </w:rPr>
        <w:t>ote 12 at paras. 26</w:t>
      </w:r>
      <w:r w:rsidR="004567C6">
        <w:rPr>
          <w:lang w:val="fr-CA"/>
        </w:rPr>
        <w:t>–</w:t>
      </w:r>
      <w:r w:rsidRPr="00E31989">
        <w:rPr>
          <w:lang w:val="fr-CA"/>
        </w:rPr>
        <w:t xml:space="preserve">27; </w:t>
      </w:r>
      <w:r w:rsidRPr="00E31989">
        <w:rPr>
          <w:i/>
          <w:lang w:val="fr-CA"/>
        </w:rPr>
        <w:t>Vidéotron s.e.n.c. c. Bell Express Vu</w:t>
      </w:r>
      <w:r w:rsidRPr="00E31989">
        <w:rPr>
          <w:lang w:val="fr-CA"/>
        </w:rPr>
        <w:t>, 2015 QCCA 422 at paras. 85</w:t>
      </w:r>
      <w:r w:rsidR="004567C6">
        <w:rPr>
          <w:lang w:val="fr-CA"/>
        </w:rPr>
        <w:t>–</w:t>
      </w:r>
      <w:r w:rsidRPr="00E31989">
        <w:rPr>
          <w:lang w:val="fr-CA"/>
        </w:rPr>
        <w:t xml:space="preserve">87; </w:t>
      </w:r>
      <w:r w:rsidRPr="00E31989">
        <w:rPr>
          <w:i/>
          <w:lang w:val="fr-CA"/>
        </w:rPr>
        <w:t>Banque de Montréal c. TMI Éducaction.com inc. (Syndic de)</w:t>
      </w:r>
      <w:r w:rsidRPr="00E31989">
        <w:rPr>
          <w:lang w:val="fr-CA"/>
        </w:rPr>
        <w:t>, 2014 QCCA 1431 at paras. 103</w:t>
      </w:r>
      <w:r w:rsidR="004567C6">
        <w:rPr>
          <w:lang w:val="fr-CA"/>
        </w:rPr>
        <w:t>–</w:t>
      </w:r>
      <w:r w:rsidRPr="00E31989">
        <w:rPr>
          <w:lang w:val="fr-CA"/>
        </w:rPr>
        <w:t xml:space="preserve">105; </w:t>
      </w:r>
      <w:r w:rsidRPr="00E31989">
        <w:rPr>
          <w:i/>
          <w:lang w:val="fr-CA"/>
        </w:rPr>
        <w:t>Provigo Distribution</w:t>
      </w:r>
      <w:r w:rsidRPr="007928AC">
        <w:rPr>
          <w:i/>
          <w:lang w:val="fr-CA"/>
        </w:rPr>
        <w:t xml:space="preserve"> inc. c. Supermarché A.R.G. inc</w:t>
      </w:r>
      <w:r w:rsidRPr="007928AC">
        <w:rPr>
          <w:lang w:val="fr-CA"/>
        </w:rPr>
        <w:t>., 1995 CanLII 5512 at 74 (QC CA).</w:t>
      </w:r>
    </w:p>
  </w:footnote>
  <w:footnote w:id="33">
    <w:p w14:paraId="5423BA87" w14:textId="19A79806" w:rsidR="001D2417" w:rsidRPr="007928AC" w:rsidRDefault="001D2417" w:rsidP="0038438F">
      <w:pPr>
        <w:pStyle w:val="Notedebasdepage"/>
        <w:rPr>
          <w:lang w:val="fr-CA"/>
        </w:rPr>
      </w:pPr>
      <w:r>
        <w:rPr>
          <w:rStyle w:val="Appelnotedebasdep"/>
        </w:rPr>
        <w:footnoteRef/>
      </w:r>
      <w:r w:rsidRPr="007928AC">
        <w:rPr>
          <w:lang w:val="fr-CA"/>
        </w:rPr>
        <w:t xml:space="preserve"> </w:t>
      </w:r>
      <w:r w:rsidRPr="007928AC">
        <w:rPr>
          <w:lang w:val="fr-CA"/>
        </w:rPr>
        <w:tab/>
      </w:r>
      <w:r w:rsidRPr="007928AC">
        <w:rPr>
          <w:i/>
          <w:lang w:val="fr-CA"/>
        </w:rPr>
        <w:t>Laniel Supérieur inc. c. Régie des alcools, des courses et des jeux</w:t>
      </w:r>
      <w:r w:rsidRPr="007928AC">
        <w:rPr>
          <w:lang w:val="fr-CA"/>
        </w:rPr>
        <w:t xml:space="preserve">, 2019 QCCA 753 at para. 54; </w:t>
      </w:r>
      <w:r w:rsidRPr="007928AC">
        <w:rPr>
          <w:i/>
          <w:lang w:val="fr-CA"/>
        </w:rPr>
        <w:t>Succession de G.P. c. L.P.</w:t>
      </w:r>
      <w:r w:rsidRPr="007928AC">
        <w:rPr>
          <w:lang w:val="fr-CA"/>
        </w:rPr>
        <w:t xml:space="preserve">, 2019 QCCA 863 at para. 33; </w:t>
      </w:r>
      <w:r w:rsidRPr="007928AC">
        <w:rPr>
          <w:i/>
          <w:lang w:val="fr-CA"/>
        </w:rPr>
        <w:t>Hydro-Québec c. Construction Kiewit cie</w:t>
      </w:r>
      <w:r w:rsidRPr="007928AC">
        <w:rPr>
          <w:lang w:val="fr-CA"/>
        </w:rPr>
        <w:t>, 2014 QCCA 947 at para. 101.</w:t>
      </w:r>
    </w:p>
  </w:footnote>
  <w:footnote w:id="34">
    <w:p w14:paraId="79B79FE9" w14:textId="2C4E3CE4" w:rsidR="001D2417" w:rsidRDefault="001D2417">
      <w:pPr>
        <w:pStyle w:val="Notedebasdepage"/>
      </w:pPr>
      <w:r>
        <w:rPr>
          <w:rStyle w:val="Appelnotedebasdep"/>
        </w:rPr>
        <w:footnoteRef/>
      </w:r>
      <w:r w:rsidRPr="007928AC">
        <w:rPr>
          <w:lang w:val="fr-CA"/>
        </w:rPr>
        <w:t xml:space="preserve"> </w:t>
      </w:r>
      <w:r w:rsidRPr="007928AC">
        <w:rPr>
          <w:lang w:val="fr-CA"/>
        </w:rPr>
        <w:tab/>
      </w:r>
      <w:r w:rsidRPr="007928AC">
        <w:rPr>
          <w:rFonts w:eastAsia="Arial Unicode MS"/>
          <w:i/>
          <w:lang w:val="fr-CA"/>
        </w:rPr>
        <w:t>9323-9596 Québec inc. c. Isabel</w:t>
      </w:r>
      <w:r w:rsidRPr="007928AC">
        <w:rPr>
          <w:rFonts w:eastAsia="Arial Unicode MS"/>
          <w:lang w:val="fr-CA"/>
        </w:rPr>
        <w:t xml:space="preserve">, 2021 QCCA 69 at paras. </w:t>
      </w:r>
      <w:r w:rsidRPr="006C0FA2">
        <w:rPr>
          <w:rFonts w:eastAsia="Arial Unicode MS"/>
          <w:lang w:val="fr-CA"/>
        </w:rPr>
        <w:t>13</w:t>
      </w:r>
      <w:r w:rsidR="004567C6" w:rsidRPr="006C0FA2">
        <w:rPr>
          <w:rFonts w:eastAsia="Arial Unicode MS"/>
          <w:lang w:val="fr-CA"/>
        </w:rPr>
        <w:softHyphen/>
      </w:r>
      <w:r w:rsidRPr="006C0FA2">
        <w:rPr>
          <w:rFonts w:eastAsia="Arial Unicode MS"/>
          <w:lang w:val="fr-CA"/>
        </w:rPr>
        <w:t xml:space="preserve">15; </w:t>
      </w:r>
      <w:r w:rsidRPr="006C0FA2">
        <w:rPr>
          <w:rFonts w:eastAsia="Arial Unicode MS"/>
          <w:i/>
          <w:lang w:val="fr-CA"/>
        </w:rPr>
        <w:t>Jack c. Bergeron</w:t>
      </w:r>
      <w:r w:rsidRPr="006C0FA2">
        <w:rPr>
          <w:rFonts w:eastAsia="Arial Unicode MS"/>
          <w:lang w:val="fr-CA"/>
        </w:rPr>
        <w:t xml:space="preserve">, 2019 QCCA 2013 at para. </w:t>
      </w:r>
      <w:r>
        <w:rPr>
          <w:rFonts w:eastAsia="Arial Unicode MS"/>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5AC" w14:textId="2E1A038F" w:rsidR="001D2417" w:rsidRDefault="001D2417" w:rsidP="00DB2119">
    <w:pPr>
      <w:tabs>
        <w:tab w:val="center" w:pos="4709"/>
        <w:tab w:val="right" w:pos="9360"/>
      </w:tabs>
      <w:spacing w:line="360" w:lineRule="auto"/>
      <w:ind w:right="524"/>
    </w:pPr>
    <w:bookmarkStart w:id="20" w:name="EntDossier"/>
    <w:r>
      <w:t>200-09-010287-214</w:t>
    </w:r>
    <w:bookmarkEnd w:id="20"/>
    <w:r w:rsidRPr="007462D6">
      <w:t xml:space="preserve"> </w:t>
    </w:r>
    <w:r>
      <w:tab/>
    </w:r>
    <w:r>
      <w:tab/>
      <w:t xml:space="preserve">PAGE: </w:t>
    </w:r>
    <w:r>
      <w:fldChar w:fldCharType="begin"/>
    </w:r>
    <w:r>
      <w:instrText xml:space="preserve"> PAGE </w:instrText>
    </w:r>
    <w:r>
      <w:fldChar w:fldCharType="separate"/>
    </w:r>
    <w:r w:rsidR="00FB694E">
      <w:rPr>
        <w:noProof/>
      </w:rPr>
      <w:t>15</w:t>
    </w:r>
    <w:r>
      <w:fldChar w:fldCharType="end"/>
    </w:r>
  </w:p>
  <w:p w14:paraId="3FD2CBC7" w14:textId="77777777" w:rsidR="001D2417" w:rsidRDefault="001D2417"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62B8A"/>
    <w:multiLevelType w:val="multilevel"/>
    <w:tmpl w:val="EEA82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276EA2"/>
    <w:multiLevelType w:val="hybridMultilevel"/>
    <w:tmpl w:val="F41A0F82"/>
    <w:lvl w:ilvl="0" w:tplc="ABC889CC">
      <w:start w:val="2"/>
      <w:numFmt w:val="bullet"/>
      <w:lvlText w:val=""/>
      <w:lvlJc w:val="left"/>
      <w:pPr>
        <w:ind w:left="3960" w:hanging="360"/>
      </w:pPr>
      <w:rPr>
        <w:rFonts w:ascii="Symbol" w:eastAsia="Arial Unicode MS" w:hAnsi="Symbol" w:cs="Times New Roman" w:hint="default"/>
      </w:rPr>
    </w:lvl>
    <w:lvl w:ilvl="1" w:tplc="EA7C4916" w:tentative="1">
      <w:start w:val="1"/>
      <w:numFmt w:val="bullet"/>
      <w:lvlText w:val="o"/>
      <w:lvlJc w:val="left"/>
      <w:pPr>
        <w:ind w:left="4680" w:hanging="360"/>
      </w:pPr>
      <w:rPr>
        <w:rFonts w:ascii="Courier New" w:hAnsi="Courier New" w:cs="Courier New" w:hint="default"/>
      </w:rPr>
    </w:lvl>
    <w:lvl w:ilvl="2" w:tplc="3A3EB12A" w:tentative="1">
      <w:start w:val="1"/>
      <w:numFmt w:val="bullet"/>
      <w:lvlText w:val=""/>
      <w:lvlJc w:val="left"/>
      <w:pPr>
        <w:ind w:left="5400" w:hanging="360"/>
      </w:pPr>
      <w:rPr>
        <w:rFonts w:ascii="Wingdings" w:hAnsi="Wingdings" w:hint="default"/>
      </w:rPr>
    </w:lvl>
    <w:lvl w:ilvl="3" w:tplc="0E60F2A4" w:tentative="1">
      <w:start w:val="1"/>
      <w:numFmt w:val="bullet"/>
      <w:lvlText w:val=""/>
      <w:lvlJc w:val="left"/>
      <w:pPr>
        <w:ind w:left="6120" w:hanging="360"/>
      </w:pPr>
      <w:rPr>
        <w:rFonts w:ascii="Symbol" w:hAnsi="Symbol" w:hint="default"/>
      </w:rPr>
    </w:lvl>
    <w:lvl w:ilvl="4" w:tplc="0316B468" w:tentative="1">
      <w:start w:val="1"/>
      <w:numFmt w:val="bullet"/>
      <w:lvlText w:val="o"/>
      <w:lvlJc w:val="left"/>
      <w:pPr>
        <w:ind w:left="6840" w:hanging="360"/>
      </w:pPr>
      <w:rPr>
        <w:rFonts w:ascii="Courier New" w:hAnsi="Courier New" w:cs="Courier New" w:hint="default"/>
      </w:rPr>
    </w:lvl>
    <w:lvl w:ilvl="5" w:tplc="A198C520" w:tentative="1">
      <w:start w:val="1"/>
      <w:numFmt w:val="bullet"/>
      <w:lvlText w:val=""/>
      <w:lvlJc w:val="left"/>
      <w:pPr>
        <w:ind w:left="7560" w:hanging="360"/>
      </w:pPr>
      <w:rPr>
        <w:rFonts w:ascii="Wingdings" w:hAnsi="Wingdings" w:hint="default"/>
      </w:rPr>
    </w:lvl>
    <w:lvl w:ilvl="6" w:tplc="180E471E" w:tentative="1">
      <w:start w:val="1"/>
      <w:numFmt w:val="bullet"/>
      <w:lvlText w:val=""/>
      <w:lvlJc w:val="left"/>
      <w:pPr>
        <w:ind w:left="8280" w:hanging="360"/>
      </w:pPr>
      <w:rPr>
        <w:rFonts w:ascii="Symbol" w:hAnsi="Symbol" w:hint="default"/>
      </w:rPr>
    </w:lvl>
    <w:lvl w:ilvl="7" w:tplc="D382BB40" w:tentative="1">
      <w:start w:val="1"/>
      <w:numFmt w:val="bullet"/>
      <w:lvlText w:val="o"/>
      <w:lvlJc w:val="left"/>
      <w:pPr>
        <w:ind w:left="9000" w:hanging="360"/>
      </w:pPr>
      <w:rPr>
        <w:rFonts w:ascii="Courier New" w:hAnsi="Courier New" w:cs="Courier New" w:hint="default"/>
      </w:rPr>
    </w:lvl>
    <w:lvl w:ilvl="8" w:tplc="4092B406" w:tentative="1">
      <w:start w:val="1"/>
      <w:numFmt w:val="bullet"/>
      <w:lvlText w:val=""/>
      <w:lvlJc w:val="left"/>
      <w:pPr>
        <w:ind w:left="9720" w:hanging="360"/>
      </w:pPr>
      <w:rPr>
        <w:rFonts w:ascii="Wingdings" w:hAnsi="Wingdings" w:hint="default"/>
      </w:rPr>
    </w:lvl>
  </w:abstractNum>
  <w:abstractNum w:abstractNumId="12" w15:restartNumberingAfterBreak="0">
    <w:nsid w:val="16591BF7"/>
    <w:multiLevelType w:val="multilevel"/>
    <w:tmpl w:val="2FD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B60F1"/>
    <w:multiLevelType w:val="hybridMultilevel"/>
    <w:tmpl w:val="7682C17A"/>
    <w:lvl w:ilvl="0" w:tplc="8DFEEF44">
      <w:start w:val="2"/>
      <w:numFmt w:val="bullet"/>
      <w:lvlText w:val=""/>
      <w:lvlJc w:val="left"/>
      <w:pPr>
        <w:ind w:left="4320" w:hanging="360"/>
      </w:pPr>
      <w:rPr>
        <w:rFonts w:ascii="Symbol" w:eastAsia="Arial Unicode MS" w:hAnsi="Symbol" w:cs="Times New Roman" w:hint="default"/>
      </w:rPr>
    </w:lvl>
    <w:lvl w:ilvl="1" w:tplc="A3A0B60A" w:tentative="1">
      <w:start w:val="1"/>
      <w:numFmt w:val="bullet"/>
      <w:lvlText w:val="o"/>
      <w:lvlJc w:val="left"/>
      <w:pPr>
        <w:ind w:left="5040" w:hanging="360"/>
      </w:pPr>
      <w:rPr>
        <w:rFonts w:ascii="Courier New" w:hAnsi="Courier New" w:cs="Courier New" w:hint="default"/>
      </w:rPr>
    </w:lvl>
    <w:lvl w:ilvl="2" w:tplc="3BFC8966" w:tentative="1">
      <w:start w:val="1"/>
      <w:numFmt w:val="bullet"/>
      <w:lvlText w:val=""/>
      <w:lvlJc w:val="left"/>
      <w:pPr>
        <w:ind w:left="5760" w:hanging="360"/>
      </w:pPr>
      <w:rPr>
        <w:rFonts w:ascii="Wingdings" w:hAnsi="Wingdings" w:hint="default"/>
      </w:rPr>
    </w:lvl>
    <w:lvl w:ilvl="3" w:tplc="83082C34" w:tentative="1">
      <w:start w:val="1"/>
      <w:numFmt w:val="bullet"/>
      <w:lvlText w:val=""/>
      <w:lvlJc w:val="left"/>
      <w:pPr>
        <w:ind w:left="6480" w:hanging="360"/>
      </w:pPr>
      <w:rPr>
        <w:rFonts w:ascii="Symbol" w:hAnsi="Symbol" w:hint="default"/>
      </w:rPr>
    </w:lvl>
    <w:lvl w:ilvl="4" w:tplc="0B0E8EB2" w:tentative="1">
      <w:start w:val="1"/>
      <w:numFmt w:val="bullet"/>
      <w:lvlText w:val="o"/>
      <w:lvlJc w:val="left"/>
      <w:pPr>
        <w:ind w:left="7200" w:hanging="360"/>
      </w:pPr>
      <w:rPr>
        <w:rFonts w:ascii="Courier New" w:hAnsi="Courier New" w:cs="Courier New" w:hint="default"/>
      </w:rPr>
    </w:lvl>
    <w:lvl w:ilvl="5" w:tplc="EB747CB0" w:tentative="1">
      <w:start w:val="1"/>
      <w:numFmt w:val="bullet"/>
      <w:lvlText w:val=""/>
      <w:lvlJc w:val="left"/>
      <w:pPr>
        <w:ind w:left="7920" w:hanging="360"/>
      </w:pPr>
      <w:rPr>
        <w:rFonts w:ascii="Wingdings" w:hAnsi="Wingdings" w:hint="default"/>
      </w:rPr>
    </w:lvl>
    <w:lvl w:ilvl="6" w:tplc="E522E924" w:tentative="1">
      <w:start w:val="1"/>
      <w:numFmt w:val="bullet"/>
      <w:lvlText w:val=""/>
      <w:lvlJc w:val="left"/>
      <w:pPr>
        <w:ind w:left="8640" w:hanging="360"/>
      </w:pPr>
      <w:rPr>
        <w:rFonts w:ascii="Symbol" w:hAnsi="Symbol" w:hint="default"/>
      </w:rPr>
    </w:lvl>
    <w:lvl w:ilvl="7" w:tplc="D0FA9A3E" w:tentative="1">
      <w:start w:val="1"/>
      <w:numFmt w:val="bullet"/>
      <w:lvlText w:val="o"/>
      <w:lvlJc w:val="left"/>
      <w:pPr>
        <w:ind w:left="9360" w:hanging="360"/>
      </w:pPr>
      <w:rPr>
        <w:rFonts w:ascii="Courier New" w:hAnsi="Courier New" w:cs="Courier New" w:hint="default"/>
      </w:rPr>
    </w:lvl>
    <w:lvl w:ilvl="8" w:tplc="B8F079AA" w:tentative="1">
      <w:start w:val="1"/>
      <w:numFmt w:val="bullet"/>
      <w:lvlText w:val=""/>
      <w:lvlJc w:val="left"/>
      <w:pPr>
        <w:ind w:left="10080" w:hanging="360"/>
      </w:pPr>
      <w:rPr>
        <w:rFonts w:ascii="Wingdings" w:hAnsi="Wingdings" w:hint="default"/>
      </w:rPr>
    </w:lvl>
  </w:abstractNum>
  <w:abstractNum w:abstractNumId="14" w15:restartNumberingAfterBreak="0">
    <w:nsid w:val="1BAF41CB"/>
    <w:multiLevelType w:val="hybridMultilevel"/>
    <w:tmpl w:val="E5AA507C"/>
    <w:lvl w:ilvl="0" w:tplc="BEECE992">
      <w:numFmt w:val="bullet"/>
      <w:lvlText w:val="-"/>
      <w:lvlJc w:val="left"/>
      <w:pPr>
        <w:ind w:left="1080" w:hanging="360"/>
      </w:pPr>
      <w:rPr>
        <w:rFonts w:ascii="Arial" w:eastAsia="Times New Roman" w:hAnsi="Arial" w:cs="Arial" w:hint="default"/>
      </w:rPr>
    </w:lvl>
    <w:lvl w:ilvl="1" w:tplc="2D6602E0" w:tentative="1">
      <w:start w:val="1"/>
      <w:numFmt w:val="bullet"/>
      <w:lvlText w:val="o"/>
      <w:lvlJc w:val="left"/>
      <w:pPr>
        <w:ind w:left="1800" w:hanging="360"/>
      </w:pPr>
      <w:rPr>
        <w:rFonts w:ascii="Courier New" w:hAnsi="Courier New" w:cs="Courier New" w:hint="default"/>
      </w:rPr>
    </w:lvl>
    <w:lvl w:ilvl="2" w:tplc="A99EB912" w:tentative="1">
      <w:start w:val="1"/>
      <w:numFmt w:val="bullet"/>
      <w:lvlText w:val=""/>
      <w:lvlJc w:val="left"/>
      <w:pPr>
        <w:ind w:left="2520" w:hanging="360"/>
      </w:pPr>
      <w:rPr>
        <w:rFonts w:ascii="Wingdings" w:hAnsi="Wingdings" w:hint="default"/>
      </w:rPr>
    </w:lvl>
    <w:lvl w:ilvl="3" w:tplc="6D8ADCA4" w:tentative="1">
      <w:start w:val="1"/>
      <w:numFmt w:val="bullet"/>
      <w:lvlText w:val=""/>
      <w:lvlJc w:val="left"/>
      <w:pPr>
        <w:ind w:left="3240" w:hanging="360"/>
      </w:pPr>
      <w:rPr>
        <w:rFonts w:ascii="Symbol" w:hAnsi="Symbol" w:hint="default"/>
      </w:rPr>
    </w:lvl>
    <w:lvl w:ilvl="4" w:tplc="25E06734" w:tentative="1">
      <w:start w:val="1"/>
      <w:numFmt w:val="bullet"/>
      <w:lvlText w:val="o"/>
      <w:lvlJc w:val="left"/>
      <w:pPr>
        <w:ind w:left="3960" w:hanging="360"/>
      </w:pPr>
      <w:rPr>
        <w:rFonts w:ascii="Courier New" w:hAnsi="Courier New" w:cs="Courier New" w:hint="default"/>
      </w:rPr>
    </w:lvl>
    <w:lvl w:ilvl="5" w:tplc="BC0498F4" w:tentative="1">
      <w:start w:val="1"/>
      <w:numFmt w:val="bullet"/>
      <w:lvlText w:val=""/>
      <w:lvlJc w:val="left"/>
      <w:pPr>
        <w:ind w:left="4680" w:hanging="360"/>
      </w:pPr>
      <w:rPr>
        <w:rFonts w:ascii="Wingdings" w:hAnsi="Wingdings" w:hint="default"/>
      </w:rPr>
    </w:lvl>
    <w:lvl w:ilvl="6" w:tplc="4F0E30A0" w:tentative="1">
      <w:start w:val="1"/>
      <w:numFmt w:val="bullet"/>
      <w:lvlText w:val=""/>
      <w:lvlJc w:val="left"/>
      <w:pPr>
        <w:ind w:left="5400" w:hanging="360"/>
      </w:pPr>
      <w:rPr>
        <w:rFonts w:ascii="Symbol" w:hAnsi="Symbol" w:hint="default"/>
      </w:rPr>
    </w:lvl>
    <w:lvl w:ilvl="7" w:tplc="D6CAB1DC" w:tentative="1">
      <w:start w:val="1"/>
      <w:numFmt w:val="bullet"/>
      <w:lvlText w:val="o"/>
      <w:lvlJc w:val="left"/>
      <w:pPr>
        <w:ind w:left="6120" w:hanging="360"/>
      </w:pPr>
      <w:rPr>
        <w:rFonts w:ascii="Courier New" w:hAnsi="Courier New" w:cs="Courier New" w:hint="default"/>
      </w:rPr>
    </w:lvl>
    <w:lvl w:ilvl="8" w:tplc="FBCA36EC" w:tentative="1">
      <w:start w:val="1"/>
      <w:numFmt w:val="bullet"/>
      <w:lvlText w:val=""/>
      <w:lvlJc w:val="left"/>
      <w:pPr>
        <w:ind w:left="6840" w:hanging="360"/>
      </w:pPr>
      <w:rPr>
        <w:rFonts w:ascii="Wingdings" w:hAnsi="Wingdings" w:hint="default"/>
      </w:rPr>
    </w:lvl>
  </w:abstractNum>
  <w:abstractNum w:abstractNumId="15" w15:restartNumberingAfterBreak="0">
    <w:nsid w:val="287B3F43"/>
    <w:multiLevelType w:val="hybridMultilevel"/>
    <w:tmpl w:val="B9767EF4"/>
    <w:lvl w:ilvl="0" w:tplc="92DA598E">
      <w:numFmt w:val="bullet"/>
      <w:lvlText w:val="-"/>
      <w:lvlJc w:val="left"/>
      <w:pPr>
        <w:ind w:left="1080" w:hanging="360"/>
      </w:pPr>
      <w:rPr>
        <w:rFonts w:ascii="Arial" w:eastAsia="Arial Unicode MS" w:hAnsi="Arial" w:cs="Arial" w:hint="default"/>
      </w:rPr>
    </w:lvl>
    <w:lvl w:ilvl="1" w:tplc="FD86A146" w:tentative="1">
      <w:start w:val="1"/>
      <w:numFmt w:val="bullet"/>
      <w:lvlText w:val="o"/>
      <w:lvlJc w:val="left"/>
      <w:pPr>
        <w:ind w:left="1800" w:hanging="360"/>
      </w:pPr>
      <w:rPr>
        <w:rFonts w:ascii="Courier New" w:hAnsi="Courier New" w:cs="Courier New" w:hint="default"/>
      </w:rPr>
    </w:lvl>
    <w:lvl w:ilvl="2" w:tplc="74FEA3CE" w:tentative="1">
      <w:start w:val="1"/>
      <w:numFmt w:val="bullet"/>
      <w:lvlText w:val=""/>
      <w:lvlJc w:val="left"/>
      <w:pPr>
        <w:ind w:left="2520" w:hanging="360"/>
      </w:pPr>
      <w:rPr>
        <w:rFonts w:ascii="Wingdings" w:hAnsi="Wingdings" w:hint="default"/>
      </w:rPr>
    </w:lvl>
    <w:lvl w:ilvl="3" w:tplc="B92C4EF4" w:tentative="1">
      <w:start w:val="1"/>
      <w:numFmt w:val="bullet"/>
      <w:lvlText w:val=""/>
      <w:lvlJc w:val="left"/>
      <w:pPr>
        <w:ind w:left="3240" w:hanging="360"/>
      </w:pPr>
      <w:rPr>
        <w:rFonts w:ascii="Symbol" w:hAnsi="Symbol" w:hint="default"/>
      </w:rPr>
    </w:lvl>
    <w:lvl w:ilvl="4" w:tplc="5952FA0E" w:tentative="1">
      <w:start w:val="1"/>
      <w:numFmt w:val="bullet"/>
      <w:lvlText w:val="o"/>
      <w:lvlJc w:val="left"/>
      <w:pPr>
        <w:ind w:left="3960" w:hanging="360"/>
      </w:pPr>
      <w:rPr>
        <w:rFonts w:ascii="Courier New" w:hAnsi="Courier New" w:cs="Courier New" w:hint="default"/>
      </w:rPr>
    </w:lvl>
    <w:lvl w:ilvl="5" w:tplc="B3A41476" w:tentative="1">
      <w:start w:val="1"/>
      <w:numFmt w:val="bullet"/>
      <w:lvlText w:val=""/>
      <w:lvlJc w:val="left"/>
      <w:pPr>
        <w:ind w:left="4680" w:hanging="360"/>
      </w:pPr>
      <w:rPr>
        <w:rFonts w:ascii="Wingdings" w:hAnsi="Wingdings" w:hint="default"/>
      </w:rPr>
    </w:lvl>
    <w:lvl w:ilvl="6" w:tplc="68A63A14" w:tentative="1">
      <w:start w:val="1"/>
      <w:numFmt w:val="bullet"/>
      <w:lvlText w:val=""/>
      <w:lvlJc w:val="left"/>
      <w:pPr>
        <w:ind w:left="5400" w:hanging="360"/>
      </w:pPr>
      <w:rPr>
        <w:rFonts w:ascii="Symbol" w:hAnsi="Symbol" w:hint="default"/>
      </w:rPr>
    </w:lvl>
    <w:lvl w:ilvl="7" w:tplc="61487304" w:tentative="1">
      <w:start w:val="1"/>
      <w:numFmt w:val="bullet"/>
      <w:lvlText w:val="o"/>
      <w:lvlJc w:val="left"/>
      <w:pPr>
        <w:ind w:left="6120" w:hanging="360"/>
      </w:pPr>
      <w:rPr>
        <w:rFonts w:ascii="Courier New" w:hAnsi="Courier New" w:cs="Courier New" w:hint="default"/>
      </w:rPr>
    </w:lvl>
    <w:lvl w:ilvl="8" w:tplc="021C64FA" w:tentative="1">
      <w:start w:val="1"/>
      <w:numFmt w:val="bullet"/>
      <w:lvlText w:val=""/>
      <w:lvlJc w:val="left"/>
      <w:pPr>
        <w:ind w:left="6840" w:hanging="360"/>
      </w:pPr>
      <w:rPr>
        <w:rFonts w:ascii="Wingdings" w:hAnsi="Wingdings" w:hint="default"/>
      </w:rPr>
    </w:lvl>
  </w:abstractNum>
  <w:abstractNum w:abstractNumId="16"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13863EF"/>
    <w:multiLevelType w:val="hybridMultilevel"/>
    <w:tmpl w:val="C6487484"/>
    <w:lvl w:ilvl="0" w:tplc="8BC229CA">
      <w:start w:val="1"/>
      <w:numFmt w:val="decimal"/>
      <w:lvlText w:val="%1."/>
      <w:lvlJc w:val="left"/>
      <w:pPr>
        <w:ind w:left="720" w:hanging="360"/>
      </w:pPr>
      <w:rPr>
        <w:rFonts w:hint="default"/>
      </w:rPr>
    </w:lvl>
    <w:lvl w:ilvl="1" w:tplc="85522ACE" w:tentative="1">
      <w:start w:val="1"/>
      <w:numFmt w:val="lowerLetter"/>
      <w:lvlText w:val="%2."/>
      <w:lvlJc w:val="left"/>
      <w:pPr>
        <w:ind w:left="1440" w:hanging="360"/>
      </w:pPr>
    </w:lvl>
    <w:lvl w:ilvl="2" w:tplc="7F009ACE" w:tentative="1">
      <w:start w:val="1"/>
      <w:numFmt w:val="lowerRoman"/>
      <w:lvlText w:val="%3."/>
      <w:lvlJc w:val="right"/>
      <w:pPr>
        <w:ind w:left="2160" w:hanging="180"/>
      </w:pPr>
    </w:lvl>
    <w:lvl w:ilvl="3" w:tplc="522E1890" w:tentative="1">
      <w:start w:val="1"/>
      <w:numFmt w:val="decimal"/>
      <w:lvlText w:val="%4."/>
      <w:lvlJc w:val="left"/>
      <w:pPr>
        <w:ind w:left="2880" w:hanging="360"/>
      </w:pPr>
    </w:lvl>
    <w:lvl w:ilvl="4" w:tplc="C6844918" w:tentative="1">
      <w:start w:val="1"/>
      <w:numFmt w:val="lowerLetter"/>
      <w:lvlText w:val="%5."/>
      <w:lvlJc w:val="left"/>
      <w:pPr>
        <w:ind w:left="3600" w:hanging="360"/>
      </w:pPr>
    </w:lvl>
    <w:lvl w:ilvl="5" w:tplc="B524C922" w:tentative="1">
      <w:start w:val="1"/>
      <w:numFmt w:val="lowerRoman"/>
      <w:lvlText w:val="%6."/>
      <w:lvlJc w:val="right"/>
      <w:pPr>
        <w:ind w:left="4320" w:hanging="180"/>
      </w:pPr>
    </w:lvl>
    <w:lvl w:ilvl="6" w:tplc="C1C89A68" w:tentative="1">
      <w:start w:val="1"/>
      <w:numFmt w:val="decimal"/>
      <w:lvlText w:val="%7."/>
      <w:lvlJc w:val="left"/>
      <w:pPr>
        <w:ind w:left="5040" w:hanging="360"/>
      </w:pPr>
    </w:lvl>
    <w:lvl w:ilvl="7" w:tplc="11542130" w:tentative="1">
      <w:start w:val="1"/>
      <w:numFmt w:val="lowerLetter"/>
      <w:lvlText w:val="%8."/>
      <w:lvlJc w:val="left"/>
      <w:pPr>
        <w:ind w:left="5760" w:hanging="360"/>
      </w:pPr>
    </w:lvl>
    <w:lvl w:ilvl="8" w:tplc="A70619D2" w:tentative="1">
      <w:start w:val="1"/>
      <w:numFmt w:val="lowerRoman"/>
      <w:lvlText w:val="%9."/>
      <w:lvlJc w:val="right"/>
      <w:pPr>
        <w:ind w:left="6480" w:hanging="180"/>
      </w:pPr>
    </w:lvl>
  </w:abstractNum>
  <w:abstractNum w:abstractNumId="20" w15:restartNumberingAfterBreak="0">
    <w:nsid w:val="7B622C6D"/>
    <w:multiLevelType w:val="multilevel"/>
    <w:tmpl w:val="3A0C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139869">
    <w:abstractNumId w:val="18"/>
  </w:num>
  <w:num w:numId="2" w16cid:durableId="1034580716">
    <w:abstractNumId w:val="18"/>
  </w:num>
  <w:num w:numId="3" w16cid:durableId="1236740304">
    <w:abstractNumId w:val="18"/>
  </w:num>
  <w:num w:numId="4" w16cid:durableId="1509514652">
    <w:abstractNumId w:val="8"/>
  </w:num>
  <w:num w:numId="5" w16cid:durableId="1842117490">
    <w:abstractNumId w:val="3"/>
  </w:num>
  <w:num w:numId="6" w16cid:durableId="623002081">
    <w:abstractNumId w:val="2"/>
  </w:num>
  <w:num w:numId="7" w16cid:durableId="1465077464">
    <w:abstractNumId w:val="1"/>
  </w:num>
  <w:num w:numId="8" w16cid:durableId="1998999515">
    <w:abstractNumId w:val="0"/>
  </w:num>
  <w:num w:numId="9" w16cid:durableId="1611351912">
    <w:abstractNumId w:val="9"/>
  </w:num>
  <w:num w:numId="10" w16cid:durableId="1800418042">
    <w:abstractNumId w:val="7"/>
  </w:num>
  <w:num w:numId="11" w16cid:durableId="2120293388">
    <w:abstractNumId w:val="6"/>
  </w:num>
  <w:num w:numId="12" w16cid:durableId="1992558527">
    <w:abstractNumId w:val="5"/>
  </w:num>
  <w:num w:numId="13" w16cid:durableId="319694847">
    <w:abstractNumId w:val="4"/>
  </w:num>
  <w:num w:numId="14" w16cid:durableId="1653636501">
    <w:abstractNumId w:val="18"/>
  </w:num>
  <w:num w:numId="15" w16cid:durableId="314840871">
    <w:abstractNumId w:val="18"/>
  </w:num>
  <w:num w:numId="16" w16cid:durableId="1702434417">
    <w:abstractNumId w:val="18"/>
  </w:num>
  <w:num w:numId="17" w16cid:durableId="1545143125">
    <w:abstractNumId w:val="17"/>
  </w:num>
  <w:num w:numId="18" w16cid:durableId="1568304664">
    <w:abstractNumId w:val="16"/>
  </w:num>
  <w:num w:numId="19" w16cid:durableId="1928155059">
    <w:abstractNumId w:val="14"/>
  </w:num>
  <w:num w:numId="20" w16cid:durableId="1452825249">
    <w:abstractNumId w:val="19"/>
  </w:num>
  <w:num w:numId="21" w16cid:durableId="723867602">
    <w:abstractNumId w:val="15"/>
  </w:num>
  <w:num w:numId="22" w16cid:durableId="134952349">
    <w:abstractNumId w:val="11"/>
  </w:num>
  <w:num w:numId="23" w16cid:durableId="590087804">
    <w:abstractNumId w:val="13"/>
  </w:num>
  <w:num w:numId="24" w16cid:durableId="32968070">
    <w:abstractNumId w:val="12"/>
  </w:num>
  <w:num w:numId="25" w16cid:durableId="1677657193">
    <w:abstractNumId w:val="10"/>
  </w:num>
  <w:num w:numId="26" w16cid:durableId="593704250">
    <w:abstractNumId w:val="16"/>
  </w:num>
  <w:num w:numId="27" w16cid:durableId="4847065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BE"/>
    <w:rsid w:val="0000150B"/>
    <w:rsid w:val="0001168D"/>
    <w:rsid w:val="00012CC3"/>
    <w:rsid w:val="000131E1"/>
    <w:rsid w:val="00014583"/>
    <w:rsid w:val="00020DEE"/>
    <w:rsid w:val="00023388"/>
    <w:rsid w:val="00034629"/>
    <w:rsid w:val="00034949"/>
    <w:rsid w:val="00034FD8"/>
    <w:rsid w:val="00042666"/>
    <w:rsid w:val="00043555"/>
    <w:rsid w:val="0004394C"/>
    <w:rsid w:val="00053691"/>
    <w:rsid w:val="00053D58"/>
    <w:rsid w:val="00056CCC"/>
    <w:rsid w:val="00064103"/>
    <w:rsid w:val="00066EC6"/>
    <w:rsid w:val="00074335"/>
    <w:rsid w:val="00074D4E"/>
    <w:rsid w:val="000815A3"/>
    <w:rsid w:val="0008469E"/>
    <w:rsid w:val="0008605E"/>
    <w:rsid w:val="0009055C"/>
    <w:rsid w:val="00093D90"/>
    <w:rsid w:val="000A17B7"/>
    <w:rsid w:val="000A7516"/>
    <w:rsid w:val="000B1B70"/>
    <w:rsid w:val="000B29BF"/>
    <w:rsid w:val="000B37C7"/>
    <w:rsid w:val="000B42AF"/>
    <w:rsid w:val="000C2E37"/>
    <w:rsid w:val="000C5359"/>
    <w:rsid w:val="000D2A05"/>
    <w:rsid w:val="000D2B67"/>
    <w:rsid w:val="000D328D"/>
    <w:rsid w:val="000D561F"/>
    <w:rsid w:val="000D7A28"/>
    <w:rsid w:val="000E23C0"/>
    <w:rsid w:val="000E3DCA"/>
    <w:rsid w:val="000E5003"/>
    <w:rsid w:val="000F22AE"/>
    <w:rsid w:val="000F5539"/>
    <w:rsid w:val="001043DA"/>
    <w:rsid w:val="00104DAC"/>
    <w:rsid w:val="00106D5E"/>
    <w:rsid w:val="00110B53"/>
    <w:rsid w:val="00112321"/>
    <w:rsid w:val="00116FC2"/>
    <w:rsid w:val="0011740E"/>
    <w:rsid w:val="001177EC"/>
    <w:rsid w:val="00117914"/>
    <w:rsid w:val="00122736"/>
    <w:rsid w:val="00126CE9"/>
    <w:rsid w:val="0013028C"/>
    <w:rsid w:val="00137722"/>
    <w:rsid w:val="00141488"/>
    <w:rsid w:val="00144CDB"/>
    <w:rsid w:val="00145228"/>
    <w:rsid w:val="00146749"/>
    <w:rsid w:val="00152EA5"/>
    <w:rsid w:val="00153814"/>
    <w:rsid w:val="0015610F"/>
    <w:rsid w:val="001576D6"/>
    <w:rsid w:val="00160B31"/>
    <w:rsid w:val="00160BBF"/>
    <w:rsid w:val="001612BC"/>
    <w:rsid w:val="00170436"/>
    <w:rsid w:val="001705BB"/>
    <w:rsid w:val="00173141"/>
    <w:rsid w:val="00175DAC"/>
    <w:rsid w:val="00180386"/>
    <w:rsid w:val="00181F56"/>
    <w:rsid w:val="001832AE"/>
    <w:rsid w:val="00184AC8"/>
    <w:rsid w:val="00187370"/>
    <w:rsid w:val="00187675"/>
    <w:rsid w:val="00190FA7"/>
    <w:rsid w:val="00191E05"/>
    <w:rsid w:val="001972F2"/>
    <w:rsid w:val="001A11DD"/>
    <w:rsid w:val="001A283E"/>
    <w:rsid w:val="001A41EA"/>
    <w:rsid w:val="001A488E"/>
    <w:rsid w:val="001A4FAE"/>
    <w:rsid w:val="001B0DBE"/>
    <w:rsid w:val="001B3003"/>
    <w:rsid w:val="001B3B1E"/>
    <w:rsid w:val="001B454B"/>
    <w:rsid w:val="001B46E4"/>
    <w:rsid w:val="001B49EE"/>
    <w:rsid w:val="001B4EAE"/>
    <w:rsid w:val="001C48E7"/>
    <w:rsid w:val="001D05C8"/>
    <w:rsid w:val="001D2417"/>
    <w:rsid w:val="001D3952"/>
    <w:rsid w:val="001D44CB"/>
    <w:rsid w:val="001E0AC0"/>
    <w:rsid w:val="001E1C80"/>
    <w:rsid w:val="001E28A7"/>
    <w:rsid w:val="001F4238"/>
    <w:rsid w:val="001F6E85"/>
    <w:rsid w:val="00201ECC"/>
    <w:rsid w:val="002032AB"/>
    <w:rsid w:val="00205996"/>
    <w:rsid w:val="00205DC4"/>
    <w:rsid w:val="002061AA"/>
    <w:rsid w:val="0020727B"/>
    <w:rsid w:val="002105BD"/>
    <w:rsid w:val="0021548E"/>
    <w:rsid w:val="002225A0"/>
    <w:rsid w:val="002270F9"/>
    <w:rsid w:val="002273F5"/>
    <w:rsid w:val="00231226"/>
    <w:rsid w:val="0023556B"/>
    <w:rsid w:val="00236A0D"/>
    <w:rsid w:val="00240875"/>
    <w:rsid w:val="00242578"/>
    <w:rsid w:val="002428B4"/>
    <w:rsid w:val="00243CA7"/>
    <w:rsid w:val="00245A8D"/>
    <w:rsid w:val="00247B75"/>
    <w:rsid w:val="00250DD9"/>
    <w:rsid w:val="002548C6"/>
    <w:rsid w:val="00254F47"/>
    <w:rsid w:val="002568C9"/>
    <w:rsid w:val="002569D5"/>
    <w:rsid w:val="00264B88"/>
    <w:rsid w:val="002652D7"/>
    <w:rsid w:val="00266537"/>
    <w:rsid w:val="00271A34"/>
    <w:rsid w:val="00273810"/>
    <w:rsid w:val="00297DDF"/>
    <w:rsid w:val="002A2D43"/>
    <w:rsid w:val="002A692F"/>
    <w:rsid w:val="002B4A07"/>
    <w:rsid w:val="002B565F"/>
    <w:rsid w:val="002C4107"/>
    <w:rsid w:val="002D017B"/>
    <w:rsid w:val="002D02FF"/>
    <w:rsid w:val="002D0AF4"/>
    <w:rsid w:val="002D3C5E"/>
    <w:rsid w:val="002D5D85"/>
    <w:rsid w:val="002E0483"/>
    <w:rsid w:val="002E0A75"/>
    <w:rsid w:val="002E1F0E"/>
    <w:rsid w:val="002E229C"/>
    <w:rsid w:val="002E4CF7"/>
    <w:rsid w:val="002E51F1"/>
    <w:rsid w:val="002E6C17"/>
    <w:rsid w:val="002F0896"/>
    <w:rsid w:val="002F1350"/>
    <w:rsid w:val="002F1A76"/>
    <w:rsid w:val="002F312C"/>
    <w:rsid w:val="002F59A0"/>
    <w:rsid w:val="002F6136"/>
    <w:rsid w:val="002F70D9"/>
    <w:rsid w:val="002F7204"/>
    <w:rsid w:val="002F7A27"/>
    <w:rsid w:val="003026AD"/>
    <w:rsid w:val="00302E51"/>
    <w:rsid w:val="00307AF2"/>
    <w:rsid w:val="00310B5C"/>
    <w:rsid w:val="00312EBC"/>
    <w:rsid w:val="00321B3C"/>
    <w:rsid w:val="00322DE0"/>
    <w:rsid w:val="0032363D"/>
    <w:rsid w:val="0032793B"/>
    <w:rsid w:val="00327BE7"/>
    <w:rsid w:val="0033190E"/>
    <w:rsid w:val="0033310B"/>
    <w:rsid w:val="003338F8"/>
    <w:rsid w:val="00337CAA"/>
    <w:rsid w:val="003400B0"/>
    <w:rsid w:val="0035077E"/>
    <w:rsid w:val="00352022"/>
    <w:rsid w:val="00352519"/>
    <w:rsid w:val="00353F9F"/>
    <w:rsid w:val="003571D7"/>
    <w:rsid w:val="00361325"/>
    <w:rsid w:val="0036425A"/>
    <w:rsid w:val="00366C6F"/>
    <w:rsid w:val="003713E5"/>
    <w:rsid w:val="00372B37"/>
    <w:rsid w:val="00374888"/>
    <w:rsid w:val="00374E40"/>
    <w:rsid w:val="00376B2D"/>
    <w:rsid w:val="00376DA4"/>
    <w:rsid w:val="00377B08"/>
    <w:rsid w:val="0038229B"/>
    <w:rsid w:val="003828C9"/>
    <w:rsid w:val="0038438F"/>
    <w:rsid w:val="003846F0"/>
    <w:rsid w:val="00393C83"/>
    <w:rsid w:val="0039755D"/>
    <w:rsid w:val="003A19CD"/>
    <w:rsid w:val="003A2F8E"/>
    <w:rsid w:val="003A5C8A"/>
    <w:rsid w:val="003B3473"/>
    <w:rsid w:val="003C01EC"/>
    <w:rsid w:val="003C0A22"/>
    <w:rsid w:val="003C0F1B"/>
    <w:rsid w:val="003C1EF5"/>
    <w:rsid w:val="003C4489"/>
    <w:rsid w:val="003C4CBC"/>
    <w:rsid w:val="003D0BEF"/>
    <w:rsid w:val="003D487D"/>
    <w:rsid w:val="003D66B6"/>
    <w:rsid w:val="003E0C5C"/>
    <w:rsid w:val="003E3239"/>
    <w:rsid w:val="003E3E3C"/>
    <w:rsid w:val="003E471F"/>
    <w:rsid w:val="003E60BC"/>
    <w:rsid w:val="003E60E8"/>
    <w:rsid w:val="003E61EA"/>
    <w:rsid w:val="003F27D7"/>
    <w:rsid w:val="003F3EF4"/>
    <w:rsid w:val="00400961"/>
    <w:rsid w:val="004072AB"/>
    <w:rsid w:val="00423DF1"/>
    <w:rsid w:val="00427C20"/>
    <w:rsid w:val="00430069"/>
    <w:rsid w:val="00430C58"/>
    <w:rsid w:val="004331C4"/>
    <w:rsid w:val="00434FB9"/>
    <w:rsid w:val="0043564D"/>
    <w:rsid w:val="004356B8"/>
    <w:rsid w:val="00441C25"/>
    <w:rsid w:val="00442F32"/>
    <w:rsid w:val="00446452"/>
    <w:rsid w:val="004469A7"/>
    <w:rsid w:val="00447904"/>
    <w:rsid w:val="004547F9"/>
    <w:rsid w:val="00455F92"/>
    <w:rsid w:val="004567C6"/>
    <w:rsid w:val="00456CD6"/>
    <w:rsid w:val="00461FF1"/>
    <w:rsid w:val="004631B2"/>
    <w:rsid w:val="00464222"/>
    <w:rsid w:val="00466B1C"/>
    <w:rsid w:val="00472DC8"/>
    <w:rsid w:val="00480197"/>
    <w:rsid w:val="004802EC"/>
    <w:rsid w:val="0048050B"/>
    <w:rsid w:val="004844B6"/>
    <w:rsid w:val="0048705C"/>
    <w:rsid w:val="0049046C"/>
    <w:rsid w:val="0049171C"/>
    <w:rsid w:val="00493CC4"/>
    <w:rsid w:val="0049447D"/>
    <w:rsid w:val="00495593"/>
    <w:rsid w:val="004A0CC1"/>
    <w:rsid w:val="004A29F1"/>
    <w:rsid w:val="004A4C3E"/>
    <w:rsid w:val="004A6641"/>
    <w:rsid w:val="004B1DF3"/>
    <w:rsid w:val="004B1E94"/>
    <w:rsid w:val="004B33FF"/>
    <w:rsid w:val="004B37D5"/>
    <w:rsid w:val="004B460B"/>
    <w:rsid w:val="004B6CD8"/>
    <w:rsid w:val="004B6D74"/>
    <w:rsid w:val="004C1F82"/>
    <w:rsid w:val="004C79EB"/>
    <w:rsid w:val="004D1D7A"/>
    <w:rsid w:val="004D2F69"/>
    <w:rsid w:val="004D35CE"/>
    <w:rsid w:val="004D53BE"/>
    <w:rsid w:val="004D53CF"/>
    <w:rsid w:val="004E09F8"/>
    <w:rsid w:val="004E27B2"/>
    <w:rsid w:val="004E34C6"/>
    <w:rsid w:val="004E4FBA"/>
    <w:rsid w:val="004F189F"/>
    <w:rsid w:val="004F5FDD"/>
    <w:rsid w:val="00501591"/>
    <w:rsid w:val="00502D46"/>
    <w:rsid w:val="0050562F"/>
    <w:rsid w:val="005069D4"/>
    <w:rsid w:val="005131F1"/>
    <w:rsid w:val="0051484F"/>
    <w:rsid w:val="00514A1B"/>
    <w:rsid w:val="00516B3E"/>
    <w:rsid w:val="00522019"/>
    <w:rsid w:val="005262C9"/>
    <w:rsid w:val="0052685B"/>
    <w:rsid w:val="00526DCF"/>
    <w:rsid w:val="00527A9E"/>
    <w:rsid w:val="00531050"/>
    <w:rsid w:val="00531D70"/>
    <w:rsid w:val="005413E1"/>
    <w:rsid w:val="0054154B"/>
    <w:rsid w:val="00551104"/>
    <w:rsid w:val="0055142F"/>
    <w:rsid w:val="005523BB"/>
    <w:rsid w:val="0055292F"/>
    <w:rsid w:val="00554943"/>
    <w:rsid w:val="00561321"/>
    <w:rsid w:val="00563F30"/>
    <w:rsid w:val="00566BF6"/>
    <w:rsid w:val="00571640"/>
    <w:rsid w:val="00572950"/>
    <w:rsid w:val="00575727"/>
    <w:rsid w:val="00576344"/>
    <w:rsid w:val="00576937"/>
    <w:rsid w:val="005807FA"/>
    <w:rsid w:val="005827F5"/>
    <w:rsid w:val="00583434"/>
    <w:rsid w:val="0058349F"/>
    <w:rsid w:val="00583831"/>
    <w:rsid w:val="00583E4B"/>
    <w:rsid w:val="00583ED3"/>
    <w:rsid w:val="005869A3"/>
    <w:rsid w:val="00591542"/>
    <w:rsid w:val="0059385A"/>
    <w:rsid w:val="005A2227"/>
    <w:rsid w:val="005A5216"/>
    <w:rsid w:val="005A63FD"/>
    <w:rsid w:val="005A78BF"/>
    <w:rsid w:val="005B050C"/>
    <w:rsid w:val="005B0E69"/>
    <w:rsid w:val="005B0E8C"/>
    <w:rsid w:val="005B3E70"/>
    <w:rsid w:val="005B56E4"/>
    <w:rsid w:val="005B62CD"/>
    <w:rsid w:val="005B6B4C"/>
    <w:rsid w:val="005B707E"/>
    <w:rsid w:val="005B7E38"/>
    <w:rsid w:val="005C0574"/>
    <w:rsid w:val="005C09D7"/>
    <w:rsid w:val="005C3959"/>
    <w:rsid w:val="005C5289"/>
    <w:rsid w:val="005C7516"/>
    <w:rsid w:val="005D1522"/>
    <w:rsid w:val="005D2095"/>
    <w:rsid w:val="005D4CEE"/>
    <w:rsid w:val="005D58ED"/>
    <w:rsid w:val="005F0557"/>
    <w:rsid w:val="005F22A9"/>
    <w:rsid w:val="005F3AC2"/>
    <w:rsid w:val="005F4187"/>
    <w:rsid w:val="005F5F5F"/>
    <w:rsid w:val="00607CD6"/>
    <w:rsid w:val="006111B6"/>
    <w:rsid w:val="00614027"/>
    <w:rsid w:val="00615CF8"/>
    <w:rsid w:val="00615E63"/>
    <w:rsid w:val="00616365"/>
    <w:rsid w:val="00616A1E"/>
    <w:rsid w:val="00617D51"/>
    <w:rsid w:val="006200B6"/>
    <w:rsid w:val="00624770"/>
    <w:rsid w:val="00627D12"/>
    <w:rsid w:val="00631C3C"/>
    <w:rsid w:val="006324AB"/>
    <w:rsid w:val="0063311F"/>
    <w:rsid w:val="006363AB"/>
    <w:rsid w:val="00640264"/>
    <w:rsid w:val="006422B2"/>
    <w:rsid w:val="0064250B"/>
    <w:rsid w:val="00643588"/>
    <w:rsid w:val="006472B8"/>
    <w:rsid w:val="006504ED"/>
    <w:rsid w:val="006527AF"/>
    <w:rsid w:val="0065391A"/>
    <w:rsid w:val="0065399F"/>
    <w:rsid w:val="00657F34"/>
    <w:rsid w:val="006633F4"/>
    <w:rsid w:val="00670B01"/>
    <w:rsid w:val="00671ED5"/>
    <w:rsid w:val="00674FF1"/>
    <w:rsid w:val="00676332"/>
    <w:rsid w:val="00677C04"/>
    <w:rsid w:val="00681CC1"/>
    <w:rsid w:val="006826AA"/>
    <w:rsid w:val="0068356A"/>
    <w:rsid w:val="00685091"/>
    <w:rsid w:val="00686EC2"/>
    <w:rsid w:val="006873A4"/>
    <w:rsid w:val="006904AE"/>
    <w:rsid w:val="00693E7A"/>
    <w:rsid w:val="006941C1"/>
    <w:rsid w:val="00694DCE"/>
    <w:rsid w:val="006A0DB0"/>
    <w:rsid w:val="006A0EA5"/>
    <w:rsid w:val="006A6629"/>
    <w:rsid w:val="006B004B"/>
    <w:rsid w:val="006B0131"/>
    <w:rsid w:val="006B0850"/>
    <w:rsid w:val="006C0569"/>
    <w:rsid w:val="006C0FA2"/>
    <w:rsid w:val="006D2D03"/>
    <w:rsid w:val="006E06FE"/>
    <w:rsid w:val="006E5925"/>
    <w:rsid w:val="006E5DDC"/>
    <w:rsid w:val="006F2306"/>
    <w:rsid w:val="006F3103"/>
    <w:rsid w:val="006F5464"/>
    <w:rsid w:val="006F6D0E"/>
    <w:rsid w:val="007027D4"/>
    <w:rsid w:val="00702FE9"/>
    <w:rsid w:val="00703B4B"/>
    <w:rsid w:val="00703B65"/>
    <w:rsid w:val="00706D89"/>
    <w:rsid w:val="0070797A"/>
    <w:rsid w:val="00713A6A"/>
    <w:rsid w:val="00720C2C"/>
    <w:rsid w:val="00722165"/>
    <w:rsid w:val="0072245E"/>
    <w:rsid w:val="00722EBD"/>
    <w:rsid w:val="0073146A"/>
    <w:rsid w:val="00732D2E"/>
    <w:rsid w:val="0073321F"/>
    <w:rsid w:val="00733CD2"/>
    <w:rsid w:val="00735F59"/>
    <w:rsid w:val="00740A17"/>
    <w:rsid w:val="00741A4A"/>
    <w:rsid w:val="007462D6"/>
    <w:rsid w:val="0074738B"/>
    <w:rsid w:val="0075060F"/>
    <w:rsid w:val="00750C85"/>
    <w:rsid w:val="00753557"/>
    <w:rsid w:val="00756EE9"/>
    <w:rsid w:val="0076062E"/>
    <w:rsid w:val="00760B88"/>
    <w:rsid w:val="007635C8"/>
    <w:rsid w:val="007661F8"/>
    <w:rsid w:val="00770DBF"/>
    <w:rsid w:val="007744DC"/>
    <w:rsid w:val="00780E5B"/>
    <w:rsid w:val="007813BE"/>
    <w:rsid w:val="007928AC"/>
    <w:rsid w:val="00792FFF"/>
    <w:rsid w:val="007953F3"/>
    <w:rsid w:val="00795803"/>
    <w:rsid w:val="007966ED"/>
    <w:rsid w:val="007A3B5C"/>
    <w:rsid w:val="007A6C1F"/>
    <w:rsid w:val="007A7803"/>
    <w:rsid w:val="007B061E"/>
    <w:rsid w:val="007B0783"/>
    <w:rsid w:val="007B1E4B"/>
    <w:rsid w:val="007B40A9"/>
    <w:rsid w:val="007B48D5"/>
    <w:rsid w:val="007B739F"/>
    <w:rsid w:val="007C6D51"/>
    <w:rsid w:val="007C706C"/>
    <w:rsid w:val="007D0435"/>
    <w:rsid w:val="007D087C"/>
    <w:rsid w:val="007D490C"/>
    <w:rsid w:val="007D5077"/>
    <w:rsid w:val="007D6310"/>
    <w:rsid w:val="007E1BDA"/>
    <w:rsid w:val="007E20B2"/>
    <w:rsid w:val="007E24B9"/>
    <w:rsid w:val="007E2A04"/>
    <w:rsid w:val="007E33E4"/>
    <w:rsid w:val="007E4CC9"/>
    <w:rsid w:val="007F12AD"/>
    <w:rsid w:val="007F345D"/>
    <w:rsid w:val="007F4F6C"/>
    <w:rsid w:val="007F7E7C"/>
    <w:rsid w:val="00800D23"/>
    <w:rsid w:val="00802A95"/>
    <w:rsid w:val="00803033"/>
    <w:rsid w:val="00806977"/>
    <w:rsid w:val="00807B0E"/>
    <w:rsid w:val="00811968"/>
    <w:rsid w:val="008125D9"/>
    <w:rsid w:val="0081301D"/>
    <w:rsid w:val="00816273"/>
    <w:rsid w:val="0082008F"/>
    <w:rsid w:val="00824E97"/>
    <w:rsid w:val="00826B0B"/>
    <w:rsid w:val="0082717B"/>
    <w:rsid w:val="00827B04"/>
    <w:rsid w:val="00827F57"/>
    <w:rsid w:val="0083032E"/>
    <w:rsid w:val="00836A0F"/>
    <w:rsid w:val="00840075"/>
    <w:rsid w:val="00841907"/>
    <w:rsid w:val="008463C2"/>
    <w:rsid w:val="008515FE"/>
    <w:rsid w:val="0085298D"/>
    <w:rsid w:val="0086036A"/>
    <w:rsid w:val="008620B4"/>
    <w:rsid w:val="008653A3"/>
    <w:rsid w:val="008657A2"/>
    <w:rsid w:val="00866645"/>
    <w:rsid w:val="00866F30"/>
    <w:rsid w:val="00867645"/>
    <w:rsid w:val="0087035E"/>
    <w:rsid w:val="0087482A"/>
    <w:rsid w:val="00874A59"/>
    <w:rsid w:val="00875803"/>
    <w:rsid w:val="00876B17"/>
    <w:rsid w:val="00882210"/>
    <w:rsid w:val="008822C4"/>
    <w:rsid w:val="00882508"/>
    <w:rsid w:val="00882797"/>
    <w:rsid w:val="00883271"/>
    <w:rsid w:val="008862A3"/>
    <w:rsid w:val="008903E6"/>
    <w:rsid w:val="00892072"/>
    <w:rsid w:val="00895456"/>
    <w:rsid w:val="008A2961"/>
    <w:rsid w:val="008A6185"/>
    <w:rsid w:val="008A7A23"/>
    <w:rsid w:val="008B409F"/>
    <w:rsid w:val="008C1FE9"/>
    <w:rsid w:val="008C7DCE"/>
    <w:rsid w:val="008D14F0"/>
    <w:rsid w:val="008D18FC"/>
    <w:rsid w:val="008D398B"/>
    <w:rsid w:val="008D5D56"/>
    <w:rsid w:val="008D7E49"/>
    <w:rsid w:val="008E343B"/>
    <w:rsid w:val="008E4849"/>
    <w:rsid w:val="008E79D7"/>
    <w:rsid w:val="008F364A"/>
    <w:rsid w:val="008F3F53"/>
    <w:rsid w:val="008F5071"/>
    <w:rsid w:val="00902050"/>
    <w:rsid w:val="009026BA"/>
    <w:rsid w:val="0091043F"/>
    <w:rsid w:val="00910932"/>
    <w:rsid w:val="00913E03"/>
    <w:rsid w:val="00916663"/>
    <w:rsid w:val="009210AD"/>
    <w:rsid w:val="00921FCE"/>
    <w:rsid w:val="009229E9"/>
    <w:rsid w:val="00926953"/>
    <w:rsid w:val="00926C5C"/>
    <w:rsid w:val="00932703"/>
    <w:rsid w:val="00936469"/>
    <w:rsid w:val="009400B7"/>
    <w:rsid w:val="00942498"/>
    <w:rsid w:val="00954BF5"/>
    <w:rsid w:val="00954DC2"/>
    <w:rsid w:val="00957B92"/>
    <w:rsid w:val="0096173A"/>
    <w:rsid w:val="00962B81"/>
    <w:rsid w:val="00970966"/>
    <w:rsid w:val="00974442"/>
    <w:rsid w:val="00975D18"/>
    <w:rsid w:val="00980EED"/>
    <w:rsid w:val="0098209A"/>
    <w:rsid w:val="009832E3"/>
    <w:rsid w:val="00992391"/>
    <w:rsid w:val="00992D22"/>
    <w:rsid w:val="009930BB"/>
    <w:rsid w:val="0099321B"/>
    <w:rsid w:val="009964FF"/>
    <w:rsid w:val="00996E20"/>
    <w:rsid w:val="009970DD"/>
    <w:rsid w:val="009A30AD"/>
    <w:rsid w:val="009A79BB"/>
    <w:rsid w:val="009B17EF"/>
    <w:rsid w:val="009B1F15"/>
    <w:rsid w:val="009B300F"/>
    <w:rsid w:val="009B3098"/>
    <w:rsid w:val="009C0766"/>
    <w:rsid w:val="009C1775"/>
    <w:rsid w:val="009C1894"/>
    <w:rsid w:val="009C3CA5"/>
    <w:rsid w:val="009C654E"/>
    <w:rsid w:val="009C6686"/>
    <w:rsid w:val="009C7C30"/>
    <w:rsid w:val="009D0194"/>
    <w:rsid w:val="009D1627"/>
    <w:rsid w:val="009D2AE3"/>
    <w:rsid w:val="009D68ED"/>
    <w:rsid w:val="009E1477"/>
    <w:rsid w:val="009E2151"/>
    <w:rsid w:val="009E2B52"/>
    <w:rsid w:val="009E6EC9"/>
    <w:rsid w:val="009E6FBE"/>
    <w:rsid w:val="009F1F69"/>
    <w:rsid w:val="009F3F70"/>
    <w:rsid w:val="009F446D"/>
    <w:rsid w:val="009F646E"/>
    <w:rsid w:val="009F6EFC"/>
    <w:rsid w:val="009F7C5F"/>
    <w:rsid w:val="00A0703C"/>
    <w:rsid w:val="00A2010B"/>
    <w:rsid w:val="00A21205"/>
    <w:rsid w:val="00A213E5"/>
    <w:rsid w:val="00A23BF4"/>
    <w:rsid w:val="00A2593B"/>
    <w:rsid w:val="00A32755"/>
    <w:rsid w:val="00A34E05"/>
    <w:rsid w:val="00A352A5"/>
    <w:rsid w:val="00A354A9"/>
    <w:rsid w:val="00A41C43"/>
    <w:rsid w:val="00A4328E"/>
    <w:rsid w:val="00A43D8B"/>
    <w:rsid w:val="00A44320"/>
    <w:rsid w:val="00A454F1"/>
    <w:rsid w:val="00A517E4"/>
    <w:rsid w:val="00A52F54"/>
    <w:rsid w:val="00A543CC"/>
    <w:rsid w:val="00A61442"/>
    <w:rsid w:val="00A620B7"/>
    <w:rsid w:val="00A64294"/>
    <w:rsid w:val="00A70C75"/>
    <w:rsid w:val="00A71F44"/>
    <w:rsid w:val="00A730F7"/>
    <w:rsid w:val="00A7310A"/>
    <w:rsid w:val="00A75650"/>
    <w:rsid w:val="00A7683C"/>
    <w:rsid w:val="00A807C6"/>
    <w:rsid w:val="00A84053"/>
    <w:rsid w:val="00A904BB"/>
    <w:rsid w:val="00A91324"/>
    <w:rsid w:val="00A93CFF"/>
    <w:rsid w:val="00AA0490"/>
    <w:rsid w:val="00AA0A41"/>
    <w:rsid w:val="00AA2333"/>
    <w:rsid w:val="00AA2FC5"/>
    <w:rsid w:val="00AA31CC"/>
    <w:rsid w:val="00AA69EE"/>
    <w:rsid w:val="00AA7E5C"/>
    <w:rsid w:val="00AB14B2"/>
    <w:rsid w:val="00AB1B22"/>
    <w:rsid w:val="00AB4ABF"/>
    <w:rsid w:val="00AB7DD2"/>
    <w:rsid w:val="00AC12AB"/>
    <w:rsid w:val="00AC3606"/>
    <w:rsid w:val="00AC3661"/>
    <w:rsid w:val="00AC7B12"/>
    <w:rsid w:val="00AD213D"/>
    <w:rsid w:val="00AD392F"/>
    <w:rsid w:val="00AD3B07"/>
    <w:rsid w:val="00AD4557"/>
    <w:rsid w:val="00AD4C68"/>
    <w:rsid w:val="00AE3FF2"/>
    <w:rsid w:val="00AE48D6"/>
    <w:rsid w:val="00AE7518"/>
    <w:rsid w:val="00AF0C7C"/>
    <w:rsid w:val="00AF64D1"/>
    <w:rsid w:val="00B01D86"/>
    <w:rsid w:val="00B0250B"/>
    <w:rsid w:val="00B02511"/>
    <w:rsid w:val="00B036D5"/>
    <w:rsid w:val="00B07E4E"/>
    <w:rsid w:val="00B105EB"/>
    <w:rsid w:val="00B10D6A"/>
    <w:rsid w:val="00B11FD1"/>
    <w:rsid w:val="00B12566"/>
    <w:rsid w:val="00B137E9"/>
    <w:rsid w:val="00B155A8"/>
    <w:rsid w:val="00B217CC"/>
    <w:rsid w:val="00B250A6"/>
    <w:rsid w:val="00B30EA2"/>
    <w:rsid w:val="00B326AC"/>
    <w:rsid w:val="00B335C1"/>
    <w:rsid w:val="00B35D24"/>
    <w:rsid w:val="00B35F2B"/>
    <w:rsid w:val="00B360FB"/>
    <w:rsid w:val="00B36ED3"/>
    <w:rsid w:val="00B428E1"/>
    <w:rsid w:val="00B429EF"/>
    <w:rsid w:val="00B44498"/>
    <w:rsid w:val="00B4526B"/>
    <w:rsid w:val="00B47150"/>
    <w:rsid w:val="00B513C9"/>
    <w:rsid w:val="00B51DBB"/>
    <w:rsid w:val="00B51F8E"/>
    <w:rsid w:val="00B56EF4"/>
    <w:rsid w:val="00B60994"/>
    <w:rsid w:val="00B62582"/>
    <w:rsid w:val="00B64D88"/>
    <w:rsid w:val="00B67D22"/>
    <w:rsid w:val="00B70485"/>
    <w:rsid w:val="00B72207"/>
    <w:rsid w:val="00B7383E"/>
    <w:rsid w:val="00B74144"/>
    <w:rsid w:val="00B82A13"/>
    <w:rsid w:val="00B84423"/>
    <w:rsid w:val="00B84BEA"/>
    <w:rsid w:val="00B84D42"/>
    <w:rsid w:val="00B85888"/>
    <w:rsid w:val="00B935BF"/>
    <w:rsid w:val="00B96028"/>
    <w:rsid w:val="00BA01B5"/>
    <w:rsid w:val="00BA14EB"/>
    <w:rsid w:val="00BA5AFB"/>
    <w:rsid w:val="00BA6AAF"/>
    <w:rsid w:val="00BB441E"/>
    <w:rsid w:val="00BB50B3"/>
    <w:rsid w:val="00BB5528"/>
    <w:rsid w:val="00BB64C4"/>
    <w:rsid w:val="00BC6543"/>
    <w:rsid w:val="00BD393A"/>
    <w:rsid w:val="00BD4471"/>
    <w:rsid w:val="00BD4B9B"/>
    <w:rsid w:val="00BE2BF0"/>
    <w:rsid w:val="00BE4266"/>
    <w:rsid w:val="00BE673B"/>
    <w:rsid w:val="00BE68F4"/>
    <w:rsid w:val="00BF1205"/>
    <w:rsid w:val="00BF401E"/>
    <w:rsid w:val="00BF50F2"/>
    <w:rsid w:val="00BF57F5"/>
    <w:rsid w:val="00C02AF8"/>
    <w:rsid w:val="00C0596A"/>
    <w:rsid w:val="00C17E01"/>
    <w:rsid w:val="00C255FF"/>
    <w:rsid w:val="00C265A3"/>
    <w:rsid w:val="00C30788"/>
    <w:rsid w:val="00C31AC4"/>
    <w:rsid w:val="00C324C5"/>
    <w:rsid w:val="00C32D7B"/>
    <w:rsid w:val="00C340B4"/>
    <w:rsid w:val="00C3519B"/>
    <w:rsid w:val="00C375F3"/>
    <w:rsid w:val="00C3771B"/>
    <w:rsid w:val="00C37E9B"/>
    <w:rsid w:val="00C409BE"/>
    <w:rsid w:val="00C423CA"/>
    <w:rsid w:val="00C424FC"/>
    <w:rsid w:val="00C44340"/>
    <w:rsid w:val="00C4444D"/>
    <w:rsid w:val="00C45549"/>
    <w:rsid w:val="00C46259"/>
    <w:rsid w:val="00C502C1"/>
    <w:rsid w:val="00C57ED1"/>
    <w:rsid w:val="00C63F08"/>
    <w:rsid w:val="00C652ED"/>
    <w:rsid w:val="00C65E13"/>
    <w:rsid w:val="00C66D1A"/>
    <w:rsid w:val="00C6758C"/>
    <w:rsid w:val="00C7035B"/>
    <w:rsid w:val="00C7042A"/>
    <w:rsid w:val="00C764F9"/>
    <w:rsid w:val="00C7793C"/>
    <w:rsid w:val="00C8242A"/>
    <w:rsid w:val="00C86686"/>
    <w:rsid w:val="00C87081"/>
    <w:rsid w:val="00C937BA"/>
    <w:rsid w:val="00C939A8"/>
    <w:rsid w:val="00C95175"/>
    <w:rsid w:val="00C96A08"/>
    <w:rsid w:val="00C97145"/>
    <w:rsid w:val="00CA0C68"/>
    <w:rsid w:val="00CA34A8"/>
    <w:rsid w:val="00CA3622"/>
    <w:rsid w:val="00CA3FF7"/>
    <w:rsid w:val="00CA6249"/>
    <w:rsid w:val="00CA70EF"/>
    <w:rsid w:val="00CB1907"/>
    <w:rsid w:val="00CB2172"/>
    <w:rsid w:val="00CC02F5"/>
    <w:rsid w:val="00CC52F9"/>
    <w:rsid w:val="00CC7BD1"/>
    <w:rsid w:val="00CD37E5"/>
    <w:rsid w:val="00CD760D"/>
    <w:rsid w:val="00CE351D"/>
    <w:rsid w:val="00CE3903"/>
    <w:rsid w:val="00CF0D18"/>
    <w:rsid w:val="00CF131D"/>
    <w:rsid w:val="00D00B08"/>
    <w:rsid w:val="00D010FD"/>
    <w:rsid w:val="00D0114D"/>
    <w:rsid w:val="00D02812"/>
    <w:rsid w:val="00D06536"/>
    <w:rsid w:val="00D10EE0"/>
    <w:rsid w:val="00D14FFD"/>
    <w:rsid w:val="00D1517C"/>
    <w:rsid w:val="00D178B0"/>
    <w:rsid w:val="00D20056"/>
    <w:rsid w:val="00D20B11"/>
    <w:rsid w:val="00D22AE8"/>
    <w:rsid w:val="00D25302"/>
    <w:rsid w:val="00D25CCD"/>
    <w:rsid w:val="00D272B7"/>
    <w:rsid w:val="00D277CB"/>
    <w:rsid w:val="00D346CE"/>
    <w:rsid w:val="00D442C9"/>
    <w:rsid w:val="00D4504F"/>
    <w:rsid w:val="00D5174B"/>
    <w:rsid w:val="00D52B8E"/>
    <w:rsid w:val="00D61C2C"/>
    <w:rsid w:val="00D75624"/>
    <w:rsid w:val="00D75C37"/>
    <w:rsid w:val="00D76D78"/>
    <w:rsid w:val="00D76F03"/>
    <w:rsid w:val="00D86D8D"/>
    <w:rsid w:val="00D93CE8"/>
    <w:rsid w:val="00D97CD2"/>
    <w:rsid w:val="00DA06A7"/>
    <w:rsid w:val="00DA31D6"/>
    <w:rsid w:val="00DA44A7"/>
    <w:rsid w:val="00DB2119"/>
    <w:rsid w:val="00DB4C5C"/>
    <w:rsid w:val="00DB51A5"/>
    <w:rsid w:val="00DB57C4"/>
    <w:rsid w:val="00DB5A88"/>
    <w:rsid w:val="00DB5F80"/>
    <w:rsid w:val="00DC05BC"/>
    <w:rsid w:val="00DC1A54"/>
    <w:rsid w:val="00DC1F1F"/>
    <w:rsid w:val="00DC3B3F"/>
    <w:rsid w:val="00DC5627"/>
    <w:rsid w:val="00DC6287"/>
    <w:rsid w:val="00DD3A24"/>
    <w:rsid w:val="00DD4C83"/>
    <w:rsid w:val="00DE7CEB"/>
    <w:rsid w:val="00DE7D01"/>
    <w:rsid w:val="00DF3516"/>
    <w:rsid w:val="00E03C07"/>
    <w:rsid w:val="00E04919"/>
    <w:rsid w:val="00E06255"/>
    <w:rsid w:val="00E07999"/>
    <w:rsid w:val="00E11813"/>
    <w:rsid w:val="00E13D71"/>
    <w:rsid w:val="00E1587E"/>
    <w:rsid w:val="00E1689F"/>
    <w:rsid w:val="00E17BEA"/>
    <w:rsid w:val="00E2054A"/>
    <w:rsid w:val="00E20E3C"/>
    <w:rsid w:val="00E226BA"/>
    <w:rsid w:val="00E31989"/>
    <w:rsid w:val="00E32A91"/>
    <w:rsid w:val="00E32F10"/>
    <w:rsid w:val="00E3570F"/>
    <w:rsid w:val="00E36290"/>
    <w:rsid w:val="00E446EA"/>
    <w:rsid w:val="00E46E5C"/>
    <w:rsid w:val="00E46F71"/>
    <w:rsid w:val="00E502F5"/>
    <w:rsid w:val="00E52B60"/>
    <w:rsid w:val="00E540F9"/>
    <w:rsid w:val="00E55F13"/>
    <w:rsid w:val="00E5612C"/>
    <w:rsid w:val="00E60C0E"/>
    <w:rsid w:val="00E70C85"/>
    <w:rsid w:val="00E72456"/>
    <w:rsid w:val="00E726AD"/>
    <w:rsid w:val="00E81E61"/>
    <w:rsid w:val="00E848B4"/>
    <w:rsid w:val="00E8510D"/>
    <w:rsid w:val="00E91417"/>
    <w:rsid w:val="00E91813"/>
    <w:rsid w:val="00E91B08"/>
    <w:rsid w:val="00E92AE7"/>
    <w:rsid w:val="00E94329"/>
    <w:rsid w:val="00E95FB0"/>
    <w:rsid w:val="00EA1CC6"/>
    <w:rsid w:val="00EA2608"/>
    <w:rsid w:val="00EB1377"/>
    <w:rsid w:val="00EB1FFD"/>
    <w:rsid w:val="00EB3B1A"/>
    <w:rsid w:val="00EC1E33"/>
    <w:rsid w:val="00EC5E06"/>
    <w:rsid w:val="00EC7D20"/>
    <w:rsid w:val="00ED012D"/>
    <w:rsid w:val="00ED1BDB"/>
    <w:rsid w:val="00EE3E48"/>
    <w:rsid w:val="00EE6CD9"/>
    <w:rsid w:val="00EF0275"/>
    <w:rsid w:val="00EF2563"/>
    <w:rsid w:val="00F07022"/>
    <w:rsid w:val="00F1119E"/>
    <w:rsid w:val="00F11882"/>
    <w:rsid w:val="00F14678"/>
    <w:rsid w:val="00F169FE"/>
    <w:rsid w:val="00F21206"/>
    <w:rsid w:val="00F22621"/>
    <w:rsid w:val="00F237D6"/>
    <w:rsid w:val="00F245AB"/>
    <w:rsid w:val="00F2751F"/>
    <w:rsid w:val="00F33E30"/>
    <w:rsid w:val="00F34BA3"/>
    <w:rsid w:val="00F35A34"/>
    <w:rsid w:val="00F40882"/>
    <w:rsid w:val="00F422DA"/>
    <w:rsid w:val="00F43559"/>
    <w:rsid w:val="00F451CD"/>
    <w:rsid w:val="00F45282"/>
    <w:rsid w:val="00F47D20"/>
    <w:rsid w:val="00F522B2"/>
    <w:rsid w:val="00F56245"/>
    <w:rsid w:val="00F56345"/>
    <w:rsid w:val="00F56739"/>
    <w:rsid w:val="00F576DE"/>
    <w:rsid w:val="00F5789B"/>
    <w:rsid w:val="00F611AC"/>
    <w:rsid w:val="00F61A4B"/>
    <w:rsid w:val="00F6413B"/>
    <w:rsid w:val="00F64487"/>
    <w:rsid w:val="00F6741B"/>
    <w:rsid w:val="00F67490"/>
    <w:rsid w:val="00F70E82"/>
    <w:rsid w:val="00F75AAB"/>
    <w:rsid w:val="00F75C76"/>
    <w:rsid w:val="00F7666D"/>
    <w:rsid w:val="00F76E6D"/>
    <w:rsid w:val="00F803D0"/>
    <w:rsid w:val="00F83128"/>
    <w:rsid w:val="00F9114F"/>
    <w:rsid w:val="00FA3B49"/>
    <w:rsid w:val="00FA530C"/>
    <w:rsid w:val="00FA6312"/>
    <w:rsid w:val="00FA6E45"/>
    <w:rsid w:val="00FB694E"/>
    <w:rsid w:val="00FC720B"/>
    <w:rsid w:val="00FC7983"/>
    <w:rsid w:val="00FD54B8"/>
    <w:rsid w:val="00FD797D"/>
    <w:rsid w:val="00FE02B1"/>
    <w:rsid w:val="00FE0AC1"/>
    <w:rsid w:val="00FE0D90"/>
    <w:rsid w:val="00FE149E"/>
    <w:rsid w:val="00FE3FE9"/>
    <w:rsid w:val="00FE5B44"/>
    <w:rsid w:val="00FE6A10"/>
    <w:rsid w:val="00FE73C4"/>
    <w:rsid w:val="00FF08BB"/>
    <w:rsid w:val="00FF415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34D6"/>
  <w15:docId w15:val="{9E90CFA4-B526-4382-864A-43DF30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val="en-CA" w:eastAsia="fr-FR"/>
    </w:rPr>
  </w:style>
  <w:style w:type="paragraph" w:styleId="Titre1">
    <w:name w:val="heading 1"/>
    <w:basedOn w:val="Normal"/>
    <w:next w:val="Normal"/>
    <w:link w:val="Titre1Car"/>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semiHidden/>
    <w:rsid w:val="009D2AE3"/>
    <w:rPr>
      <w:rFonts w:ascii="Arial" w:hAnsi="Arial"/>
      <w:lang w:eastAsia="fr-FR"/>
    </w:rPr>
  </w:style>
  <w:style w:type="character" w:customStyle="1" w:styleId="ParagrapheCar">
    <w:name w:val="Paragraphe Car"/>
    <w:link w:val="Paragraphe"/>
    <w:rsid w:val="00A70C75"/>
    <w:rPr>
      <w:rFonts w:ascii="Arial" w:hAnsi="Arial"/>
      <w:kern w:val="28"/>
      <w:sz w:val="24"/>
      <w:lang w:eastAsia="fr-FR"/>
    </w:rPr>
  </w:style>
  <w:style w:type="character" w:styleId="Hyperlien">
    <w:name w:val="Hyperlink"/>
    <w:basedOn w:val="Policepardfaut"/>
    <w:uiPriority w:val="99"/>
    <w:unhideWhenUsed/>
    <w:rsid w:val="00AD213D"/>
    <w:rPr>
      <w:color w:val="0563C1" w:themeColor="hyperlink"/>
      <w:u w:val="single"/>
    </w:rPr>
  </w:style>
  <w:style w:type="paragraph" w:customStyle="1" w:styleId="paragraphe0">
    <w:name w:val="paragraphe"/>
    <w:basedOn w:val="Normal"/>
    <w:rsid w:val="006F6D0E"/>
    <w:pPr>
      <w:spacing w:before="100" w:beforeAutospacing="1" w:after="100" w:afterAutospacing="1" w:line="240" w:lineRule="auto"/>
    </w:pPr>
    <w:rPr>
      <w:rFonts w:ascii="Times New Roman" w:hAnsi="Times New Roman"/>
      <w:szCs w:val="24"/>
      <w:lang w:eastAsia="fr-CA"/>
    </w:rPr>
  </w:style>
  <w:style w:type="paragraph" w:customStyle="1" w:styleId="citationenretrait0">
    <w:name w:val="citationenretrait"/>
    <w:basedOn w:val="Normal"/>
    <w:rsid w:val="006F6D0E"/>
    <w:pPr>
      <w:spacing w:before="100" w:beforeAutospacing="1" w:after="100" w:afterAutospacing="1" w:line="240" w:lineRule="auto"/>
    </w:pPr>
    <w:rPr>
      <w:rFonts w:ascii="Times New Roman" w:hAnsi="Times New Roman"/>
      <w:szCs w:val="24"/>
      <w:lang w:eastAsia="fr-CA"/>
    </w:rPr>
  </w:style>
  <w:style w:type="paragraph" w:customStyle="1" w:styleId="CitationdecitationFR">
    <w:name w:val="Citation de citation FR"/>
    <w:basedOn w:val="Normal"/>
    <w:rsid w:val="00583ED3"/>
    <w:pPr>
      <w:spacing w:before="120" w:after="120"/>
      <w:ind w:left="1440" w:right="720"/>
      <w:jc w:val="both"/>
    </w:pPr>
    <w:rPr>
      <w:kern w:val="24"/>
      <w:sz w:val="19"/>
      <w:szCs w:val="19"/>
    </w:rPr>
  </w:style>
  <w:style w:type="character" w:customStyle="1" w:styleId="solexhl">
    <w:name w:val="solexhl"/>
    <w:basedOn w:val="Policepardfaut"/>
    <w:rsid w:val="00992D22"/>
  </w:style>
  <w:style w:type="paragraph" w:customStyle="1" w:styleId="marginalnote">
    <w:name w:val="marginalnote"/>
    <w:basedOn w:val="Normal"/>
    <w:rsid w:val="00EB1FFD"/>
    <w:pPr>
      <w:spacing w:before="100" w:beforeAutospacing="1" w:after="100" w:afterAutospacing="1" w:line="240" w:lineRule="auto"/>
    </w:pPr>
    <w:rPr>
      <w:rFonts w:ascii="Times New Roman" w:hAnsi="Times New Roman"/>
      <w:szCs w:val="24"/>
      <w:lang w:eastAsia="fr-CA"/>
    </w:rPr>
  </w:style>
  <w:style w:type="paragraph" w:customStyle="1" w:styleId="subsection">
    <w:name w:val="subsection"/>
    <w:basedOn w:val="Normal"/>
    <w:rsid w:val="00EB1FFD"/>
    <w:pPr>
      <w:spacing w:before="100" w:beforeAutospacing="1" w:after="100" w:afterAutospacing="1" w:line="240" w:lineRule="auto"/>
    </w:pPr>
    <w:rPr>
      <w:rFonts w:ascii="Times New Roman" w:hAnsi="Times New Roman"/>
      <w:szCs w:val="24"/>
      <w:lang w:eastAsia="fr-CA"/>
    </w:rPr>
  </w:style>
  <w:style w:type="character" w:customStyle="1" w:styleId="sectionlabel">
    <w:name w:val="sectionlabel"/>
    <w:basedOn w:val="Policepardfaut"/>
    <w:rsid w:val="00EB1FFD"/>
  </w:style>
  <w:style w:type="character" w:customStyle="1" w:styleId="canliisectionwithsubsection">
    <w:name w:val="canlii_section_with_subsection"/>
    <w:basedOn w:val="Policepardfaut"/>
    <w:rsid w:val="00EB1FFD"/>
  </w:style>
  <w:style w:type="character" w:customStyle="1" w:styleId="citationcar">
    <w:name w:val="citationcar"/>
    <w:basedOn w:val="Policepardfaut"/>
    <w:rsid w:val="00A354A9"/>
  </w:style>
  <w:style w:type="character" w:customStyle="1" w:styleId="Titre1Car">
    <w:name w:val="Titre 1 Car"/>
    <w:basedOn w:val="Policepardfaut"/>
    <w:link w:val="Titre1"/>
    <w:uiPriority w:val="9"/>
    <w:rsid w:val="00A354A9"/>
    <w:rPr>
      <w:rFonts w:ascii="Arial" w:hAnsi="Arial"/>
      <w:b/>
      <w:kern w:val="28"/>
      <w:sz w:val="28"/>
      <w:lang w:eastAsia="fr-FR"/>
    </w:rPr>
  </w:style>
  <w:style w:type="paragraph" w:customStyle="1" w:styleId="paragnum">
    <w:name w:val="paragnum"/>
    <w:basedOn w:val="Normal"/>
    <w:rsid w:val="00A354A9"/>
    <w:pPr>
      <w:spacing w:before="100" w:beforeAutospacing="1" w:after="100" w:afterAutospacing="1" w:line="240" w:lineRule="auto"/>
    </w:pPr>
    <w:rPr>
      <w:rFonts w:ascii="Times New Roman" w:hAnsi="Times New Roman"/>
      <w:szCs w:val="24"/>
      <w:lang w:eastAsia="fr-CA"/>
    </w:rPr>
  </w:style>
  <w:style w:type="paragraph" w:styleId="Citation">
    <w:name w:val="Quote"/>
    <w:basedOn w:val="Normal"/>
    <w:link w:val="CitationCar0"/>
    <w:uiPriority w:val="29"/>
    <w:qFormat/>
    <w:rsid w:val="00A354A9"/>
    <w:pPr>
      <w:spacing w:before="100" w:beforeAutospacing="1" w:after="100" w:afterAutospacing="1" w:line="240" w:lineRule="auto"/>
    </w:pPr>
    <w:rPr>
      <w:rFonts w:ascii="Times New Roman" w:hAnsi="Times New Roman"/>
      <w:szCs w:val="24"/>
      <w:lang w:eastAsia="fr-CA"/>
    </w:rPr>
  </w:style>
  <w:style w:type="character" w:customStyle="1" w:styleId="CitationCar0">
    <w:name w:val="Citation Car"/>
    <w:basedOn w:val="Policepardfaut"/>
    <w:link w:val="Citation"/>
    <w:uiPriority w:val="29"/>
    <w:rsid w:val="00A354A9"/>
    <w:rPr>
      <w:sz w:val="24"/>
      <w:szCs w:val="24"/>
    </w:rPr>
  </w:style>
  <w:style w:type="character" w:styleId="Accentuation">
    <w:name w:val="Emphasis"/>
    <w:basedOn w:val="Policepardfaut"/>
    <w:uiPriority w:val="20"/>
    <w:qFormat/>
    <w:rsid w:val="00A354A9"/>
    <w:rPr>
      <w:i/>
      <w:iCs/>
    </w:rPr>
  </w:style>
  <w:style w:type="character" w:customStyle="1" w:styleId="reflex3-block">
    <w:name w:val="reflex3-block"/>
    <w:basedOn w:val="Policepardfaut"/>
    <w:rsid w:val="00A354A9"/>
  </w:style>
  <w:style w:type="character" w:styleId="DfinitionHTML">
    <w:name w:val="HTML Definition"/>
    <w:uiPriority w:val="99"/>
    <w:semiHidden/>
    <w:unhideWhenUsed/>
    <w:rsid w:val="00D76F03"/>
    <w:rPr>
      <w:i/>
      <w:iCs/>
    </w:rPr>
  </w:style>
  <w:style w:type="character" w:customStyle="1" w:styleId="definedtermlink">
    <w:name w:val="definedtermlink"/>
    <w:rsid w:val="00D76F03"/>
  </w:style>
  <w:style w:type="character" w:styleId="Marquedecommentaire">
    <w:name w:val="annotation reference"/>
    <w:basedOn w:val="Policepardfaut"/>
    <w:uiPriority w:val="99"/>
    <w:semiHidden/>
    <w:unhideWhenUsed/>
    <w:rsid w:val="00A4328E"/>
    <w:rPr>
      <w:sz w:val="16"/>
      <w:szCs w:val="16"/>
    </w:rPr>
  </w:style>
  <w:style w:type="paragraph" w:styleId="Commentaire">
    <w:name w:val="annotation text"/>
    <w:basedOn w:val="Normal"/>
    <w:link w:val="CommentaireCar"/>
    <w:uiPriority w:val="99"/>
    <w:semiHidden/>
    <w:unhideWhenUsed/>
    <w:rsid w:val="00A4328E"/>
    <w:pPr>
      <w:spacing w:line="240" w:lineRule="auto"/>
    </w:pPr>
    <w:rPr>
      <w:sz w:val="20"/>
    </w:rPr>
  </w:style>
  <w:style w:type="character" w:customStyle="1" w:styleId="CommentaireCar">
    <w:name w:val="Commentaire Car"/>
    <w:basedOn w:val="Policepardfaut"/>
    <w:link w:val="Commentaire"/>
    <w:uiPriority w:val="99"/>
    <w:semiHidden/>
    <w:rsid w:val="00A4328E"/>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4328E"/>
    <w:rPr>
      <w:b/>
      <w:bCs/>
    </w:rPr>
  </w:style>
  <w:style w:type="character" w:customStyle="1" w:styleId="ObjetducommentaireCar">
    <w:name w:val="Objet du commentaire Car"/>
    <w:basedOn w:val="CommentaireCar"/>
    <w:link w:val="Objetducommentaire"/>
    <w:uiPriority w:val="99"/>
    <w:semiHidden/>
    <w:rsid w:val="00A4328E"/>
    <w:rPr>
      <w:rFonts w:ascii="Arial" w:hAnsi="Arial"/>
      <w:b/>
      <w:bCs/>
      <w:lang w:eastAsia="fr-FR"/>
    </w:rPr>
  </w:style>
  <w:style w:type="character" w:customStyle="1" w:styleId="UnresolvedMention1">
    <w:name w:val="Unresolved Mention1"/>
    <w:basedOn w:val="Policepardfaut"/>
    <w:uiPriority w:val="99"/>
    <w:semiHidden/>
    <w:unhideWhenUsed/>
    <w:rsid w:val="00053D58"/>
    <w:rPr>
      <w:color w:val="605E5C"/>
      <w:shd w:val="clear" w:color="auto" w:fill="E1DFDD"/>
    </w:rPr>
  </w:style>
  <w:style w:type="paragraph" w:styleId="Rvision">
    <w:name w:val="Revision"/>
    <w:hidden/>
    <w:uiPriority w:val="99"/>
    <w:semiHidden/>
    <w:rsid w:val="00882797"/>
    <w:rPr>
      <w:rFonts w:ascii="Arial" w:hAnsi="Arial"/>
      <w:sz w:val="24"/>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80245">
      <w:bodyDiv w:val="1"/>
      <w:marLeft w:val="0"/>
      <w:marRight w:val="0"/>
      <w:marTop w:val="0"/>
      <w:marBottom w:val="0"/>
      <w:divBdr>
        <w:top w:val="none" w:sz="0" w:space="0" w:color="auto"/>
        <w:left w:val="none" w:sz="0" w:space="0" w:color="auto"/>
        <w:bottom w:val="none" w:sz="0" w:space="0" w:color="auto"/>
        <w:right w:val="none" w:sz="0" w:space="0" w:color="auto"/>
      </w:divBdr>
      <w:divsChild>
        <w:div w:id="17703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D66E-B7B1-4585-A11B-F983AD64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4633</Words>
  <Characters>25482</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Tourangeau, Guylaine</dc:creator>
  <cp:lastModifiedBy>Gauthier, François</cp:lastModifiedBy>
  <cp:revision>4</cp:revision>
  <cp:lastPrinted>2023-04-08T19:28:00Z</cp:lastPrinted>
  <dcterms:created xsi:type="dcterms:W3CDTF">2023-10-05T15:43:00Z</dcterms:created>
  <dcterms:modified xsi:type="dcterms:W3CDTF">2023-10-05T17:54:00Z</dcterms:modified>
</cp:coreProperties>
</file>