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7A28" w14:textId="14C11B11" w:rsidR="00CF3C34" w:rsidRPr="00C32B26" w:rsidRDefault="00CF3C34">
      <w:pPr>
        <w:rPr>
          <w:lang w:val="en-CA"/>
        </w:rPr>
      </w:pPr>
      <w:r w:rsidRPr="00C32B26">
        <w:rPr>
          <w:lang w:val="en-CA"/>
        </w:rPr>
        <w:t>Translat</w:t>
      </w:r>
      <w:r w:rsidR="00585250" w:rsidRPr="00C32B26">
        <w:rPr>
          <w:lang w:val="en-CA"/>
        </w:rPr>
        <w:t xml:space="preserve">ed from the </w:t>
      </w:r>
      <w:r w:rsidR="00AA5534" w:rsidRPr="00C32B26">
        <w:rPr>
          <w:lang w:val="en-CA"/>
        </w:rPr>
        <w:t>o</w:t>
      </w:r>
      <w:r w:rsidR="00585250" w:rsidRPr="00C32B26">
        <w:rPr>
          <w:lang w:val="en-CA"/>
        </w:rPr>
        <w:t>riginal French</w:t>
      </w:r>
    </w:p>
    <w:tbl>
      <w:tblPr>
        <w:tblW w:w="8936" w:type="dxa"/>
        <w:tblLayout w:type="fixed"/>
        <w:tblCellMar>
          <w:left w:w="70" w:type="dxa"/>
          <w:right w:w="70" w:type="dxa"/>
        </w:tblCellMar>
        <w:tblLook w:val="0000" w:firstRow="0" w:lastRow="0" w:firstColumn="0" w:lastColumn="0" w:noHBand="0" w:noVBand="0"/>
      </w:tblPr>
      <w:tblGrid>
        <w:gridCol w:w="1105"/>
        <w:gridCol w:w="29"/>
        <w:gridCol w:w="481"/>
        <w:gridCol w:w="370"/>
        <w:gridCol w:w="2410"/>
        <w:gridCol w:w="2126"/>
        <w:gridCol w:w="1693"/>
        <w:gridCol w:w="722"/>
      </w:tblGrid>
      <w:tr w:rsidR="00C32B26" w:rsidRPr="00C32B26" w14:paraId="2C5E422C" w14:textId="77777777" w:rsidTr="007F7A96">
        <w:trPr>
          <w:trHeight w:val="360"/>
        </w:trPr>
        <w:tc>
          <w:tcPr>
            <w:tcW w:w="6521" w:type="dxa"/>
            <w:gridSpan w:val="6"/>
          </w:tcPr>
          <w:p w14:paraId="2C5E422A" w14:textId="35EF39CA" w:rsidR="00121A72" w:rsidRPr="00C32B26" w:rsidRDefault="002B4809" w:rsidP="002B4809">
            <w:pPr>
              <w:pStyle w:val="zSoquijdatRepertorie"/>
              <w:rPr>
                <w:rFonts w:cs="Arial"/>
                <w:noProof w:val="0"/>
                <w:highlight w:val="cyan"/>
              </w:rPr>
            </w:pPr>
            <w:r w:rsidRPr="00C32B26">
              <w:rPr>
                <w:rFonts w:cs="Arial"/>
                <w:noProof w:val="0"/>
              </w:rPr>
              <w:t>Mitchell c. Procureur général du Québec</w:t>
            </w:r>
          </w:p>
        </w:tc>
        <w:tc>
          <w:tcPr>
            <w:tcW w:w="2415" w:type="dxa"/>
            <w:gridSpan w:val="2"/>
          </w:tcPr>
          <w:p w14:paraId="2C5E422B" w14:textId="69930404" w:rsidR="00121A72" w:rsidRPr="00C32B26" w:rsidRDefault="002B074A" w:rsidP="002B074A">
            <w:pPr>
              <w:pStyle w:val="zSoquijdatRefNeutre"/>
              <w:jc w:val="right"/>
              <w:rPr>
                <w:rFonts w:cs="Arial"/>
                <w:noProof w:val="0"/>
                <w:lang w:val="en-CA"/>
              </w:rPr>
            </w:pPr>
            <w:r w:rsidRPr="00C32B26">
              <w:rPr>
                <w:rFonts w:cs="Arial"/>
                <w:noProof w:val="0"/>
                <w:lang w:val="en-CA"/>
              </w:rPr>
              <w:t>2022 QCCS 2983</w:t>
            </w:r>
          </w:p>
        </w:tc>
      </w:tr>
      <w:tr w:rsidR="00C32B26" w:rsidRPr="00C32B26" w14:paraId="2C5E422E" w14:textId="77777777" w:rsidTr="007F7A96">
        <w:trPr>
          <w:trHeight w:val="900"/>
        </w:trPr>
        <w:tc>
          <w:tcPr>
            <w:tcW w:w="8932" w:type="dxa"/>
            <w:gridSpan w:val="8"/>
            <w:vAlign w:val="bottom"/>
          </w:tcPr>
          <w:p w14:paraId="2C5E422D" w14:textId="601AFBCB" w:rsidR="003778AD" w:rsidRPr="00C32B26" w:rsidRDefault="00C700E3" w:rsidP="00224603">
            <w:pPr>
              <w:pStyle w:val="zSoquijlblCour"/>
              <w:rPr>
                <w:rFonts w:cs="Arial"/>
                <w:lang w:val="en-CA"/>
              </w:rPr>
            </w:pPr>
            <w:r w:rsidRPr="00C32B26">
              <w:rPr>
                <w:rFonts w:cs="Arial"/>
                <w:lang w:val="en-CA"/>
              </w:rPr>
              <w:t>SUPERIOR COURT</w:t>
            </w:r>
          </w:p>
        </w:tc>
      </w:tr>
      <w:tr w:rsidR="00C32B26" w:rsidRPr="00C32B26" w14:paraId="2C5E4230" w14:textId="77777777" w:rsidTr="007F7A96">
        <w:trPr>
          <w:trHeight w:val="540"/>
        </w:trPr>
        <w:tc>
          <w:tcPr>
            <w:tcW w:w="8932" w:type="dxa"/>
            <w:gridSpan w:val="8"/>
          </w:tcPr>
          <w:p w14:paraId="2C5E422F" w14:textId="77777777" w:rsidR="00121A72" w:rsidRPr="00C32B26" w:rsidRDefault="00121A72" w:rsidP="00D26929">
            <w:pPr>
              <w:pStyle w:val="zSoquijdatDivision"/>
              <w:rPr>
                <w:rFonts w:cs="Arial"/>
                <w:lang w:val="en-CA"/>
              </w:rPr>
            </w:pPr>
          </w:p>
        </w:tc>
      </w:tr>
      <w:tr w:rsidR="00C32B26" w:rsidRPr="00C32B26" w14:paraId="2C5E4232" w14:textId="77777777" w:rsidTr="007F7A96">
        <w:trPr>
          <w:trHeight w:val="278"/>
        </w:trPr>
        <w:tc>
          <w:tcPr>
            <w:tcW w:w="8932" w:type="dxa"/>
            <w:gridSpan w:val="8"/>
          </w:tcPr>
          <w:p w14:paraId="2C5E4231" w14:textId="77777777" w:rsidR="00121A72" w:rsidRPr="00C32B26" w:rsidRDefault="00121A72" w:rsidP="00D26929">
            <w:pPr>
              <w:pStyle w:val="zSoquijlblPays"/>
              <w:rPr>
                <w:rFonts w:cs="Arial"/>
                <w:lang w:val="en-CA"/>
              </w:rPr>
            </w:pPr>
            <w:r w:rsidRPr="00C32B26">
              <w:rPr>
                <w:rFonts w:cs="Arial"/>
                <w:lang w:val="en-CA"/>
              </w:rPr>
              <w:t>CANADA</w:t>
            </w:r>
          </w:p>
        </w:tc>
      </w:tr>
      <w:tr w:rsidR="00C32B26" w:rsidRPr="00C32B26" w14:paraId="2C5E4234" w14:textId="77777777" w:rsidTr="007F7A96">
        <w:trPr>
          <w:trHeight w:val="266"/>
        </w:trPr>
        <w:tc>
          <w:tcPr>
            <w:tcW w:w="8932" w:type="dxa"/>
            <w:gridSpan w:val="8"/>
          </w:tcPr>
          <w:p w14:paraId="2C5E4233" w14:textId="051911A6" w:rsidR="00121A72" w:rsidRPr="00C32B26" w:rsidRDefault="00121A72" w:rsidP="00D26929">
            <w:pPr>
              <w:pStyle w:val="zSoquijlblProvince"/>
              <w:rPr>
                <w:rFonts w:cs="Arial"/>
                <w:lang w:val="en-CA"/>
              </w:rPr>
            </w:pPr>
            <w:r w:rsidRPr="00C32B26">
              <w:rPr>
                <w:rFonts w:cs="Arial"/>
                <w:lang w:val="en-CA"/>
              </w:rPr>
              <w:t xml:space="preserve">PROVINCE </w:t>
            </w:r>
            <w:r w:rsidR="007F7A96" w:rsidRPr="00C32B26">
              <w:rPr>
                <w:rFonts w:cs="Arial"/>
                <w:lang w:val="en-CA"/>
              </w:rPr>
              <w:t>of</w:t>
            </w:r>
            <w:r w:rsidRPr="00C32B26">
              <w:rPr>
                <w:rFonts w:cs="Arial"/>
                <w:lang w:val="en-CA"/>
              </w:rPr>
              <w:t xml:space="preserve"> QU</w:t>
            </w:r>
            <w:r w:rsidR="007F7A96" w:rsidRPr="00C32B26">
              <w:rPr>
                <w:rFonts w:cs="Arial"/>
                <w:lang w:val="en-CA"/>
              </w:rPr>
              <w:t>e</w:t>
            </w:r>
            <w:r w:rsidRPr="00C32B26">
              <w:rPr>
                <w:rFonts w:cs="Arial"/>
                <w:lang w:val="en-CA"/>
              </w:rPr>
              <w:t>BEC</w:t>
            </w:r>
          </w:p>
        </w:tc>
      </w:tr>
      <w:tr w:rsidR="00C32B26" w:rsidRPr="00C32B26" w14:paraId="2C5E4237" w14:textId="77777777" w:rsidTr="007F7A96">
        <w:tblPrEx>
          <w:tblCellMar>
            <w:left w:w="0" w:type="dxa"/>
            <w:right w:w="0" w:type="dxa"/>
          </w:tblCellMar>
        </w:tblPrEx>
        <w:trPr>
          <w:cantSplit/>
          <w:trHeight w:val="278"/>
        </w:trPr>
        <w:tc>
          <w:tcPr>
            <w:tcW w:w="1615" w:type="dxa"/>
            <w:gridSpan w:val="3"/>
          </w:tcPr>
          <w:p w14:paraId="2C5E4235" w14:textId="793C625C" w:rsidR="00121A72" w:rsidRPr="00C32B26" w:rsidRDefault="00121A72" w:rsidP="00D26929">
            <w:pPr>
              <w:pStyle w:val="zSoquijlblGreffe"/>
              <w:rPr>
                <w:rFonts w:cs="Arial"/>
                <w:lang w:val="en-CA"/>
              </w:rPr>
            </w:pPr>
            <w:r w:rsidRPr="00C32B26">
              <w:rPr>
                <w:rFonts w:cs="Arial"/>
                <w:lang w:val="en-CA"/>
              </w:rPr>
              <w:t xml:space="preserve">DISTRICT </w:t>
            </w:r>
            <w:r w:rsidR="007F7A96" w:rsidRPr="00C32B26">
              <w:rPr>
                <w:rFonts w:cs="Arial"/>
                <w:lang w:val="en-CA"/>
              </w:rPr>
              <w:t>of</w:t>
            </w:r>
          </w:p>
        </w:tc>
        <w:tc>
          <w:tcPr>
            <w:tcW w:w="7317" w:type="dxa"/>
            <w:gridSpan w:val="5"/>
          </w:tcPr>
          <w:p w14:paraId="2C5E4236" w14:textId="51059C76" w:rsidR="00121A72" w:rsidRPr="00C32B26" w:rsidRDefault="00224603" w:rsidP="00AD224E">
            <w:pPr>
              <w:pStyle w:val="zSoquijdatGreffe"/>
              <w:ind w:left="0"/>
              <w:rPr>
                <w:rFonts w:cs="Arial"/>
                <w:lang w:val="en-CA"/>
              </w:rPr>
            </w:pPr>
            <w:r w:rsidRPr="00C32B26">
              <w:rPr>
                <w:rFonts w:cs="Arial"/>
                <w:lang w:val="en-CA"/>
              </w:rPr>
              <w:t>MONTR</w:t>
            </w:r>
            <w:r w:rsidR="007F7A96" w:rsidRPr="00C32B26">
              <w:rPr>
                <w:rFonts w:cs="Arial"/>
                <w:lang w:val="en-CA"/>
              </w:rPr>
              <w:t>e</w:t>
            </w:r>
            <w:r w:rsidRPr="00C32B26">
              <w:rPr>
                <w:rFonts w:cs="Arial"/>
                <w:lang w:val="en-CA"/>
              </w:rPr>
              <w:t>AL</w:t>
            </w:r>
          </w:p>
        </w:tc>
      </w:tr>
      <w:tr w:rsidR="00C32B26" w:rsidRPr="00C32B26" w14:paraId="2C5E4239" w14:textId="77777777" w:rsidTr="007F7A96">
        <w:trPr>
          <w:trHeight w:val="540"/>
        </w:trPr>
        <w:tc>
          <w:tcPr>
            <w:tcW w:w="8932" w:type="dxa"/>
            <w:gridSpan w:val="8"/>
          </w:tcPr>
          <w:p w14:paraId="2C5E4238" w14:textId="77777777" w:rsidR="00121A72" w:rsidRPr="00C32B26" w:rsidRDefault="00121A72" w:rsidP="00D26929">
            <w:pPr>
              <w:pStyle w:val="zSoquijlblNomChambre"/>
              <w:rPr>
                <w:rFonts w:cs="Arial"/>
                <w:lang w:val="en-CA"/>
              </w:rPr>
            </w:pPr>
          </w:p>
        </w:tc>
      </w:tr>
      <w:tr w:rsidR="00C32B26" w:rsidRPr="00C32B26" w14:paraId="2C5E423C" w14:textId="77777777" w:rsidTr="007F7A96">
        <w:trPr>
          <w:trHeight w:val="278"/>
        </w:trPr>
        <w:tc>
          <w:tcPr>
            <w:tcW w:w="1105" w:type="dxa"/>
          </w:tcPr>
          <w:p w14:paraId="2C5E423A" w14:textId="6904E9D7" w:rsidR="00121A72" w:rsidRPr="00C32B26" w:rsidRDefault="00772542" w:rsidP="00D26929">
            <w:pPr>
              <w:pStyle w:val="zSoquijlblNoDossier"/>
              <w:rPr>
                <w:rFonts w:cs="Arial"/>
                <w:lang w:val="en-CA"/>
              </w:rPr>
            </w:pPr>
            <w:r w:rsidRPr="00C32B26">
              <w:rPr>
                <w:rFonts w:cs="Arial"/>
                <w:lang w:val="en-CA"/>
              </w:rPr>
              <w:t>N</w:t>
            </w:r>
            <w:r w:rsidR="007F7A96" w:rsidRPr="00C32B26">
              <w:rPr>
                <w:rFonts w:cs="Arial"/>
                <w:lang w:val="en-CA"/>
              </w:rPr>
              <w:t>o.</w:t>
            </w:r>
            <w:r w:rsidR="00121A72" w:rsidRPr="00C32B26">
              <w:rPr>
                <w:rFonts w:cs="Arial"/>
                <w:lang w:val="en-CA"/>
              </w:rPr>
              <w:t>:</w:t>
            </w:r>
          </w:p>
        </w:tc>
        <w:tc>
          <w:tcPr>
            <w:tcW w:w="7827" w:type="dxa"/>
            <w:gridSpan w:val="7"/>
          </w:tcPr>
          <w:p w14:paraId="2C5E423B" w14:textId="784D418A" w:rsidR="00121A72" w:rsidRPr="00C32B26" w:rsidRDefault="000726DC" w:rsidP="009E7E11">
            <w:pPr>
              <w:pStyle w:val="zSoquijdatNoDossier"/>
              <w:ind w:left="-69"/>
              <w:rPr>
                <w:rFonts w:cs="Arial"/>
                <w:lang w:val="en-CA"/>
              </w:rPr>
            </w:pPr>
            <w:r w:rsidRPr="00C32B26">
              <w:rPr>
                <w:rFonts w:cs="Arial"/>
                <w:lang w:val="en-CA"/>
              </w:rPr>
              <w:t xml:space="preserve"> </w:t>
            </w:r>
            <w:r w:rsidR="00BA5C91" w:rsidRPr="00C32B26">
              <w:rPr>
                <w:rFonts w:cs="Arial"/>
                <w:lang w:val="en-CA"/>
              </w:rPr>
              <w:t>500-17-121419-223</w:t>
            </w:r>
          </w:p>
        </w:tc>
      </w:tr>
      <w:tr w:rsidR="00C32B26" w:rsidRPr="00C32B26" w14:paraId="2C5E4241" w14:textId="77777777" w:rsidTr="007F7A96">
        <w:trPr>
          <w:cantSplit/>
          <w:trHeight w:val="235"/>
        </w:trPr>
        <w:tc>
          <w:tcPr>
            <w:tcW w:w="8932" w:type="dxa"/>
            <w:gridSpan w:val="8"/>
          </w:tcPr>
          <w:p w14:paraId="2C5E4240" w14:textId="77777777" w:rsidR="00121A72" w:rsidRPr="00C32B26" w:rsidRDefault="00121A72" w:rsidP="00D26929">
            <w:pPr>
              <w:rPr>
                <w:rFonts w:cs="Arial"/>
                <w:lang w:val="en-CA"/>
              </w:rPr>
            </w:pPr>
          </w:p>
        </w:tc>
      </w:tr>
      <w:tr w:rsidR="00C32B26" w:rsidRPr="00C32B26" w14:paraId="2C5E4244" w14:textId="77777777" w:rsidTr="007F7A96">
        <w:trPr>
          <w:trHeight w:val="278"/>
        </w:trPr>
        <w:tc>
          <w:tcPr>
            <w:tcW w:w="1134" w:type="dxa"/>
            <w:gridSpan w:val="2"/>
          </w:tcPr>
          <w:p w14:paraId="2C5E4242" w14:textId="7C8BC062" w:rsidR="00121A72" w:rsidRPr="00C32B26" w:rsidRDefault="00121A72" w:rsidP="00D26929">
            <w:pPr>
              <w:pStyle w:val="zSoquijlblDateJugement"/>
              <w:rPr>
                <w:rFonts w:cs="Arial"/>
                <w:lang w:val="en-CA"/>
              </w:rPr>
            </w:pPr>
            <w:r w:rsidRPr="00C32B26">
              <w:rPr>
                <w:rFonts w:cs="Arial"/>
                <w:lang w:val="en-CA"/>
              </w:rPr>
              <w:t>DATE:</w:t>
            </w:r>
          </w:p>
        </w:tc>
        <w:tc>
          <w:tcPr>
            <w:tcW w:w="7798" w:type="dxa"/>
            <w:gridSpan w:val="6"/>
          </w:tcPr>
          <w:p w14:paraId="2C5E4243" w14:textId="7822A04D" w:rsidR="00121A72" w:rsidRPr="00C32B26" w:rsidRDefault="007F7A96" w:rsidP="00D26929">
            <w:pPr>
              <w:pStyle w:val="zSoquijdatDateJugement"/>
              <w:rPr>
                <w:rFonts w:cs="Arial"/>
                <w:lang w:val="en-CA"/>
              </w:rPr>
            </w:pPr>
            <w:r w:rsidRPr="00C32B26">
              <w:rPr>
                <w:rFonts w:cs="Arial"/>
                <w:lang w:val="en-CA"/>
              </w:rPr>
              <w:t>August 12,</w:t>
            </w:r>
            <w:r w:rsidR="00F52913" w:rsidRPr="00C32B26">
              <w:rPr>
                <w:rFonts w:cs="Arial"/>
                <w:lang w:val="en-CA"/>
              </w:rPr>
              <w:t xml:space="preserve"> 2022</w:t>
            </w:r>
          </w:p>
        </w:tc>
      </w:tr>
      <w:tr w:rsidR="00C32B26" w:rsidRPr="00C32B26" w14:paraId="2C5E4246" w14:textId="77777777" w:rsidTr="007F7A96">
        <w:trPr>
          <w:trHeight w:val="278"/>
        </w:trPr>
        <w:tc>
          <w:tcPr>
            <w:tcW w:w="8932" w:type="dxa"/>
            <w:gridSpan w:val="8"/>
          </w:tcPr>
          <w:p w14:paraId="2C5E4245" w14:textId="102EB3C2" w:rsidR="00121A72" w:rsidRPr="00C32B26" w:rsidRDefault="00121A72" w:rsidP="00D26929">
            <w:pPr>
              <w:ind w:left="14" w:right="-67"/>
              <w:rPr>
                <w:rFonts w:cs="Arial"/>
                <w:lang w:val="en-CA"/>
              </w:rPr>
            </w:pPr>
            <w:r w:rsidRPr="00C32B26">
              <w:rPr>
                <w:rFonts w:cs="Arial"/>
                <w:lang w:val="en-CA"/>
              </w:rPr>
              <w:t>__________________________________________________________________</w:t>
            </w:r>
          </w:p>
        </w:tc>
      </w:tr>
      <w:tr w:rsidR="00C32B26" w:rsidRPr="00C32B26" w14:paraId="2C5E4248" w14:textId="77777777" w:rsidTr="007F7A96">
        <w:trPr>
          <w:trHeight w:val="278"/>
        </w:trPr>
        <w:tc>
          <w:tcPr>
            <w:tcW w:w="8932" w:type="dxa"/>
            <w:gridSpan w:val="8"/>
          </w:tcPr>
          <w:p w14:paraId="2C5E4247" w14:textId="77777777" w:rsidR="00121A72" w:rsidRPr="00C32B26" w:rsidRDefault="00121A72" w:rsidP="00D26929">
            <w:pPr>
              <w:rPr>
                <w:rFonts w:cs="Arial"/>
                <w:lang w:val="en-CA"/>
              </w:rPr>
            </w:pPr>
          </w:p>
        </w:tc>
      </w:tr>
      <w:tr w:rsidR="00C32B26" w:rsidRPr="00C32B26" w14:paraId="2C5E424C" w14:textId="77777777" w:rsidTr="007F7A96">
        <w:tblPrEx>
          <w:tblCellMar>
            <w:left w:w="0" w:type="dxa"/>
            <w:right w:w="0" w:type="dxa"/>
          </w:tblCellMar>
        </w:tblPrEx>
        <w:trPr>
          <w:gridAfter w:val="1"/>
          <w:wAfter w:w="722" w:type="dxa"/>
          <w:trHeight w:val="278"/>
        </w:trPr>
        <w:tc>
          <w:tcPr>
            <w:tcW w:w="1985" w:type="dxa"/>
            <w:gridSpan w:val="4"/>
          </w:tcPr>
          <w:p w14:paraId="2C5E4249" w14:textId="3C9347BA" w:rsidR="00121A72" w:rsidRPr="00C32B26" w:rsidRDefault="007F7A96" w:rsidP="00D26929">
            <w:pPr>
              <w:pStyle w:val="zSoquijlblJuge"/>
              <w:rPr>
                <w:rFonts w:cs="Arial"/>
                <w:lang w:val="en-CA"/>
              </w:rPr>
            </w:pPr>
            <w:r w:rsidRPr="00C32B26">
              <w:rPr>
                <w:rFonts w:cs="Arial"/>
                <w:lang w:val="en-CA"/>
              </w:rPr>
              <w:t>presiding:</w:t>
            </w:r>
          </w:p>
        </w:tc>
        <w:tc>
          <w:tcPr>
            <w:tcW w:w="2410" w:type="dxa"/>
          </w:tcPr>
          <w:p w14:paraId="2C5E424A" w14:textId="346C187B" w:rsidR="00121A72" w:rsidRPr="00C32B26" w:rsidRDefault="007F7A96" w:rsidP="00D26929">
            <w:pPr>
              <w:pStyle w:val="zSoquijdatQteJuge"/>
              <w:rPr>
                <w:rFonts w:cs="Arial"/>
                <w:lang w:val="en-CA"/>
              </w:rPr>
            </w:pPr>
            <w:r w:rsidRPr="00C32B26">
              <w:rPr>
                <w:rFonts w:cs="Arial"/>
                <w:lang w:val="en-CA"/>
              </w:rPr>
              <w:t xml:space="preserve">THE </w:t>
            </w:r>
            <w:r w:rsidR="00121A72" w:rsidRPr="00C32B26">
              <w:rPr>
                <w:rFonts w:cs="Arial"/>
                <w:lang w:val="en-CA"/>
              </w:rPr>
              <w:t>HONO</w:t>
            </w:r>
            <w:r w:rsidRPr="00C32B26">
              <w:rPr>
                <w:rFonts w:cs="Arial"/>
                <w:lang w:val="en-CA"/>
              </w:rPr>
              <w:t>U</w:t>
            </w:r>
            <w:r w:rsidR="00121A72" w:rsidRPr="00C32B26">
              <w:rPr>
                <w:rFonts w:cs="Arial"/>
                <w:lang w:val="en-CA"/>
              </w:rPr>
              <w:t>RABLE</w:t>
            </w:r>
          </w:p>
        </w:tc>
        <w:tc>
          <w:tcPr>
            <w:tcW w:w="3819" w:type="dxa"/>
            <w:gridSpan w:val="2"/>
          </w:tcPr>
          <w:p w14:paraId="2C5E424B" w14:textId="280E6831" w:rsidR="00121A72" w:rsidRPr="00C32B26" w:rsidRDefault="00224603" w:rsidP="007F7A96">
            <w:pPr>
              <w:pStyle w:val="zSoquijdatJuge"/>
              <w:ind w:left="0"/>
              <w:rPr>
                <w:rFonts w:cs="Arial"/>
              </w:rPr>
            </w:pPr>
            <w:r w:rsidRPr="00C32B26">
              <w:rPr>
                <w:rFonts w:cs="Arial"/>
              </w:rPr>
              <w:t>CHANTAL CORRIVEAU</w:t>
            </w:r>
            <w:r w:rsidR="008A4532" w:rsidRPr="00C32B26">
              <w:rPr>
                <w:rFonts w:cs="Arial"/>
              </w:rPr>
              <w:t>, J.S.</w:t>
            </w:r>
            <w:r w:rsidR="007F7A96" w:rsidRPr="00C32B26">
              <w:rPr>
                <w:rFonts w:cs="Arial"/>
              </w:rPr>
              <w:t>c.</w:t>
            </w:r>
          </w:p>
        </w:tc>
      </w:tr>
      <w:tr w:rsidR="00C32B26" w:rsidRPr="00C32B26" w14:paraId="2C5E424E" w14:textId="77777777" w:rsidTr="007F7A96">
        <w:trPr>
          <w:trHeight w:val="266"/>
        </w:trPr>
        <w:tc>
          <w:tcPr>
            <w:tcW w:w="8932" w:type="dxa"/>
            <w:gridSpan w:val="8"/>
          </w:tcPr>
          <w:p w14:paraId="2C5E424D" w14:textId="2C6A6FCC" w:rsidR="00121A72" w:rsidRPr="00C32B26" w:rsidRDefault="00121A72" w:rsidP="00D26929">
            <w:pPr>
              <w:ind w:left="14" w:right="-67"/>
              <w:rPr>
                <w:rFonts w:cs="Arial"/>
                <w:lang w:val="en-CA"/>
              </w:rPr>
            </w:pPr>
            <w:r w:rsidRPr="00C32B26">
              <w:rPr>
                <w:rFonts w:cs="Arial"/>
                <w:lang w:val="en-CA"/>
              </w:rPr>
              <w:t>__________________________________________________________________</w:t>
            </w:r>
          </w:p>
        </w:tc>
      </w:tr>
      <w:tr w:rsidR="00C32B26" w:rsidRPr="00C32B26" w14:paraId="2C5E4250" w14:textId="77777777" w:rsidTr="007F7A96">
        <w:trPr>
          <w:trHeight w:val="278"/>
        </w:trPr>
        <w:tc>
          <w:tcPr>
            <w:tcW w:w="8932" w:type="dxa"/>
            <w:gridSpan w:val="8"/>
          </w:tcPr>
          <w:p w14:paraId="2C5E424F" w14:textId="77777777" w:rsidR="00121A72" w:rsidRPr="00C32B26" w:rsidRDefault="00121A72" w:rsidP="00D26929">
            <w:pPr>
              <w:pStyle w:val="zSoquijlblTitrePartie"/>
              <w:rPr>
                <w:rFonts w:cs="Arial"/>
                <w:lang w:val="en-CA"/>
              </w:rPr>
            </w:pPr>
          </w:p>
        </w:tc>
      </w:tr>
      <w:tr w:rsidR="00C32B26" w:rsidRPr="00C32B26" w14:paraId="3F556C88" w14:textId="77777777" w:rsidTr="007F7A96">
        <w:trPr>
          <w:trHeight w:val="266"/>
        </w:trPr>
        <w:tc>
          <w:tcPr>
            <w:tcW w:w="8932" w:type="dxa"/>
            <w:gridSpan w:val="8"/>
          </w:tcPr>
          <w:p w14:paraId="2417C7B7" w14:textId="2444C2C7" w:rsidR="00AD299E" w:rsidRPr="00C32B26" w:rsidRDefault="00AD299E" w:rsidP="00AD299E">
            <w:pPr>
              <w:pStyle w:val="Default"/>
              <w:rPr>
                <w:b/>
                <w:bCs/>
                <w:color w:val="auto"/>
                <w:sz w:val="23"/>
                <w:szCs w:val="23"/>
                <w:lang w:val="en-CA"/>
              </w:rPr>
            </w:pPr>
            <w:r w:rsidRPr="00C32B26">
              <w:rPr>
                <w:b/>
                <w:bCs/>
                <w:color w:val="auto"/>
                <w:sz w:val="23"/>
                <w:szCs w:val="23"/>
                <w:lang w:val="en-CA"/>
              </w:rPr>
              <w:t>DOUG MITCHELL</w:t>
            </w:r>
          </w:p>
        </w:tc>
      </w:tr>
      <w:tr w:rsidR="00C32B26" w:rsidRPr="00C32B26" w14:paraId="2D4A8820" w14:textId="77777777" w:rsidTr="007F7A96">
        <w:trPr>
          <w:trHeight w:val="266"/>
        </w:trPr>
        <w:tc>
          <w:tcPr>
            <w:tcW w:w="8932" w:type="dxa"/>
            <w:gridSpan w:val="8"/>
          </w:tcPr>
          <w:p w14:paraId="69383B5F" w14:textId="5E3A401D" w:rsidR="0006137D" w:rsidRPr="00C32B26" w:rsidRDefault="0006137D" w:rsidP="00AD299E">
            <w:pPr>
              <w:pStyle w:val="Default"/>
              <w:rPr>
                <w:b/>
                <w:bCs/>
                <w:color w:val="auto"/>
                <w:sz w:val="23"/>
                <w:szCs w:val="23"/>
                <w:lang w:val="en-CA"/>
              </w:rPr>
            </w:pPr>
            <w:r w:rsidRPr="00C32B26">
              <w:rPr>
                <w:color w:val="auto"/>
                <w:sz w:val="23"/>
                <w:szCs w:val="23"/>
                <w:lang w:val="en-CA"/>
              </w:rPr>
              <w:t xml:space="preserve">- </w:t>
            </w:r>
            <w:r w:rsidR="00C700E3" w:rsidRPr="00C32B26">
              <w:rPr>
                <w:color w:val="auto"/>
                <w:sz w:val="23"/>
                <w:szCs w:val="23"/>
                <w:lang w:val="en-CA"/>
              </w:rPr>
              <w:t>and -</w:t>
            </w:r>
          </w:p>
        </w:tc>
      </w:tr>
      <w:tr w:rsidR="00C32B26" w:rsidRPr="00C32B26" w14:paraId="3F5DC7E7" w14:textId="77777777" w:rsidTr="007F7A96">
        <w:trPr>
          <w:trHeight w:val="266"/>
        </w:trPr>
        <w:tc>
          <w:tcPr>
            <w:tcW w:w="8932" w:type="dxa"/>
            <w:gridSpan w:val="8"/>
          </w:tcPr>
          <w:p w14:paraId="02883B76" w14:textId="082E1144" w:rsidR="00AD299E" w:rsidRPr="00C32B26" w:rsidRDefault="0006137D" w:rsidP="00AD299E">
            <w:pPr>
              <w:pStyle w:val="Default"/>
              <w:rPr>
                <w:color w:val="auto"/>
                <w:sz w:val="23"/>
                <w:szCs w:val="23"/>
                <w:lang w:val="en-CA"/>
              </w:rPr>
            </w:pPr>
            <w:r w:rsidRPr="00C32B26">
              <w:rPr>
                <w:b/>
                <w:bCs/>
                <w:color w:val="auto"/>
                <w:sz w:val="23"/>
                <w:szCs w:val="23"/>
                <w:lang w:val="en-CA"/>
              </w:rPr>
              <w:t>MICHAEL SHORTT</w:t>
            </w:r>
          </w:p>
        </w:tc>
      </w:tr>
      <w:tr w:rsidR="00C32B26" w:rsidRPr="00C32B26" w14:paraId="379A371F" w14:textId="77777777" w:rsidTr="007F7A96">
        <w:trPr>
          <w:trHeight w:val="266"/>
        </w:trPr>
        <w:tc>
          <w:tcPr>
            <w:tcW w:w="8932" w:type="dxa"/>
            <w:gridSpan w:val="8"/>
          </w:tcPr>
          <w:p w14:paraId="47B2F628" w14:textId="0D69DA9B" w:rsidR="0006137D" w:rsidRPr="00C32B26" w:rsidRDefault="0006137D" w:rsidP="00AD299E">
            <w:pPr>
              <w:pStyle w:val="Default"/>
              <w:rPr>
                <w:b/>
                <w:bCs/>
                <w:color w:val="auto"/>
                <w:sz w:val="23"/>
                <w:szCs w:val="23"/>
                <w:lang w:val="en-CA"/>
              </w:rPr>
            </w:pPr>
            <w:r w:rsidRPr="00C32B26">
              <w:rPr>
                <w:color w:val="auto"/>
                <w:sz w:val="23"/>
                <w:szCs w:val="23"/>
                <w:lang w:val="en-CA"/>
              </w:rPr>
              <w:t xml:space="preserve">- </w:t>
            </w:r>
            <w:r w:rsidR="00C700E3" w:rsidRPr="00C32B26">
              <w:rPr>
                <w:color w:val="auto"/>
                <w:sz w:val="23"/>
                <w:szCs w:val="23"/>
                <w:lang w:val="en-CA"/>
              </w:rPr>
              <w:t>and</w:t>
            </w:r>
            <w:r w:rsidRPr="00C32B26">
              <w:rPr>
                <w:color w:val="auto"/>
                <w:sz w:val="23"/>
                <w:szCs w:val="23"/>
                <w:lang w:val="en-CA"/>
              </w:rPr>
              <w:t xml:space="preserve"> -</w:t>
            </w:r>
          </w:p>
        </w:tc>
      </w:tr>
      <w:tr w:rsidR="00C32B26" w:rsidRPr="00C32B26" w14:paraId="7C909AAC" w14:textId="77777777" w:rsidTr="007F7A96">
        <w:trPr>
          <w:trHeight w:val="266"/>
        </w:trPr>
        <w:tc>
          <w:tcPr>
            <w:tcW w:w="8932" w:type="dxa"/>
            <w:gridSpan w:val="8"/>
          </w:tcPr>
          <w:p w14:paraId="6BF04B96" w14:textId="7B899922" w:rsidR="00AD299E" w:rsidRPr="00C32B26" w:rsidRDefault="0006137D" w:rsidP="00AD299E">
            <w:pPr>
              <w:pStyle w:val="Default"/>
              <w:rPr>
                <w:color w:val="auto"/>
                <w:sz w:val="23"/>
                <w:szCs w:val="23"/>
                <w:lang w:val="en-CA"/>
              </w:rPr>
            </w:pPr>
            <w:r w:rsidRPr="00C32B26">
              <w:rPr>
                <w:b/>
                <w:bCs/>
                <w:color w:val="auto"/>
                <w:sz w:val="23"/>
                <w:szCs w:val="23"/>
                <w:lang w:val="en-CA"/>
              </w:rPr>
              <w:t>SHANNON SNOW</w:t>
            </w:r>
          </w:p>
        </w:tc>
      </w:tr>
      <w:tr w:rsidR="00C32B26" w:rsidRPr="00C32B26" w14:paraId="4B347214" w14:textId="77777777" w:rsidTr="007F7A96">
        <w:trPr>
          <w:trHeight w:val="254"/>
        </w:trPr>
        <w:tc>
          <w:tcPr>
            <w:tcW w:w="8932" w:type="dxa"/>
            <w:gridSpan w:val="8"/>
          </w:tcPr>
          <w:p w14:paraId="73B03D81" w14:textId="2462AFDF" w:rsidR="0006137D" w:rsidRPr="00C32B26" w:rsidRDefault="0006137D" w:rsidP="00AD299E">
            <w:pPr>
              <w:pStyle w:val="Default"/>
              <w:rPr>
                <w:b/>
                <w:bCs/>
                <w:color w:val="auto"/>
                <w:sz w:val="23"/>
                <w:szCs w:val="23"/>
                <w:lang w:val="en-CA"/>
              </w:rPr>
            </w:pPr>
            <w:r w:rsidRPr="00C32B26">
              <w:rPr>
                <w:color w:val="auto"/>
                <w:sz w:val="23"/>
                <w:szCs w:val="23"/>
                <w:lang w:val="en-CA"/>
              </w:rPr>
              <w:t xml:space="preserve">- </w:t>
            </w:r>
            <w:r w:rsidR="00C700E3" w:rsidRPr="00C32B26">
              <w:rPr>
                <w:color w:val="auto"/>
                <w:sz w:val="23"/>
                <w:szCs w:val="23"/>
                <w:lang w:val="en-CA"/>
              </w:rPr>
              <w:t>and</w:t>
            </w:r>
            <w:r w:rsidRPr="00C32B26">
              <w:rPr>
                <w:color w:val="auto"/>
                <w:sz w:val="23"/>
                <w:szCs w:val="23"/>
                <w:lang w:val="en-CA"/>
              </w:rPr>
              <w:t xml:space="preserve"> -</w:t>
            </w:r>
          </w:p>
        </w:tc>
      </w:tr>
      <w:tr w:rsidR="00C32B26" w:rsidRPr="00C32B26" w14:paraId="26E4E6A5" w14:textId="77777777" w:rsidTr="007F7A96">
        <w:trPr>
          <w:trHeight w:val="266"/>
        </w:trPr>
        <w:tc>
          <w:tcPr>
            <w:tcW w:w="8932" w:type="dxa"/>
            <w:gridSpan w:val="8"/>
          </w:tcPr>
          <w:p w14:paraId="5CBBACE6" w14:textId="384CAAAC" w:rsidR="0006137D" w:rsidRPr="00C32B26" w:rsidRDefault="0006137D" w:rsidP="00AD299E">
            <w:pPr>
              <w:pStyle w:val="Default"/>
              <w:rPr>
                <w:color w:val="auto"/>
                <w:sz w:val="23"/>
                <w:szCs w:val="23"/>
                <w:lang w:val="en-CA"/>
              </w:rPr>
            </w:pPr>
            <w:r w:rsidRPr="00C32B26">
              <w:rPr>
                <w:b/>
                <w:bCs/>
                <w:color w:val="auto"/>
                <w:sz w:val="23"/>
                <w:szCs w:val="23"/>
                <w:lang w:val="en-CA"/>
              </w:rPr>
              <w:t>FRÉDÉRIQUE LISSOIR</w:t>
            </w:r>
          </w:p>
        </w:tc>
      </w:tr>
      <w:tr w:rsidR="00C32B26" w:rsidRPr="00C32B26" w14:paraId="6B347D4A" w14:textId="77777777" w:rsidTr="007F7A96">
        <w:trPr>
          <w:trHeight w:val="266"/>
        </w:trPr>
        <w:tc>
          <w:tcPr>
            <w:tcW w:w="8932" w:type="dxa"/>
            <w:gridSpan w:val="8"/>
          </w:tcPr>
          <w:p w14:paraId="19C6659A" w14:textId="3F7158C4" w:rsidR="00AD299E" w:rsidRPr="00C32B26" w:rsidRDefault="00AD299E" w:rsidP="00AD299E">
            <w:pPr>
              <w:pStyle w:val="Default"/>
              <w:rPr>
                <w:color w:val="auto"/>
                <w:sz w:val="23"/>
                <w:szCs w:val="23"/>
                <w:lang w:val="en-CA"/>
              </w:rPr>
            </w:pPr>
            <w:r w:rsidRPr="00C32B26">
              <w:rPr>
                <w:color w:val="auto"/>
                <w:sz w:val="23"/>
                <w:szCs w:val="23"/>
                <w:lang w:val="en-CA"/>
              </w:rPr>
              <w:t xml:space="preserve">- </w:t>
            </w:r>
            <w:r w:rsidR="00C700E3" w:rsidRPr="00C32B26">
              <w:rPr>
                <w:color w:val="auto"/>
                <w:sz w:val="23"/>
                <w:szCs w:val="23"/>
                <w:lang w:val="en-CA"/>
              </w:rPr>
              <w:t>and</w:t>
            </w:r>
            <w:r w:rsidRPr="00C32B26">
              <w:rPr>
                <w:color w:val="auto"/>
                <w:sz w:val="23"/>
                <w:szCs w:val="23"/>
                <w:lang w:val="en-CA"/>
              </w:rPr>
              <w:t xml:space="preserve"> - </w:t>
            </w:r>
          </w:p>
        </w:tc>
      </w:tr>
      <w:tr w:rsidR="00C32B26" w:rsidRPr="00C32B26" w14:paraId="340CCB39" w14:textId="77777777" w:rsidTr="007F7A96">
        <w:trPr>
          <w:trHeight w:val="266"/>
        </w:trPr>
        <w:tc>
          <w:tcPr>
            <w:tcW w:w="8932" w:type="dxa"/>
            <w:gridSpan w:val="8"/>
          </w:tcPr>
          <w:p w14:paraId="0B32B9C1" w14:textId="38AF07A7" w:rsidR="00AD299E" w:rsidRPr="00C32B26" w:rsidRDefault="0006137D" w:rsidP="00AD299E">
            <w:pPr>
              <w:pStyle w:val="Default"/>
              <w:rPr>
                <w:color w:val="auto"/>
                <w:sz w:val="23"/>
                <w:szCs w:val="23"/>
                <w:lang w:val="en-CA"/>
              </w:rPr>
            </w:pPr>
            <w:r w:rsidRPr="00C32B26">
              <w:rPr>
                <w:b/>
                <w:bCs/>
                <w:color w:val="auto"/>
                <w:sz w:val="23"/>
                <w:szCs w:val="23"/>
                <w:lang w:val="en-CA"/>
              </w:rPr>
              <w:t>ADAM STERNTHAL</w:t>
            </w:r>
          </w:p>
        </w:tc>
      </w:tr>
      <w:tr w:rsidR="00C32B26" w:rsidRPr="00C32B26" w14:paraId="3601E423" w14:textId="77777777" w:rsidTr="007F7A96">
        <w:trPr>
          <w:trHeight w:val="266"/>
        </w:trPr>
        <w:tc>
          <w:tcPr>
            <w:tcW w:w="8932" w:type="dxa"/>
            <w:gridSpan w:val="8"/>
          </w:tcPr>
          <w:p w14:paraId="57781D1E" w14:textId="06A01F5F" w:rsidR="0006137D" w:rsidRPr="00C32B26" w:rsidRDefault="0006137D" w:rsidP="00AD299E">
            <w:pPr>
              <w:pStyle w:val="Default"/>
              <w:rPr>
                <w:b/>
                <w:bCs/>
                <w:color w:val="auto"/>
                <w:sz w:val="23"/>
                <w:szCs w:val="23"/>
                <w:lang w:val="en-CA"/>
              </w:rPr>
            </w:pPr>
            <w:r w:rsidRPr="00C32B26">
              <w:rPr>
                <w:color w:val="auto"/>
                <w:sz w:val="23"/>
                <w:szCs w:val="23"/>
                <w:lang w:val="en-CA"/>
              </w:rPr>
              <w:t xml:space="preserve">- </w:t>
            </w:r>
            <w:r w:rsidR="00C700E3" w:rsidRPr="00C32B26">
              <w:rPr>
                <w:color w:val="auto"/>
                <w:sz w:val="23"/>
                <w:szCs w:val="23"/>
                <w:lang w:val="en-CA"/>
              </w:rPr>
              <w:t>and</w:t>
            </w:r>
            <w:r w:rsidRPr="00C32B26">
              <w:rPr>
                <w:color w:val="auto"/>
                <w:sz w:val="23"/>
                <w:szCs w:val="23"/>
                <w:lang w:val="en-CA"/>
              </w:rPr>
              <w:t xml:space="preserve"> -</w:t>
            </w:r>
          </w:p>
        </w:tc>
      </w:tr>
      <w:tr w:rsidR="00C32B26" w:rsidRPr="00C32B26" w14:paraId="1B98D0AF" w14:textId="77777777" w:rsidTr="007F7A96">
        <w:trPr>
          <w:trHeight w:val="266"/>
        </w:trPr>
        <w:tc>
          <w:tcPr>
            <w:tcW w:w="8932" w:type="dxa"/>
            <w:gridSpan w:val="8"/>
          </w:tcPr>
          <w:p w14:paraId="3E1DE2F6" w14:textId="09037534" w:rsidR="00AD299E" w:rsidRPr="00C32B26" w:rsidRDefault="0006137D" w:rsidP="0006137D">
            <w:pPr>
              <w:pStyle w:val="Default"/>
              <w:rPr>
                <w:color w:val="auto"/>
                <w:sz w:val="23"/>
                <w:szCs w:val="23"/>
                <w:lang w:val="en-CA"/>
              </w:rPr>
            </w:pPr>
            <w:r w:rsidRPr="00C32B26">
              <w:rPr>
                <w:b/>
                <w:bCs/>
                <w:color w:val="auto"/>
                <w:sz w:val="23"/>
                <w:szCs w:val="23"/>
                <w:lang w:val="en-CA"/>
              </w:rPr>
              <w:t>10096547 CANADA INC.</w:t>
            </w:r>
          </w:p>
        </w:tc>
      </w:tr>
      <w:tr w:rsidR="00C32B26" w:rsidRPr="00C32B26" w14:paraId="685F82D8" w14:textId="77777777" w:rsidTr="007F7A96">
        <w:trPr>
          <w:trHeight w:val="266"/>
        </w:trPr>
        <w:tc>
          <w:tcPr>
            <w:tcW w:w="8932" w:type="dxa"/>
            <w:gridSpan w:val="8"/>
          </w:tcPr>
          <w:p w14:paraId="769FB7EA" w14:textId="16F458B4" w:rsidR="0006137D" w:rsidRPr="00C32B26" w:rsidRDefault="00C700E3" w:rsidP="0006137D">
            <w:pPr>
              <w:pStyle w:val="zSoquijdatQtePartieDef"/>
              <w:rPr>
                <w:b/>
                <w:bCs/>
                <w:sz w:val="23"/>
                <w:szCs w:val="23"/>
                <w:lang w:val="en-CA"/>
              </w:rPr>
            </w:pPr>
            <w:r w:rsidRPr="00C32B26">
              <w:rPr>
                <w:sz w:val="23"/>
                <w:szCs w:val="23"/>
                <w:lang w:val="en-CA"/>
              </w:rPr>
              <w:t>Applicants</w:t>
            </w:r>
          </w:p>
        </w:tc>
      </w:tr>
      <w:tr w:rsidR="00C32B26" w:rsidRPr="00C32B26" w14:paraId="2C5E4254" w14:textId="77777777" w:rsidTr="007F7A96">
        <w:trPr>
          <w:trHeight w:val="266"/>
        </w:trPr>
        <w:tc>
          <w:tcPr>
            <w:tcW w:w="8932" w:type="dxa"/>
            <w:gridSpan w:val="8"/>
          </w:tcPr>
          <w:p w14:paraId="2C5E4253" w14:textId="173DA026" w:rsidR="00121A72" w:rsidRPr="00C32B26" w:rsidRDefault="00C700E3" w:rsidP="00D26929">
            <w:pPr>
              <w:pStyle w:val="zSoquijdatNomPartieDem"/>
              <w:rPr>
                <w:rFonts w:cs="Arial"/>
                <w:b w:val="0"/>
                <w:lang w:val="en-CA"/>
              </w:rPr>
            </w:pPr>
            <w:r w:rsidRPr="00C32B26">
              <w:rPr>
                <w:rFonts w:cs="Arial"/>
                <w:b w:val="0"/>
                <w:lang w:val="en-CA"/>
              </w:rPr>
              <w:t>v</w:t>
            </w:r>
            <w:r w:rsidR="00AD299E" w:rsidRPr="00C32B26">
              <w:rPr>
                <w:rFonts w:cs="Arial"/>
                <w:b w:val="0"/>
                <w:lang w:val="en-CA"/>
              </w:rPr>
              <w:t>.</w:t>
            </w:r>
          </w:p>
        </w:tc>
      </w:tr>
      <w:tr w:rsidR="00C32B26" w:rsidRPr="00C32B26" w14:paraId="2C5E4258" w14:textId="77777777" w:rsidTr="007F7A96">
        <w:trPr>
          <w:trHeight w:val="266"/>
        </w:trPr>
        <w:tc>
          <w:tcPr>
            <w:tcW w:w="8932" w:type="dxa"/>
            <w:gridSpan w:val="8"/>
          </w:tcPr>
          <w:p w14:paraId="2C5E4257" w14:textId="0D68D4C0" w:rsidR="00121A72" w:rsidRPr="00C32B26" w:rsidRDefault="00C700E3" w:rsidP="00AD299E">
            <w:pPr>
              <w:pStyle w:val="Default"/>
              <w:rPr>
                <w:color w:val="auto"/>
                <w:sz w:val="23"/>
                <w:szCs w:val="23"/>
                <w:lang w:val="en-CA"/>
              </w:rPr>
            </w:pPr>
            <w:r w:rsidRPr="00C32B26">
              <w:rPr>
                <w:b/>
                <w:bCs/>
                <w:color w:val="auto"/>
                <w:sz w:val="23"/>
                <w:szCs w:val="23"/>
                <w:lang w:val="en-CA"/>
              </w:rPr>
              <w:t>ATTORNEY GENERAL OF QUEBEC</w:t>
            </w:r>
            <w:r w:rsidR="00AD299E" w:rsidRPr="00C32B26">
              <w:rPr>
                <w:b/>
                <w:bCs/>
                <w:color w:val="auto"/>
                <w:sz w:val="23"/>
                <w:szCs w:val="23"/>
                <w:lang w:val="en-CA"/>
              </w:rPr>
              <w:t xml:space="preserve"> </w:t>
            </w:r>
          </w:p>
        </w:tc>
      </w:tr>
      <w:tr w:rsidR="00C32B26" w:rsidRPr="00C32B26" w14:paraId="2C5E425C" w14:textId="77777777" w:rsidTr="007F7A96">
        <w:trPr>
          <w:trHeight w:val="278"/>
        </w:trPr>
        <w:tc>
          <w:tcPr>
            <w:tcW w:w="8932" w:type="dxa"/>
            <w:gridSpan w:val="8"/>
          </w:tcPr>
          <w:p w14:paraId="2C5E425B" w14:textId="74905A2C" w:rsidR="00121A72" w:rsidRPr="00C32B26" w:rsidRDefault="00C700E3" w:rsidP="00D26929">
            <w:pPr>
              <w:pStyle w:val="zSoquijdatQtePartieDef"/>
              <w:rPr>
                <w:rFonts w:cs="Arial"/>
                <w:lang w:val="en-CA"/>
              </w:rPr>
            </w:pPr>
            <w:r w:rsidRPr="00C32B26">
              <w:rPr>
                <w:rFonts w:cs="Arial"/>
                <w:lang w:val="en-CA"/>
              </w:rPr>
              <w:t>Respondent</w:t>
            </w:r>
          </w:p>
        </w:tc>
      </w:tr>
      <w:tr w:rsidR="00C32B26" w:rsidRPr="00C32B26" w14:paraId="1DBCE2E7" w14:textId="77777777" w:rsidTr="007F7A96">
        <w:trPr>
          <w:trHeight w:val="278"/>
        </w:trPr>
        <w:tc>
          <w:tcPr>
            <w:tcW w:w="8932" w:type="dxa"/>
            <w:gridSpan w:val="8"/>
          </w:tcPr>
          <w:p w14:paraId="0A093181" w14:textId="31331327" w:rsidR="00AD299E" w:rsidRPr="00C32B26" w:rsidRDefault="00AD299E" w:rsidP="00AD299E">
            <w:pPr>
              <w:pStyle w:val="Default"/>
              <w:rPr>
                <w:b/>
                <w:color w:val="auto"/>
                <w:lang w:val="en-CA"/>
              </w:rPr>
            </w:pPr>
            <w:r w:rsidRPr="00C32B26">
              <w:rPr>
                <w:b/>
                <w:color w:val="auto"/>
                <w:lang w:val="en-CA"/>
              </w:rPr>
              <w:t>BARREAU DU QUÉBEC</w:t>
            </w:r>
          </w:p>
        </w:tc>
      </w:tr>
      <w:tr w:rsidR="00C32B26" w:rsidRPr="00C32B26" w14:paraId="2C5E425E" w14:textId="77777777" w:rsidTr="007F7A96">
        <w:trPr>
          <w:trHeight w:val="278"/>
        </w:trPr>
        <w:tc>
          <w:tcPr>
            <w:tcW w:w="8932" w:type="dxa"/>
            <w:gridSpan w:val="8"/>
          </w:tcPr>
          <w:p w14:paraId="2C5E425D" w14:textId="4153B8BF" w:rsidR="00121A72" w:rsidRPr="00C32B26" w:rsidRDefault="00AD299E" w:rsidP="00AD299E">
            <w:pPr>
              <w:pStyle w:val="zSoquijdatQtePartieDef"/>
              <w:rPr>
                <w:rFonts w:cs="Arial"/>
                <w:lang w:val="en-CA"/>
              </w:rPr>
            </w:pPr>
            <w:r w:rsidRPr="00C32B26">
              <w:rPr>
                <w:rFonts w:cs="Arial"/>
                <w:lang w:val="en-CA"/>
              </w:rPr>
              <w:t>Interven</w:t>
            </w:r>
            <w:r w:rsidR="00C700E3" w:rsidRPr="00C32B26">
              <w:rPr>
                <w:rFonts w:cs="Arial"/>
                <w:lang w:val="en-CA"/>
              </w:rPr>
              <w:t>er</w:t>
            </w:r>
          </w:p>
        </w:tc>
      </w:tr>
      <w:tr w:rsidR="00C32B26" w:rsidRPr="00C32B26" w14:paraId="2C5E4260" w14:textId="77777777" w:rsidTr="007F7A96">
        <w:trPr>
          <w:trHeight w:val="266"/>
        </w:trPr>
        <w:tc>
          <w:tcPr>
            <w:tcW w:w="8932" w:type="dxa"/>
            <w:gridSpan w:val="8"/>
          </w:tcPr>
          <w:p w14:paraId="2C5E425F" w14:textId="4650BD5A" w:rsidR="00121A72" w:rsidRPr="00C32B26" w:rsidRDefault="00121A72" w:rsidP="00D26929">
            <w:pPr>
              <w:ind w:left="14" w:right="-95"/>
              <w:rPr>
                <w:rFonts w:cs="Arial"/>
                <w:lang w:val="en-CA"/>
              </w:rPr>
            </w:pPr>
            <w:r w:rsidRPr="00C32B26">
              <w:rPr>
                <w:rFonts w:cs="Arial"/>
                <w:lang w:val="en-CA"/>
              </w:rPr>
              <w:t>__________________________________________________________________</w:t>
            </w:r>
          </w:p>
        </w:tc>
      </w:tr>
      <w:tr w:rsidR="00C32B26" w:rsidRPr="00C32B26" w14:paraId="2C5E4262" w14:textId="77777777" w:rsidTr="007F7A96">
        <w:trPr>
          <w:trHeight w:val="278"/>
        </w:trPr>
        <w:tc>
          <w:tcPr>
            <w:tcW w:w="8932" w:type="dxa"/>
            <w:gridSpan w:val="8"/>
          </w:tcPr>
          <w:p w14:paraId="2C5E4261" w14:textId="77777777" w:rsidR="00121A72" w:rsidRPr="00C32B26" w:rsidRDefault="00121A72" w:rsidP="00D26929">
            <w:pPr>
              <w:jc w:val="center"/>
              <w:rPr>
                <w:rFonts w:cs="Arial"/>
                <w:lang w:val="en-CA"/>
              </w:rPr>
            </w:pPr>
          </w:p>
        </w:tc>
      </w:tr>
      <w:tr w:rsidR="00C32B26" w:rsidRPr="00DB7419" w14:paraId="2C5E4264" w14:textId="77777777" w:rsidTr="007F7A96">
        <w:trPr>
          <w:trHeight w:val="278"/>
        </w:trPr>
        <w:tc>
          <w:tcPr>
            <w:tcW w:w="8932" w:type="dxa"/>
            <w:gridSpan w:val="8"/>
          </w:tcPr>
          <w:p w14:paraId="2C5E4263" w14:textId="5D3911CD" w:rsidR="00121A72" w:rsidRPr="00C32B26" w:rsidRDefault="00121A72" w:rsidP="00D26929">
            <w:pPr>
              <w:pStyle w:val="zSoquijlblTypeDocument"/>
              <w:rPr>
                <w:rFonts w:cs="Arial"/>
                <w:lang w:val="en-CA"/>
              </w:rPr>
            </w:pPr>
            <w:r w:rsidRPr="00C32B26">
              <w:rPr>
                <w:rFonts w:cs="Arial"/>
                <w:lang w:val="en-CA"/>
              </w:rPr>
              <w:t>JU</w:t>
            </w:r>
            <w:r w:rsidR="00C700E3" w:rsidRPr="00C32B26">
              <w:rPr>
                <w:rFonts w:cs="Arial"/>
                <w:lang w:val="en-CA"/>
              </w:rPr>
              <w:t>D</w:t>
            </w:r>
            <w:r w:rsidRPr="00C32B26">
              <w:rPr>
                <w:rFonts w:cs="Arial"/>
                <w:lang w:val="en-CA"/>
              </w:rPr>
              <w:t>GMENT</w:t>
            </w:r>
            <w:r w:rsidR="0004367B" w:rsidRPr="00C32B26">
              <w:rPr>
                <w:rFonts w:cs="Arial"/>
                <w:lang w:val="en-CA"/>
              </w:rPr>
              <w:t xml:space="preserve"> </w:t>
            </w:r>
            <w:r w:rsidR="00C700E3" w:rsidRPr="00C32B26">
              <w:rPr>
                <w:rFonts w:cs="Arial"/>
                <w:lang w:val="en-CA"/>
              </w:rPr>
              <w:t xml:space="preserve">ON THE APPLICATION FOR </w:t>
            </w:r>
            <w:r w:rsidR="00831E19" w:rsidRPr="00C32B26">
              <w:rPr>
                <w:rFonts w:cs="Arial"/>
                <w:lang w:val="en-CA"/>
              </w:rPr>
              <w:t>suspension</w:t>
            </w:r>
          </w:p>
        </w:tc>
      </w:tr>
      <w:tr w:rsidR="00C32B26" w:rsidRPr="00C32B26" w14:paraId="2C5E4266" w14:textId="77777777" w:rsidTr="007F7A96">
        <w:trPr>
          <w:trHeight w:val="278"/>
        </w:trPr>
        <w:tc>
          <w:tcPr>
            <w:tcW w:w="8932" w:type="dxa"/>
            <w:gridSpan w:val="8"/>
          </w:tcPr>
          <w:p w14:paraId="2C5E4265" w14:textId="639BFE69" w:rsidR="00121A72" w:rsidRPr="00C32B26" w:rsidRDefault="00121A72" w:rsidP="00D26929">
            <w:pPr>
              <w:ind w:left="14" w:right="-70"/>
              <w:rPr>
                <w:rFonts w:cs="Arial"/>
                <w:lang w:val="en-CA"/>
              </w:rPr>
            </w:pPr>
            <w:r w:rsidRPr="00C32B26">
              <w:rPr>
                <w:rFonts w:cs="Arial"/>
                <w:lang w:val="en-CA"/>
              </w:rPr>
              <w:t>_________________________________________________________</w:t>
            </w:r>
            <w:r w:rsidR="007F7A96" w:rsidRPr="00C32B26">
              <w:rPr>
                <w:rFonts w:cs="Arial"/>
                <w:lang w:val="en-CA"/>
              </w:rPr>
              <w:t>__</w:t>
            </w:r>
            <w:r w:rsidRPr="00C32B26">
              <w:rPr>
                <w:rFonts w:cs="Arial"/>
                <w:lang w:val="en-CA"/>
              </w:rPr>
              <w:t>_______</w:t>
            </w:r>
          </w:p>
        </w:tc>
      </w:tr>
      <w:tr w:rsidR="00C32B26" w:rsidRPr="00C32B26" w14:paraId="2C5E4268" w14:textId="77777777" w:rsidTr="007F7A96">
        <w:trPr>
          <w:trHeight w:val="278"/>
        </w:trPr>
        <w:tc>
          <w:tcPr>
            <w:tcW w:w="8932" w:type="dxa"/>
            <w:gridSpan w:val="8"/>
          </w:tcPr>
          <w:p w14:paraId="2C5E4267" w14:textId="77777777" w:rsidR="00121A72" w:rsidRPr="00C32B26" w:rsidRDefault="00121A72" w:rsidP="00D26929">
            <w:pPr>
              <w:rPr>
                <w:rFonts w:cs="Arial"/>
                <w:lang w:val="en-CA"/>
              </w:rPr>
            </w:pPr>
          </w:p>
        </w:tc>
      </w:tr>
    </w:tbl>
    <w:p w14:paraId="2C5E4278" w14:textId="12E6AC70" w:rsidR="00772542" w:rsidRPr="00C32B26" w:rsidRDefault="00C700E3" w:rsidP="00020EAA">
      <w:pPr>
        <w:pStyle w:val="Titre1"/>
        <w:rPr>
          <w:rFonts w:cs="Arial"/>
          <w:lang w:val="en-CA"/>
        </w:rPr>
      </w:pPr>
      <w:bookmarkStart w:id="0" w:name="_Toc430945543"/>
      <w:r w:rsidRPr="00C32B26">
        <w:rPr>
          <w:rFonts w:cs="Arial"/>
          <w:lang w:val="en-CA"/>
        </w:rPr>
        <w:lastRenderedPageBreak/>
        <w:t>OVERVIEW</w:t>
      </w:r>
    </w:p>
    <w:p w14:paraId="71CBC90D" w14:textId="638DBE3B" w:rsidR="00C0798D" w:rsidRPr="00C32B26" w:rsidRDefault="00C700E3" w:rsidP="00AD299E">
      <w:pPr>
        <w:pStyle w:val="Paragrdouble"/>
        <w:tabs>
          <w:tab w:val="clear" w:pos="3053"/>
          <w:tab w:val="num" w:pos="567"/>
        </w:tabs>
        <w:spacing w:line="240" w:lineRule="auto"/>
        <w:ind w:left="0"/>
        <w:rPr>
          <w:lang w:val="en-CA"/>
        </w:rPr>
      </w:pPr>
      <w:r w:rsidRPr="00C32B26">
        <w:rPr>
          <w:lang w:val="en-CA"/>
        </w:rPr>
        <w:t xml:space="preserve">The applicants have filed an application for judicial review </w:t>
      </w:r>
      <w:r w:rsidR="00302650" w:rsidRPr="00C32B26">
        <w:rPr>
          <w:lang w:val="en-CA"/>
        </w:rPr>
        <w:t>that seeks</w:t>
      </w:r>
      <w:r w:rsidRPr="00C32B26">
        <w:rPr>
          <w:lang w:val="en-CA"/>
        </w:rPr>
        <w:t xml:space="preserve"> to invalidate two provisions of the </w:t>
      </w:r>
      <w:r w:rsidRPr="00C32B26">
        <w:rPr>
          <w:i/>
          <w:lang w:val="en-CA"/>
        </w:rPr>
        <w:t xml:space="preserve">Act respecting French, the official and common language of </w:t>
      </w:r>
      <w:r w:rsidR="0004367B" w:rsidRPr="00C32B26">
        <w:rPr>
          <w:i/>
          <w:lang w:val="en-CA"/>
        </w:rPr>
        <w:t>Québec</w:t>
      </w:r>
      <w:r w:rsidR="0004367B" w:rsidRPr="00C32B26">
        <w:rPr>
          <w:rStyle w:val="Appelnotedebasdep"/>
          <w:lang w:val="en-CA"/>
        </w:rPr>
        <w:footnoteReference w:id="1"/>
      </w:r>
      <w:r w:rsidRPr="00C32B26">
        <w:rPr>
          <w:i/>
          <w:lang w:val="en-CA"/>
        </w:rPr>
        <w:t xml:space="preserve"> </w:t>
      </w:r>
      <w:r w:rsidR="0004367B" w:rsidRPr="00C32B26">
        <w:rPr>
          <w:lang w:val="en-CA"/>
        </w:rPr>
        <w:t>(</w:t>
      </w:r>
      <w:r w:rsidRPr="00C32B26">
        <w:rPr>
          <w:lang w:val="en-CA"/>
        </w:rPr>
        <w:t>“Bill 96”)</w:t>
      </w:r>
      <w:r w:rsidR="00302650" w:rsidRPr="00C32B26">
        <w:rPr>
          <w:lang w:val="en-CA"/>
        </w:rPr>
        <w:t xml:space="preserve">, which amend the </w:t>
      </w:r>
      <w:r w:rsidR="00302650" w:rsidRPr="00C32B26">
        <w:rPr>
          <w:i/>
          <w:iCs/>
          <w:lang w:val="en-CA"/>
        </w:rPr>
        <w:t xml:space="preserve">Charter of the French </w:t>
      </w:r>
      <w:r w:rsidR="00F55EE4" w:rsidRPr="00C32B26">
        <w:rPr>
          <w:i/>
          <w:iCs/>
          <w:lang w:val="en-CA"/>
        </w:rPr>
        <w:t>l</w:t>
      </w:r>
      <w:r w:rsidR="00302650" w:rsidRPr="00C32B26">
        <w:rPr>
          <w:i/>
          <w:iCs/>
          <w:lang w:val="en-CA"/>
        </w:rPr>
        <w:t>anguage</w:t>
      </w:r>
      <w:r w:rsidR="001F73B8" w:rsidRPr="00C32B26">
        <w:rPr>
          <w:rStyle w:val="Appelnotedebasdep"/>
          <w:lang w:val="en-CA"/>
        </w:rPr>
        <w:footnoteReference w:id="2"/>
      </w:r>
      <w:r w:rsidR="00542EFC" w:rsidRPr="00C32B26">
        <w:rPr>
          <w:i/>
          <w:lang w:val="en-CA"/>
        </w:rPr>
        <w:t xml:space="preserve"> </w:t>
      </w:r>
      <w:r w:rsidR="00302650" w:rsidRPr="00C32B26">
        <w:rPr>
          <w:lang w:val="en-CA"/>
        </w:rPr>
        <w:t xml:space="preserve">and </w:t>
      </w:r>
      <w:r w:rsidR="002F75B1" w:rsidRPr="00C32B26">
        <w:rPr>
          <w:lang w:val="en-CA"/>
        </w:rPr>
        <w:t>are</w:t>
      </w:r>
      <w:r w:rsidR="00302650" w:rsidRPr="00C32B26">
        <w:rPr>
          <w:lang w:val="en-CA"/>
        </w:rPr>
        <w:t xml:space="preserve"> scheduled to come into force on September 1, 2022. The provisions state that in order for any </w:t>
      </w:r>
      <w:r w:rsidR="00F55C44" w:rsidRPr="00C32B26">
        <w:rPr>
          <w:lang w:val="en-CA"/>
        </w:rPr>
        <w:t>English</w:t>
      </w:r>
      <w:r w:rsidR="00AD2B22" w:rsidRPr="00C32B26">
        <w:rPr>
          <w:lang w:val="en-CA"/>
        </w:rPr>
        <w:noBreakHyphen/>
        <w:t>language</w:t>
      </w:r>
      <w:r w:rsidR="00F55C44" w:rsidRPr="00C32B26">
        <w:rPr>
          <w:lang w:val="en-CA"/>
        </w:rPr>
        <w:t xml:space="preserve"> </w:t>
      </w:r>
      <w:r w:rsidR="00302650" w:rsidRPr="00C32B26">
        <w:rPr>
          <w:lang w:val="en-CA"/>
        </w:rPr>
        <w:t xml:space="preserve">pleading emanating from a legal person to be filed in court, it must be accompanied by a French </w:t>
      </w:r>
      <w:r w:rsidR="00A31F77" w:rsidRPr="00C32B26">
        <w:rPr>
          <w:lang w:val="en-CA"/>
        </w:rPr>
        <w:t>version certified by a</w:t>
      </w:r>
      <w:r w:rsidR="00302650" w:rsidRPr="00C32B26">
        <w:rPr>
          <w:lang w:val="en-CA"/>
        </w:rPr>
        <w:t xml:space="preserve"> certified translator</w:t>
      </w:r>
      <w:r w:rsidR="00C0798D" w:rsidRPr="00C32B26">
        <w:rPr>
          <w:lang w:val="en-CA"/>
        </w:rPr>
        <w:t>.</w:t>
      </w:r>
    </w:p>
    <w:p w14:paraId="2F5629B2" w14:textId="3B38EB2B" w:rsidR="00B83D45" w:rsidRPr="00C32B26" w:rsidRDefault="009F2A28" w:rsidP="00AD299E">
      <w:pPr>
        <w:pStyle w:val="Paragrdouble"/>
        <w:tabs>
          <w:tab w:val="clear" w:pos="3053"/>
          <w:tab w:val="num" w:pos="567"/>
        </w:tabs>
        <w:spacing w:line="240" w:lineRule="auto"/>
        <w:ind w:left="0"/>
        <w:rPr>
          <w:lang w:val="en-CA"/>
        </w:rPr>
      </w:pPr>
      <w:r w:rsidRPr="00C32B26">
        <w:rPr>
          <w:lang w:val="en-CA"/>
        </w:rPr>
        <w:t>The</w:t>
      </w:r>
      <w:r w:rsidR="00302650" w:rsidRPr="00C32B26">
        <w:rPr>
          <w:lang w:val="en-CA"/>
        </w:rPr>
        <w:t xml:space="preserve"> present application</w:t>
      </w:r>
      <w:r w:rsidRPr="00C32B26">
        <w:rPr>
          <w:lang w:val="en-CA"/>
        </w:rPr>
        <w:t xml:space="preserve"> is about </w:t>
      </w:r>
      <w:r w:rsidR="00DC5762" w:rsidRPr="00C32B26">
        <w:rPr>
          <w:lang w:val="en-CA"/>
        </w:rPr>
        <w:t>suspending</w:t>
      </w:r>
      <w:r w:rsidRPr="00C32B26">
        <w:rPr>
          <w:lang w:val="en-CA"/>
        </w:rPr>
        <w:t xml:space="preserve"> those provisions </w:t>
      </w:r>
      <w:r w:rsidR="00AF7E02" w:rsidRPr="00C32B26">
        <w:rPr>
          <w:lang w:val="en-CA"/>
        </w:rPr>
        <w:t xml:space="preserve">for the duration of </w:t>
      </w:r>
      <w:r w:rsidR="00527C0D" w:rsidRPr="00C32B26">
        <w:rPr>
          <w:lang w:val="en-CA"/>
        </w:rPr>
        <w:t>the</w:t>
      </w:r>
      <w:r w:rsidRPr="00C32B26">
        <w:rPr>
          <w:lang w:val="en-CA"/>
        </w:rPr>
        <w:t xml:space="preserve"> proceedings.</w:t>
      </w:r>
    </w:p>
    <w:p w14:paraId="34A720B1" w14:textId="7D662C2A" w:rsidR="00C0798D" w:rsidRPr="00C32B26" w:rsidRDefault="00E84F8F" w:rsidP="00AD299E">
      <w:pPr>
        <w:pStyle w:val="Paragrdouble"/>
        <w:tabs>
          <w:tab w:val="clear" w:pos="3053"/>
          <w:tab w:val="num" w:pos="567"/>
        </w:tabs>
        <w:spacing w:line="240" w:lineRule="auto"/>
        <w:ind w:left="0"/>
        <w:rPr>
          <w:lang w:val="en-CA"/>
        </w:rPr>
      </w:pPr>
      <w:r w:rsidRPr="00C32B26">
        <w:rPr>
          <w:lang w:val="en-CA"/>
        </w:rPr>
        <w:t xml:space="preserve">The applicants submit that they contravene a provision of the </w:t>
      </w:r>
      <w:r w:rsidR="006F7C52" w:rsidRPr="00C32B26">
        <w:rPr>
          <w:lang w:val="en-CA"/>
        </w:rPr>
        <w:t>Constitution</w:t>
      </w:r>
      <w:r w:rsidR="001F73B8" w:rsidRPr="00C32B26">
        <w:rPr>
          <w:rStyle w:val="Appelnotedebasdep"/>
          <w:lang w:val="en-CA"/>
        </w:rPr>
        <w:footnoteReference w:id="3"/>
      </w:r>
      <w:r w:rsidR="008443AB" w:rsidRPr="00C32B26">
        <w:rPr>
          <w:lang w:val="en-CA"/>
        </w:rPr>
        <w:t xml:space="preserve"> </w:t>
      </w:r>
      <w:r w:rsidRPr="00C32B26">
        <w:rPr>
          <w:lang w:val="en-CA"/>
        </w:rPr>
        <w:t>and c</w:t>
      </w:r>
      <w:r w:rsidR="00A964AD" w:rsidRPr="00C32B26">
        <w:rPr>
          <w:lang w:val="en-CA"/>
        </w:rPr>
        <w:t>reate</w:t>
      </w:r>
      <w:r w:rsidRPr="00C32B26">
        <w:rPr>
          <w:lang w:val="en-CA"/>
        </w:rPr>
        <w:t xml:space="preserve"> a barrier to access to the courts for legal persons </w:t>
      </w:r>
      <w:r w:rsidR="005F06B9" w:rsidRPr="00C32B26">
        <w:rPr>
          <w:lang w:val="en-CA"/>
        </w:rPr>
        <w:t>whose representatives</w:t>
      </w:r>
      <w:r w:rsidRPr="00C32B26">
        <w:rPr>
          <w:lang w:val="en-CA"/>
        </w:rPr>
        <w:t xml:space="preserve"> </w:t>
      </w:r>
      <w:r w:rsidR="005F06B9" w:rsidRPr="00C32B26">
        <w:rPr>
          <w:lang w:val="en-CA"/>
        </w:rPr>
        <w:t>are anglophones</w:t>
      </w:r>
      <w:r w:rsidR="00BC5EC4" w:rsidRPr="00C32B26">
        <w:rPr>
          <w:lang w:val="en-CA"/>
        </w:rPr>
        <w:t xml:space="preserve">. </w:t>
      </w:r>
      <w:r w:rsidRPr="00C32B26">
        <w:rPr>
          <w:lang w:val="en-CA"/>
        </w:rPr>
        <w:t xml:space="preserve">They argue that the additional costs and time required to obtain a certified translation </w:t>
      </w:r>
      <w:r w:rsidR="00C5603C" w:rsidRPr="00C32B26">
        <w:rPr>
          <w:lang w:val="en-CA"/>
        </w:rPr>
        <w:t>create an impediment</w:t>
      </w:r>
      <w:r w:rsidRPr="00C32B26">
        <w:rPr>
          <w:lang w:val="en-CA"/>
        </w:rPr>
        <w:t xml:space="preserve"> </w:t>
      </w:r>
      <w:r w:rsidR="00C5603C" w:rsidRPr="00C32B26">
        <w:rPr>
          <w:lang w:val="en-CA"/>
        </w:rPr>
        <w:t xml:space="preserve">to </w:t>
      </w:r>
      <w:r w:rsidRPr="00C32B26">
        <w:rPr>
          <w:lang w:val="en-CA"/>
        </w:rPr>
        <w:t>access to justice.</w:t>
      </w:r>
    </w:p>
    <w:p w14:paraId="2DB6BD7D" w14:textId="235B7421" w:rsidR="00BC5EC4" w:rsidRPr="00C32B26" w:rsidRDefault="00507015" w:rsidP="00AD299E">
      <w:pPr>
        <w:pStyle w:val="Paragrdouble"/>
        <w:tabs>
          <w:tab w:val="clear" w:pos="3053"/>
          <w:tab w:val="num" w:pos="567"/>
        </w:tabs>
        <w:spacing w:line="240" w:lineRule="auto"/>
        <w:ind w:left="0"/>
        <w:rPr>
          <w:lang w:val="en-CA"/>
        </w:rPr>
      </w:pPr>
      <w:r w:rsidRPr="00C32B26">
        <w:rPr>
          <w:lang w:val="en-CA"/>
        </w:rPr>
        <w:t>The Attorney General of Quebec (“AGQ”) responds that Bill 96 has been enacted to promote French</w:t>
      </w:r>
      <w:r w:rsidR="00E84F8F" w:rsidRPr="00C32B26">
        <w:rPr>
          <w:lang w:val="en-CA"/>
        </w:rPr>
        <w:t>,</w:t>
      </w:r>
      <w:r w:rsidRPr="00C32B26">
        <w:rPr>
          <w:lang w:val="en-CA"/>
        </w:rPr>
        <w:t xml:space="preserve"> and that since justice must be </w:t>
      </w:r>
      <w:r w:rsidR="00D76F16" w:rsidRPr="00C32B26">
        <w:rPr>
          <w:lang w:val="en-CA"/>
        </w:rPr>
        <w:t>done</w:t>
      </w:r>
      <w:r w:rsidRPr="00C32B26">
        <w:rPr>
          <w:lang w:val="en-CA"/>
        </w:rPr>
        <w:t xml:space="preserve"> in French, the impugned provisions are valid and do not impede access to justice.</w:t>
      </w:r>
    </w:p>
    <w:p w14:paraId="5EA04878" w14:textId="1F2927ED" w:rsidR="0004367B" w:rsidRPr="00C32B26" w:rsidRDefault="00E84F8F" w:rsidP="00AD299E">
      <w:pPr>
        <w:pStyle w:val="Paragrdouble"/>
        <w:tabs>
          <w:tab w:val="clear" w:pos="3053"/>
          <w:tab w:val="num" w:pos="567"/>
        </w:tabs>
        <w:spacing w:line="240" w:lineRule="auto"/>
        <w:ind w:left="0"/>
        <w:rPr>
          <w:lang w:val="en-CA"/>
        </w:rPr>
      </w:pPr>
      <w:r w:rsidRPr="00C32B26">
        <w:rPr>
          <w:lang w:val="en-CA"/>
        </w:rPr>
        <w:t>For the reasons</w:t>
      </w:r>
      <w:r w:rsidR="0069617B" w:rsidRPr="00C32B26">
        <w:rPr>
          <w:lang w:val="en-CA"/>
        </w:rPr>
        <w:t xml:space="preserve"> that follow</w:t>
      </w:r>
      <w:r w:rsidRPr="00C32B26">
        <w:rPr>
          <w:lang w:val="en-CA"/>
        </w:rPr>
        <w:t>, the Court finds that the coming into force of sections</w:t>
      </w:r>
      <w:r w:rsidR="00675FC1" w:rsidRPr="00C32B26">
        <w:rPr>
          <w:lang w:val="en-CA"/>
        </w:rPr>
        <w:t> </w:t>
      </w:r>
      <w:r w:rsidR="00773128" w:rsidRPr="00C32B26">
        <w:rPr>
          <w:lang w:val="en-CA"/>
        </w:rPr>
        <w:t xml:space="preserve">5 </w:t>
      </w:r>
      <w:r w:rsidRPr="00C32B26">
        <w:rPr>
          <w:lang w:val="en-CA"/>
        </w:rPr>
        <w:t>and</w:t>
      </w:r>
      <w:r w:rsidR="00773128" w:rsidRPr="00C32B26">
        <w:rPr>
          <w:lang w:val="en-CA"/>
        </w:rPr>
        <w:t xml:space="preserve"> 119 </w:t>
      </w:r>
      <w:r w:rsidRPr="00C32B26">
        <w:rPr>
          <w:lang w:val="en-CA"/>
        </w:rPr>
        <w:t xml:space="preserve">of Bill 96, which amend sections </w:t>
      </w:r>
      <w:r w:rsidR="00773128" w:rsidRPr="00C32B26">
        <w:rPr>
          <w:lang w:val="en-CA"/>
        </w:rPr>
        <w:t xml:space="preserve">9 </w:t>
      </w:r>
      <w:r w:rsidRPr="00C32B26">
        <w:rPr>
          <w:lang w:val="en-CA"/>
        </w:rPr>
        <w:t>and</w:t>
      </w:r>
      <w:r w:rsidR="00773128" w:rsidRPr="00C32B26">
        <w:rPr>
          <w:lang w:val="en-CA"/>
        </w:rPr>
        <w:t xml:space="preserve"> 208.6 </w:t>
      </w:r>
      <w:r w:rsidRPr="00C32B26">
        <w:rPr>
          <w:lang w:val="en-CA"/>
        </w:rPr>
        <w:t xml:space="preserve">of the </w:t>
      </w:r>
      <w:r w:rsidR="00F55EE4" w:rsidRPr="00C32B26">
        <w:rPr>
          <w:i/>
          <w:iCs/>
          <w:lang w:val="en-CA"/>
        </w:rPr>
        <w:t>Charter of the French language</w:t>
      </w:r>
      <w:r w:rsidRPr="00C32B26">
        <w:rPr>
          <w:lang w:val="en-CA"/>
        </w:rPr>
        <w:t xml:space="preserve">, must be ordered suspended during the proceedings </w:t>
      </w:r>
      <w:r w:rsidR="002C09F4" w:rsidRPr="00C32B26">
        <w:rPr>
          <w:lang w:val="en-CA"/>
        </w:rPr>
        <w:t xml:space="preserve">to consider </w:t>
      </w:r>
      <w:r w:rsidRPr="00C32B26">
        <w:rPr>
          <w:lang w:val="en-CA"/>
        </w:rPr>
        <w:t>their validity.</w:t>
      </w:r>
    </w:p>
    <w:p w14:paraId="67058269" w14:textId="4AD2AE8F" w:rsidR="0004367B" w:rsidRPr="00C32B26" w:rsidRDefault="00773128" w:rsidP="00AD299E">
      <w:pPr>
        <w:pStyle w:val="Paragrdouble"/>
        <w:tabs>
          <w:tab w:val="clear" w:pos="3053"/>
          <w:tab w:val="num" w:pos="567"/>
        </w:tabs>
        <w:spacing w:line="240" w:lineRule="auto"/>
        <w:ind w:left="0"/>
        <w:rPr>
          <w:lang w:val="en-CA"/>
        </w:rPr>
      </w:pPr>
      <w:r w:rsidRPr="00C32B26">
        <w:rPr>
          <w:lang w:val="en-CA"/>
        </w:rPr>
        <w:t xml:space="preserve"> </w:t>
      </w:r>
      <w:r w:rsidR="00A65901" w:rsidRPr="00C32B26">
        <w:rPr>
          <w:lang w:val="en-CA"/>
        </w:rPr>
        <w:t>The applicants rais</w:t>
      </w:r>
      <w:r w:rsidR="00D76F16" w:rsidRPr="00C32B26">
        <w:rPr>
          <w:lang w:val="en-CA"/>
        </w:rPr>
        <w:t>e</w:t>
      </w:r>
      <w:r w:rsidR="00A65901" w:rsidRPr="00C32B26">
        <w:rPr>
          <w:lang w:val="en-CA"/>
        </w:rPr>
        <w:t xml:space="preserve"> a serious question</w:t>
      </w:r>
      <w:r w:rsidR="002C09F4" w:rsidRPr="00C32B26">
        <w:rPr>
          <w:lang w:val="en-CA"/>
        </w:rPr>
        <w:t xml:space="preserve"> regarding</w:t>
      </w:r>
      <w:r w:rsidR="00A65901" w:rsidRPr="00C32B26">
        <w:rPr>
          <w:lang w:val="en-CA"/>
        </w:rPr>
        <w:t xml:space="preserve"> a potential contravention of section 133 of the </w:t>
      </w:r>
      <w:r w:rsidR="00A65901" w:rsidRPr="00C32B26">
        <w:rPr>
          <w:i/>
          <w:iCs/>
          <w:lang w:val="en-CA"/>
        </w:rPr>
        <w:t>Constitution Act, 1867</w:t>
      </w:r>
      <w:r w:rsidR="00A65901" w:rsidRPr="00C32B26">
        <w:rPr>
          <w:lang w:val="en-CA"/>
        </w:rPr>
        <w:t>,</w:t>
      </w:r>
      <w:r w:rsidR="00542EFC" w:rsidRPr="00C32B26">
        <w:rPr>
          <w:rStyle w:val="Appelnotedebasdep"/>
          <w:lang w:val="en-CA"/>
        </w:rPr>
        <w:footnoteReference w:id="4"/>
      </w:r>
      <w:r w:rsidR="00CD440B" w:rsidRPr="00C32B26">
        <w:rPr>
          <w:lang w:val="en-CA"/>
        </w:rPr>
        <w:t xml:space="preserve"> </w:t>
      </w:r>
      <w:r w:rsidR="0083783B" w:rsidRPr="00C32B26">
        <w:rPr>
          <w:lang w:val="en-CA"/>
        </w:rPr>
        <w:t xml:space="preserve">which provides for access to </w:t>
      </w:r>
      <w:r w:rsidR="00D243DD" w:rsidRPr="00C32B26">
        <w:rPr>
          <w:lang w:val="en-CA"/>
        </w:rPr>
        <w:t xml:space="preserve">Quebec </w:t>
      </w:r>
      <w:r w:rsidR="00012D06" w:rsidRPr="00C32B26">
        <w:rPr>
          <w:lang w:val="en-CA"/>
        </w:rPr>
        <w:t xml:space="preserve">courts </w:t>
      </w:r>
      <w:r w:rsidR="00D243DD" w:rsidRPr="00C32B26">
        <w:rPr>
          <w:lang w:val="en-CA"/>
        </w:rPr>
        <w:t xml:space="preserve">in </w:t>
      </w:r>
      <w:r w:rsidR="0083783B" w:rsidRPr="00C32B26">
        <w:rPr>
          <w:lang w:val="en-CA"/>
        </w:rPr>
        <w:t xml:space="preserve">French and English. </w:t>
      </w:r>
    </w:p>
    <w:p w14:paraId="26DFD2A0" w14:textId="4CA954CB" w:rsidR="0004367B" w:rsidRPr="00C32B26" w:rsidRDefault="00CD440B" w:rsidP="00AD299E">
      <w:pPr>
        <w:pStyle w:val="Paragrdouble"/>
        <w:tabs>
          <w:tab w:val="clear" w:pos="3053"/>
          <w:tab w:val="num" w:pos="567"/>
        </w:tabs>
        <w:spacing w:line="240" w:lineRule="auto"/>
        <w:ind w:left="0"/>
        <w:rPr>
          <w:lang w:val="en-CA"/>
        </w:rPr>
      </w:pPr>
      <w:r w:rsidRPr="00C32B26">
        <w:rPr>
          <w:lang w:val="en-CA"/>
        </w:rPr>
        <w:t xml:space="preserve"> </w:t>
      </w:r>
      <w:r w:rsidR="0083783B" w:rsidRPr="00C32B26">
        <w:rPr>
          <w:lang w:val="en-CA"/>
        </w:rPr>
        <w:t xml:space="preserve">The applicants have shown </w:t>
      </w:r>
      <w:r w:rsidR="002070ED" w:rsidRPr="00C32B26">
        <w:rPr>
          <w:lang w:val="en-CA"/>
        </w:rPr>
        <w:t xml:space="preserve">that there would be irreparable </w:t>
      </w:r>
      <w:r w:rsidR="0038313E" w:rsidRPr="00C32B26">
        <w:rPr>
          <w:lang w:val="en-CA"/>
        </w:rPr>
        <w:t>harm</w:t>
      </w:r>
      <w:r w:rsidR="002070ED" w:rsidRPr="00C32B26">
        <w:rPr>
          <w:lang w:val="en-CA"/>
        </w:rPr>
        <w:t xml:space="preserve"> if the new provisions </w:t>
      </w:r>
      <w:r w:rsidR="00DC61AD" w:rsidRPr="00C32B26">
        <w:rPr>
          <w:lang w:val="en-CA"/>
        </w:rPr>
        <w:t xml:space="preserve">were to </w:t>
      </w:r>
      <w:r w:rsidR="002070ED" w:rsidRPr="00C32B26">
        <w:rPr>
          <w:lang w:val="en-CA"/>
        </w:rPr>
        <w:t>c</w:t>
      </w:r>
      <w:r w:rsidR="00DC61AD" w:rsidRPr="00C32B26">
        <w:rPr>
          <w:lang w:val="en-CA"/>
        </w:rPr>
        <w:t>o</w:t>
      </w:r>
      <w:r w:rsidR="002070ED" w:rsidRPr="00C32B26">
        <w:rPr>
          <w:lang w:val="en-CA"/>
        </w:rPr>
        <w:t xml:space="preserve">me into force during the proceedings, notably because the new provisions can make access to justice in urgent </w:t>
      </w:r>
      <w:r w:rsidR="00E75BA4" w:rsidRPr="00C32B26">
        <w:rPr>
          <w:lang w:val="en-CA"/>
        </w:rPr>
        <w:t>matters</w:t>
      </w:r>
      <w:r w:rsidR="002070ED" w:rsidRPr="00C32B26">
        <w:rPr>
          <w:lang w:val="en-CA"/>
        </w:rPr>
        <w:t xml:space="preserve"> impossible or illusory. The</w:t>
      </w:r>
      <w:r w:rsidR="00DC61AD" w:rsidRPr="00C32B26">
        <w:rPr>
          <w:lang w:val="en-CA"/>
        </w:rPr>
        <w:t> </w:t>
      </w:r>
      <w:r w:rsidR="002070ED" w:rsidRPr="00C32B26">
        <w:rPr>
          <w:lang w:val="en-CA"/>
        </w:rPr>
        <w:t xml:space="preserve">requirement of a translation </w:t>
      </w:r>
      <w:r w:rsidR="004857A9" w:rsidRPr="00C32B26">
        <w:rPr>
          <w:lang w:val="en-CA"/>
        </w:rPr>
        <w:t>certified</w:t>
      </w:r>
      <w:r w:rsidR="00D466F4" w:rsidRPr="00C32B26">
        <w:rPr>
          <w:lang w:val="en-CA"/>
        </w:rPr>
        <w:t xml:space="preserve"> </w:t>
      </w:r>
      <w:r w:rsidR="002070ED" w:rsidRPr="00C32B26">
        <w:rPr>
          <w:lang w:val="en-CA"/>
        </w:rPr>
        <w:t xml:space="preserve">by a </w:t>
      </w:r>
      <w:r w:rsidR="00D9773E" w:rsidRPr="00C32B26">
        <w:rPr>
          <w:lang w:val="en-CA"/>
        </w:rPr>
        <w:t>certified translator must be assessed based on the delay</w:t>
      </w:r>
      <w:r w:rsidR="0060777B" w:rsidRPr="00C32B26">
        <w:rPr>
          <w:lang w:val="en-CA"/>
        </w:rPr>
        <w:t>s</w:t>
      </w:r>
      <w:r w:rsidR="00D9773E" w:rsidRPr="00C32B26">
        <w:rPr>
          <w:lang w:val="en-CA"/>
        </w:rPr>
        <w:t xml:space="preserve"> and cost</w:t>
      </w:r>
      <w:r w:rsidR="0060777B" w:rsidRPr="00C32B26">
        <w:rPr>
          <w:lang w:val="en-CA"/>
        </w:rPr>
        <w:t>s</w:t>
      </w:r>
      <w:r w:rsidR="00D9773E" w:rsidRPr="00C32B26">
        <w:rPr>
          <w:lang w:val="en-CA"/>
        </w:rPr>
        <w:t xml:space="preserve"> </w:t>
      </w:r>
      <w:r w:rsidR="005964D6" w:rsidRPr="00C32B26">
        <w:rPr>
          <w:lang w:val="en-CA"/>
        </w:rPr>
        <w:t xml:space="preserve">that </w:t>
      </w:r>
      <w:r w:rsidR="00D9773E" w:rsidRPr="00C32B26">
        <w:rPr>
          <w:lang w:val="en-CA"/>
        </w:rPr>
        <w:t>such translations engender</w:t>
      </w:r>
      <w:r w:rsidR="00814F42" w:rsidRPr="00C32B26">
        <w:rPr>
          <w:lang w:val="en-CA"/>
        </w:rPr>
        <w:t xml:space="preserve">. </w:t>
      </w:r>
      <w:r w:rsidR="00D466F4" w:rsidRPr="00C32B26">
        <w:rPr>
          <w:lang w:val="en-CA"/>
        </w:rPr>
        <w:t xml:space="preserve">The requirement </w:t>
      </w:r>
      <w:r w:rsidR="006C1E75" w:rsidRPr="00C32B26">
        <w:rPr>
          <w:lang w:val="en-CA"/>
        </w:rPr>
        <w:t xml:space="preserve">is likely to </w:t>
      </w:r>
      <w:r w:rsidR="00D9773E" w:rsidRPr="00C32B26">
        <w:rPr>
          <w:lang w:val="en-CA"/>
        </w:rPr>
        <w:t>imped</w:t>
      </w:r>
      <w:r w:rsidR="007131DE" w:rsidRPr="00C32B26">
        <w:rPr>
          <w:lang w:val="en-CA"/>
        </w:rPr>
        <w:t>e</w:t>
      </w:r>
      <w:r w:rsidR="00D9773E" w:rsidRPr="00C32B26">
        <w:rPr>
          <w:lang w:val="en-CA"/>
        </w:rPr>
        <w:t xml:space="preserve"> access to justice</w:t>
      </w:r>
      <w:r w:rsidR="00814F42" w:rsidRPr="00C32B26">
        <w:rPr>
          <w:lang w:val="en-CA"/>
        </w:rPr>
        <w:t>.</w:t>
      </w:r>
    </w:p>
    <w:p w14:paraId="69AE83A5" w14:textId="7011383E" w:rsidR="000B2AD7" w:rsidRPr="00C32B26" w:rsidRDefault="00814F42" w:rsidP="00AD299E">
      <w:pPr>
        <w:pStyle w:val="Paragrdouble"/>
        <w:tabs>
          <w:tab w:val="clear" w:pos="3053"/>
          <w:tab w:val="num" w:pos="567"/>
        </w:tabs>
        <w:spacing w:line="240" w:lineRule="auto"/>
        <w:ind w:left="0"/>
        <w:rPr>
          <w:lang w:val="en-CA"/>
        </w:rPr>
      </w:pPr>
      <w:r w:rsidRPr="00C32B26">
        <w:rPr>
          <w:lang w:val="en-CA"/>
        </w:rPr>
        <w:t xml:space="preserve"> </w:t>
      </w:r>
      <w:r w:rsidR="00C9198E" w:rsidRPr="00C32B26">
        <w:rPr>
          <w:lang w:val="en-CA"/>
        </w:rPr>
        <w:t>Lastly, the balance of inconvenience favours the applicants</w:t>
      </w:r>
      <w:r w:rsidR="00207495" w:rsidRPr="00C32B26">
        <w:rPr>
          <w:lang w:val="en-CA"/>
        </w:rPr>
        <w:t>,</w:t>
      </w:r>
      <w:r w:rsidR="009C30E2" w:rsidRPr="00C32B26">
        <w:rPr>
          <w:lang w:val="en-CA"/>
        </w:rPr>
        <w:t xml:space="preserve"> who </w:t>
      </w:r>
      <w:r w:rsidR="00207495" w:rsidRPr="00C32B26">
        <w:rPr>
          <w:lang w:val="en-CA"/>
        </w:rPr>
        <w:t xml:space="preserve">are asserting </w:t>
      </w:r>
      <w:r w:rsidR="009C30E2" w:rsidRPr="00C32B26">
        <w:rPr>
          <w:lang w:val="en-CA"/>
        </w:rPr>
        <w:t>constitutional language rights</w:t>
      </w:r>
      <w:r w:rsidR="00236FAE" w:rsidRPr="00C32B26">
        <w:rPr>
          <w:lang w:val="en-CA"/>
        </w:rPr>
        <w:t>,</w:t>
      </w:r>
      <w:r w:rsidR="009C30E2" w:rsidRPr="00C32B26">
        <w:rPr>
          <w:lang w:val="en-CA"/>
        </w:rPr>
        <w:t xml:space="preserve"> even though there is a presumption that Bill</w:t>
      </w:r>
      <w:r w:rsidR="00DC5762" w:rsidRPr="00C32B26">
        <w:rPr>
          <w:lang w:val="en-CA"/>
        </w:rPr>
        <w:t> </w:t>
      </w:r>
      <w:r w:rsidR="009C30E2" w:rsidRPr="00C32B26">
        <w:rPr>
          <w:lang w:val="en-CA"/>
        </w:rPr>
        <w:t xml:space="preserve">96 and the </w:t>
      </w:r>
      <w:r w:rsidR="0043154E" w:rsidRPr="00C32B26">
        <w:rPr>
          <w:lang w:val="en-CA"/>
        </w:rPr>
        <w:t>contested</w:t>
      </w:r>
      <w:r w:rsidR="009C30E2" w:rsidRPr="00C32B26">
        <w:rPr>
          <w:lang w:val="en-CA"/>
        </w:rPr>
        <w:t xml:space="preserve"> p</w:t>
      </w:r>
      <w:r w:rsidR="00930793" w:rsidRPr="00C32B26">
        <w:rPr>
          <w:lang w:val="en-CA"/>
        </w:rPr>
        <w:t xml:space="preserve">rovisions </w:t>
      </w:r>
      <w:r w:rsidR="00E21B0D" w:rsidRPr="00C32B26">
        <w:rPr>
          <w:lang w:val="en-CA"/>
        </w:rPr>
        <w:t>have been</w:t>
      </w:r>
      <w:r w:rsidR="00930793" w:rsidRPr="00C32B26">
        <w:rPr>
          <w:lang w:val="en-CA"/>
        </w:rPr>
        <w:t xml:space="preserve"> enacted in the public interest.</w:t>
      </w:r>
    </w:p>
    <w:p w14:paraId="6F8BAC33" w14:textId="5ACEDB7A" w:rsidR="000B2AD7" w:rsidRPr="00C32B26" w:rsidRDefault="00207495" w:rsidP="00AD299E">
      <w:pPr>
        <w:pStyle w:val="Paragrdouble"/>
        <w:tabs>
          <w:tab w:val="clear" w:pos="3053"/>
          <w:tab w:val="num" w:pos="567"/>
        </w:tabs>
        <w:spacing w:line="240" w:lineRule="auto"/>
        <w:ind w:left="0"/>
        <w:rPr>
          <w:lang w:val="en-CA"/>
        </w:rPr>
      </w:pPr>
      <w:r w:rsidRPr="00C32B26">
        <w:rPr>
          <w:lang w:val="en-CA"/>
        </w:rPr>
        <w:lastRenderedPageBreak/>
        <w:t xml:space="preserve">It </w:t>
      </w:r>
      <w:r w:rsidR="00E4785D" w:rsidRPr="00C32B26">
        <w:rPr>
          <w:lang w:val="en-CA"/>
        </w:rPr>
        <w:t>is appropriate</w:t>
      </w:r>
      <w:r w:rsidRPr="00C32B26">
        <w:rPr>
          <w:lang w:val="en-CA"/>
        </w:rPr>
        <w:t xml:space="preserve"> to begin by considering </w:t>
      </w:r>
      <w:r w:rsidR="00DC5762" w:rsidRPr="00C32B26">
        <w:rPr>
          <w:lang w:val="en-CA"/>
        </w:rPr>
        <w:t xml:space="preserve">the conditions that </w:t>
      </w:r>
      <w:r w:rsidRPr="00C32B26">
        <w:rPr>
          <w:lang w:val="en-CA"/>
        </w:rPr>
        <w:t>must</w:t>
      </w:r>
      <w:r w:rsidR="00DC5762" w:rsidRPr="00C32B26">
        <w:rPr>
          <w:lang w:val="en-CA"/>
        </w:rPr>
        <w:t xml:space="preserve"> be met for an application for suspension to be granted.</w:t>
      </w:r>
      <w:r w:rsidR="000B2AD7" w:rsidRPr="00C32B26">
        <w:rPr>
          <w:lang w:val="en-CA"/>
        </w:rPr>
        <w:t xml:space="preserve"> </w:t>
      </w:r>
    </w:p>
    <w:p w14:paraId="65B08A6D" w14:textId="1B3AA927" w:rsidR="000B2AD7" w:rsidRPr="00C32B26" w:rsidRDefault="00C24B28" w:rsidP="006F7C52">
      <w:pPr>
        <w:pStyle w:val="Titre1"/>
        <w:ind w:firstLine="0"/>
        <w:rPr>
          <w:b w:val="0"/>
          <w:lang w:val="en-CA"/>
        </w:rPr>
      </w:pPr>
      <w:r w:rsidRPr="00C32B26">
        <w:rPr>
          <w:lang w:val="en-CA"/>
        </w:rPr>
        <w:t xml:space="preserve">THE </w:t>
      </w:r>
      <w:r w:rsidR="000B2AD7" w:rsidRPr="00C32B26">
        <w:rPr>
          <w:lang w:val="en-CA"/>
        </w:rPr>
        <w:t>CONDITION</w:t>
      </w:r>
      <w:r w:rsidR="005C6601" w:rsidRPr="00C32B26">
        <w:rPr>
          <w:lang w:val="en-CA"/>
        </w:rPr>
        <w:t xml:space="preserve">S </w:t>
      </w:r>
      <w:r w:rsidRPr="00C32B26">
        <w:rPr>
          <w:lang w:val="en-CA"/>
        </w:rPr>
        <w:t xml:space="preserve">TO BE MET IN APPLICATIONS FOR </w:t>
      </w:r>
      <w:r w:rsidR="00800EFC" w:rsidRPr="00C32B26">
        <w:rPr>
          <w:lang w:val="en-CA"/>
        </w:rPr>
        <w:t>SUSPENSION</w:t>
      </w:r>
    </w:p>
    <w:p w14:paraId="7E863ADB" w14:textId="0F7F72C5" w:rsidR="00FF68A9" w:rsidRPr="00C32B26" w:rsidRDefault="001E7BE7" w:rsidP="00AD299E">
      <w:pPr>
        <w:pStyle w:val="Paragrdouble"/>
        <w:tabs>
          <w:tab w:val="clear" w:pos="3053"/>
          <w:tab w:val="num" w:pos="567"/>
        </w:tabs>
        <w:spacing w:line="240" w:lineRule="auto"/>
        <w:ind w:left="0"/>
        <w:rPr>
          <w:lang w:val="en-CA"/>
        </w:rPr>
      </w:pPr>
      <w:r w:rsidRPr="00C32B26">
        <w:rPr>
          <w:rFonts w:cs="Arial"/>
          <w:lang w:val="en-CA"/>
        </w:rPr>
        <w:t xml:space="preserve">The criteria </w:t>
      </w:r>
      <w:r w:rsidR="00AF4AD4" w:rsidRPr="00C32B26">
        <w:rPr>
          <w:rFonts w:cs="Arial"/>
          <w:lang w:val="en-CA"/>
        </w:rPr>
        <w:t>for granting a</w:t>
      </w:r>
      <w:r w:rsidR="00D67AEE" w:rsidRPr="00C32B26">
        <w:rPr>
          <w:rFonts w:cs="Arial"/>
          <w:lang w:val="en-CA"/>
        </w:rPr>
        <w:t xml:space="preserve"> suspension </w:t>
      </w:r>
      <w:r w:rsidR="004B0C8D" w:rsidRPr="00C32B26">
        <w:rPr>
          <w:rFonts w:cs="Arial"/>
          <w:lang w:val="en-CA"/>
        </w:rPr>
        <w:t xml:space="preserve">of the application </w:t>
      </w:r>
      <w:r w:rsidR="00D67AEE" w:rsidRPr="00C32B26">
        <w:rPr>
          <w:rFonts w:cs="Arial"/>
          <w:lang w:val="en-CA"/>
        </w:rPr>
        <w:t xml:space="preserve">of </w:t>
      </w:r>
      <w:r w:rsidR="007612DB" w:rsidRPr="00C32B26">
        <w:rPr>
          <w:rFonts w:cs="Arial"/>
          <w:lang w:val="en-CA"/>
        </w:rPr>
        <w:t>a law</w:t>
      </w:r>
      <w:r w:rsidR="00DC298C" w:rsidRPr="00C32B26">
        <w:rPr>
          <w:rFonts w:cs="Arial"/>
          <w:lang w:val="en-CA"/>
        </w:rPr>
        <w:t xml:space="preserve"> </w:t>
      </w:r>
      <w:r w:rsidR="004730B3" w:rsidRPr="00C32B26">
        <w:rPr>
          <w:rFonts w:cs="Arial"/>
          <w:lang w:val="en-CA"/>
        </w:rPr>
        <w:t>were</w:t>
      </w:r>
      <w:r w:rsidR="00DC298C" w:rsidRPr="00C32B26">
        <w:rPr>
          <w:rFonts w:cs="Arial"/>
          <w:lang w:val="en-CA"/>
        </w:rPr>
        <w:t xml:space="preserve"> established and reaffirmed by the Supreme Court in</w:t>
      </w:r>
      <w:r w:rsidR="00FF68A9" w:rsidRPr="00C32B26">
        <w:rPr>
          <w:rFonts w:cs="Arial"/>
          <w:lang w:val="en-CA"/>
        </w:rPr>
        <w:t xml:space="preserve"> </w:t>
      </w:r>
      <w:r w:rsidR="00FF68A9" w:rsidRPr="00C32B26">
        <w:rPr>
          <w:rFonts w:cs="Arial"/>
          <w:i/>
          <w:lang w:val="en-CA"/>
        </w:rPr>
        <w:t>Metropolitan Stores</w:t>
      </w:r>
      <w:r w:rsidR="00DC298C" w:rsidRPr="00C32B26">
        <w:rPr>
          <w:rFonts w:cs="Arial"/>
          <w:iCs/>
          <w:lang w:val="en-CA"/>
        </w:rPr>
        <w:t>,</w:t>
      </w:r>
      <w:r w:rsidR="00FF68A9" w:rsidRPr="00C32B26">
        <w:rPr>
          <w:rStyle w:val="Appelnotedebasdep"/>
          <w:rFonts w:cs="Arial"/>
          <w:lang w:val="en-CA"/>
        </w:rPr>
        <w:footnoteReference w:id="5"/>
      </w:r>
      <w:r w:rsidR="00FF68A9" w:rsidRPr="00C32B26">
        <w:rPr>
          <w:rFonts w:cs="Arial"/>
          <w:lang w:val="en-CA"/>
        </w:rPr>
        <w:t xml:space="preserve"> </w:t>
      </w:r>
      <w:r w:rsidR="00FF68A9" w:rsidRPr="00C32B26">
        <w:rPr>
          <w:rFonts w:cs="Arial"/>
          <w:i/>
          <w:lang w:val="en-CA"/>
        </w:rPr>
        <w:t>RJR</w:t>
      </w:r>
      <w:r w:rsidR="0045421F" w:rsidRPr="00C32B26">
        <w:rPr>
          <w:rFonts w:cs="Arial"/>
          <w:i/>
          <w:lang w:val="en-CA"/>
        </w:rPr>
        <w:t>–</w:t>
      </w:r>
      <w:r w:rsidR="00FF68A9" w:rsidRPr="00C32B26">
        <w:rPr>
          <w:rFonts w:cs="Arial"/>
          <w:i/>
          <w:lang w:val="en-CA"/>
        </w:rPr>
        <w:t>Macdonald</w:t>
      </w:r>
      <w:r w:rsidR="00FF68A9" w:rsidRPr="00C32B26">
        <w:rPr>
          <w:rStyle w:val="Appelnotedebasdep"/>
          <w:rFonts w:cs="Arial"/>
          <w:lang w:val="en-CA"/>
        </w:rPr>
        <w:footnoteReference w:id="6"/>
      </w:r>
      <w:r w:rsidR="00FF68A9" w:rsidRPr="00C32B26">
        <w:rPr>
          <w:rFonts w:cs="Arial"/>
          <w:i/>
          <w:lang w:val="en-CA"/>
        </w:rPr>
        <w:t xml:space="preserve"> </w:t>
      </w:r>
      <w:r w:rsidR="00DC298C" w:rsidRPr="00C32B26">
        <w:rPr>
          <w:rFonts w:cs="Arial"/>
          <w:lang w:val="en-CA"/>
        </w:rPr>
        <w:t>and</w:t>
      </w:r>
      <w:r w:rsidR="00FF68A9" w:rsidRPr="00C32B26">
        <w:rPr>
          <w:rFonts w:cs="Arial"/>
          <w:lang w:val="en-CA"/>
        </w:rPr>
        <w:t xml:space="preserve"> </w:t>
      </w:r>
      <w:r w:rsidR="00FF68A9" w:rsidRPr="00C32B26">
        <w:rPr>
          <w:rFonts w:cs="Arial"/>
          <w:i/>
          <w:lang w:val="en-CA"/>
        </w:rPr>
        <w:t>Harper</w:t>
      </w:r>
      <w:r w:rsidR="0050277E" w:rsidRPr="00C32B26">
        <w:rPr>
          <w:rFonts w:cs="Arial"/>
          <w:iCs/>
          <w:lang w:val="en-CA"/>
        </w:rPr>
        <w:t>,</w:t>
      </w:r>
      <w:r w:rsidR="00FF68A9" w:rsidRPr="00C32B26">
        <w:rPr>
          <w:rStyle w:val="Appelnotedebasdep"/>
          <w:rFonts w:cs="Arial"/>
          <w:lang w:val="en-CA"/>
        </w:rPr>
        <w:footnoteReference w:id="7"/>
      </w:r>
      <w:r w:rsidR="00FF68A9" w:rsidRPr="00C32B26">
        <w:rPr>
          <w:rFonts w:cs="Arial"/>
          <w:i/>
          <w:lang w:val="en-CA"/>
        </w:rPr>
        <w:t xml:space="preserve"> </w:t>
      </w:r>
      <w:r w:rsidR="0050277E" w:rsidRPr="00C32B26">
        <w:rPr>
          <w:rFonts w:cs="Arial"/>
          <w:lang w:val="en-CA"/>
        </w:rPr>
        <w:t xml:space="preserve">and </w:t>
      </w:r>
      <w:r w:rsidR="00B471BC" w:rsidRPr="00C32B26">
        <w:rPr>
          <w:rFonts w:cs="Arial"/>
          <w:lang w:val="en-CA"/>
        </w:rPr>
        <w:t>are the same as</w:t>
      </w:r>
      <w:r w:rsidR="0050277E" w:rsidRPr="00C32B26">
        <w:rPr>
          <w:rFonts w:cs="Arial"/>
          <w:lang w:val="en-CA"/>
        </w:rPr>
        <w:t xml:space="preserve"> the conditions for obtaining an interlocutory injunction.</w:t>
      </w:r>
      <w:r w:rsidR="00FF68A9" w:rsidRPr="00C32B26">
        <w:rPr>
          <w:rStyle w:val="Appelnotedebasdep"/>
          <w:rFonts w:cs="Arial"/>
          <w:lang w:val="en-CA"/>
        </w:rPr>
        <w:footnoteReference w:id="8"/>
      </w:r>
      <w:r w:rsidR="00FF68A9" w:rsidRPr="00C32B26">
        <w:rPr>
          <w:rFonts w:cs="Arial"/>
          <w:lang w:val="en-CA"/>
        </w:rPr>
        <w:t xml:space="preserve"> </w:t>
      </w:r>
      <w:r w:rsidR="009273DC" w:rsidRPr="00C32B26">
        <w:rPr>
          <w:rFonts w:cs="Arial"/>
          <w:lang w:val="en-CA"/>
        </w:rPr>
        <w:t xml:space="preserve">Specifically, a party seeking to suspend the </w:t>
      </w:r>
      <w:r w:rsidR="004B0C8D" w:rsidRPr="00C32B26">
        <w:rPr>
          <w:rFonts w:cs="Arial"/>
          <w:lang w:val="en-CA"/>
        </w:rPr>
        <w:t>operation</w:t>
      </w:r>
      <w:r w:rsidR="009273DC" w:rsidRPr="00C32B26">
        <w:rPr>
          <w:rFonts w:cs="Arial"/>
          <w:lang w:val="en-CA"/>
        </w:rPr>
        <w:t xml:space="preserve"> of a legislative enactment has the burden of showing</w:t>
      </w:r>
      <w:r w:rsidR="001D35BE" w:rsidRPr="00C32B26">
        <w:rPr>
          <w:rFonts w:cs="Arial"/>
          <w:lang w:val="en-CA"/>
        </w:rPr>
        <w:t>:</w:t>
      </w:r>
      <w:r w:rsidR="00FF68A9" w:rsidRPr="00C32B26">
        <w:rPr>
          <w:rFonts w:cs="Arial"/>
          <w:lang w:val="en-CA"/>
        </w:rPr>
        <w:t xml:space="preserve"> </w:t>
      </w:r>
    </w:p>
    <w:p w14:paraId="7E8CE33C" w14:textId="4DD682C8" w:rsidR="00FF68A9" w:rsidRPr="00C32B26" w:rsidRDefault="00FF68A9" w:rsidP="00FF68A9">
      <w:pPr>
        <w:pStyle w:val="Paragrdouble"/>
        <w:numPr>
          <w:ilvl w:val="0"/>
          <w:numId w:val="0"/>
        </w:numPr>
        <w:spacing w:before="0" w:after="0" w:line="240" w:lineRule="auto"/>
        <w:ind w:left="1276" w:hanging="425"/>
        <w:rPr>
          <w:rFonts w:cs="Arial"/>
          <w:lang w:val="en-CA"/>
        </w:rPr>
      </w:pPr>
      <w:r w:rsidRPr="00C32B26">
        <w:rPr>
          <w:rFonts w:cs="Arial"/>
          <w:lang w:val="en-CA"/>
        </w:rPr>
        <w:t xml:space="preserve">(1) </w:t>
      </w:r>
      <w:r w:rsidRPr="00C32B26">
        <w:rPr>
          <w:rFonts w:cs="Arial"/>
          <w:lang w:val="en-CA"/>
        </w:rPr>
        <w:tab/>
      </w:r>
      <w:r w:rsidR="00CB37E4" w:rsidRPr="00C32B26">
        <w:rPr>
          <w:rFonts w:cs="Arial"/>
          <w:lang w:val="en-CA"/>
        </w:rPr>
        <w:t xml:space="preserve">that </w:t>
      </w:r>
      <w:r w:rsidR="009273DC" w:rsidRPr="00C32B26">
        <w:rPr>
          <w:rFonts w:cs="Arial"/>
          <w:lang w:val="en-CA"/>
        </w:rPr>
        <w:t xml:space="preserve">there is </w:t>
      </w:r>
      <w:r w:rsidR="00CB37E4" w:rsidRPr="00C32B26">
        <w:rPr>
          <w:rFonts w:cs="Arial"/>
          <w:lang w:val="en-CA"/>
        </w:rPr>
        <w:t>a serious question to be tried;</w:t>
      </w:r>
      <w:r w:rsidRPr="00C32B26">
        <w:rPr>
          <w:rFonts w:cs="Arial"/>
          <w:lang w:val="en-CA"/>
        </w:rPr>
        <w:t xml:space="preserve"> </w:t>
      </w:r>
    </w:p>
    <w:p w14:paraId="7DF6626A" w14:textId="77068C93" w:rsidR="00FF68A9" w:rsidRPr="00C32B26" w:rsidRDefault="00FF68A9" w:rsidP="00FF68A9">
      <w:pPr>
        <w:pStyle w:val="Paragrdouble"/>
        <w:numPr>
          <w:ilvl w:val="0"/>
          <w:numId w:val="0"/>
        </w:numPr>
        <w:spacing w:before="0" w:after="0" w:line="240" w:lineRule="auto"/>
        <w:ind w:left="1276" w:hanging="425"/>
        <w:rPr>
          <w:rFonts w:cs="Arial"/>
          <w:lang w:val="en-CA"/>
        </w:rPr>
      </w:pPr>
      <w:r w:rsidRPr="00C32B26">
        <w:rPr>
          <w:rFonts w:cs="Arial"/>
          <w:lang w:val="en-CA"/>
        </w:rPr>
        <w:t xml:space="preserve">(2) </w:t>
      </w:r>
      <w:r w:rsidRPr="00C32B26">
        <w:rPr>
          <w:rFonts w:cs="Arial"/>
          <w:lang w:val="en-CA"/>
        </w:rPr>
        <w:tab/>
      </w:r>
      <w:r w:rsidR="00CB37E4" w:rsidRPr="00C32B26">
        <w:rPr>
          <w:rFonts w:cs="Arial"/>
          <w:lang w:val="en-CA"/>
        </w:rPr>
        <w:t xml:space="preserve">that irreparable harm </w:t>
      </w:r>
      <w:r w:rsidR="00D95625" w:rsidRPr="00C32B26">
        <w:rPr>
          <w:rFonts w:cs="Arial"/>
          <w:lang w:val="en-CA"/>
        </w:rPr>
        <w:t xml:space="preserve">will be caused </w:t>
      </w:r>
      <w:r w:rsidR="00CB37E4" w:rsidRPr="00C32B26">
        <w:rPr>
          <w:rFonts w:cs="Arial"/>
          <w:lang w:val="en-CA"/>
        </w:rPr>
        <w:t>if the relief is not granted; and</w:t>
      </w:r>
    </w:p>
    <w:p w14:paraId="702A72D1" w14:textId="44E28885" w:rsidR="00FF68A9" w:rsidRPr="00C32B26" w:rsidRDefault="00CB7453" w:rsidP="00FF68A9">
      <w:pPr>
        <w:pStyle w:val="Paragrdouble"/>
        <w:numPr>
          <w:ilvl w:val="0"/>
          <w:numId w:val="0"/>
        </w:numPr>
        <w:spacing w:before="0" w:after="0" w:line="240" w:lineRule="auto"/>
        <w:ind w:left="1276" w:hanging="425"/>
        <w:rPr>
          <w:rFonts w:cs="Arial"/>
          <w:lang w:val="en-CA"/>
        </w:rPr>
      </w:pPr>
      <w:r w:rsidRPr="00C32B26">
        <w:rPr>
          <w:rFonts w:cs="Arial"/>
          <w:lang w:val="en-CA"/>
        </w:rPr>
        <w:t xml:space="preserve">(3) </w:t>
      </w:r>
      <w:r w:rsidR="00CB37E4" w:rsidRPr="00C32B26">
        <w:rPr>
          <w:rFonts w:cs="Arial"/>
          <w:lang w:val="en-CA"/>
        </w:rPr>
        <w:t xml:space="preserve"> that, on a balance of inconvenience, the harm it will suffer will be greater than the harm the other party will suffer.</w:t>
      </w:r>
      <w:r w:rsidR="00FF68A9" w:rsidRPr="00C32B26">
        <w:rPr>
          <w:rStyle w:val="Appelnotedebasdep"/>
          <w:rFonts w:cs="Arial"/>
          <w:lang w:val="en-CA"/>
        </w:rPr>
        <w:footnoteReference w:id="9"/>
      </w:r>
    </w:p>
    <w:p w14:paraId="02C11C28" w14:textId="539F7D37" w:rsidR="00FF68A9" w:rsidRPr="00C32B26" w:rsidRDefault="009273DC" w:rsidP="00AD299E">
      <w:pPr>
        <w:pStyle w:val="Paragrdouble"/>
        <w:tabs>
          <w:tab w:val="clear" w:pos="3053"/>
          <w:tab w:val="num" w:pos="567"/>
        </w:tabs>
        <w:spacing w:line="240" w:lineRule="auto"/>
        <w:ind w:left="0"/>
        <w:rPr>
          <w:rFonts w:cs="Arial"/>
          <w:lang w:val="en-CA"/>
        </w:rPr>
      </w:pPr>
      <w:r w:rsidRPr="00C32B26">
        <w:rPr>
          <w:rFonts w:cs="Arial"/>
          <w:lang w:val="en-CA"/>
        </w:rPr>
        <w:t>All</w:t>
      </w:r>
      <w:r w:rsidR="00EA3964" w:rsidRPr="00C32B26">
        <w:rPr>
          <w:rFonts w:cs="Arial"/>
          <w:lang w:val="en-CA"/>
        </w:rPr>
        <w:t xml:space="preserve"> </w:t>
      </w:r>
      <w:r w:rsidRPr="00C32B26">
        <w:rPr>
          <w:rFonts w:cs="Arial"/>
          <w:lang w:val="en-CA"/>
        </w:rPr>
        <w:t xml:space="preserve">these criteria must be met in order for </w:t>
      </w:r>
      <w:r w:rsidR="00D91DDE" w:rsidRPr="00C32B26">
        <w:rPr>
          <w:rFonts w:cs="Arial"/>
          <w:lang w:val="en-CA"/>
        </w:rPr>
        <w:t>a</w:t>
      </w:r>
      <w:r w:rsidRPr="00C32B26">
        <w:rPr>
          <w:rFonts w:cs="Arial"/>
          <w:lang w:val="en-CA"/>
        </w:rPr>
        <w:t xml:space="preserve"> suspension to be granted</w:t>
      </w:r>
      <w:r w:rsidR="00036885" w:rsidRPr="00C32B26">
        <w:rPr>
          <w:rFonts w:cs="Arial"/>
          <w:lang w:val="en-CA"/>
        </w:rPr>
        <w:t>,</w:t>
      </w:r>
      <w:r w:rsidR="00FF68A9" w:rsidRPr="00C32B26">
        <w:rPr>
          <w:rStyle w:val="Appelnotedebasdep"/>
          <w:rFonts w:cs="Arial"/>
          <w:lang w:val="en-CA"/>
        </w:rPr>
        <w:footnoteReference w:id="10"/>
      </w:r>
      <w:r w:rsidR="00010654" w:rsidRPr="00C32B26">
        <w:rPr>
          <w:rFonts w:cs="Arial"/>
          <w:lang w:val="en-CA"/>
        </w:rPr>
        <w:t xml:space="preserve"> </w:t>
      </w:r>
      <w:r w:rsidR="00036885" w:rsidRPr="00C32B26">
        <w:rPr>
          <w:rFonts w:cs="Arial"/>
          <w:lang w:val="en-CA"/>
        </w:rPr>
        <w:t>and they must be weighed in relation to each other,</w:t>
      </w:r>
      <w:r w:rsidR="00FF68A9" w:rsidRPr="00C32B26">
        <w:rPr>
          <w:rFonts w:cs="Arial"/>
          <w:lang w:val="en-CA"/>
        </w:rPr>
        <w:t xml:space="preserve"> </w:t>
      </w:r>
      <w:r w:rsidR="00036885" w:rsidRPr="00C32B26">
        <w:rPr>
          <w:rFonts w:cs="Arial"/>
          <w:lang w:val="en-CA"/>
        </w:rPr>
        <w:t>not analyzed mechanically.</w:t>
      </w:r>
      <w:r w:rsidR="00FF68A9" w:rsidRPr="00C32B26">
        <w:rPr>
          <w:rStyle w:val="Appelnotedebasdep"/>
          <w:rFonts w:cs="Arial"/>
          <w:lang w:val="en-CA"/>
        </w:rPr>
        <w:footnoteReference w:id="11"/>
      </w:r>
    </w:p>
    <w:p w14:paraId="79C8433D" w14:textId="1FF06A8D" w:rsidR="006B4150" w:rsidRPr="00C32B26" w:rsidRDefault="00CB37E4" w:rsidP="008C7DE9">
      <w:pPr>
        <w:pStyle w:val="Titre2"/>
        <w:numPr>
          <w:ilvl w:val="1"/>
          <w:numId w:val="7"/>
        </w:numPr>
        <w:ind w:left="924" w:hanging="567"/>
        <w:rPr>
          <w:rFonts w:cs="Arial"/>
          <w:u w:val="none"/>
          <w:lang w:val="en-CA"/>
        </w:rPr>
      </w:pPr>
      <w:r w:rsidRPr="00C32B26">
        <w:rPr>
          <w:rFonts w:cs="Arial"/>
          <w:u w:val="none"/>
          <w:lang w:val="en-CA"/>
        </w:rPr>
        <w:t>SERIOUS QUESTION TO BE TRIED</w:t>
      </w:r>
    </w:p>
    <w:p w14:paraId="12C86B1B" w14:textId="6F4531D3" w:rsidR="006B4150" w:rsidRPr="00C32B26" w:rsidRDefault="006B4150" w:rsidP="006F7C52">
      <w:pPr>
        <w:pStyle w:val="Titre2"/>
        <w:numPr>
          <w:ilvl w:val="1"/>
          <w:numId w:val="8"/>
        </w:numPr>
        <w:ind w:left="567" w:firstLine="0"/>
        <w:rPr>
          <w:rFonts w:cs="Arial"/>
          <w:u w:val="none"/>
          <w:lang w:val="en-CA"/>
        </w:rPr>
      </w:pPr>
      <w:r w:rsidRPr="00C32B26">
        <w:rPr>
          <w:rFonts w:cs="Arial"/>
          <w:u w:val="none"/>
          <w:lang w:val="en-CA"/>
        </w:rPr>
        <w:t>Princip</w:t>
      </w:r>
      <w:r w:rsidR="00CB37E4" w:rsidRPr="00C32B26">
        <w:rPr>
          <w:rFonts w:cs="Arial"/>
          <w:u w:val="none"/>
          <w:lang w:val="en-CA"/>
        </w:rPr>
        <w:t>L</w:t>
      </w:r>
      <w:r w:rsidRPr="00C32B26">
        <w:rPr>
          <w:rFonts w:cs="Arial"/>
          <w:u w:val="none"/>
          <w:lang w:val="en-CA"/>
        </w:rPr>
        <w:t>es</w:t>
      </w:r>
    </w:p>
    <w:p w14:paraId="2DC1ACAC" w14:textId="42EB2035" w:rsidR="006B4150" w:rsidRPr="00C32B26" w:rsidRDefault="00C80BAF" w:rsidP="000756C8">
      <w:pPr>
        <w:pStyle w:val="Paragrdouble"/>
        <w:tabs>
          <w:tab w:val="clear" w:pos="3053"/>
          <w:tab w:val="num" w:pos="567"/>
        </w:tabs>
        <w:spacing w:line="240" w:lineRule="auto"/>
        <w:ind w:left="0"/>
        <w:rPr>
          <w:rFonts w:cs="Arial"/>
          <w:lang w:val="en-CA"/>
        </w:rPr>
      </w:pPr>
      <w:r w:rsidRPr="00C32B26">
        <w:rPr>
          <w:rFonts w:cs="Arial"/>
          <w:lang w:val="en-CA"/>
        </w:rPr>
        <w:t xml:space="preserve">The Court must </w:t>
      </w:r>
      <w:r w:rsidR="0057425F" w:rsidRPr="00C32B26">
        <w:rPr>
          <w:rFonts w:cs="Arial"/>
          <w:lang w:val="en-CA"/>
        </w:rPr>
        <w:t>determin</w:t>
      </w:r>
      <w:r w:rsidRPr="00C32B26">
        <w:rPr>
          <w:rFonts w:cs="Arial"/>
          <w:lang w:val="en-CA"/>
        </w:rPr>
        <w:t>e</w:t>
      </w:r>
      <w:r w:rsidR="0057425F" w:rsidRPr="00C32B26">
        <w:rPr>
          <w:rFonts w:cs="Arial"/>
          <w:lang w:val="en-CA"/>
        </w:rPr>
        <w:t xml:space="preserve"> whether there is a serious issue to be tried</w:t>
      </w:r>
      <w:r w:rsidR="00EA3964" w:rsidRPr="00C32B26">
        <w:rPr>
          <w:rFonts w:cs="Arial"/>
          <w:lang w:val="en-CA"/>
        </w:rPr>
        <w:t>,</w:t>
      </w:r>
      <w:r w:rsidR="0057425F" w:rsidRPr="00C32B26">
        <w:rPr>
          <w:rFonts w:cs="Arial"/>
          <w:lang w:val="en-CA"/>
        </w:rPr>
        <w:t xml:space="preserve"> as opposed to a frivolous or vexatious claim. This is done as part of a “preliminary and tentative assessment of the merits of the case.”</w:t>
      </w:r>
      <w:r w:rsidR="006B4150" w:rsidRPr="00C32B26">
        <w:rPr>
          <w:rStyle w:val="Appelnotedebasdep"/>
          <w:rFonts w:cs="Arial"/>
          <w:lang w:val="en-CA"/>
        </w:rPr>
        <w:footnoteReference w:id="12"/>
      </w:r>
    </w:p>
    <w:p w14:paraId="427D4918" w14:textId="34ACD712" w:rsidR="006B4150" w:rsidRPr="00C32B26" w:rsidRDefault="002146C7" w:rsidP="000756C8">
      <w:pPr>
        <w:pStyle w:val="Paragrdouble"/>
        <w:tabs>
          <w:tab w:val="clear" w:pos="3053"/>
          <w:tab w:val="num" w:pos="567"/>
        </w:tabs>
        <w:spacing w:line="240" w:lineRule="auto"/>
        <w:ind w:left="0"/>
        <w:rPr>
          <w:rFonts w:cs="Arial"/>
          <w:lang w:val="en-CA"/>
        </w:rPr>
      </w:pPr>
      <w:r w:rsidRPr="00C32B26">
        <w:rPr>
          <w:rFonts w:cs="Arial"/>
          <w:lang w:val="en-CA"/>
        </w:rPr>
        <w:t>The serious question requirement is not a high threshold</w:t>
      </w:r>
      <w:r w:rsidR="001F73B8" w:rsidRPr="00C32B26">
        <w:rPr>
          <w:rFonts w:cs="Arial"/>
          <w:lang w:val="en-CA"/>
        </w:rPr>
        <w:t>.</w:t>
      </w:r>
      <w:r w:rsidR="006B4150" w:rsidRPr="00C32B26">
        <w:rPr>
          <w:rFonts w:cs="Arial"/>
          <w:lang w:val="en-CA"/>
        </w:rPr>
        <w:t xml:space="preserve"> </w:t>
      </w:r>
      <w:r w:rsidR="00B36688" w:rsidRPr="00C32B26">
        <w:rPr>
          <w:rFonts w:cs="Arial"/>
          <w:lang w:val="en-CA"/>
        </w:rPr>
        <w:t>The judge must</w:t>
      </w:r>
      <w:r w:rsidR="006B4150" w:rsidRPr="00C32B26">
        <w:rPr>
          <w:rFonts w:cs="Arial"/>
          <w:lang w:val="en-CA"/>
        </w:rPr>
        <w:t xml:space="preserve"> </w:t>
      </w:r>
      <w:r w:rsidR="00734BAB" w:rsidRPr="00C32B26">
        <w:rPr>
          <w:rFonts w:cs="Arial"/>
          <w:lang w:val="en-CA"/>
        </w:rPr>
        <w:t>proceed “on the basis of common sense and</w:t>
      </w:r>
      <w:r w:rsidR="004A19B5" w:rsidRPr="00C32B26">
        <w:rPr>
          <w:rFonts w:cs="Arial"/>
          <w:lang w:val="en-CA"/>
        </w:rPr>
        <w:t xml:space="preserve"> </w:t>
      </w:r>
      <w:r w:rsidR="00734BAB" w:rsidRPr="00C32B26">
        <w:rPr>
          <w:rFonts w:cs="Arial"/>
          <w:lang w:val="en-CA"/>
        </w:rPr>
        <w:t>an extremely limited review of the</w:t>
      </w:r>
      <w:r w:rsidR="004A19B5" w:rsidRPr="00C32B26">
        <w:rPr>
          <w:rFonts w:cs="Arial"/>
          <w:lang w:val="en-CA"/>
        </w:rPr>
        <w:t xml:space="preserve"> case on the</w:t>
      </w:r>
      <w:r w:rsidR="00734BAB" w:rsidRPr="00C32B26">
        <w:rPr>
          <w:rFonts w:cs="Arial"/>
          <w:lang w:val="en-CA"/>
        </w:rPr>
        <w:t xml:space="preserve"> merits”.</w:t>
      </w:r>
      <w:r w:rsidR="006B4150" w:rsidRPr="00C32B26">
        <w:rPr>
          <w:rStyle w:val="Appelnotedebasdep"/>
          <w:rFonts w:cs="Arial"/>
          <w:lang w:val="en-CA"/>
        </w:rPr>
        <w:footnoteReference w:id="13"/>
      </w:r>
    </w:p>
    <w:p w14:paraId="5B69E9FF" w14:textId="24B3A463" w:rsidR="006B4150" w:rsidRPr="00C32B26" w:rsidRDefault="00667DFE" w:rsidP="00ED7745">
      <w:pPr>
        <w:pStyle w:val="Paragrdouble"/>
        <w:tabs>
          <w:tab w:val="clear" w:pos="3053"/>
          <w:tab w:val="num" w:pos="567"/>
        </w:tabs>
        <w:spacing w:line="240" w:lineRule="auto"/>
        <w:ind w:left="0"/>
        <w:rPr>
          <w:rFonts w:cs="Arial"/>
          <w:lang w:val="en-CA"/>
        </w:rPr>
      </w:pPr>
      <w:r w:rsidRPr="00C32B26">
        <w:rPr>
          <w:rFonts w:cs="Arial"/>
          <w:lang w:val="en-CA"/>
        </w:rPr>
        <w:lastRenderedPageBreak/>
        <w:t xml:space="preserve">This is equally true in Canadian </w:t>
      </w:r>
      <w:r w:rsidRPr="00C32B26">
        <w:rPr>
          <w:rFonts w:cs="Arial"/>
          <w:i/>
          <w:iCs/>
          <w:lang w:val="en-CA"/>
        </w:rPr>
        <w:t>Charter</w:t>
      </w:r>
      <w:r w:rsidRPr="00C32B26">
        <w:rPr>
          <w:rFonts w:cs="Arial"/>
          <w:lang w:val="en-CA"/>
        </w:rPr>
        <w:t xml:space="preserve"> cases</w:t>
      </w:r>
      <w:r w:rsidR="00107C75" w:rsidRPr="00C32B26">
        <w:rPr>
          <w:rFonts w:cs="Arial"/>
          <w:lang w:val="en-CA"/>
        </w:rPr>
        <w:t xml:space="preserve"> </w:t>
      </w:r>
      <w:r w:rsidRPr="00C32B26">
        <w:rPr>
          <w:rFonts w:cs="Arial"/>
          <w:lang w:val="en-CA"/>
        </w:rPr>
        <w:t>and “in other constitutional challenges of a law”</w:t>
      </w:r>
      <w:r w:rsidR="006B4150" w:rsidRPr="00C32B26">
        <w:rPr>
          <w:rStyle w:val="Appelnotedebasdep"/>
          <w:rFonts w:cs="Arial"/>
          <w:lang w:val="en-CA"/>
        </w:rPr>
        <w:footnoteReference w:id="14"/>
      </w:r>
      <w:r w:rsidR="006B4150" w:rsidRPr="00C32B26">
        <w:rPr>
          <w:rFonts w:cs="Arial"/>
          <w:lang w:val="en-CA"/>
        </w:rPr>
        <w:t xml:space="preserve"> </w:t>
      </w:r>
      <w:r w:rsidRPr="00C32B26">
        <w:rPr>
          <w:rFonts w:cs="Arial"/>
          <w:lang w:val="en-CA"/>
        </w:rPr>
        <w:t xml:space="preserve">such as </w:t>
      </w:r>
      <w:r w:rsidR="0039169A" w:rsidRPr="00C32B26">
        <w:rPr>
          <w:rFonts w:cs="Arial"/>
          <w:lang w:val="en-CA"/>
        </w:rPr>
        <w:t>this</w:t>
      </w:r>
      <w:r w:rsidRPr="00C32B26">
        <w:rPr>
          <w:rFonts w:cs="Arial"/>
          <w:lang w:val="en-CA"/>
        </w:rPr>
        <w:t xml:space="preserve"> one, where the </w:t>
      </w:r>
      <w:r w:rsidRPr="00C32B26">
        <w:rPr>
          <w:rFonts w:cs="Arial"/>
          <w:i/>
          <w:iCs/>
          <w:lang w:val="en-CA"/>
        </w:rPr>
        <w:t>Constitution Act, 1867</w:t>
      </w:r>
      <w:r w:rsidRPr="00C32B26">
        <w:rPr>
          <w:rFonts w:cs="Arial"/>
          <w:lang w:val="en-CA"/>
        </w:rPr>
        <w:t xml:space="preserve"> is </w:t>
      </w:r>
      <w:r w:rsidR="00E12AAA" w:rsidRPr="00C32B26">
        <w:rPr>
          <w:rFonts w:cs="Arial"/>
          <w:lang w:val="en-CA"/>
        </w:rPr>
        <w:t>invoked</w:t>
      </w:r>
      <w:r w:rsidRPr="00C32B26">
        <w:rPr>
          <w:rFonts w:cs="Arial"/>
          <w:lang w:val="en-CA"/>
        </w:rPr>
        <w:t>.</w:t>
      </w:r>
    </w:p>
    <w:p w14:paraId="66595120" w14:textId="5B258E18" w:rsidR="006B4150" w:rsidRPr="00C32B26" w:rsidRDefault="000451E0" w:rsidP="002B1043">
      <w:pPr>
        <w:pStyle w:val="Titre2"/>
        <w:ind w:left="567"/>
        <w:rPr>
          <w:rFonts w:cs="Arial"/>
          <w:lang w:val="en-CA"/>
        </w:rPr>
      </w:pPr>
      <w:r w:rsidRPr="00C32B26">
        <w:rPr>
          <w:rFonts w:cs="Arial"/>
          <w:u w:val="none"/>
          <w:lang w:val="en-CA"/>
        </w:rPr>
        <w:t>1</w:t>
      </w:r>
      <w:r w:rsidR="00F044EF" w:rsidRPr="00C32B26">
        <w:rPr>
          <w:rFonts w:cs="Arial"/>
          <w:u w:val="none"/>
          <w:lang w:val="en-CA"/>
        </w:rPr>
        <w:t>.</w:t>
      </w:r>
      <w:r w:rsidR="00B223DE" w:rsidRPr="00C32B26">
        <w:rPr>
          <w:rFonts w:cs="Arial"/>
          <w:u w:val="none"/>
          <w:lang w:val="en-CA"/>
        </w:rPr>
        <w:t xml:space="preserve">2 </w:t>
      </w:r>
      <w:r w:rsidR="00F044EF" w:rsidRPr="00C32B26">
        <w:rPr>
          <w:rFonts w:cs="Arial"/>
          <w:u w:val="none"/>
          <w:lang w:val="en-CA"/>
        </w:rPr>
        <w:tab/>
      </w:r>
      <w:r w:rsidR="006B4150" w:rsidRPr="00C32B26">
        <w:rPr>
          <w:rFonts w:cs="Arial"/>
          <w:u w:val="none"/>
          <w:lang w:val="en-CA"/>
        </w:rPr>
        <w:t xml:space="preserve">Application </w:t>
      </w:r>
      <w:r w:rsidR="00741D9D" w:rsidRPr="00C32B26">
        <w:rPr>
          <w:rFonts w:cs="Arial"/>
          <w:u w:val="none"/>
          <w:lang w:val="en-CA"/>
        </w:rPr>
        <w:t>TO THE CASE AT BAR</w:t>
      </w:r>
    </w:p>
    <w:p w14:paraId="0909A933" w14:textId="16DF921F" w:rsidR="006B4150" w:rsidRPr="00C32B26" w:rsidRDefault="00667DFE" w:rsidP="00ED7745">
      <w:pPr>
        <w:pStyle w:val="Paragrdouble"/>
        <w:tabs>
          <w:tab w:val="clear" w:pos="3053"/>
          <w:tab w:val="num" w:pos="567"/>
        </w:tabs>
        <w:spacing w:line="240" w:lineRule="auto"/>
        <w:ind w:left="0"/>
        <w:rPr>
          <w:rFonts w:cs="Arial"/>
          <w:lang w:val="en-CA"/>
        </w:rPr>
      </w:pPr>
      <w:r w:rsidRPr="00C32B26">
        <w:rPr>
          <w:rFonts w:cs="Arial"/>
          <w:lang w:val="en-CA"/>
        </w:rPr>
        <w:t xml:space="preserve">In the case at bar, the applicants argue that the </w:t>
      </w:r>
      <w:r w:rsidR="006A1297" w:rsidRPr="00C32B26">
        <w:rPr>
          <w:rFonts w:cs="Arial"/>
          <w:lang w:val="en-CA"/>
        </w:rPr>
        <w:t xml:space="preserve">serious questions </w:t>
      </w:r>
      <w:r w:rsidR="001D1616" w:rsidRPr="00C32B26">
        <w:rPr>
          <w:rFonts w:cs="Arial"/>
          <w:lang w:val="en-CA"/>
        </w:rPr>
        <w:t>are evident</w:t>
      </w:r>
      <w:r w:rsidR="006A1297" w:rsidRPr="00C32B26">
        <w:rPr>
          <w:rFonts w:cs="Arial"/>
          <w:lang w:val="en-CA"/>
        </w:rPr>
        <w:t xml:space="preserve"> from the </w:t>
      </w:r>
      <w:r w:rsidRPr="00C32B26">
        <w:rPr>
          <w:rFonts w:cs="Arial"/>
          <w:lang w:val="en-CA"/>
        </w:rPr>
        <w:t>grounds of their application for judicial review</w:t>
      </w:r>
      <w:r w:rsidR="006B4150" w:rsidRPr="00C32B26">
        <w:rPr>
          <w:rFonts w:cs="Arial"/>
          <w:lang w:val="en-CA"/>
        </w:rPr>
        <w:t xml:space="preserve">. </w:t>
      </w:r>
      <w:r w:rsidR="00A67176" w:rsidRPr="00C32B26">
        <w:rPr>
          <w:rFonts w:cs="Arial"/>
          <w:lang w:val="en-CA"/>
        </w:rPr>
        <w:t xml:space="preserve">Those grounds </w:t>
      </w:r>
      <w:r w:rsidR="0083104F" w:rsidRPr="00C32B26">
        <w:rPr>
          <w:rFonts w:cs="Arial"/>
          <w:lang w:val="en-CA"/>
        </w:rPr>
        <w:t>make</w:t>
      </w:r>
      <w:r w:rsidR="0026509C" w:rsidRPr="00C32B26">
        <w:rPr>
          <w:rFonts w:cs="Arial"/>
          <w:lang w:val="en-CA"/>
        </w:rPr>
        <w:t xml:space="preserve"> two overall assertions</w:t>
      </w:r>
      <w:r w:rsidR="009F7CE7" w:rsidRPr="00C32B26">
        <w:rPr>
          <w:rFonts w:cs="Arial"/>
          <w:lang w:val="en-CA"/>
        </w:rPr>
        <w:t>.</w:t>
      </w:r>
    </w:p>
    <w:p w14:paraId="52ACC29F" w14:textId="317A2E63" w:rsidR="006B4150" w:rsidRPr="00C32B26" w:rsidRDefault="00A67176" w:rsidP="00ED7745">
      <w:pPr>
        <w:pStyle w:val="Paragrdouble"/>
        <w:tabs>
          <w:tab w:val="clear" w:pos="3053"/>
          <w:tab w:val="num" w:pos="567"/>
        </w:tabs>
        <w:spacing w:line="240" w:lineRule="auto"/>
        <w:ind w:left="0"/>
        <w:rPr>
          <w:rFonts w:cs="Arial"/>
          <w:lang w:val="en-CA"/>
        </w:rPr>
      </w:pPr>
      <w:r w:rsidRPr="00C32B26">
        <w:rPr>
          <w:rFonts w:cs="Arial"/>
          <w:lang w:val="en-CA"/>
        </w:rPr>
        <w:t xml:space="preserve">Firstly, the applicants </w:t>
      </w:r>
      <w:r w:rsidR="00644A34" w:rsidRPr="00C32B26">
        <w:rPr>
          <w:rFonts w:cs="Arial"/>
          <w:lang w:val="en-CA"/>
        </w:rPr>
        <w:t>assert</w:t>
      </w:r>
      <w:r w:rsidRPr="00C32B26">
        <w:rPr>
          <w:rFonts w:cs="Arial"/>
          <w:lang w:val="en-CA"/>
        </w:rPr>
        <w:t xml:space="preserve"> that the impugned provisions</w:t>
      </w:r>
      <w:r w:rsidR="000D781B" w:rsidRPr="00C32B26">
        <w:rPr>
          <w:rFonts w:cs="Arial"/>
          <w:lang w:val="en-CA"/>
        </w:rPr>
        <w:t xml:space="preserve"> are in</w:t>
      </w:r>
      <w:r w:rsidRPr="00C32B26">
        <w:rPr>
          <w:rFonts w:cs="Arial"/>
          <w:lang w:val="en-CA"/>
        </w:rPr>
        <w:t xml:space="preserve"> [</w:t>
      </w:r>
      <w:r w:rsidRPr="00C32B26">
        <w:rPr>
          <w:rFonts w:cs="Arial"/>
          <w:smallCaps/>
          <w:lang w:val="en-CA"/>
        </w:rPr>
        <w:t>translation</w:t>
      </w:r>
      <w:r w:rsidRPr="00C32B26">
        <w:rPr>
          <w:rFonts w:cs="Arial"/>
          <w:lang w:val="en-CA"/>
        </w:rPr>
        <w:t xml:space="preserve">] “flagrant conflict” </w:t>
      </w:r>
      <w:r w:rsidR="000D781B" w:rsidRPr="00C32B26">
        <w:rPr>
          <w:rFonts w:cs="Arial"/>
          <w:lang w:val="en-CA"/>
        </w:rPr>
        <w:t>(“</w:t>
      </w:r>
      <w:r w:rsidR="000D781B" w:rsidRPr="00C32B26">
        <w:rPr>
          <w:rFonts w:cs="Arial"/>
          <w:i/>
          <w:iCs/>
          <w:lang w:val="en-CA"/>
        </w:rPr>
        <w:t>contradiction flagrante</w:t>
      </w:r>
      <w:r w:rsidR="000D781B" w:rsidRPr="00C32B26">
        <w:rPr>
          <w:rFonts w:cs="Arial"/>
          <w:lang w:val="en-CA"/>
        </w:rPr>
        <w:t xml:space="preserve">”) </w:t>
      </w:r>
      <w:r w:rsidRPr="00C32B26">
        <w:rPr>
          <w:rFonts w:cs="Arial"/>
          <w:lang w:val="en-CA"/>
        </w:rPr>
        <w:t xml:space="preserve">with section </w:t>
      </w:r>
      <w:r w:rsidR="006B4150" w:rsidRPr="00C32B26">
        <w:rPr>
          <w:rFonts w:cs="Arial"/>
          <w:lang w:val="en-CA"/>
        </w:rPr>
        <w:t xml:space="preserve">133 </w:t>
      </w:r>
      <w:r w:rsidRPr="00C32B26">
        <w:rPr>
          <w:rFonts w:cs="Arial"/>
          <w:lang w:val="en-CA"/>
        </w:rPr>
        <w:t xml:space="preserve">of the </w:t>
      </w:r>
      <w:r w:rsidRPr="00C32B26">
        <w:rPr>
          <w:rFonts w:cs="Arial"/>
          <w:i/>
          <w:lang w:val="en-CA"/>
        </w:rPr>
        <w:t>C</w:t>
      </w:r>
      <w:r w:rsidR="006B4150" w:rsidRPr="00C32B26">
        <w:rPr>
          <w:rFonts w:cs="Arial"/>
          <w:i/>
          <w:lang w:val="en-CA"/>
        </w:rPr>
        <w:t>onstitutio</w:t>
      </w:r>
      <w:r w:rsidRPr="00C32B26">
        <w:rPr>
          <w:rFonts w:cs="Arial"/>
          <w:i/>
          <w:lang w:val="en-CA"/>
        </w:rPr>
        <w:t>n Act</w:t>
      </w:r>
      <w:r w:rsidRPr="00C32B26">
        <w:rPr>
          <w:rFonts w:cs="Arial"/>
          <w:iCs/>
          <w:lang w:val="en-CA"/>
        </w:rPr>
        <w:t>,</w:t>
      </w:r>
      <w:r w:rsidR="006B4150" w:rsidRPr="00C32B26">
        <w:rPr>
          <w:rFonts w:cs="Arial"/>
          <w:i/>
          <w:lang w:val="en-CA"/>
        </w:rPr>
        <w:t xml:space="preserve"> 1867</w:t>
      </w:r>
      <w:r w:rsidR="0052377E" w:rsidRPr="00C32B26">
        <w:rPr>
          <w:rFonts w:cs="Arial"/>
          <w:lang w:val="en-CA"/>
        </w:rPr>
        <w:t>.</w:t>
      </w:r>
      <w:r w:rsidR="006B4150" w:rsidRPr="00C32B26">
        <w:rPr>
          <w:rFonts w:cs="Arial"/>
          <w:lang w:val="en-CA"/>
        </w:rPr>
        <w:t xml:space="preserve"> </w:t>
      </w:r>
      <w:r w:rsidR="0052377E" w:rsidRPr="00C32B26">
        <w:rPr>
          <w:rFonts w:cs="Arial"/>
          <w:lang w:val="en-CA"/>
        </w:rPr>
        <w:t xml:space="preserve">They </w:t>
      </w:r>
      <w:r w:rsidRPr="00C32B26">
        <w:rPr>
          <w:rFonts w:cs="Arial"/>
          <w:lang w:val="en-CA"/>
        </w:rPr>
        <w:t>cit</w:t>
      </w:r>
      <w:r w:rsidR="00030416" w:rsidRPr="00C32B26">
        <w:rPr>
          <w:rFonts w:cs="Arial"/>
          <w:lang w:val="en-CA"/>
        </w:rPr>
        <w:t xml:space="preserve">e </w:t>
      </w:r>
      <w:r w:rsidRPr="00C32B26">
        <w:rPr>
          <w:rFonts w:cs="Arial"/>
          <w:i/>
          <w:lang w:val="en-CA"/>
        </w:rPr>
        <w:t>Attorney General of Quebec</w:t>
      </w:r>
      <w:r w:rsidR="00D32A74" w:rsidRPr="00C32B26">
        <w:rPr>
          <w:rFonts w:cs="Arial"/>
          <w:i/>
          <w:lang w:val="en-CA"/>
        </w:rPr>
        <w:t> </w:t>
      </w:r>
      <w:r w:rsidRPr="00C32B26">
        <w:rPr>
          <w:rFonts w:cs="Arial"/>
          <w:i/>
          <w:lang w:val="en-CA"/>
        </w:rPr>
        <w:t>v.</w:t>
      </w:r>
      <w:r w:rsidR="006B4150" w:rsidRPr="00C32B26">
        <w:rPr>
          <w:rFonts w:cs="Arial"/>
          <w:lang w:val="en-CA"/>
        </w:rPr>
        <w:t xml:space="preserve"> </w:t>
      </w:r>
      <w:r w:rsidR="006B4150" w:rsidRPr="00C32B26">
        <w:rPr>
          <w:rFonts w:cs="Arial"/>
          <w:i/>
          <w:lang w:val="en-CA"/>
        </w:rPr>
        <w:t>Blaikie</w:t>
      </w:r>
      <w:r w:rsidR="006B4150" w:rsidRPr="00C32B26">
        <w:rPr>
          <w:rStyle w:val="Appelnotedebasdep"/>
          <w:rFonts w:cs="Arial"/>
          <w:lang w:val="en-CA"/>
        </w:rPr>
        <w:footnoteReference w:id="15"/>
      </w:r>
      <w:r w:rsidR="006B4150" w:rsidRPr="00C32B26">
        <w:rPr>
          <w:rFonts w:cs="Arial"/>
          <w:lang w:val="en-CA"/>
        </w:rPr>
        <w:t xml:space="preserve"> </w:t>
      </w:r>
      <w:r w:rsidRPr="00C32B26">
        <w:rPr>
          <w:rFonts w:cs="Arial"/>
          <w:lang w:val="en-CA"/>
        </w:rPr>
        <w:t>and</w:t>
      </w:r>
      <w:r w:rsidR="006B4150" w:rsidRPr="00C32B26">
        <w:rPr>
          <w:rFonts w:cs="Arial"/>
          <w:lang w:val="en-CA"/>
        </w:rPr>
        <w:t xml:space="preserve"> </w:t>
      </w:r>
      <w:r w:rsidR="006B4150" w:rsidRPr="00C32B26">
        <w:rPr>
          <w:rFonts w:cs="Arial"/>
          <w:i/>
          <w:lang w:val="en-CA"/>
        </w:rPr>
        <w:t>MacDonald</w:t>
      </w:r>
      <w:r w:rsidR="006B4150" w:rsidRPr="00C32B26">
        <w:rPr>
          <w:rFonts w:cs="Arial"/>
          <w:lang w:val="en-CA"/>
        </w:rPr>
        <w:t xml:space="preserve"> </w:t>
      </w:r>
      <w:r w:rsidRPr="00C32B26">
        <w:rPr>
          <w:rFonts w:cs="Arial"/>
          <w:i/>
          <w:iCs/>
          <w:lang w:val="en-CA"/>
        </w:rPr>
        <w:t>v</w:t>
      </w:r>
      <w:r w:rsidR="006B4150" w:rsidRPr="00C32B26">
        <w:rPr>
          <w:rFonts w:cs="Arial"/>
          <w:i/>
          <w:iCs/>
          <w:lang w:val="en-CA"/>
        </w:rPr>
        <w:t>.</w:t>
      </w:r>
      <w:r w:rsidR="006B4150" w:rsidRPr="00C32B26">
        <w:rPr>
          <w:rFonts w:cs="Arial"/>
          <w:lang w:val="en-CA"/>
        </w:rPr>
        <w:t xml:space="preserve"> </w:t>
      </w:r>
      <w:r w:rsidRPr="00C32B26">
        <w:rPr>
          <w:rFonts w:cs="Arial"/>
          <w:i/>
          <w:lang w:val="en-CA"/>
        </w:rPr>
        <w:t>City of</w:t>
      </w:r>
      <w:r w:rsidR="006B4150" w:rsidRPr="00C32B26">
        <w:rPr>
          <w:rFonts w:cs="Arial"/>
          <w:i/>
          <w:lang w:val="en-CA"/>
        </w:rPr>
        <w:t xml:space="preserve"> Montr</w:t>
      </w:r>
      <w:r w:rsidRPr="00C32B26">
        <w:rPr>
          <w:rFonts w:cs="Arial"/>
          <w:i/>
          <w:lang w:val="en-CA"/>
        </w:rPr>
        <w:t>e</w:t>
      </w:r>
      <w:r w:rsidR="006B4150" w:rsidRPr="00C32B26">
        <w:rPr>
          <w:rFonts w:cs="Arial"/>
          <w:i/>
          <w:lang w:val="en-CA"/>
        </w:rPr>
        <w:t>al</w:t>
      </w:r>
      <w:r w:rsidR="006B4150" w:rsidRPr="00C32B26">
        <w:rPr>
          <w:rStyle w:val="Appelnotedebasdep"/>
          <w:rFonts w:cs="Arial"/>
          <w:lang w:val="en-CA"/>
        </w:rPr>
        <w:footnoteReference w:id="16"/>
      </w:r>
      <w:r w:rsidR="00030416" w:rsidRPr="00C32B26">
        <w:rPr>
          <w:rFonts w:cs="Arial"/>
          <w:i/>
          <w:lang w:val="en-CA"/>
        </w:rPr>
        <w:t xml:space="preserve"> </w:t>
      </w:r>
      <w:r w:rsidR="00030416" w:rsidRPr="00C32B26">
        <w:rPr>
          <w:rFonts w:cs="Arial"/>
          <w:iCs/>
          <w:lang w:val="en-CA"/>
        </w:rPr>
        <w:t>in this regard.</w:t>
      </w:r>
    </w:p>
    <w:p w14:paraId="4A637D4C" w14:textId="205B89A9" w:rsidR="006B4150" w:rsidRPr="00C32B26" w:rsidRDefault="00D32A74" w:rsidP="00ED7745">
      <w:pPr>
        <w:pStyle w:val="Paragrdouble"/>
        <w:tabs>
          <w:tab w:val="clear" w:pos="3053"/>
          <w:tab w:val="num" w:pos="567"/>
        </w:tabs>
        <w:spacing w:line="240" w:lineRule="auto"/>
        <w:ind w:left="0"/>
        <w:rPr>
          <w:rFonts w:cs="Arial"/>
          <w:lang w:val="en-CA"/>
        </w:rPr>
      </w:pPr>
      <w:r w:rsidRPr="00C32B26">
        <w:rPr>
          <w:rFonts w:cs="Arial"/>
          <w:lang w:val="en-CA"/>
        </w:rPr>
        <w:t xml:space="preserve">Secondly, they </w:t>
      </w:r>
      <w:r w:rsidR="00D5279E" w:rsidRPr="00C32B26">
        <w:rPr>
          <w:rFonts w:cs="Arial"/>
          <w:lang w:val="en-CA"/>
        </w:rPr>
        <w:t>assert</w:t>
      </w:r>
      <w:r w:rsidRPr="00C32B26">
        <w:rPr>
          <w:rFonts w:cs="Arial"/>
          <w:lang w:val="en-CA"/>
        </w:rPr>
        <w:t xml:space="preserve"> that </w:t>
      </w:r>
      <w:r w:rsidR="005120F6" w:rsidRPr="00C32B26">
        <w:rPr>
          <w:rFonts w:cs="Arial"/>
          <w:lang w:val="en-CA"/>
        </w:rPr>
        <w:t xml:space="preserve">the practical effects of the </w:t>
      </w:r>
      <w:r w:rsidR="001A4F6B" w:rsidRPr="00C32B26">
        <w:rPr>
          <w:rFonts w:cs="Arial"/>
          <w:lang w:val="en-CA"/>
        </w:rPr>
        <w:t xml:space="preserve">impugned </w:t>
      </w:r>
      <w:r w:rsidRPr="00C32B26">
        <w:rPr>
          <w:rFonts w:cs="Arial"/>
          <w:lang w:val="en-CA"/>
        </w:rPr>
        <w:t>provisions</w:t>
      </w:r>
      <w:r w:rsidR="00644DEB" w:rsidRPr="00C32B26">
        <w:rPr>
          <w:rFonts w:cs="Arial"/>
          <w:lang w:val="en-CA"/>
        </w:rPr>
        <w:t xml:space="preserve"> </w:t>
      </w:r>
      <w:r w:rsidR="005120F6" w:rsidRPr="00C32B26">
        <w:rPr>
          <w:rFonts w:cs="Arial"/>
          <w:lang w:val="en-CA"/>
        </w:rPr>
        <w:t xml:space="preserve">are a violation of </w:t>
      </w:r>
      <w:r w:rsidR="005C15BC" w:rsidRPr="00C32B26">
        <w:rPr>
          <w:rFonts w:cs="Arial"/>
          <w:lang w:val="en-CA"/>
        </w:rPr>
        <w:t>t</w:t>
      </w:r>
      <w:r w:rsidRPr="00C32B26">
        <w:rPr>
          <w:rFonts w:cs="Arial"/>
          <w:lang w:val="en-CA"/>
        </w:rPr>
        <w:t>he “substantive equality” of the two official languages which section 133 seeks to protect</w:t>
      </w:r>
      <w:r w:rsidR="008305BA" w:rsidRPr="00C32B26">
        <w:rPr>
          <w:rFonts w:cs="Arial"/>
          <w:lang w:val="en-CA"/>
        </w:rPr>
        <w:t>,</w:t>
      </w:r>
      <w:r w:rsidRPr="00C32B26">
        <w:rPr>
          <w:rFonts w:cs="Arial"/>
          <w:lang w:val="en-CA"/>
        </w:rPr>
        <w:t xml:space="preserve"> </w:t>
      </w:r>
      <w:r w:rsidR="005120F6" w:rsidRPr="00C32B26">
        <w:rPr>
          <w:rFonts w:cs="Arial"/>
          <w:lang w:val="en-CA"/>
        </w:rPr>
        <w:t>in that</w:t>
      </w:r>
      <w:r w:rsidRPr="00C32B26">
        <w:rPr>
          <w:rFonts w:cs="Arial"/>
          <w:lang w:val="en-CA"/>
        </w:rPr>
        <w:t xml:space="preserve"> equal access to the courts is compromised</w:t>
      </w:r>
      <w:r w:rsidR="002D4675" w:rsidRPr="00C32B26">
        <w:rPr>
          <w:rFonts w:cs="Arial"/>
          <w:lang w:val="en-CA"/>
        </w:rPr>
        <w:t>. I</w:t>
      </w:r>
      <w:r w:rsidRPr="00C32B26">
        <w:rPr>
          <w:rFonts w:cs="Arial"/>
          <w:lang w:val="en-CA"/>
        </w:rPr>
        <w:t>n so doing, the</w:t>
      </w:r>
      <w:r w:rsidR="0026509C" w:rsidRPr="00C32B26">
        <w:rPr>
          <w:rFonts w:cs="Arial"/>
          <w:lang w:val="en-CA"/>
        </w:rPr>
        <w:t xml:space="preserve">y </w:t>
      </w:r>
      <w:r w:rsidRPr="00C32B26">
        <w:rPr>
          <w:rFonts w:cs="Arial"/>
          <w:lang w:val="en-CA"/>
        </w:rPr>
        <w:t xml:space="preserve">rely on </w:t>
      </w:r>
      <w:r w:rsidR="006B4150" w:rsidRPr="00C32B26">
        <w:rPr>
          <w:rFonts w:cs="Arial"/>
          <w:i/>
          <w:lang w:val="en-CA"/>
        </w:rPr>
        <w:t>R.</w:t>
      </w:r>
      <w:r w:rsidRPr="00C32B26">
        <w:rPr>
          <w:rFonts w:cs="Arial"/>
          <w:lang w:val="en-CA"/>
        </w:rPr>
        <w:t> </w:t>
      </w:r>
      <w:r w:rsidRPr="00C32B26">
        <w:rPr>
          <w:rFonts w:cs="Arial"/>
          <w:i/>
          <w:iCs/>
          <w:lang w:val="en-CA"/>
        </w:rPr>
        <w:t>v</w:t>
      </w:r>
      <w:r w:rsidR="006B4150" w:rsidRPr="00C32B26">
        <w:rPr>
          <w:rFonts w:cs="Arial"/>
          <w:i/>
          <w:iCs/>
          <w:lang w:val="en-CA"/>
        </w:rPr>
        <w:t>.</w:t>
      </w:r>
      <w:r w:rsidRPr="00C32B26">
        <w:rPr>
          <w:rFonts w:cs="Arial"/>
          <w:i/>
          <w:iCs/>
          <w:lang w:val="en-CA"/>
        </w:rPr>
        <w:t> </w:t>
      </w:r>
      <w:r w:rsidR="006B4150" w:rsidRPr="00C32B26">
        <w:rPr>
          <w:rFonts w:cs="Arial"/>
          <w:i/>
          <w:lang w:val="en-CA"/>
        </w:rPr>
        <w:t>Beaulac</w:t>
      </w:r>
      <w:r w:rsidR="006B4150" w:rsidRPr="00C32B26">
        <w:rPr>
          <w:rStyle w:val="Appelnotedebasdep"/>
          <w:rFonts w:cs="Arial"/>
          <w:lang w:val="en-CA"/>
        </w:rPr>
        <w:footnoteReference w:id="17"/>
      </w:r>
      <w:r w:rsidR="006B4150" w:rsidRPr="00C32B26">
        <w:rPr>
          <w:rFonts w:cs="Arial"/>
          <w:lang w:val="en-CA"/>
        </w:rPr>
        <w:t xml:space="preserve"> </w:t>
      </w:r>
      <w:r w:rsidRPr="00C32B26">
        <w:rPr>
          <w:rFonts w:cs="Arial"/>
          <w:lang w:val="en-CA"/>
        </w:rPr>
        <w:t>and</w:t>
      </w:r>
      <w:r w:rsidR="006B4150" w:rsidRPr="00C32B26">
        <w:rPr>
          <w:rFonts w:cs="Arial"/>
          <w:lang w:val="en-CA"/>
        </w:rPr>
        <w:t xml:space="preserve"> </w:t>
      </w:r>
      <w:r w:rsidR="006B4150" w:rsidRPr="00C32B26">
        <w:rPr>
          <w:rFonts w:cs="Arial"/>
          <w:i/>
          <w:lang w:val="en-CA"/>
        </w:rPr>
        <w:t>Mazraani</w:t>
      </w:r>
      <w:r w:rsidR="006B4150" w:rsidRPr="00C32B26">
        <w:rPr>
          <w:rFonts w:cs="Arial"/>
          <w:lang w:val="en-CA"/>
        </w:rPr>
        <w:t xml:space="preserve"> </w:t>
      </w:r>
      <w:r w:rsidR="000A33FC" w:rsidRPr="00C32B26">
        <w:rPr>
          <w:rFonts w:cs="Arial"/>
          <w:i/>
          <w:iCs/>
          <w:lang w:val="en-CA"/>
        </w:rPr>
        <w:t>v</w:t>
      </w:r>
      <w:r w:rsidR="006B4150" w:rsidRPr="00C32B26">
        <w:rPr>
          <w:rFonts w:cs="Arial"/>
          <w:i/>
          <w:iCs/>
          <w:lang w:val="en-CA"/>
        </w:rPr>
        <w:t>.</w:t>
      </w:r>
      <w:r w:rsidR="006B4150" w:rsidRPr="00C32B26">
        <w:rPr>
          <w:rFonts w:cs="Arial"/>
          <w:lang w:val="en-CA"/>
        </w:rPr>
        <w:t xml:space="preserve"> </w:t>
      </w:r>
      <w:r w:rsidRPr="00C32B26">
        <w:rPr>
          <w:rFonts w:cs="Arial"/>
          <w:i/>
          <w:lang w:val="en-CA"/>
        </w:rPr>
        <w:t>Industrial</w:t>
      </w:r>
      <w:r w:rsidR="006B4150" w:rsidRPr="00C32B26">
        <w:rPr>
          <w:rFonts w:cs="Arial"/>
          <w:i/>
          <w:lang w:val="en-CA"/>
        </w:rPr>
        <w:t xml:space="preserve"> Alliance</w:t>
      </w:r>
      <w:r w:rsidRPr="00C32B26">
        <w:rPr>
          <w:rFonts w:cs="Arial"/>
          <w:i/>
          <w:lang w:val="en-CA"/>
        </w:rPr>
        <w:t xml:space="preserve"> Insurance and Financial</w:t>
      </w:r>
      <w:r w:rsidR="006B4150" w:rsidRPr="00C32B26">
        <w:rPr>
          <w:rFonts w:cs="Arial"/>
          <w:i/>
          <w:lang w:val="en-CA"/>
        </w:rPr>
        <w:t xml:space="preserve"> </w:t>
      </w:r>
      <w:r w:rsidRPr="00C32B26">
        <w:rPr>
          <w:rFonts w:cs="Arial"/>
          <w:i/>
          <w:lang w:val="en-CA"/>
        </w:rPr>
        <w:t>S</w:t>
      </w:r>
      <w:r w:rsidR="006B4150" w:rsidRPr="00C32B26">
        <w:rPr>
          <w:rFonts w:cs="Arial"/>
          <w:i/>
          <w:lang w:val="en-CA"/>
        </w:rPr>
        <w:t>ervices </w:t>
      </w:r>
      <w:r w:rsidRPr="00C32B26">
        <w:rPr>
          <w:rFonts w:cs="Arial"/>
          <w:i/>
          <w:lang w:val="en-CA"/>
        </w:rPr>
        <w:t>I</w:t>
      </w:r>
      <w:r w:rsidR="006B4150" w:rsidRPr="00C32B26">
        <w:rPr>
          <w:rFonts w:cs="Arial"/>
          <w:i/>
          <w:lang w:val="en-CA"/>
        </w:rPr>
        <w:t>nc.</w:t>
      </w:r>
      <w:r w:rsidR="006B4150" w:rsidRPr="00C32B26">
        <w:rPr>
          <w:rStyle w:val="Appelnotedebasdep"/>
          <w:rFonts w:cs="Arial"/>
          <w:lang w:val="en-CA"/>
        </w:rPr>
        <w:footnoteReference w:id="18"/>
      </w:r>
    </w:p>
    <w:p w14:paraId="0E291CC1" w14:textId="4DCC6D0D" w:rsidR="006B4150" w:rsidRPr="00C32B26" w:rsidRDefault="00882945" w:rsidP="00ED7745">
      <w:pPr>
        <w:pStyle w:val="Paragrdouble"/>
        <w:tabs>
          <w:tab w:val="clear" w:pos="3053"/>
          <w:tab w:val="num" w:pos="567"/>
        </w:tabs>
        <w:spacing w:line="240" w:lineRule="auto"/>
        <w:ind w:left="0"/>
        <w:rPr>
          <w:rFonts w:cs="Arial"/>
          <w:lang w:val="en-CA"/>
        </w:rPr>
      </w:pPr>
      <w:r w:rsidRPr="00C32B26">
        <w:rPr>
          <w:rFonts w:cs="Arial"/>
          <w:lang w:val="en-CA"/>
        </w:rPr>
        <w:t xml:space="preserve">The AGQ concedes that these </w:t>
      </w:r>
      <w:r w:rsidR="006B4150" w:rsidRPr="00C32B26">
        <w:rPr>
          <w:rFonts w:cs="Arial"/>
          <w:lang w:val="en-CA"/>
        </w:rPr>
        <w:t xml:space="preserve">arguments </w:t>
      </w:r>
      <w:r w:rsidRPr="00C32B26">
        <w:rPr>
          <w:rFonts w:cs="Arial"/>
          <w:lang w:val="en-CA"/>
        </w:rPr>
        <w:t>raise serious questions,</w:t>
      </w:r>
      <w:r w:rsidR="006B4150" w:rsidRPr="00C32B26">
        <w:rPr>
          <w:vertAlign w:val="superscript"/>
          <w:lang w:val="en-CA"/>
        </w:rPr>
        <w:footnoteReference w:id="19"/>
      </w:r>
      <w:r w:rsidR="00E75750" w:rsidRPr="00C32B26">
        <w:rPr>
          <w:rFonts w:cs="Arial"/>
          <w:lang w:val="en-CA"/>
        </w:rPr>
        <w:t xml:space="preserve"> </w:t>
      </w:r>
      <w:r w:rsidRPr="00C32B26">
        <w:rPr>
          <w:rFonts w:cs="Arial"/>
          <w:lang w:val="en-CA"/>
        </w:rPr>
        <w:t xml:space="preserve">though </w:t>
      </w:r>
      <w:r w:rsidR="007B71AE" w:rsidRPr="00C32B26">
        <w:rPr>
          <w:rFonts w:cs="Arial"/>
          <w:lang w:val="en-CA"/>
        </w:rPr>
        <w:t>he</w:t>
      </w:r>
      <w:r w:rsidRPr="00C32B26">
        <w:rPr>
          <w:rFonts w:cs="Arial"/>
          <w:lang w:val="en-CA"/>
        </w:rPr>
        <w:t xml:space="preserve"> disagrees with the applicants’ </w:t>
      </w:r>
      <w:r w:rsidR="00E75750" w:rsidRPr="00C32B26">
        <w:rPr>
          <w:rFonts w:cs="Arial"/>
          <w:lang w:val="en-CA"/>
        </w:rPr>
        <w:t>interpr</w:t>
      </w:r>
      <w:r w:rsidRPr="00C32B26">
        <w:rPr>
          <w:rFonts w:cs="Arial"/>
          <w:lang w:val="en-CA"/>
        </w:rPr>
        <w:t>e</w:t>
      </w:r>
      <w:r w:rsidR="00E75750" w:rsidRPr="00C32B26">
        <w:rPr>
          <w:rFonts w:cs="Arial"/>
          <w:lang w:val="en-CA"/>
        </w:rPr>
        <w:t xml:space="preserve">tation </w:t>
      </w:r>
      <w:r w:rsidRPr="00C32B26">
        <w:rPr>
          <w:rFonts w:cs="Arial"/>
          <w:lang w:val="en-CA"/>
        </w:rPr>
        <w:t>of the principles</w:t>
      </w:r>
      <w:r w:rsidR="006B4150" w:rsidRPr="00C32B26">
        <w:rPr>
          <w:rFonts w:cs="Arial"/>
          <w:lang w:val="en-CA"/>
        </w:rPr>
        <w:t>.</w:t>
      </w:r>
    </w:p>
    <w:p w14:paraId="5A40E13E" w14:textId="32136476" w:rsidR="006B4150" w:rsidRPr="00C32B26" w:rsidRDefault="00882945" w:rsidP="00ED7745">
      <w:pPr>
        <w:pStyle w:val="Paragrdouble"/>
        <w:tabs>
          <w:tab w:val="clear" w:pos="3053"/>
          <w:tab w:val="num" w:pos="567"/>
        </w:tabs>
        <w:spacing w:line="240" w:lineRule="auto"/>
        <w:ind w:left="0"/>
        <w:rPr>
          <w:rFonts w:cs="Arial"/>
          <w:lang w:val="en-CA"/>
        </w:rPr>
      </w:pPr>
      <w:r w:rsidRPr="00C32B26">
        <w:rPr>
          <w:rFonts w:cs="Arial"/>
          <w:lang w:val="en-CA"/>
        </w:rPr>
        <w:t>The Court finds that the applicants’ arguments are not frivolous or dilatory</w:t>
      </w:r>
      <w:r w:rsidR="009F68E7" w:rsidRPr="00C32B26">
        <w:rPr>
          <w:rFonts w:cs="Arial"/>
          <w:lang w:val="en-CA"/>
        </w:rPr>
        <w:t>,</w:t>
      </w:r>
      <w:r w:rsidR="00107C75" w:rsidRPr="00C32B26">
        <w:rPr>
          <w:rFonts w:cs="Arial"/>
          <w:lang w:val="en-CA"/>
        </w:rPr>
        <w:t xml:space="preserve"> </w:t>
      </w:r>
      <w:r w:rsidRPr="00C32B26">
        <w:rPr>
          <w:rFonts w:cs="Arial"/>
          <w:lang w:val="en-CA"/>
        </w:rPr>
        <w:t>and are sufficiently serious to satisfy this criterion</w:t>
      </w:r>
      <w:r w:rsidR="006B4150" w:rsidRPr="00C32B26">
        <w:rPr>
          <w:rFonts w:cs="Arial"/>
          <w:lang w:val="en-CA"/>
        </w:rPr>
        <w:t xml:space="preserve">. </w:t>
      </w:r>
    </w:p>
    <w:p w14:paraId="31F82320" w14:textId="7F438DAB" w:rsidR="006B4150" w:rsidRPr="00C32B26" w:rsidRDefault="00882945" w:rsidP="00ED7745">
      <w:pPr>
        <w:pStyle w:val="Paragrdouble"/>
        <w:tabs>
          <w:tab w:val="clear" w:pos="3053"/>
          <w:tab w:val="num" w:pos="567"/>
        </w:tabs>
        <w:spacing w:line="240" w:lineRule="auto"/>
        <w:ind w:left="0"/>
        <w:rPr>
          <w:rFonts w:cs="Arial"/>
          <w:lang w:val="en-CA"/>
        </w:rPr>
      </w:pPr>
      <w:r w:rsidRPr="00C32B26">
        <w:rPr>
          <w:rFonts w:cs="Arial"/>
          <w:lang w:val="en-CA"/>
        </w:rPr>
        <w:t>The first paragraph of section</w:t>
      </w:r>
      <w:r w:rsidR="006B4150" w:rsidRPr="00C32B26">
        <w:rPr>
          <w:rFonts w:cs="Arial"/>
          <w:lang w:val="en-CA"/>
        </w:rPr>
        <w:t> 133 </w:t>
      </w:r>
      <w:r w:rsidRPr="00C32B26">
        <w:rPr>
          <w:rFonts w:cs="Arial"/>
          <w:lang w:val="en-CA"/>
        </w:rPr>
        <w:t>of the</w:t>
      </w:r>
      <w:r w:rsidR="006B4150" w:rsidRPr="00C32B26">
        <w:rPr>
          <w:rFonts w:cs="Arial"/>
          <w:lang w:val="en-CA"/>
        </w:rPr>
        <w:t xml:space="preserve"> </w:t>
      </w:r>
      <w:r w:rsidRPr="00C32B26">
        <w:rPr>
          <w:rFonts w:cs="Arial"/>
          <w:i/>
          <w:lang w:val="en-CA"/>
        </w:rPr>
        <w:t>Constitution Act, 1867</w:t>
      </w:r>
      <w:r w:rsidR="006B4150" w:rsidRPr="00C32B26">
        <w:rPr>
          <w:rFonts w:cs="Arial"/>
          <w:lang w:val="en-CA"/>
        </w:rPr>
        <w:t xml:space="preserve"> </w:t>
      </w:r>
      <w:r w:rsidRPr="00C32B26">
        <w:rPr>
          <w:rFonts w:cs="Arial"/>
          <w:lang w:val="en-CA"/>
        </w:rPr>
        <w:t>provides</w:t>
      </w:r>
      <w:r w:rsidR="003A0F1D" w:rsidRPr="00C32B26">
        <w:rPr>
          <w:rFonts w:cs="Arial"/>
          <w:lang w:val="en-CA"/>
        </w:rPr>
        <w:t>:</w:t>
      </w:r>
    </w:p>
    <w:tbl>
      <w:tblPr>
        <w:tblStyle w:val="Grilledutableau"/>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2"/>
        <w:gridCol w:w="3742"/>
      </w:tblGrid>
      <w:tr w:rsidR="00C32B26" w:rsidRPr="00C32B26" w14:paraId="3EFAAE29" w14:textId="77777777" w:rsidTr="00B223DE">
        <w:tc>
          <w:tcPr>
            <w:tcW w:w="3742" w:type="dxa"/>
          </w:tcPr>
          <w:p w14:paraId="5B02D28E" w14:textId="17058C9E" w:rsidR="006B4150" w:rsidRPr="00C32B26" w:rsidRDefault="006B4150" w:rsidP="00CC2AB2">
            <w:pPr>
              <w:pStyle w:val="Citation2"/>
              <w:ind w:left="0" w:right="90"/>
              <w:rPr>
                <w:rFonts w:ascii="Arial" w:hAnsi="Arial" w:cs="Arial"/>
                <w:lang w:val="en-CA"/>
              </w:rPr>
            </w:pPr>
            <w:r w:rsidRPr="00C32B26">
              <w:rPr>
                <w:rFonts w:ascii="Arial" w:hAnsi="Arial" w:cs="Arial"/>
                <w:b/>
                <w:lang w:val="en-CA"/>
              </w:rPr>
              <w:t>133.</w:t>
            </w:r>
            <w:r w:rsidR="00165B7B" w:rsidRPr="00C32B26">
              <w:rPr>
                <w:rFonts w:ascii="Arial" w:hAnsi="Arial" w:cs="Arial"/>
                <w:lang w:val="en-CA"/>
              </w:rPr>
              <w:t xml:space="preserve"> … </w:t>
            </w:r>
            <w:r w:rsidR="00165B7B" w:rsidRPr="00C32B26">
              <w:rPr>
                <w:rFonts w:ascii="Arial" w:hAnsi="Arial" w:cs="Arial"/>
                <w:u w:val="single"/>
                <w:lang w:val="en-CA"/>
              </w:rPr>
              <w:t>either of those Languages may be used by any Person or in any Pleading or Process</w:t>
            </w:r>
            <w:r w:rsidR="00165B7B" w:rsidRPr="00C32B26">
              <w:rPr>
                <w:rFonts w:ascii="Arial" w:hAnsi="Arial" w:cs="Arial"/>
                <w:lang w:val="en-CA"/>
              </w:rPr>
              <w:t xml:space="preserve"> in or issuing from any Court of Canada established under this Act, and </w:t>
            </w:r>
            <w:r w:rsidR="00165B7B" w:rsidRPr="00C32B26">
              <w:rPr>
                <w:rFonts w:ascii="Arial" w:hAnsi="Arial" w:cs="Arial"/>
                <w:u w:val="single"/>
                <w:lang w:val="en-CA"/>
              </w:rPr>
              <w:t>in</w:t>
            </w:r>
            <w:r w:rsidR="00165B7B" w:rsidRPr="00C32B26">
              <w:rPr>
                <w:rFonts w:ascii="Arial" w:hAnsi="Arial" w:cs="Arial"/>
                <w:lang w:val="en-CA"/>
              </w:rPr>
              <w:t xml:space="preserve"> or from </w:t>
            </w:r>
            <w:r w:rsidR="00165B7B" w:rsidRPr="00C32B26">
              <w:rPr>
                <w:rFonts w:ascii="Arial" w:hAnsi="Arial" w:cs="Arial"/>
                <w:u w:val="single"/>
                <w:lang w:val="en-CA"/>
              </w:rPr>
              <w:t>all or any of the Courts of Quebec</w:t>
            </w:r>
            <w:r w:rsidRPr="00C32B26">
              <w:rPr>
                <w:rFonts w:ascii="Arial" w:hAnsi="Arial" w:cs="Arial"/>
                <w:lang w:val="en-CA"/>
              </w:rPr>
              <w:t xml:space="preserve"> </w:t>
            </w:r>
            <w:r w:rsidR="00262DB2" w:rsidRPr="00C32B26">
              <w:rPr>
                <w:rFonts w:ascii="Arial" w:hAnsi="Arial" w:cs="Arial"/>
                <w:lang w:val="en-CA"/>
              </w:rPr>
              <w:t>…</w:t>
            </w:r>
          </w:p>
        </w:tc>
        <w:tc>
          <w:tcPr>
            <w:tcW w:w="3742" w:type="dxa"/>
          </w:tcPr>
          <w:p w14:paraId="165466DB" w14:textId="75473428" w:rsidR="006B4150" w:rsidRPr="00C32B26" w:rsidRDefault="006B4150" w:rsidP="00CC2AB2">
            <w:pPr>
              <w:pStyle w:val="Citation2"/>
              <w:ind w:left="0" w:right="5"/>
              <w:rPr>
                <w:rFonts w:ascii="Arial" w:hAnsi="Arial" w:cs="Arial"/>
              </w:rPr>
            </w:pPr>
            <w:r w:rsidRPr="00C32B26">
              <w:rPr>
                <w:rFonts w:ascii="Arial" w:hAnsi="Arial" w:cs="Arial"/>
                <w:b/>
              </w:rPr>
              <w:t>133.</w:t>
            </w:r>
            <w:r w:rsidR="00262DB2" w:rsidRPr="00C32B26">
              <w:rPr>
                <w:rFonts w:ascii="Arial" w:hAnsi="Arial" w:cs="Arial"/>
                <w:b/>
              </w:rPr>
              <w:t xml:space="preserve"> </w:t>
            </w:r>
            <w:r w:rsidR="00262DB2" w:rsidRPr="00C32B26">
              <w:rPr>
                <w:rFonts w:ascii="Arial" w:hAnsi="Arial" w:cs="Arial"/>
                <w:bCs/>
              </w:rPr>
              <w:t>…</w:t>
            </w:r>
            <w:r w:rsidRPr="00C32B26">
              <w:rPr>
                <w:rFonts w:ascii="Arial" w:hAnsi="Arial" w:cs="Arial"/>
              </w:rPr>
              <w:t xml:space="preserve"> </w:t>
            </w:r>
            <w:r w:rsidR="00165B7B" w:rsidRPr="00C32B26">
              <w:rPr>
                <w:rFonts w:ascii="Arial" w:hAnsi="Arial" w:cs="Arial"/>
                <w:u w:val="single"/>
              </w:rPr>
              <w:t>dans toute plaidoirie ou pièce de procédure</w:t>
            </w:r>
            <w:r w:rsidR="00165B7B" w:rsidRPr="00C32B26">
              <w:rPr>
                <w:rFonts w:ascii="Arial" w:hAnsi="Arial" w:cs="Arial"/>
              </w:rPr>
              <w:t xml:space="preserve"> par devant les tribunaux ou émanant des tribunaux du Canada qui seront établis sous l’autorité de la présente loi, et </w:t>
            </w:r>
            <w:r w:rsidR="00165B7B" w:rsidRPr="00C32B26">
              <w:rPr>
                <w:rFonts w:ascii="Arial" w:hAnsi="Arial" w:cs="Arial"/>
                <w:u w:val="single"/>
              </w:rPr>
              <w:t>par devant tous les tribunaux</w:t>
            </w:r>
            <w:r w:rsidR="00165B7B" w:rsidRPr="00C32B26">
              <w:rPr>
                <w:rFonts w:ascii="Arial" w:hAnsi="Arial" w:cs="Arial"/>
              </w:rPr>
              <w:t xml:space="preserve"> ou émanant des tribunaux </w:t>
            </w:r>
            <w:r w:rsidR="00165B7B" w:rsidRPr="00C32B26">
              <w:rPr>
                <w:rFonts w:ascii="Arial" w:hAnsi="Arial" w:cs="Arial"/>
                <w:u w:val="single"/>
              </w:rPr>
              <w:t>de Québec</w:t>
            </w:r>
            <w:r w:rsidR="00165B7B" w:rsidRPr="00C32B26">
              <w:rPr>
                <w:rFonts w:ascii="Arial" w:hAnsi="Arial" w:cs="Arial"/>
              </w:rPr>
              <w:t xml:space="preserve">, </w:t>
            </w:r>
            <w:r w:rsidR="00165B7B" w:rsidRPr="00C32B26">
              <w:rPr>
                <w:rFonts w:ascii="Arial" w:hAnsi="Arial" w:cs="Arial"/>
                <w:u w:val="single"/>
              </w:rPr>
              <w:t>il pourra être fait également usage, à faculté, de l’une ou de l’autre de ces langues</w:t>
            </w:r>
            <w:r w:rsidRPr="00C32B26">
              <w:rPr>
                <w:rFonts w:ascii="Arial" w:hAnsi="Arial" w:cs="Arial"/>
              </w:rPr>
              <w:t>.</w:t>
            </w:r>
          </w:p>
        </w:tc>
      </w:tr>
    </w:tbl>
    <w:p w14:paraId="08EA3CBD" w14:textId="3977B48C" w:rsidR="006B4150" w:rsidRPr="00C32B26" w:rsidRDefault="00C6048F" w:rsidP="00C03D48">
      <w:pPr>
        <w:pStyle w:val="Paragrdouble"/>
        <w:tabs>
          <w:tab w:val="clear" w:pos="3053"/>
          <w:tab w:val="num" w:pos="567"/>
        </w:tabs>
        <w:spacing w:line="240" w:lineRule="auto"/>
        <w:ind w:left="0"/>
        <w:rPr>
          <w:rFonts w:cs="Arial"/>
          <w:lang w:val="en-CA"/>
        </w:rPr>
      </w:pPr>
      <w:r w:rsidRPr="00C32B26">
        <w:rPr>
          <w:rFonts w:cs="Arial"/>
          <w:lang w:val="en-CA"/>
        </w:rPr>
        <w:lastRenderedPageBreak/>
        <w:t>Sections</w:t>
      </w:r>
      <w:r w:rsidR="006B4150" w:rsidRPr="00C32B26">
        <w:rPr>
          <w:rFonts w:cs="Arial"/>
          <w:lang w:val="en-CA"/>
        </w:rPr>
        <w:t xml:space="preserve"> 9 </w:t>
      </w:r>
      <w:r w:rsidRPr="00C32B26">
        <w:rPr>
          <w:rFonts w:cs="Arial"/>
          <w:lang w:val="en-CA"/>
        </w:rPr>
        <w:t>and</w:t>
      </w:r>
      <w:r w:rsidR="006B4150" w:rsidRPr="00C32B26">
        <w:rPr>
          <w:rFonts w:cs="Arial"/>
          <w:lang w:val="en-CA"/>
        </w:rPr>
        <w:t xml:space="preserve"> 208.6 </w:t>
      </w:r>
      <w:r w:rsidRPr="00C32B26">
        <w:rPr>
          <w:rFonts w:cs="Arial"/>
          <w:lang w:val="en-CA"/>
        </w:rPr>
        <w:t xml:space="preserve">of the </w:t>
      </w:r>
      <w:r w:rsidR="00F55EE4" w:rsidRPr="00C32B26">
        <w:rPr>
          <w:rFonts w:cs="Arial"/>
          <w:i/>
          <w:iCs/>
          <w:lang w:val="en-CA"/>
        </w:rPr>
        <w:t>Charter of the French language</w:t>
      </w:r>
      <w:r w:rsidRPr="00C32B26">
        <w:rPr>
          <w:rFonts w:cs="Arial"/>
          <w:lang w:val="en-CA"/>
        </w:rPr>
        <w:t>,</w:t>
      </w:r>
      <w:r w:rsidR="006B4150" w:rsidRPr="00C32B26">
        <w:rPr>
          <w:rFonts w:cs="Arial"/>
          <w:lang w:val="en-CA"/>
        </w:rPr>
        <w:t xml:space="preserve"> </w:t>
      </w:r>
      <w:r w:rsidRPr="00C32B26">
        <w:rPr>
          <w:rFonts w:cs="Arial"/>
          <w:lang w:val="en-CA"/>
        </w:rPr>
        <w:t>as amended by sections</w:t>
      </w:r>
      <w:r w:rsidR="006B4150" w:rsidRPr="00C32B26">
        <w:rPr>
          <w:rFonts w:cs="Arial"/>
          <w:lang w:val="en-CA"/>
        </w:rPr>
        <w:t xml:space="preserve"> </w:t>
      </w:r>
      <w:r w:rsidRPr="00C32B26">
        <w:rPr>
          <w:rFonts w:cs="Arial"/>
          <w:lang w:val="en-CA"/>
        </w:rPr>
        <w:t xml:space="preserve">5 and </w:t>
      </w:r>
      <w:r w:rsidR="00C03D48" w:rsidRPr="00C32B26">
        <w:rPr>
          <w:rFonts w:cs="Arial"/>
          <w:lang w:val="en-CA"/>
        </w:rPr>
        <w:t xml:space="preserve">119 </w:t>
      </w:r>
      <w:r w:rsidRPr="00C32B26">
        <w:rPr>
          <w:rFonts w:cs="Arial"/>
          <w:lang w:val="en-CA"/>
        </w:rPr>
        <w:t>of Bill</w:t>
      </w:r>
      <w:r w:rsidR="00C03D48" w:rsidRPr="00C32B26">
        <w:rPr>
          <w:rFonts w:cs="Arial"/>
          <w:lang w:val="en-CA"/>
        </w:rPr>
        <w:t> 96</w:t>
      </w:r>
      <w:r w:rsidRPr="00C32B26">
        <w:rPr>
          <w:rFonts w:cs="Arial"/>
          <w:lang w:val="en-CA"/>
        </w:rPr>
        <w:t xml:space="preserve"> which are the subject of the constitutional challenge, state as follows: </w:t>
      </w:r>
    </w:p>
    <w:p w14:paraId="1D28DCA1" w14:textId="0C7E06E4" w:rsidR="006B4150" w:rsidRPr="00C32B26" w:rsidRDefault="006B4150" w:rsidP="006B4150">
      <w:pPr>
        <w:pStyle w:val="Citation"/>
        <w:spacing w:before="0" w:after="0"/>
        <w:jc w:val="both"/>
        <w:rPr>
          <w:rFonts w:cs="Arial"/>
          <w:bCs/>
          <w:i w:val="0"/>
          <w:iCs w:val="0"/>
          <w:color w:val="auto"/>
          <w:sz w:val="22"/>
          <w:szCs w:val="22"/>
          <w:lang w:val="en-CA"/>
        </w:rPr>
      </w:pPr>
      <w:r w:rsidRPr="00C32B26">
        <w:rPr>
          <w:rFonts w:cs="Arial"/>
          <w:b/>
          <w:i w:val="0"/>
          <w:iCs w:val="0"/>
          <w:color w:val="auto"/>
          <w:sz w:val="22"/>
          <w:szCs w:val="22"/>
          <w:lang w:val="en-CA"/>
        </w:rPr>
        <w:t>9</w:t>
      </w:r>
      <w:r w:rsidRPr="00C32B26">
        <w:rPr>
          <w:rFonts w:cs="Arial"/>
          <w:bCs/>
          <w:i w:val="0"/>
          <w:iCs w:val="0"/>
          <w:color w:val="auto"/>
          <w:sz w:val="22"/>
          <w:szCs w:val="22"/>
          <w:lang w:val="en-CA"/>
        </w:rPr>
        <w:t xml:space="preserve">. </w:t>
      </w:r>
      <w:r w:rsidR="001E1502" w:rsidRPr="00C32B26">
        <w:rPr>
          <w:rFonts w:cs="Arial"/>
          <w:bCs/>
          <w:i w:val="0"/>
          <w:iCs w:val="0"/>
          <w:color w:val="auto"/>
          <w:sz w:val="22"/>
          <w:szCs w:val="22"/>
          <w:lang w:val="en-CA"/>
        </w:rPr>
        <w:t xml:space="preserve"> </w:t>
      </w:r>
      <w:r w:rsidR="00894276" w:rsidRPr="00C32B26">
        <w:rPr>
          <w:rFonts w:cs="Arial"/>
          <w:bCs/>
          <w:i w:val="0"/>
          <w:iCs w:val="0"/>
          <w:color w:val="auto"/>
          <w:sz w:val="22"/>
          <w:szCs w:val="22"/>
          <w:lang w:val="en-CA"/>
        </w:rPr>
        <w:t>A French translation certified by a certified translator shall be attached to any pleading drawn up in English that emanates from a legal person.</w:t>
      </w:r>
    </w:p>
    <w:p w14:paraId="7AD30544" w14:textId="77777777" w:rsidR="001E1502" w:rsidRPr="00C32B26" w:rsidRDefault="001E1502" w:rsidP="00894276">
      <w:pPr>
        <w:pStyle w:val="Citation"/>
        <w:spacing w:before="0" w:after="0"/>
        <w:jc w:val="both"/>
        <w:rPr>
          <w:rFonts w:cs="Arial"/>
          <w:bCs/>
          <w:i w:val="0"/>
          <w:iCs w:val="0"/>
          <w:color w:val="auto"/>
          <w:sz w:val="22"/>
          <w:szCs w:val="22"/>
          <w:lang w:val="en-CA"/>
        </w:rPr>
      </w:pPr>
    </w:p>
    <w:p w14:paraId="23A44A0D" w14:textId="2D14321B" w:rsidR="006B4150" w:rsidRPr="00C32B26" w:rsidRDefault="00894276" w:rsidP="00894276">
      <w:pPr>
        <w:pStyle w:val="Citation"/>
        <w:spacing w:before="0" w:after="0"/>
        <w:jc w:val="both"/>
        <w:rPr>
          <w:rFonts w:cs="Arial"/>
          <w:bCs/>
          <w:i w:val="0"/>
          <w:iCs w:val="0"/>
          <w:color w:val="auto"/>
          <w:sz w:val="22"/>
          <w:szCs w:val="22"/>
          <w:lang w:val="en-CA"/>
        </w:rPr>
      </w:pPr>
      <w:r w:rsidRPr="00C32B26">
        <w:rPr>
          <w:rFonts w:cs="Arial"/>
          <w:bCs/>
          <w:i w:val="0"/>
          <w:iCs w:val="0"/>
          <w:color w:val="auto"/>
          <w:sz w:val="22"/>
          <w:szCs w:val="22"/>
          <w:lang w:val="en-CA"/>
        </w:rPr>
        <w:t>The legal person shall bear the translation costs</w:t>
      </w:r>
      <w:r w:rsidR="006B4150" w:rsidRPr="00C32B26">
        <w:rPr>
          <w:rFonts w:cs="Arial"/>
          <w:bCs/>
          <w:i w:val="0"/>
          <w:iCs w:val="0"/>
          <w:color w:val="auto"/>
          <w:sz w:val="22"/>
          <w:szCs w:val="22"/>
          <w:lang w:val="en-CA"/>
        </w:rPr>
        <w:t>.</w:t>
      </w:r>
    </w:p>
    <w:p w14:paraId="29ED7CB9" w14:textId="77777777" w:rsidR="00894276" w:rsidRPr="00C32B26" w:rsidRDefault="00894276" w:rsidP="00894276">
      <w:pPr>
        <w:rPr>
          <w:bCs/>
          <w:sz w:val="22"/>
          <w:szCs w:val="22"/>
          <w:lang w:val="en-CA"/>
        </w:rPr>
      </w:pPr>
    </w:p>
    <w:p w14:paraId="70B98AAB" w14:textId="59DB1A64" w:rsidR="006B4150" w:rsidRPr="00C32B26" w:rsidRDefault="006B4150" w:rsidP="006B4150">
      <w:pPr>
        <w:pStyle w:val="Citation"/>
        <w:spacing w:before="0" w:after="0"/>
        <w:jc w:val="both"/>
        <w:rPr>
          <w:rFonts w:cs="Arial"/>
          <w:bCs/>
          <w:i w:val="0"/>
          <w:iCs w:val="0"/>
          <w:color w:val="auto"/>
          <w:sz w:val="22"/>
          <w:szCs w:val="22"/>
          <w:lang w:val="en-CA"/>
        </w:rPr>
      </w:pPr>
      <w:r w:rsidRPr="00C32B26">
        <w:rPr>
          <w:rFonts w:cs="Arial"/>
          <w:bCs/>
          <w:i w:val="0"/>
          <w:iCs w:val="0"/>
          <w:color w:val="auto"/>
          <w:sz w:val="22"/>
          <w:szCs w:val="22"/>
          <w:lang w:val="en-CA"/>
        </w:rPr>
        <w:t xml:space="preserve">208.6. </w:t>
      </w:r>
      <w:r w:rsidR="001E1502" w:rsidRPr="00C32B26">
        <w:rPr>
          <w:rFonts w:cs="Arial"/>
          <w:bCs/>
          <w:i w:val="0"/>
          <w:iCs w:val="0"/>
          <w:color w:val="auto"/>
          <w:sz w:val="22"/>
          <w:szCs w:val="22"/>
          <w:lang w:val="en-CA"/>
        </w:rPr>
        <w:t xml:space="preserve"> </w:t>
      </w:r>
      <w:r w:rsidR="00894276" w:rsidRPr="00C32B26">
        <w:rPr>
          <w:rFonts w:cs="Arial"/>
          <w:bCs/>
          <w:i w:val="0"/>
          <w:iCs w:val="0"/>
          <w:color w:val="auto"/>
          <w:sz w:val="22"/>
          <w:szCs w:val="22"/>
          <w:lang w:val="en-CA"/>
        </w:rPr>
        <w:t>A pleading to which, in contravention of section 9, no translation certified by a certified translator is attached cannot be filed at a court office or at the secretariat of an agency of the civil administration that exercises an adjudicative function or within which a person appointed by the Government or by a minister exercises such a function.</w:t>
      </w:r>
    </w:p>
    <w:p w14:paraId="6FCE716B" w14:textId="77777777" w:rsidR="00894276" w:rsidRPr="00C32B26" w:rsidRDefault="00894276" w:rsidP="00073CF1">
      <w:pPr>
        <w:pStyle w:val="Citation"/>
        <w:spacing w:before="0" w:after="0"/>
        <w:jc w:val="both"/>
        <w:rPr>
          <w:rFonts w:cs="Arial"/>
          <w:bCs/>
          <w:i w:val="0"/>
          <w:iCs w:val="0"/>
          <w:color w:val="auto"/>
          <w:sz w:val="22"/>
          <w:szCs w:val="22"/>
          <w:lang w:val="en-CA"/>
        </w:rPr>
      </w:pPr>
    </w:p>
    <w:p w14:paraId="1909B9EF" w14:textId="4A70F886" w:rsidR="006B4150" w:rsidRPr="00C32B26" w:rsidRDefault="00894276" w:rsidP="00073CF1">
      <w:pPr>
        <w:pStyle w:val="Citation"/>
        <w:spacing w:before="0" w:after="0"/>
        <w:jc w:val="both"/>
        <w:rPr>
          <w:rFonts w:cs="Arial"/>
          <w:bCs/>
          <w:i w:val="0"/>
          <w:iCs w:val="0"/>
          <w:color w:val="auto"/>
          <w:sz w:val="22"/>
          <w:szCs w:val="22"/>
          <w:lang w:val="en-CA"/>
        </w:rPr>
      </w:pPr>
      <w:r w:rsidRPr="00C32B26">
        <w:rPr>
          <w:rFonts w:cs="Arial"/>
          <w:bCs/>
          <w:i w:val="0"/>
          <w:iCs w:val="0"/>
          <w:color w:val="auto"/>
          <w:sz w:val="22"/>
          <w:szCs w:val="22"/>
          <w:lang w:val="en-CA"/>
        </w:rPr>
        <w:t>The court clerk or the secretary shall notify the legal person concerned without delay of the reason for which the pleading cannot be filed.</w:t>
      </w:r>
    </w:p>
    <w:p w14:paraId="20E1DA34" w14:textId="3C2CECFD" w:rsidR="00073CF1" w:rsidRPr="00C32B26" w:rsidRDefault="00C6048F" w:rsidP="00C03D48">
      <w:pPr>
        <w:pStyle w:val="Paragrdouble"/>
        <w:tabs>
          <w:tab w:val="clear" w:pos="3053"/>
          <w:tab w:val="num" w:pos="567"/>
        </w:tabs>
        <w:spacing w:line="240" w:lineRule="auto"/>
        <w:ind w:left="0"/>
        <w:rPr>
          <w:rFonts w:cs="Arial"/>
          <w:lang w:val="en-CA"/>
        </w:rPr>
      </w:pPr>
      <w:r w:rsidRPr="00C32B26">
        <w:rPr>
          <w:rFonts w:cs="Arial"/>
          <w:lang w:val="en-CA"/>
        </w:rPr>
        <w:t xml:space="preserve">Despite the applicants’ first </w:t>
      </w:r>
      <w:r w:rsidR="00107C75" w:rsidRPr="00C32B26">
        <w:rPr>
          <w:rFonts w:cs="Arial"/>
          <w:lang w:val="en-CA"/>
        </w:rPr>
        <w:t>argument</w:t>
      </w:r>
      <w:r w:rsidRPr="00C32B26">
        <w:rPr>
          <w:rFonts w:cs="Arial"/>
          <w:lang w:val="en-CA"/>
        </w:rPr>
        <w:t xml:space="preserve">, it seems to the Court that these two provisions differ from those struck down in </w:t>
      </w:r>
      <w:r w:rsidR="00073CF1" w:rsidRPr="00C32B26">
        <w:rPr>
          <w:rFonts w:cs="Arial"/>
          <w:i/>
          <w:iCs/>
          <w:lang w:val="en-CA"/>
        </w:rPr>
        <w:t>Blaikie</w:t>
      </w:r>
      <w:r w:rsidRPr="00C32B26">
        <w:rPr>
          <w:rFonts w:cs="Arial"/>
          <w:lang w:val="en-CA"/>
        </w:rPr>
        <w:t xml:space="preserve">, </w:t>
      </w:r>
      <w:r w:rsidRPr="00C32B26">
        <w:rPr>
          <w:rFonts w:cs="Arial"/>
          <w:i/>
          <w:iCs/>
          <w:lang w:val="en-CA"/>
        </w:rPr>
        <w:t>supra</w:t>
      </w:r>
      <w:r w:rsidR="001641F3" w:rsidRPr="00C32B26">
        <w:rPr>
          <w:rFonts w:cs="Arial"/>
          <w:lang w:val="en-CA"/>
        </w:rPr>
        <w:t xml:space="preserve">. </w:t>
      </w:r>
      <w:r w:rsidRPr="00C32B26">
        <w:rPr>
          <w:rFonts w:cs="Arial"/>
          <w:lang w:val="en-CA"/>
        </w:rPr>
        <w:t>There, it was held that section</w:t>
      </w:r>
      <w:r w:rsidR="001641F3" w:rsidRPr="00C32B26">
        <w:rPr>
          <w:rFonts w:cs="Arial"/>
          <w:lang w:val="en-CA"/>
        </w:rPr>
        <w:t xml:space="preserve"> 133 </w:t>
      </w:r>
      <w:r w:rsidR="00814949" w:rsidRPr="00C32B26">
        <w:rPr>
          <w:rFonts w:cs="Arial"/>
          <w:lang w:val="en-CA"/>
        </w:rPr>
        <w:t xml:space="preserve">allows </w:t>
      </w:r>
      <w:r w:rsidRPr="00C32B26">
        <w:rPr>
          <w:rFonts w:cs="Arial"/>
          <w:lang w:val="en-CA"/>
        </w:rPr>
        <w:t xml:space="preserve">litigants to use French or English in their pleadings </w:t>
      </w:r>
      <w:r w:rsidR="003A4A27" w:rsidRPr="00C32B26">
        <w:rPr>
          <w:rFonts w:cs="Arial"/>
          <w:lang w:val="en-CA"/>
        </w:rPr>
        <w:t xml:space="preserve">or </w:t>
      </w:r>
      <w:r w:rsidR="008B5CF2" w:rsidRPr="00C32B26">
        <w:rPr>
          <w:rFonts w:cs="Arial"/>
          <w:lang w:val="en-CA"/>
        </w:rPr>
        <w:t>arguments</w:t>
      </w:r>
      <w:r w:rsidRPr="00C32B26">
        <w:rPr>
          <w:rFonts w:cs="Arial"/>
          <w:lang w:val="en-CA"/>
        </w:rPr>
        <w:t xml:space="preserve"> before the courts in Quebec</w:t>
      </w:r>
      <w:r w:rsidR="001641F3" w:rsidRPr="00C32B26">
        <w:rPr>
          <w:rStyle w:val="Appelnotedebasdep"/>
          <w:rFonts w:cs="Arial"/>
          <w:lang w:val="en-CA"/>
        </w:rPr>
        <w:footnoteReference w:id="20"/>
      </w:r>
      <w:r w:rsidR="005A5B5B" w:rsidRPr="00C32B26">
        <w:rPr>
          <w:rFonts w:cs="Arial"/>
          <w:lang w:val="en-CA"/>
        </w:rPr>
        <w:t xml:space="preserve"> </w:t>
      </w:r>
      <w:r w:rsidRPr="00C32B26">
        <w:rPr>
          <w:rFonts w:cs="Arial"/>
          <w:lang w:val="en-CA"/>
        </w:rPr>
        <w:t xml:space="preserve">and that the parties to a proceeding have the choice to use </w:t>
      </w:r>
      <w:r w:rsidR="003A4A27" w:rsidRPr="00C32B26">
        <w:rPr>
          <w:rFonts w:cs="Arial"/>
          <w:lang w:val="en-CA"/>
        </w:rPr>
        <w:t>either language.</w:t>
      </w:r>
      <w:r w:rsidR="005A5B5B" w:rsidRPr="00C32B26">
        <w:rPr>
          <w:rStyle w:val="Appelnotedebasdep"/>
          <w:rFonts w:cs="Arial"/>
          <w:lang w:val="en-CA"/>
        </w:rPr>
        <w:footnoteReference w:id="21"/>
      </w:r>
    </w:p>
    <w:p w14:paraId="002DF447" w14:textId="67D826F7" w:rsidR="002B1043" w:rsidRPr="00C32B26" w:rsidRDefault="001238DE" w:rsidP="00C03D48">
      <w:pPr>
        <w:pStyle w:val="Paragrdouble"/>
        <w:tabs>
          <w:tab w:val="clear" w:pos="3053"/>
          <w:tab w:val="num" w:pos="567"/>
        </w:tabs>
        <w:spacing w:line="240" w:lineRule="auto"/>
        <w:ind w:left="0"/>
        <w:rPr>
          <w:rFonts w:cs="Arial"/>
          <w:lang w:val="en-CA"/>
        </w:rPr>
      </w:pPr>
      <w:r w:rsidRPr="00C32B26">
        <w:rPr>
          <w:rFonts w:cs="Arial"/>
          <w:lang w:val="en-CA"/>
        </w:rPr>
        <w:t xml:space="preserve">The </w:t>
      </w:r>
      <w:r w:rsidR="00073CF1" w:rsidRPr="00C32B26">
        <w:rPr>
          <w:rFonts w:cs="Arial"/>
          <w:lang w:val="en-CA"/>
        </w:rPr>
        <w:t xml:space="preserve">argument </w:t>
      </w:r>
      <w:r w:rsidRPr="00C32B26">
        <w:rPr>
          <w:rFonts w:cs="Arial"/>
          <w:lang w:val="en-CA"/>
        </w:rPr>
        <w:t xml:space="preserve">that the impugned provisions infringe the principle of substantive equality of French and English because additional barriers to access to the courts would be imposed on English-language legal persons and their lawyers also </w:t>
      </w:r>
      <w:r w:rsidR="00645105" w:rsidRPr="00C32B26">
        <w:rPr>
          <w:rFonts w:cs="Arial"/>
          <w:lang w:val="en-CA"/>
        </w:rPr>
        <w:t>seems</w:t>
      </w:r>
      <w:r w:rsidRPr="00C32B26">
        <w:rPr>
          <w:rFonts w:cs="Arial"/>
          <w:lang w:val="en-CA"/>
        </w:rPr>
        <w:t xml:space="preserve"> sufficiently serious to satisfy the criterion.</w:t>
      </w:r>
      <w:r w:rsidR="007F1A1D" w:rsidRPr="00C32B26">
        <w:rPr>
          <w:rFonts w:cs="Arial"/>
          <w:lang w:val="en-CA"/>
        </w:rPr>
        <w:t xml:space="preserve"> </w:t>
      </w:r>
    </w:p>
    <w:p w14:paraId="2C8C339C" w14:textId="406B99DD" w:rsidR="00073CF1" w:rsidRPr="00C32B26" w:rsidRDefault="002B1043" w:rsidP="002B1043">
      <w:pPr>
        <w:pStyle w:val="Paragrdouble"/>
        <w:numPr>
          <w:ilvl w:val="0"/>
          <w:numId w:val="0"/>
        </w:numPr>
        <w:spacing w:before="240" w:after="60" w:line="240" w:lineRule="auto"/>
        <w:ind w:left="924" w:hanging="567"/>
        <w:rPr>
          <w:rFonts w:cs="Arial"/>
          <w:b/>
          <w:lang w:val="en-CA"/>
        </w:rPr>
      </w:pPr>
      <w:r w:rsidRPr="00C32B26">
        <w:rPr>
          <w:rFonts w:cs="Arial"/>
          <w:b/>
          <w:lang w:val="en-CA"/>
        </w:rPr>
        <w:t>2</w:t>
      </w:r>
      <w:r w:rsidRPr="00C32B26">
        <w:rPr>
          <w:rFonts w:cs="Arial"/>
          <w:b/>
          <w:lang w:val="en-CA"/>
        </w:rPr>
        <w:tab/>
      </w:r>
      <w:r w:rsidR="000A0338" w:rsidRPr="00C32B26">
        <w:rPr>
          <w:rFonts w:cs="Arial"/>
          <w:b/>
          <w:lang w:val="en-CA"/>
        </w:rPr>
        <w:t xml:space="preserve">IRREPARABLE HARM </w:t>
      </w:r>
      <w:r w:rsidR="00170ACD" w:rsidRPr="00C32B26">
        <w:rPr>
          <w:rFonts w:cs="Arial"/>
          <w:b/>
          <w:lang w:val="en-CA"/>
        </w:rPr>
        <w:t>IF</w:t>
      </w:r>
      <w:r w:rsidR="000A0338" w:rsidRPr="00C32B26">
        <w:rPr>
          <w:rFonts w:cs="Arial"/>
          <w:b/>
          <w:lang w:val="en-CA"/>
        </w:rPr>
        <w:t xml:space="preserve"> THE APPLICATION FOR </w:t>
      </w:r>
      <w:r w:rsidR="001F78E6" w:rsidRPr="00C32B26">
        <w:rPr>
          <w:rFonts w:cs="Arial"/>
          <w:b/>
          <w:lang w:val="en-CA"/>
        </w:rPr>
        <w:t>SUSPENSION</w:t>
      </w:r>
      <w:r w:rsidR="000A0338" w:rsidRPr="00C32B26">
        <w:rPr>
          <w:rFonts w:cs="Arial"/>
          <w:b/>
          <w:lang w:val="en-CA"/>
        </w:rPr>
        <w:t xml:space="preserve"> </w:t>
      </w:r>
      <w:r w:rsidR="002B3C8B" w:rsidRPr="00C32B26">
        <w:rPr>
          <w:rFonts w:cs="Arial"/>
          <w:b/>
          <w:lang w:val="en-CA"/>
        </w:rPr>
        <w:t xml:space="preserve">IS </w:t>
      </w:r>
      <w:r w:rsidR="00260A17" w:rsidRPr="00C32B26">
        <w:rPr>
          <w:rFonts w:cs="Arial"/>
          <w:b/>
          <w:lang w:val="en-CA"/>
        </w:rPr>
        <w:t>NOT GRANTED</w:t>
      </w:r>
      <w:r w:rsidR="000A0338" w:rsidRPr="00C32B26">
        <w:rPr>
          <w:rFonts w:cs="Arial"/>
          <w:b/>
          <w:lang w:val="en-CA"/>
        </w:rPr>
        <w:t xml:space="preserve"> </w:t>
      </w:r>
    </w:p>
    <w:p w14:paraId="7ACC22B3" w14:textId="4DF4E3DC" w:rsidR="00073CF1" w:rsidRPr="00C32B26" w:rsidRDefault="00E17357" w:rsidP="00E17357">
      <w:pPr>
        <w:pStyle w:val="Titre2"/>
        <w:ind w:left="567"/>
        <w:rPr>
          <w:rFonts w:cs="Arial"/>
          <w:u w:val="none"/>
          <w:lang w:val="en-CA"/>
        </w:rPr>
      </w:pPr>
      <w:r w:rsidRPr="00C32B26">
        <w:rPr>
          <w:rFonts w:cs="Arial"/>
          <w:u w:val="none"/>
          <w:lang w:val="en-CA"/>
        </w:rPr>
        <w:t>2.1</w:t>
      </w:r>
      <w:r w:rsidRPr="00C32B26">
        <w:rPr>
          <w:rFonts w:cs="Arial"/>
          <w:u w:val="none"/>
          <w:lang w:val="en-CA"/>
        </w:rPr>
        <w:tab/>
      </w:r>
      <w:r w:rsidR="00073CF1" w:rsidRPr="00C32B26">
        <w:rPr>
          <w:rFonts w:cs="Arial"/>
          <w:u w:val="none"/>
          <w:lang w:val="en-CA"/>
        </w:rPr>
        <w:t>Princip</w:t>
      </w:r>
      <w:r w:rsidR="000A0338" w:rsidRPr="00C32B26">
        <w:rPr>
          <w:rFonts w:cs="Arial"/>
          <w:u w:val="none"/>
          <w:lang w:val="en-CA"/>
        </w:rPr>
        <w:t>L</w:t>
      </w:r>
      <w:r w:rsidR="00073CF1" w:rsidRPr="00C32B26">
        <w:rPr>
          <w:rFonts w:cs="Arial"/>
          <w:u w:val="none"/>
          <w:lang w:val="en-CA"/>
        </w:rPr>
        <w:t>es</w:t>
      </w:r>
    </w:p>
    <w:p w14:paraId="43F5A368" w14:textId="1E7D3FF7" w:rsidR="001841BC" w:rsidRPr="00C32B26" w:rsidRDefault="000A0338" w:rsidP="00C03D48">
      <w:pPr>
        <w:pStyle w:val="Paragrdouble"/>
        <w:tabs>
          <w:tab w:val="clear" w:pos="3053"/>
          <w:tab w:val="num" w:pos="567"/>
        </w:tabs>
        <w:spacing w:line="240" w:lineRule="auto"/>
        <w:ind w:left="0"/>
        <w:rPr>
          <w:rFonts w:cs="Arial"/>
          <w:lang w:val="en-CA"/>
        </w:rPr>
      </w:pPr>
      <w:bookmarkStart w:id="1" w:name="_Toc45807136"/>
      <w:bookmarkStart w:id="2" w:name="_Toc56788860"/>
      <w:r w:rsidRPr="00C32B26">
        <w:rPr>
          <w:rFonts w:cs="Arial"/>
          <w:lang w:val="en-CA"/>
        </w:rPr>
        <w:t>It is the nature</w:t>
      </w:r>
      <w:r w:rsidR="00E74250" w:rsidRPr="00C32B26">
        <w:rPr>
          <w:rFonts w:cs="Arial"/>
          <w:lang w:val="en-CA"/>
        </w:rPr>
        <w:t>,</w:t>
      </w:r>
      <w:r w:rsidR="00645105" w:rsidRPr="00C32B26">
        <w:rPr>
          <w:rFonts w:cs="Arial"/>
          <w:lang w:val="en-CA"/>
        </w:rPr>
        <w:t xml:space="preserve"> </w:t>
      </w:r>
      <w:r w:rsidRPr="00C32B26">
        <w:rPr>
          <w:rFonts w:cs="Arial"/>
          <w:lang w:val="en-CA"/>
        </w:rPr>
        <w:t>not the magnitude</w:t>
      </w:r>
      <w:r w:rsidR="00F907BC" w:rsidRPr="00C32B26">
        <w:rPr>
          <w:rFonts w:cs="Arial"/>
          <w:lang w:val="en-CA"/>
        </w:rPr>
        <w:t>,</w:t>
      </w:r>
      <w:r w:rsidRPr="00C32B26">
        <w:rPr>
          <w:rFonts w:cs="Arial"/>
          <w:lang w:val="en-CA"/>
        </w:rPr>
        <w:t xml:space="preserve"> of the harm that is important in this second step of the analysis. Irreparable harm is harm </w:t>
      </w:r>
      <w:r w:rsidR="00645105" w:rsidRPr="00C32B26">
        <w:rPr>
          <w:rFonts w:cs="Arial"/>
          <w:lang w:val="en-CA"/>
        </w:rPr>
        <w:t>which</w:t>
      </w:r>
      <w:r w:rsidRPr="00C32B26">
        <w:rPr>
          <w:rFonts w:cs="Arial"/>
          <w:lang w:val="en-CA"/>
        </w:rPr>
        <w:t xml:space="preserve"> </w:t>
      </w:r>
      <w:r w:rsidR="00992577" w:rsidRPr="00C32B26">
        <w:rPr>
          <w:rFonts w:cs="Arial"/>
          <w:lang w:val="en-CA"/>
        </w:rPr>
        <w:t>“cannot be quantified in monetary terms or which cannot be cured, usually because one party cannot collect damages from the other.”</w:t>
      </w:r>
      <w:r w:rsidR="001841BC" w:rsidRPr="00C32B26">
        <w:rPr>
          <w:rStyle w:val="Appelnotedebasdep"/>
          <w:rFonts w:cs="Arial"/>
          <w:lang w:val="en-CA"/>
        </w:rPr>
        <w:footnoteReference w:id="22"/>
      </w:r>
    </w:p>
    <w:p w14:paraId="418A9E27" w14:textId="52EEAEDD" w:rsidR="001841BC" w:rsidRPr="00C32B26" w:rsidRDefault="00A10338" w:rsidP="00C03D48">
      <w:pPr>
        <w:pStyle w:val="Paragrdouble"/>
        <w:tabs>
          <w:tab w:val="clear" w:pos="3053"/>
          <w:tab w:val="num" w:pos="567"/>
        </w:tabs>
        <w:spacing w:line="240" w:lineRule="auto"/>
        <w:ind w:left="0"/>
        <w:rPr>
          <w:rFonts w:cs="Arial"/>
          <w:lang w:val="en-CA"/>
        </w:rPr>
      </w:pPr>
      <w:r w:rsidRPr="00C32B26">
        <w:rPr>
          <w:rFonts w:cs="Arial"/>
          <w:lang w:val="en-CA"/>
        </w:rPr>
        <w:t xml:space="preserve">In addition, it is the harm that would result from refusing to grant the application for </w:t>
      </w:r>
      <w:r w:rsidR="005820BA" w:rsidRPr="00C32B26">
        <w:rPr>
          <w:rFonts w:cs="Arial"/>
          <w:lang w:val="en-CA"/>
        </w:rPr>
        <w:t>suspension</w:t>
      </w:r>
      <w:r w:rsidRPr="00C32B26">
        <w:rPr>
          <w:rFonts w:cs="Arial"/>
          <w:lang w:val="en-CA"/>
        </w:rPr>
        <w:t xml:space="preserve"> that must be assessed, not the harm [</w:t>
      </w:r>
      <w:r w:rsidRPr="00C32B26">
        <w:rPr>
          <w:rFonts w:cs="Arial"/>
          <w:smallCaps/>
          <w:lang w:val="en-CA"/>
        </w:rPr>
        <w:t>translation</w:t>
      </w:r>
      <w:r w:rsidRPr="00C32B26">
        <w:rPr>
          <w:rFonts w:cs="Arial"/>
          <w:lang w:val="en-CA"/>
        </w:rPr>
        <w:t>]</w:t>
      </w:r>
      <w:r w:rsidR="001841BC" w:rsidRPr="00C32B26">
        <w:rPr>
          <w:rFonts w:cs="Arial"/>
          <w:lang w:val="en-CA"/>
        </w:rPr>
        <w:t xml:space="preserve"> </w:t>
      </w:r>
      <w:r w:rsidRPr="00C32B26">
        <w:rPr>
          <w:rFonts w:cs="Arial"/>
          <w:lang w:val="en-CA"/>
        </w:rPr>
        <w:t xml:space="preserve">“likely to result from enforcing the </w:t>
      </w:r>
      <w:r w:rsidR="00486857" w:rsidRPr="00C32B26">
        <w:rPr>
          <w:rFonts w:cs="Arial"/>
          <w:lang w:val="en-CA"/>
        </w:rPr>
        <w:t xml:space="preserve">orders in council </w:t>
      </w:r>
      <w:r w:rsidRPr="00C32B26">
        <w:rPr>
          <w:rFonts w:cs="Arial"/>
          <w:lang w:val="en-CA"/>
        </w:rPr>
        <w:t xml:space="preserve"> </w:t>
      </w:r>
      <w:r w:rsidR="00BB7A80" w:rsidRPr="00C32B26">
        <w:rPr>
          <w:rFonts w:cs="Arial"/>
          <w:lang w:val="en-CA"/>
        </w:rPr>
        <w:t>in issue</w:t>
      </w:r>
      <w:r w:rsidRPr="00C32B26">
        <w:rPr>
          <w:rFonts w:cs="Arial"/>
          <w:lang w:val="en-CA"/>
        </w:rPr>
        <w:t xml:space="preserve"> on a permanent basis</w:t>
      </w:r>
      <w:r w:rsidR="003C09B5" w:rsidRPr="00C32B26">
        <w:rPr>
          <w:rFonts w:cs="Arial"/>
          <w:lang w:val="en-CA"/>
        </w:rPr>
        <w:t>.</w:t>
      </w:r>
      <w:r w:rsidRPr="00C32B26">
        <w:rPr>
          <w:rFonts w:cs="Arial"/>
          <w:lang w:val="en-CA"/>
        </w:rPr>
        <w:t>”</w:t>
      </w:r>
      <w:r w:rsidR="001841BC" w:rsidRPr="00C32B26">
        <w:rPr>
          <w:rStyle w:val="Appelnotedebasdep"/>
          <w:rFonts w:cs="Arial"/>
          <w:lang w:val="en-CA"/>
        </w:rPr>
        <w:footnoteReference w:id="23"/>
      </w:r>
      <w:r w:rsidR="001841BC" w:rsidRPr="00C32B26">
        <w:rPr>
          <w:rFonts w:cs="Arial"/>
          <w:lang w:val="en-CA"/>
        </w:rPr>
        <w:t xml:space="preserve"> </w:t>
      </w:r>
      <w:r w:rsidR="00F54EAD" w:rsidRPr="00C32B26">
        <w:rPr>
          <w:rFonts w:cs="Arial"/>
          <w:lang w:val="en-CA"/>
        </w:rPr>
        <w:t>Th</w:t>
      </w:r>
      <w:r w:rsidR="00BC2521" w:rsidRPr="00C32B26">
        <w:rPr>
          <w:rFonts w:cs="Arial"/>
          <w:lang w:val="en-CA"/>
        </w:rPr>
        <w:t>us</w:t>
      </w:r>
      <w:r w:rsidR="00F54EAD" w:rsidRPr="00C32B26">
        <w:rPr>
          <w:rFonts w:cs="Arial"/>
          <w:lang w:val="en-CA"/>
        </w:rPr>
        <w:t>, o</w:t>
      </w:r>
      <w:r w:rsidR="003C09B5" w:rsidRPr="00C32B26">
        <w:rPr>
          <w:rFonts w:cs="Arial"/>
          <w:lang w:val="en-CA"/>
        </w:rPr>
        <w:t xml:space="preserve">ne must consider </w:t>
      </w:r>
      <w:r w:rsidR="003C09B5" w:rsidRPr="00C32B26">
        <w:rPr>
          <w:rFonts w:cs="Arial"/>
          <w:lang w:val="en-CA"/>
        </w:rPr>
        <w:lastRenderedPageBreak/>
        <w:t>the</w:t>
      </w:r>
      <w:r w:rsidR="00BB7402" w:rsidRPr="00C32B26">
        <w:rPr>
          <w:rFonts w:cs="Arial"/>
          <w:lang w:val="en-CA"/>
        </w:rPr>
        <w:t xml:space="preserve"> </w:t>
      </w:r>
      <w:r w:rsidR="003C09B5" w:rsidRPr="00C32B26">
        <w:rPr>
          <w:rFonts w:cs="Arial"/>
          <w:lang w:val="en-CA"/>
        </w:rPr>
        <w:t xml:space="preserve">consequences </w:t>
      </w:r>
      <w:r w:rsidR="00BB7402" w:rsidRPr="00C32B26">
        <w:rPr>
          <w:rFonts w:cs="Arial"/>
          <w:lang w:val="en-CA"/>
        </w:rPr>
        <w:t>of the decision during the period</w:t>
      </w:r>
      <w:r w:rsidR="003C09B5" w:rsidRPr="00C32B26">
        <w:rPr>
          <w:rFonts w:cs="Arial"/>
          <w:lang w:val="en-CA"/>
        </w:rPr>
        <w:t xml:space="preserve"> </w:t>
      </w:r>
      <w:r w:rsidR="006C59CB" w:rsidRPr="00C32B26">
        <w:rPr>
          <w:rFonts w:cs="Arial"/>
          <w:lang w:val="en-CA"/>
        </w:rPr>
        <w:t>prior to</w:t>
      </w:r>
      <w:r w:rsidR="003C09B5" w:rsidRPr="00C32B26">
        <w:rPr>
          <w:rFonts w:cs="Arial"/>
          <w:lang w:val="en-CA"/>
        </w:rPr>
        <w:t xml:space="preserve"> the </w:t>
      </w:r>
      <w:r w:rsidR="00BB7402" w:rsidRPr="00C32B26">
        <w:rPr>
          <w:rFonts w:cs="Arial"/>
          <w:lang w:val="en-CA"/>
        </w:rPr>
        <w:t>ruling</w:t>
      </w:r>
      <w:r w:rsidR="003C09B5" w:rsidRPr="00C32B26">
        <w:rPr>
          <w:rFonts w:cs="Arial"/>
          <w:lang w:val="en-CA"/>
        </w:rPr>
        <w:t xml:space="preserve"> on the merits</w:t>
      </w:r>
      <w:r w:rsidR="00E63E98" w:rsidRPr="00C32B26">
        <w:rPr>
          <w:rFonts w:cs="Arial"/>
          <w:lang w:val="en-CA"/>
        </w:rPr>
        <w:t xml:space="preserve"> that grants or does not grant</w:t>
      </w:r>
      <w:r w:rsidR="003C09B5" w:rsidRPr="00C32B26">
        <w:rPr>
          <w:rFonts w:cs="Arial"/>
          <w:lang w:val="en-CA"/>
        </w:rPr>
        <w:t xml:space="preserve"> the application for judicial review.</w:t>
      </w:r>
    </w:p>
    <w:p w14:paraId="3D30AB74" w14:textId="243E9112" w:rsidR="0009196D" w:rsidRPr="00C32B26" w:rsidRDefault="003C09B5" w:rsidP="00ED7745">
      <w:pPr>
        <w:pStyle w:val="Paragrdouble"/>
        <w:tabs>
          <w:tab w:val="clear" w:pos="3053"/>
          <w:tab w:val="num" w:pos="567"/>
        </w:tabs>
        <w:spacing w:line="240" w:lineRule="auto"/>
        <w:ind w:left="0"/>
        <w:rPr>
          <w:rFonts w:cs="Arial"/>
          <w:lang w:val="en-CA"/>
        </w:rPr>
      </w:pPr>
      <w:r w:rsidRPr="00C32B26">
        <w:rPr>
          <w:rFonts w:cs="Arial"/>
          <w:lang w:val="en-CA"/>
        </w:rPr>
        <w:t xml:space="preserve">In the case at bar, the applicants argue that the violation of a fundamental right </w:t>
      </w:r>
      <w:r w:rsidR="00C04EAC" w:rsidRPr="00C32B26">
        <w:rPr>
          <w:rFonts w:cs="Arial"/>
          <w:lang w:val="en-CA"/>
        </w:rPr>
        <w:t>i</w:t>
      </w:r>
      <w:r w:rsidRPr="00C32B26">
        <w:rPr>
          <w:rFonts w:cs="Arial"/>
          <w:lang w:val="en-CA"/>
        </w:rPr>
        <w:t>s</w:t>
      </w:r>
      <w:r w:rsidR="001773E3" w:rsidRPr="00C32B26">
        <w:rPr>
          <w:rFonts w:cs="Arial"/>
          <w:lang w:val="en-CA"/>
        </w:rPr>
        <w:t>,</w:t>
      </w:r>
      <w:r w:rsidRPr="00C32B26">
        <w:rPr>
          <w:rFonts w:cs="Arial"/>
          <w:lang w:val="en-CA"/>
        </w:rPr>
        <w:t xml:space="preserve"> in itself and at all times</w:t>
      </w:r>
      <w:r w:rsidR="00F54EAD" w:rsidRPr="00C32B26">
        <w:rPr>
          <w:rFonts w:cs="Arial"/>
          <w:lang w:val="en-CA"/>
        </w:rPr>
        <w:t>,</w:t>
      </w:r>
      <w:r w:rsidRPr="00C32B26">
        <w:rPr>
          <w:rFonts w:cs="Arial"/>
          <w:lang w:val="en-CA"/>
        </w:rPr>
        <w:t xml:space="preserve"> an irreparable harm.</w:t>
      </w:r>
      <w:r w:rsidR="001841BC" w:rsidRPr="00C32B26">
        <w:rPr>
          <w:rStyle w:val="Appelnotedebasdep"/>
          <w:rFonts w:cs="Arial"/>
          <w:lang w:val="en-CA"/>
        </w:rPr>
        <w:footnoteReference w:id="24"/>
      </w:r>
    </w:p>
    <w:p w14:paraId="00DD8CBD" w14:textId="7CE13B1E" w:rsidR="00E7435F" w:rsidRPr="00C32B26" w:rsidRDefault="00AF3BAF" w:rsidP="00C03D48">
      <w:pPr>
        <w:pStyle w:val="Paragrdouble"/>
        <w:tabs>
          <w:tab w:val="clear" w:pos="3053"/>
          <w:tab w:val="num" w:pos="567"/>
        </w:tabs>
        <w:spacing w:line="240" w:lineRule="auto"/>
        <w:ind w:left="0"/>
        <w:rPr>
          <w:rFonts w:cs="Arial"/>
          <w:lang w:val="en-CA"/>
        </w:rPr>
      </w:pPr>
      <w:r w:rsidRPr="00C32B26">
        <w:rPr>
          <w:rFonts w:cs="Arial"/>
          <w:lang w:val="en-CA"/>
        </w:rPr>
        <w:t>The AGQ disagrees</w:t>
      </w:r>
      <w:r w:rsidR="00657137" w:rsidRPr="00C32B26">
        <w:rPr>
          <w:rFonts w:cs="Arial"/>
          <w:lang w:val="en-CA"/>
        </w:rPr>
        <w:t>,</w:t>
      </w:r>
      <w:r w:rsidRPr="00C32B26">
        <w:rPr>
          <w:rFonts w:cs="Arial"/>
          <w:lang w:val="en-CA"/>
        </w:rPr>
        <w:t xml:space="preserve"> </w:t>
      </w:r>
      <w:r w:rsidR="00657137" w:rsidRPr="00C32B26">
        <w:rPr>
          <w:rFonts w:cs="Arial"/>
          <w:lang w:val="en-CA"/>
        </w:rPr>
        <w:t>stressing</w:t>
      </w:r>
      <w:r w:rsidRPr="00C32B26">
        <w:rPr>
          <w:rFonts w:cs="Arial"/>
          <w:lang w:val="en-CA"/>
        </w:rPr>
        <w:t xml:space="preserve"> the applicants’ burden </w:t>
      </w:r>
      <w:r w:rsidR="00A86FDD" w:rsidRPr="00C32B26">
        <w:rPr>
          <w:rFonts w:cs="Arial"/>
          <w:lang w:val="en-CA"/>
        </w:rPr>
        <w:t>[</w:t>
      </w:r>
      <w:r w:rsidR="00A86FDD" w:rsidRPr="00C32B26">
        <w:rPr>
          <w:rFonts w:cs="Arial"/>
          <w:smallCaps/>
          <w:lang w:val="en-CA"/>
        </w:rPr>
        <w:t>translation</w:t>
      </w:r>
      <w:r w:rsidR="00A86FDD" w:rsidRPr="00C32B26">
        <w:rPr>
          <w:rFonts w:cs="Arial"/>
          <w:lang w:val="en-CA"/>
        </w:rPr>
        <w:t>] “of showing an irreparable harm to the public interest.”</w:t>
      </w:r>
      <w:r w:rsidR="001841BC" w:rsidRPr="00C32B26">
        <w:rPr>
          <w:rFonts w:cs="Arial"/>
          <w:vertAlign w:val="superscript"/>
          <w:lang w:val="en-CA"/>
        </w:rPr>
        <w:footnoteReference w:id="25"/>
      </w:r>
    </w:p>
    <w:p w14:paraId="208A901D" w14:textId="730CB7D2" w:rsidR="00E7435F" w:rsidRPr="00C32B26" w:rsidRDefault="00E63E98" w:rsidP="00C03D48">
      <w:pPr>
        <w:pStyle w:val="Paragrdouble"/>
        <w:tabs>
          <w:tab w:val="clear" w:pos="3053"/>
          <w:tab w:val="num" w:pos="567"/>
        </w:tabs>
        <w:spacing w:line="240" w:lineRule="auto"/>
        <w:ind w:left="0"/>
        <w:rPr>
          <w:rFonts w:cs="Arial"/>
          <w:lang w:val="en-CA"/>
        </w:rPr>
      </w:pPr>
      <w:r w:rsidRPr="00C32B26">
        <w:rPr>
          <w:rFonts w:cs="Arial"/>
          <w:lang w:val="en-CA"/>
        </w:rPr>
        <w:t>The recent constitutional case law generally requir</w:t>
      </w:r>
      <w:r w:rsidR="00F54EAD" w:rsidRPr="00C32B26">
        <w:rPr>
          <w:rFonts w:cs="Arial"/>
          <w:lang w:val="en-CA"/>
        </w:rPr>
        <w:t>es applicant</w:t>
      </w:r>
      <w:r w:rsidR="001E4CDE" w:rsidRPr="00C32B26">
        <w:rPr>
          <w:rFonts w:cs="Arial"/>
          <w:lang w:val="en-CA"/>
        </w:rPr>
        <w:t>s</w:t>
      </w:r>
      <w:r w:rsidR="00F54EAD" w:rsidRPr="00C32B26">
        <w:rPr>
          <w:rFonts w:cs="Arial"/>
          <w:lang w:val="en-CA"/>
        </w:rPr>
        <w:t xml:space="preserve"> to provide</w:t>
      </w:r>
      <w:r w:rsidRPr="00C32B26">
        <w:rPr>
          <w:rFonts w:cs="Arial"/>
          <w:lang w:val="en-CA"/>
        </w:rPr>
        <w:t xml:space="preserve"> rather </w:t>
      </w:r>
      <w:r w:rsidR="002E6A90" w:rsidRPr="00C32B26">
        <w:rPr>
          <w:rFonts w:cs="Arial"/>
          <w:lang w:val="en-CA"/>
        </w:rPr>
        <w:t>specific evidence</w:t>
      </w:r>
      <w:r w:rsidR="00F54EAD" w:rsidRPr="00C32B26">
        <w:rPr>
          <w:rFonts w:cs="Arial"/>
          <w:lang w:val="en-CA"/>
        </w:rPr>
        <w:t xml:space="preserve"> </w:t>
      </w:r>
      <w:r w:rsidR="00176A21" w:rsidRPr="00C32B26">
        <w:rPr>
          <w:rFonts w:cs="Arial"/>
          <w:lang w:val="en-CA"/>
        </w:rPr>
        <w:t xml:space="preserve">in their applications </w:t>
      </w:r>
      <w:r w:rsidR="00F54EAD" w:rsidRPr="00C32B26">
        <w:rPr>
          <w:rFonts w:cs="Arial"/>
          <w:lang w:val="en-CA"/>
        </w:rPr>
        <w:t>that irreparable harm exists or is likely to occur</w:t>
      </w:r>
      <w:r w:rsidR="002E6A90" w:rsidRPr="00C32B26">
        <w:rPr>
          <w:rFonts w:cs="Arial"/>
          <w:lang w:val="en-CA"/>
        </w:rPr>
        <w:t>.</w:t>
      </w:r>
      <w:r w:rsidR="00E7435F" w:rsidRPr="00C32B26">
        <w:rPr>
          <w:rStyle w:val="Appelnotedebasdep"/>
          <w:rFonts w:cs="Arial"/>
          <w:lang w:val="en-CA"/>
        </w:rPr>
        <w:footnoteReference w:id="26"/>
      </w:r>
    </w:p>
    <w:p w14:paraId="67410511" w14:textId="4FC57D62" w:rsidR="001841BC" w:rsidRPr="00C32B26" w:rsidRDefault="002D32AE" w:rsidP="00C03D48">
      <w:pPr>
        <w:pStyle w:val="Paragrdouble"/>
        <w:tabs>
          <w:tab w:val="clear" w:pos="3053"/>
          <w:tab w:val="num" w:pos="567"/>
        </w:tabs>
        <w:spacing w:line="240" w:lineRule="auto"/>
        <w:ind w:left="0"/>
        <w:rPr>
          <w:rFonts w:cs="Arial"/>
          <w:lang w:val="en-CA"/>
        </w:rPr>
      </w:pPr>
      <w:r w:rsidRPr="00C32B26">
        <w:rPr>
          <w:rFonts w:cs="Arial"/>
          <w:lang w:val="en-CA"/>
        </w:rPr>
        <w:t>However,</w:t>
      </w:r>
      <w:r w:rsidR="00771576" w:rsidRPr="00C32B26">
        <w:rPr>
          <w:rFonts w:cs="Arial"/>
          <w:lang w:val="en-CA"/>
        </w:rPr>
        <w:t xml:space="preserve"> it is</w:t>
      </w:r>
      <w:r w:rsidR="002E6A90" w:rsidRPr="00C32B26">
        <w:rPr>
          <w:rFonts w:cs="Arial"/>
          <w:lang w:val="en-CA"/>
        </w:rPr>
        <w:t xml:space="preserve"> at the balance of inconvenience stage that </w:t>
      </w:r>
      <w:r w:rsidR="005B2DBD" w:rsidRPr="00C32B26">
        <w:rPr>
          <w:rFonts w:cs="Arial"/>
          <w:lang w:val="en-CA"/>
        </w:rPr>
        <w:t>an adverse</w:t>
      </w:r>
      <w:r w:rsidR="002E6A90" w:rsidRPr="00C32B26">
        <w:rPr>
          <w:rFonts w:cs="Arial"/>
          <w:lang w:val="en-CA"/>
        </w:rPr>
        <w:t xml:space="preserve"> impact on the public interest must be shown.</w:t>
      </w:r>
      <w:r w:rsidR="001841BC" w:rsidRPr="00C32B26">
        <w:rPr>
          <w:rFonts w:cs="Arial"/>
          <w:vertAlign w:val="superscript"/>
          <w:lang w:val="en-CA"/>
        </w:rPr>
        <w:footnoteReference w:id="27"/>
      </w:r>
      <w:r w:rsidR="001841BC" w:rsidRPr="00C32B26">
        <w:rPr>
          <w:rFonts w:cs="Arial"/>
          <w:lang w:val="en-CA"/>
        </w:rPr>
        <w:t xml:space="preserve"> </w:t>
      </w:r>
      <w:r w:rsidR="00771576" w:rsidRPr="00C32B26">
        <w:rPr>
          <w:rFonts w:cs="Arial"/>
          <w:lang w:val="en-CA"/>
        </w:rPr>
        <w:t xml:space="preserve">The criterion </w:t>
      </w:r>
      <w:r w:rsidR="009A60AE" w:rsidRPr="00C32B26">
        <w:rPr>
          <w:rFonts w:cs="Arial"/>
          <w:lang w:val="en-CA"/>
        </w:rPr>
        <w:t xml:space="preserve">we are considering here </w:t>
      </w:r>
      <w:r w:rsidR="004D3E35" w:rsidRPr="00C32B26">
        <w:rPr>
          <w:rFonts w:cs="Arial"/>
          <w:lang w:val="en-CA"/>
        </w:rPr>
        <w:t xml:space="preserve">requires the applicants to prove irreparable harm </w:t>
      </w:r>
      <w:r w:rsidR="004A760B" w:rsidRPr="00C32B26">
        <w:rPr>
          <w:rFonts w:cs="Arial"/>
          <w:lang w:val="en-CA"/>
        </w:rPr>
        <w:t>to their own interests</w:t>
      </w:r>
      <w:r w:rsidR="00850628" w:rsidRPr="00C32B26">
        <w:rPr>
          <w:rFonts w:cs="Arial"/>
          <w:lang w:val="en-CA"/>
        </w:rPr>
        <w:t>,</w:t>
      </w:r>
      <w:r w:rsidR="004A760B" w:rsidRPr="00C32B26">
        <w:rPr>
          <w:rFonts w:cs="Arial"/>
          <w:lang w:val="en-CA"/>
        </w:rPr>
        <w:t xml:space="preserve"> and</w:t>
      </w:r>
      <w:r w:rsidR="00A07440" w:rsidRPr="00C32B26">
        <w:rPr>
          <w:rFonts w:cs="Arial"/>
          <w:lang w:val="en-CA"/>
        </w:rPr>
        <w:t>,</w:t>
      </w:r>
      <w:r w:rsidR="004D3E35" w:rsidRPr="00C32B26">
        <w:rPr>
          <w:rFonts w:cs="Arial"/>
          <w:lang w:val="en-CA"/>
        </w:rPr>
        <w:t xml:space="preserve"> </w:t>
      </w:r>
      <w:r w:rsidR="0034785A" w:rsidRPr="00C32B26">
        <w:rPr>
          <w:rFonts w:cs="Arial"/>
          <w:lang w:val="en-CA"/>
        </w:rPr>
        <w:t>having regard to</w:t>
      </w:r>
      <w:r w:rsidR="004D3E35" w:rsidRPr="00C32B26">
        <w:rPr>
          <w:rFonts w:cs="Arial"/>
          <w:lang w:val="en-CA"/>
        </w:rPr>
        <w:t xml:space="preserve"> the nature of the rights involved in the application</w:t>
      </w:r>
      <w:r w:rsidR="0033110A" w:rsidRPr="00C32B26">
        <w:rPr>
          <w:rFonts w:cs="Arial"/>
          <w:lang w:val="en-CA"/>
        </w:rPr>
        <w:t>,</w:t>
      </w:r>
      <w:r w:rsidR="004D3E35" w:rsidRPr="00C32B26">
        <w:rPr>
          <w:rFonts w:cs="Arial"/>
          <w:lang w:val="en-CA"/>
        </w:rPr>
        <w:t xml:space="preserve"> they are entitled to use evidence of harm suffered by third parties who are not </w:t>
      </w:r>
      <w:r w:rsidR="00055421" w:rsidRPr="00C32B26">
        <w:rPr>
          <w:rFonts w:cs="Arial"/>
          <w:lang w:val="en-CA"/>
        </w:rPr>
        <w:t>participants in the</w:t>
      </w:r>
      <w:r w:rsidR="004D3E35" w:rsidRPr="00C32B26">
        <w:rPr>
          <w:rFonts w:cs="Arial"/>
          <w:lang w:val="en-CA"/>
        </w:rPr>
        <w:t xml:space="preserve"> proceedings.</w:t>
      </w:r>
      <w:r w:rsidR="001841BC" w:rsidRPr="00C32B26">
        <w:rPr>
          <w:rFonts w:cs="Arial"/>
          <w:vertAlign w:val="superscript"/>
          <w:lang w:val="en-CA"/>
        </w:rPr>
        <w:footnoteReference w:id="28"/>
      </w:r>
    </w:p>
    <w:p w14:paraId="2B5F0B83" w14:textId="0FDD4D57" w:rsidR="001841BC" w:rsidRPr="00C32B26" w:rsidRDefault="00E17357" w:rsidP="00E17357">
      <w:pPr>
        <w:pStyle w:val="Titre2"/>
        <w:ind w:left="567"/>
        <w:rPr>
          <w:rFonts w:cs="Arial"/>
          <w:lang w:val="en-CA"/>
        </w:rPr>
      </w:pPr>
      <w:r w:rsidRPr="00C32B26">
        <w:rPr>
          <w:rFonts w:cs="Arial"/>
          <w:u w:val="none"/>
          <w:lang w:val="en-CA"/>
        </w:rPr>
        <w:t>2.2</w:t>
      </w:r>
      <w:r w:rsidRPr="00C32B26">
        <w:rPr>
          <w:rFonts w:cs="Arial"/>
          <w:u w:val="none"/>
          <w:lang w:val="en-CA"/>
        </w:rPr>
        <w:tab/>
      </w:r>
      <w:r w:rsidR="001841BC" w:rsidRPr="00C32B26">
        <w:rPr>
          <w:rFonts w:cs="Arial"/>
          <w:lang w:val="en-CA"/>
        </w:rPr>
        <w:t xml:space="preserve">Application </w:t>
      </w:r>
      <w:r w:rsidR="001E74C7" w:rsidRPr="00C32B26">
        <w:rPr>
          <w:rFonts w:cs="Arial"/>
          <w:lang w:val="en-CA"/>
        </w:rPr>
        <w:t>to the case at bar</w:t>
      </w:r>
    </w:p>
    <w:p w14:paraId="36B2DF7F" w14:textId="03D3E943" w:rsidR="001841BC" w:rsidRPr="00C32B26" w:rsidRDefault="005D25AF" w:rsidP="00C03D48">
      <w:pPr>
        <w:pStyle w:val="Paragrdouble"/>
        <w:tabs>
          <w:tab w:val="clear" w:pos="3053"/>
          <w:tab w:val="num" w:pos="567"/>
        </w:tabs>
        <w:spacing w:line="240" w:lineRule="auto"/>
        <w:ind w:left="0"/>
        <w:rPr>
          <w:rFonts w:cs="Arial"/>
          <w:lang w:val="en-CA"/>
        </w:rPr>
      </w:pPr>
      <w:r w:rsidRPr="00C32B26">
        <w:rPr>
          <w:rFonts w:cs="Arial"/>
          <w:lang w:val="en-CA"/>
        </w:rPr>
        <w:t>The applicants claim that</w:t>
      </w:r>
      <w:r w:rsidR="001A33B9" w:rsidRPr="00C32B26">
        <w:rPr>
          <w:rFonts w:cs="Arial"/>
          <w:lang w:val="en-CA"/>
        </w:rPr>
        <w:t xml:space="preserve"> </w:t>
      </w:r>
      <w:r w:rsidR="0003302B" w:rsidRPr="00C32B26">
        <w:rPr>
          <w:rFonts w:cs="Arial"/>
          <w:lang w:val="en-CA"/>
        </w:rPr>
        <w:t xml:space="preserve">the </w:t>
      </w:r>
      <w:r w:rsidR="001A33B9" w:rsidRPr="00C32B26">
        <w:rPr>
          <w:rFonts w:cs="Arial"/>
          <w:lang w:val="en-CA"/>
        </w:rPr>
        <w:t xml:space="preserve">enforcement of </w:t>
      </w:r>
      <w:r w:rsidRPr="00C32B26">
        <w:rPr>
          <w:rFonts w:cs="Arial"/>
          <w:lang w:val="en-CA"/>
        </w:rPr>
        <w:t xml:space="preserve">the contested provisions </w:t>
      </w:r>
      <w:r w:rsidR="001A33B9" w:rsidRPr="00C32B26">
        <w:rPr>
          <w:rFonts w:cs="Arial"/>
          <w:lang w:val="en-CA"/>
        </w:rPr>
        <w:t>would affect access to the</w:t>
      </w:r>
      <w:r w:rsidRPr="00C32B26">
        <w:rPr>
          <w:rFonts w:cs="Arial"/>
          <w:lang w:val="en-CA"/>
        </w:rPr>
        <w:t xml:space="preserve"> courts by legal persons</w:t>
      </w:r>
      <w:r w:rsidR="006B5768" w:rsidRPr="00C32B26">
        <w:rPr>
          <w:rFonts w:cs="Arial"/>
          <w:lang w:val="en-CA"/>
        </w:rPr>
        <w:t>. They submit that this</w:t>
      </w:r>
      <w:r w:rsidRPr="00C32B26">
        <w:rPr>
          <w:rFonts w:cs="Arial"/>
          <w:lang w:val="en-CA"/>
        </w:rPr>
        <w:t xml:space="preserve"> would constitute irreparable harm, notably because of</w:t>
      </w:r>
      <w:r w:rsidR="001841BC" w:rsidRPr="00C32B26">
        <w:rPr>
          <w:rFonts w:cs="Arial"/>
          <w:lang w:val="en-CA"/>
        </w:rPr>
        <w:t xml:space="preserve"> (a) </w:t>
      </w:r>
      <w:r w:rsidRPr="00C32B26">
        <w:rPr>
          <w:rFonts w:cs="Arial"/>
          <w:lang w:val="en-CA"/>
        </w:rPr>
        <w:t xml:space="preserve">the financial burden of translation costs; </w:t>
      </w:r>
      <w:r w:rsidR="001841BC" w:rsidRPr="00C32B26">
        <w:rPr>
          <w:rFonts w:cs="Arial"/>
          <w:lang w:val="en-CA"/>
        </w:rPr>
        <w:t xml:space="preserve">(b) </w:t>
      </w:r>
      <w:r w:rsidRPr="00C32B26">
        <w:rPr>
          <w:rFonts w:cs="Arial"/>
          <w:lang w:val="en-CA"/>
        </w:rPr>
        <w:t xml:space="preserve">the added delay in urgent proceedings; </w:t>
      </w:r>
      <w:r w:rsidR="001841BC" w:rsidRPr="00C32B26">
        <w:rPr>
          <w:rFonts w:cs="Arial"/>
          <w:lang w:val="en-CA"/>
        </w:rPr>
        <w:t xml:space="preserve">(c) </w:t>
      </w:r>
      <w:r w:rsidRPr="00C32B26">
        <w:rPr>
          <w:rFonts w:cs="Arial"/>
          <w:lang w:val="en-CA"/>
        </w:rPr>
        <w:t>the lack of resources in the form of certified translators in some regions; and</w:t>
      </w:r>
      <w:r w:rsidR="001841BC" w:rsidRPr="00C32B26">
        <w:rPr>
          <w:rFonts w:cs="Arial"/>
          <w:lang w:val="en-CA"/>
        </w:rPr>
        <w:t xml:space="preserve"> (d) </w:t>
      </w:r>
      <w:r w:rsidRPr="00C32B26">
        <w:rPr>
          <w:rFonts w:cs="Arial"/>
          <w:lang w:val="en-CA"/>
        </w:rPr>
        <w:t xml:space="preserve">the disproportionate costs that would be incurred </w:t>
      </w:r>
      <w:r w:rsidR="0091199F" w:rsidRPr="00C32B26">
        <w:rPr>
          <w:rFonts w:cs="Arial"/>
          <w:lang w:val="en-CA"/>
        </w:rPr>
        <w:t>in comparison with</w:t>
      </w:r>
      <w:r w:rsidRPr="00C32B26">
        <w:rPr>
          <w:rFonts w:cs="Arial"/>
          <w:lang w:val="en-CA"/>
        </w:rPr>
        <w:t xml:space="preserve"> the value of </w:t>
      </w:r>
      <w:r w:rsidR="006B5768" w:rsidRPr="00C32B26">
        <w:rPr>
          <w:rFonts w:cs="Arial"/>
          <w:lang w:val="en-CA"/>
        </w:rPr>
        <w:t xml:space="preserve">the </w:t>
      </w:r>
      <w:r w:rsidR="00A402B2" w:rsidRPr="00C32B26">
        <w:rPr>
          <w:rFonts w:cs="Arial"/>
          <w:lang w:val="en-CA"/>
        </w:rPr>
        <w:t>relief</w:t>
      </w:r>
      <w:r w:rsidRPr="00C32B26">
        <w:rPr>
          <w:rFonts w:cs="Arial"/>
          <w:lang w:val="en-CA"/>
        </w:rPr>
        <w:t xml:space="preserve"> </w:t>
      </w:r>
      <w:r w:rsidR="006B5768" w:rsidRPr="00C32B26">
        <w:rPr>
          <w:rFonts w:cs="Arial"/>
          <w:lang w:val="en-CA"/>
        </w:rPr>
        <w:t>sought in the</w:t>
      </w:r>
      <w:r w:rsidRPr="00C32B26">
        <w:rPr>
          <w:rFonts w:cs="Arial"/>
          <w:lang w:val="en-CA"/>
        </w:rPr>
        <w:t xml:space="preserve"> proceedings</w:t>
      </w:r>
      <w:r w:rsidR="001841BC" w:rsidRPr="00C32B26">
        <w:rPr>
          <w:rFonts w:cs="Arial"/>
          <w:lang w:val="en-CA"/>
        </w:rPr>
        <w:t>.</w:t>
      </w:r>
    </w:p>
    <w:p w14:paraId="0734D877" w14:textId="0A059776" w:rsidR="001841BC" w:rsidRPr="00C32B26" w:rsidRDefault="0003197C" w:rsidP="00C03D48">
      <w:pPr>
        <w:pStyle w:val="Paragrdouble"/>
        <w:tabs>
          <w:tab w:val="clear" w:pos="3053"/>
          <w:tab w:val="num" w:pos="567"/>
        </w:tabs>
        <w:spacing w:line="240" w:lineRule="auto"/>
        <w:ind w:left="0"/>
        <w:rPr>
          <w:rFonts w:cs="Arial"/>
          <w:lang w:val="en-CA"/>
        </w:rPr>
      </w:pPr>
      <w:r w:rsidRPr="00C32B26">
        <w:rPr>
          <w:rFonts w:cs="Arial"/>
          <w:lang w:val="en-CA"/>
        </w:rPr>
        <w:t>The evidence in support</w:t>
      </w:r>
      <w:r w:rsidR="00C56ADB" w:rsidRPr="00C32B26">
        <w:rPr>
          <w:rFonts w:cs="Arial"/>
          <w:lang w:val="en-CA"/>
        </w:rPr>
        <w:t xml:space="preserve"> of the foregoing is set out in the </w:t>
      </w:r>
      <w:r w:rsidR="008305BA" w:rsidRPr="00C32B26">
        <w:rPr>
          <w:rFonts w:cs="Arial"/>
          <w:lang w:val="en-CA"/>
        </w:rPr>
        <w:t>sworn statement</w:t>
      </w:r>
      <w:r w:rsidR="00C56ADB" w:rsidRPr="00C32B26">
        <w:rPr>
          <w:rFonts w:cs="Arial"/>
          <w:lang w:val="en-CA"/>
        </w:rPr>
        <w:t>s of  applicants</w:t>
      </w:r>
      <w:r w:rsidRPr="00C32B26">
        <w:rPr>
          <w:rFonts w:cs="Arial"/>
          <w:lang w:val="en-CA"/>
        </w:rPr>
        <w:t xml:space="preserve"> </w:t>
      </w:r>
      <w:r w:rsidR="001841BC" w:rsidRPr="00C32B26">
        <w:rPr>
          <w:rFonts w:cs="Arial"/>
          <w:lang w:val="en-CA"/>
        </w:rPr>
        <w:t xml:space="preserve">Doug Mitchell </w:t>
      </w:r>
      <w:r w:rsidR="00C56ADB" w:rsidRPr="00C32B26">
        <w:rPr>
          <w:rFonts w:cs="Arial"/>
          <w:lang w:val="en-CA"/>
        </w:rPr>
        <w:t>and</w:t>
      </w:r>
      <w:r w:rsidR="001841BC" w:rsidRPr="00C32B26">
        <w:rPr>
          <w:rFonts w:cs="Arial"/>
          <w:lang w:val="en-CA"/>
        </w:rPr>
        <w:t xml:space="preserve"> Michael Shortt, </w:t>
      </w:r>
      <w:r w:rsidR="00C56ADB" w:rsidRPr="00C32B26">
        <w:rPr>
          <w:rFonts w:cs="Arial"/>
          <w:lang w:val="en-CA"/>
        </w:rPr>
        <w:t xml:space="preserve">who are lawyers, and of </w:t>
      </w:r>
      <w:r w:rsidR="001841BC" w:rsidRPr="00C32B26">
        <w:rPr>
          <w:rFonts w:cs="Arial"/>
          <w:lang w:val="en-CA"/>
        </w:rPr>
        <w:t xml:space="preserve">Tonya Perron, </w:t>
      </w:r>
      <w:r w:rsidR="002E5E91" w:rsidRPr="00C32B26">
        <w:rPr>
          <w:rFonts w:cs="Arial"/>
          <w:lang w:val="en-CA"/>
        </w:rPr>
        <w:t>a C</w:t>
      </w:r>
      <w:r w:rsidR="00C56ADB" w:rsidRPr="00C32B26">
        <w:rPr>
          <w:rFonts w:cs="Arial"/>
          <w:lang w:val="en-CA"/>
        </w:rPr>
        <w:t>hief o</w:t>
      </w:r>
      <w:r w:rsidR="002E5E91" w:rsidRPr="00C32B26">
        <w:rPr>
          <w:rFonts w:cs="Arial"/>
          <w:lang w:val="en-CA"/>
        </w:rPr>
        <w:t>n</w:t>
      </w:r>
      <w:r w:rsidR="00C56ADB" w:rsidRPr="00C32B26">
        <w:rPr>
          <w:rFonts w:cs="Arial"/>
          <w:lang w:val="en-CA"/>
        </w:rPr>
        <w:t xml:space="preserve"> the </w:t>
      </w:r>
      <w:r w:rsidR="00E7435F" w:rsidRPr="00C32B26">
        <w:rPr>
          <w:rFonts w:cs="Arial"/>
          <w:lang w:val="en-CA"/>
        </w:rPr>
        <w:t xml:space="preserve">Mohawk Council of </w:t>
      </w:r>
      <w:r w:rsidR="00C03D48" w:rsidRPr="00C32B26">
        <w:rPr>
          <w:rFonts w:cs="Arial"/>
          <w:lang w:val="en-CA"/>
        </w:rPr>
        <w:t>K</w:t>
      </w:r>
      <w:r w:rsidR="00381D12" w:rsidRPr="00C32B26">
        <w:rPr>
          <w:rFonts w:cs="Arial"/>
          <w:lang w:val="en-CA"/>
        </w:rPr>
        <w:t>ahn</w:t>
      </w:r>
      <w:r w:rsidR="00C03D48" w:rsidRPr="00C32B26">
        <w:rPr>
          <w:rFonts w:cs="Arial"/>
          <w:lang w:val="en-CA"/>
        </w:rPr>
        <w:t>awà</w:t>
      </w:r>
      <w:r w:rsidR="00C56ADB" w:rsidRPr="00C32B26">
        <w:rPr>
          <w:rFonts w:cs="Arial"/>
          <w:lang w:val="en-CA"/>
        </w:rPr>
        <w:t>:</w:t>
      </w:r>
      <w:r w:rsidR="00E7435F" w:rsidRPr="00C32B26">
        <w:rPr>
          <w:rFonts w:cs="Arial"/>
          <w:lang w:val="en-CA"/>
        </w:rPr>
        <w:t>ke</w:t>
      </w:r>
      <w:r w:rsidR="00C56ADB" w:rsidRPr="00C32B26">
        <w:rPr>
          <w:rFonts w:cs="Arial"/>
          <w:lang w:val="en-CA"/>
        </w:rPr>
        <w:t xml:space="preserve"> (</w:t>
      </w:r>
      <w:r w:rsidR="00E31017" w:rsidRPr="00C32B26">
        <w:rPr>
          <w:rFonts w:cs="Arial"/>
          <w:lang w:val="en-CA"/>
        </w:rPr>
        <w:t xml:space="preserve">“the </w:t>
      </w:r>
      <w:r w:rsidR="00C56ADB" w:rsidRPr="00C32B26">
        <w:rPr>
          <w:rFonts w:cs="Arial"/>
          <w:lang w:val="en-CA"/>
        </w:rPr>
        <w:t>MCK</w:t>
      </w:r>
      <w:r w:rsidR="00E31017" w:rsidRPr="00C32B26">
        <w:rPr>
          <w:rFonts w:cs="Arial"/>
          <w:lang w:val="en-CA"/>
        </w:rPr>
        <w:t>”</w:t>
      </w:r>
      <w:r w:rsidR="00C56ADB" w:rsidRPr="00C32B26">
        <w:rPr>
          <w:rFonts w:cs="Arial"/>
          <w:lang w:val="en-CA"/>
        </w:rPr>
        <w:t>)</w:t>
      </w:r>
      <w:r w:rsidR="00E7435F" w:rsidRPr="00C32B26">
        <w:rPr>
          <w:rFonts w:cs="Arial"/>
          <w:lang w:val="en-CA"/>
        </w:rPr>
        <w:t>.</w:t>
      </w:r>
      <w:r w:rsidR="00C56ADB" w:rsidRPr="00C32B26">
        <w:rPr>
          <w:rFonts w:cs="Arial"/>
          <w:lang w:val="en-CA"/>
        </w:rPr>
        <w:t xml:space="preserve"> According to those </w:t>
      </w:r>
      <w:r w:rsidR="00794C84" w:rsidRPr="00C32B26">
        <w:rPr>
          <w:rFonts w:cs="Arial"/>
          <w:lang w:val="en-CA"/>
        </w:rPr>
        <w:t>statements</w:t>
      </w:r>
      <w:r w:rsidR="00E7435F" w:rsidRPr="00C32B26">
        <w:rPr>
          <w:rFonts w:cs="Arial"/>
          <w:lang w:val="en-CA"/>
        </w:rPr>
        <w:t>:</w:t>
      </w:r>
    </w:p>
    <w:p w14:paraId="63B527FC" w14:textId="56589DEA" w:rsidR="001841BC" w:rsidRPr="00C32B26" w:rsidRDefault="007D32A9" w:rsidP="008C7DE9">
      <w:pPr>
        <w:pStyle w:val="Paragrdouble"/>
        <w:numPr>
          <w:ilvl w:val="0"/>
          <w:numId w:val="5"/>
        </w:numPr>
        <w:spacing w:before="0" w:after="0" w:line="240" w:lineRule="auto"/>
        <w:rPr>
          <w:rFonts w:cs="Arial"/>
          <w:lang w:val="en-CA"/>
        </w:rPr>
      </w:pPr>
      <w:r w:rsidRPr="00C32B26">
        <w:rPr>
          <w:rFonts w:cs="Arial"/>
          <w:lang w:val="en-CA"/>
        </w:rPr>
        <w:t>The Quebec court system generally operates in both official languages.</w:t>
      </w:r>
      <w:r w:rsidR="001841BC" w:rsidRPr="00C32B26">
        <w:rPr>
          <w:rFonts w:cs="Arial"/>
          <w:vertAlign w:val="superscript"/>
          <w:lang w:val="en-CA"/>
        </w:rPr>
        <w:footnoteReference w:id="29"/>
      </w:r>
    </w:p>
    <w:p w14:paraId="37CBDE44" w14:textId="319B66E7" w:rsidR="001841BC" w:rsidRPr="00C32B26" w:rsidRDefault="007D32A9" w:rsidP="008C7DE9">
      <w:pPr>
        <w:pStyle w:val="Paragrdouble"/>
        <w:numPr>
          <w:ilvl w:val="0"/>
          <w:numId w:val="5"/>
        </w:numPr>
        <w:spacing w:before="0" w:after="0" w:line="240" w:lineRule="auto"/>
        <w:rPr>
          <w:rFonts w:cs="Arial"/>
          <w:lang w:val="en-CA"/>
        </w:rPr>
      </w:pPr>
      <w:r w:rsidRPr="00C32B26">
        <w:rPr>
          <w:rFonts w:cs="Arial"/>
          <w:lang w:val="en-CA"/>
        </w:rPr>
        <w:lastRenderedPageBreak/>
        <w:t>Certain lawyers prefer to address the courts in English for various reasons,</w:t>
      </w:r>
      <w:r w:rsidR="001841BC" w:rsidRPr="00C32B26">
        <w:rPr>
          <w:rFonts w:cs="Arial"/>
          <w:vertAlign w:val="superscript"/>
          <w:lang w:val="en-CA"/>
        </w:rPr>
        <w:footnoteReference w:id="30"/>
      </w:r>
      <w:r w:rsidRPr="00C32B26">
        <w:rPr>
          <w:rFonts w:cs="Arial"/>
          <w:lang w:val="en-CA"/>
        </w:rPr>
        <w:t xml:space="preserve"> </w:t>
      </w:r>
      <w:r w:rsidR="00AB2417" w:rsidRPr="00C32B26">
        <w:rPr>
          <w:rFonts w:cs="Arial"/>
          <w:lang w:val="en-CA"/>
        </w:rPr>
        <w:t>notably</w:t>
      </w:r>
      <w:r w:rsidRPr="00C32B26">
        <w:rPr>
          <w:rFonts w:cs="Arial"/>
          <w:lang w:val="en-CA"/>
        </w:rPr>
        <w:t xml:space="preserve"> when English is their first language or their client’s first language.</w:t>
      </w:r>
      <w:r w:rsidR="001841BC" w:rsidRPr="00C32B26">
        <w:rPr>
          <w:rFonts w:cs="Arial"/>
          <w:vertAlign w:val="superscript"/>
          <w:lang w:val="en-CA"/>
        </w:rPr>
        <w:footnoteReference w:id="31"/>
      </w:r>
      <w:r w:rsidR="001841BC" w:rsidRPr="00C32B26">
        <w:rPr>
          <w:rFonts w:cs="Arial"/>
          <w:lang w:val="en-CA"/>
        </w:rPr>
        <w:t xml:space="preserve"> </w:t>
      </w:r>
    </w:p>
    <w:p w14:paraId="231AA9E0" w14:textId="79BE55C7" w:rsidR="001841BC" w:rsidRPr="00C32B26" w:rsidRDefault="007D32A9" w:rsidP="008C7DE9">
      <w:pPr>
        <w:pStyle w:val="Paragrdouble"/>
        <w:numPr>
          <w:ilvl w:val="0"/>
          <w:numId w:val="5"/>
        </w:numPr>
        <w:spacing w:before="0" w:after="0" w:line="240" w:lineRule="auto"/>
        <w:rPr>
          <w:rFonts w:cs="Arial"/>
          <w:lang w:val="en-CA"/>
        </w:rPr>
      </w:pPr>
      <w:r w:rsidRPr="00C32B26">
        <w:rPr>
          <w:rFonts w:cs="Arial"/>
          <w:lang w:val="en-CA"/>
        </w:rPr>
        <w:t>Drawing up pleadings in English can facilitate the client’s participation in the process</w:t>
      </w:r>
      <w:r w:rsidR="001841BC" w:rsidRPr="00C32B26">
        <w:rPr>
          <w:rFonts w:cs="Arial"/>
          <w:vertAlign w:val="superscript"/>
          <w:lang w:val="en-CA"/>
        </w:rPr>
        <w:footnoteReference w:id="32"/>
      </w:r>
      <w:r w:rsidR="001841BC" w:rsidRPr="00C32B26">
        <w:rPr>
          <w:rFonts w:cs="Arial"/>
          <w:lang w:val="en-CA"/>
        </w:rPr>
        <w:t xml:space="preserve"> o</w:t>
      </w:r>
      <w:r w:rsidRPr="00C32B26">
        <w:rPr>
          <w:rFonts w:cs="Arial"/>
          <w:lang w:val="en-CA"/>
        </w:rPr>
        <w:t>r</w:t>
      </w:r>
      <w:r w:rsidR="001841BC" w:rsidRPr="00C32B26">
        <w:rPr>
          <w:rFonts w:cs="Arial"/>
          <w:lang w:val="en-CA"/>
        </w:rPr>
        <w:t xml:space="preserve"> </w:t>
      </w:r>
      <w:r w:rsidRPr="00C32B26">
        <w:rPr>
          <w:rFonts w:cs="Arial"/>
          <w:lang w:val="en-CA"/>
        </w:rPr>
        <w:t>improve the quality and efficiency of the lawyer’s work</w:t>
      </w:r>
      <w:r w:rsidR="00F20BFF" w:rsidRPr="00C32B26">
        <w:rPr>
          <w:rFonts w:cs="Arial"/>
          <w:lang w:val="en-CA"/>
        </w:rPr>
        <w:t>.</w:t>
      </w:r>
      <w:r w:rsidR="001841BC" w:rsidRPr="00C32B26">
        <w:rPr>
          <w:rFonts w:cs="Arial"/>
          <w:vertAlign w:val="superscript"/>
          <w:lang w:val="en-CA"/>
        </w:rPr>
        <w:footnoteReference w:id="33"/>
      </w:r>
    </w:p>
    <w:p w14:paraId="50F3C1AD" w14:textId="0D475620" w:rsidR="001841BC" w:rsidRPr="00C32B26" w:rsidRDefault="00AB2417" w:rsidP="008C7DE9">
      <w:pPr>
        <w:pStyle w:val="Paragrdouble"/>
        <w:numPr>
          <w:ilvl w:val="0"/>
          <w:numId w:val="5"/>
        </w:numPr>
        <w:spacing w:before="0" w:after="0" w:line="240" w:lineRule="auto"/>
        <w:rPr>
          <w:rFonts w:cs="Arial"/>
          <w:lang w:val="en-CA"/>
        </w:rPr>
      </w:pPr>
      <w:r w:rsidRPr="00C32B26">
        <w:rPr>
          <w:rFonts w:cs="Arial"/>
          <w:lang w:val="en-CA"/>
        </w:rPr>
        <w:t>The</w:t>
      </w:r>
      <w:r w:rsidR="00AF0675" w:rsidRPr="00C32B26">
        <w:rPr>
          <w:rFonts w:cs="Arial"/>
          <w:lang w:val="en-CA"/>
        </w:rPr>
        <w:t xml:space="preserve"> MCK</w:t>
      </w:r>
      <w:r w:rsidRPr="00C32B26">
        <w:rPr>
          <w:rFonts w:cs="Arial"/>
          <w:lang w:val="en-CA"/>
        </w:rPr>
        <w:t xml:space="preserve"> brings together members of the </w:t>
      </w:r>
      <w:r w:rsidR="001841BC" w:rsidRPr="00C32B26">
        <w:rPr>
          <w:rFonts w:cs="Arial"/>
          <w:lang w:val="en-CA"/>
        </w:rPr>
        <w:t>Kahnawà:ke</w:t>
      </w:r>
      <w:r w:rsidRPr="00C32B26">
        <w:rPr>
          <w:rFonts w:cs="Arial"/>
          <w:lang w:val="en-CA"/>
        </w:rPr>
        <w:t xml:space="preserve"> community</w:t>
      </w:r>
      <w:r w:rsidR="001841BC" w:rsidRPr="00C32B26">
        <w:rPr>
          <w:rFonts w:cs="Arial"/>
          <w:lang w:val="en-CA"/>
        </w:rPr>
        <w:t>,</w:t>
      </w:r>
      <w:r w:rsidR="00AF0675" w:rsidRPr="00C32B26">
        <w:rPr>
          <w:rFonts w:cs="Arial"/>
          <w:lang w:val="en-CA"/>
        </w:rPr>
        <w:t xml:space="preserve"> </w:t>
      </w:r>
      <w:r w:rsidRPr="00C32B26">
        <w:rPr>
          <w:rFonts w:cs="Arial"/>
          <w:lang w:val="en-CA"/>
        </w:rPr>
        <w:t xml:space="preserve">where English is </w:t>
      </w:r>
      <w:r w:rsidR="00440F79" w:rsidRPr="00C32B26">
        <w:rPr>
          <w:rFonts w:cs="Arial"/>
          <w:lang w:val="en-CA"/>
        </w:rPr>
        <w:t xml:space="preserve">the </w:t>
      </w:r>
      <w:r w:rsidRPr="00C32B26">
        <w:rPr>
          <w:rFonts w:cs="Arial"/>
          <w:lang w:val="en-CA"/>
        </w:rPr>
        <w:t>language</w:t>
      </w:r>
      <w:r w:rsidR="00440F79" w:rsidRPr="00C32B26">
        <w:rPr>
          <w:rFonts w:cs="Arial"/>
          <w:lang w:val="en-CA"/>
        </w:rPr>
        <w:t xml:space="preserve"> ordinarily used</w:t>
      </w:r>
      <w:r w:rsidRPr="00C32B26">
        <w:rPr>
          <w:rFonts w:cs="Arial"/>
          <w:lang w:val="en-CA"/>
        </w:rPr>
        <w:t>.</w:t>
      </w:r>
      <w:r w:rsidR="001841BC" w:rsidRPr="00C32B26">
        <w:rPr>
          <w:rStyle w:val="Appelnotedebasdep"/>
          <w:rFonts w:cs="Arial"/>
          <w:lang w:val="en-CA"/>
        </w:rPr>
        <w:footnoteReference w:id="34"/>
      </w:r>
    </w:p>
    <w:p w14:paraId="3259F8BE" w14:textId="2BBD0E8C" w:rsidR="001841BC" w:rsidRPr="00C32B26" w:rsidRDefault="00AB2417" w:rsidP="008C7DE9">
      <w:pPr>
        <w:pStyle w:val="Paragrdouble"/>
        <w:numPr>
          <w:ilvl w:val="0"/>
          <w:numId w:val="5"/>
        </w:numPr>
        <w:spacing w:before="0" w:after="0" w:line="240" w:lineRule="auto"/>
        <w:rPr>
          <w:rFonts w:cs="Arial"/>
          <w:lang w:val="en-CA"/>
        </w:rPr>
      </w:pPr>
      <w:r w:rsidRPr="00C32B26">
        <w:rPr>
          <w:rFonts w:cs="Arial"/>
          <w:lang w:val="en-CA"/>
        </w:rPr>
        <w:t>According to data from the</w:t>
      </w:r>
      <w:r w:rsidR="001841BC" w:rsidRPr="00C32B26">
        <w:rPr>
          <w:rFonts w:cs="Arial"/>
          <w:lang w:val="en-CA"/>
        </w:rPr>
        <w:t xml:space="preserve"> Registraire des entreprises du Québec </w:t>
      </w:r>
      <w:r w:rsidR="004435B2" w:rsidRPr="00C32B26">
        <w:rPr>
          <w:rFonts w:cs="Arial"/>
          <w:lang w:val="en-CA"/>
        </w:rPr>
        <w:t xml:space="preserve">as </w:t>
      </w:r>
      <w:r w:rsidR="001D5345" w:rsidRPr="00C32B26">
        <w:rPr>
          <w:rFonts w:cs="Arial"/>
          <w:lang w:val="en-CA"/>
        </w:rPr>
        <w:t>at</w:t>
      </w:r>
      <w:r w:rsidRPr="00C32B26">
        <w:rPr>
          <w:rFonts w:cs="Arial"/>
          <w:lang w:val="en-CA"/>
        </w:rPr>
        <w:t xml:space="preserve"> April</w:t>
      </w:r>
      <w:r w:rsidR="00F20BFF" w:rsidRPr="00C32B26">
        <w:rPr>
          <w:rFonts w:cs="Arial"/>
          <w:lang w:val="en-CA"/>
        </w:rPr>
        <w:t> </w:t>
      </w:r>
      <w:r w:rsidRPr="00C32B26">
        <w:rPr>
          <w:rFonts w:cs="Arial"/>
          <w:lang w:val="en-CA"/>
        </w:rPr>
        <w:t>1,</w:t>
      </w:r>
      <w:r w:rsidR="00F20BFF" w:rsidRPr="00C32B26">
        <w:rPr>
          <w:rFonts w:cs="Arial"/>
          <w:lang w:val="en-CA"/>
        </w:rPr>
        <w:t> </w:t>
      </w:r>
      <w:r w:rsidRPr="00C32B26">
        <w:rPr>
          <w:rFonts w:cs="Arial"/>
          <w:lang w:val="en-CA"/>
        </w:rPr>
        <w:t>2022</w:t>
      </w:r>
      <w:r w:rsidR="001841BC" w:rsidRPr="00C32B26">
        <w:rPr>
          <w:rFonts w:cs="Arial"/>
          <w:lang w:val="en-CA"/>
        </w:rPr>
        <w:t>:</w:t>
      </w:r>
    </w:p>
    <w:p w14:paraId="048ED117" w14:textId="73291C70" w:rsidR="001841BC" w:rsidRPr="00C32B26" w:rsidRDefault="00E7435F" w:rsidP="007F1A1D">
      <w:pPr>
        <w:pStyle w:val="Puces"/>
        <w:numPr>
          <w:ilvl w:val="0"/>
          <w:numId w:val="0"/>
        </w:numPr>
        <w:spacing w:after="0" w:line="240" w:lineRule="auto"/>
        <w:ind w:left="1134"/>
        <w:rPr>
          <w:rFonts w:ascii="Arial" w:hAnsi="Arial" w:cs="Arial"/>
          <w:lang w:val="en-CA"/>
        </w:rPr>
      </w:pPr>
      <w:r w:rsidRPr="00C32B26">
        <w:rPr>
          <w:rFonts w:ascii="Arial" w:hAnsi="Arial" w:cs="Arial"/>
          <w:lang w:val="en-CA"/>
        </w:rPr>
        <w:t>14%</w:t>
      </w:r>
      <w:r w:rsidR="001841BC" w:rsidRPr="00C32B26">
        <w:rPr>
          <w:rFonts w:ascii="Arial" w:hAnsi="Arial" w:cs="Arial"/>
          <w:lang w:val="en-CA"/>
        </w:rPr>
        <w:t xml:space="preserve"> </w:t>
      </w:r>
      <w:r w:rsidR="00AB2417" w:rsidRPr="00C32B26">
        <w:rPr>
          <w:rFonts w:ascii="Arial" w:hAnsi="Arial" w:cs="Arial"/>
          <w:lang w:val="en-CA"/>
        </w:rPr>
        <w:t>of legal persons</w:t>
      </w:r>
      <w:r w:rsidR="007246CF" w:rsidRPr="00C32B26">
        <w:rPr>
          <w:rFonts w:ascii="Arial" w:hAnsi="Arial" w:cs="Arial"/>
          <w:lang w:val="en-CA"/>
        </w:rPr>
        <w:t xml:space="preserve"> registered in the province </w:t>
      </w:r>
      <w:r w:rsidR="00F20BFF" w:rsidRPr="00C32B26">
        <w:rPr>
          <w:rFonts w:ascii="Arial" w:hAnsi="Arial" w:cs="Arial"/>
          <w:lang w:val="en-CA"/>
        </w:rPr>
        <w:t>are non-profits</w:t>
      </w:r>
      <w:r w:rsidR="00867E1A" w:rsidRPr="00C32B26">
        <w:rPr>
          <w:rFonts w:ascii="Arial" w:hAnsi="Arial" w:cs="Arial"/>
          <w:lang w:val="en-CA"/>
        </w:rPr>
        <w:t>.</w:t>
      </w:r>
      <w:r w:rsidR="001841BC" w:rsidRPr="00C32B26">
        <w:rPr>
          <w:rStyle w:val="Appelnotedebasdep"/>
          <w:rFonts w:ascii="Arial" w:hAnsi="Arial" w:cs="Arial"/>
          <w:lang w:val="en-CA"/>
        </w:rPr>
        <w:footnoteReference w:id="35"/>
      </w:r>
      <w:r w:rsidR="001841BC" w:rsidRPr="00C32B26">
        <w:rPr>
          <w:rFonts w:ascii="Arial" w:hAnsi="Arial" w:cs="Arial"/>
          <w:lang w:val="en-CA"/>
        </w:rPr>
        <w:t xml:space="preserve"> </w:t>
      </w:r>
    </w:p>
    <w:p w14:paraId="75F80AE3" w14:textId="73DBDC28" w:rsidR="001841BC" w:rsidRPr="00C32B26" w:rsidRDefault="005D24DF" w:rsidP="007F1A1D">
      <w:pPr>
        <w:pStyle w:val="Texte"/>
        <w:spacing w:after="0" w:line="240" w:lineRule="auto"/>
        <w:ind w:left="1134"/>
        <w:rPr>
          <w:rFonts w:ascii="Arial" w:hAnsi="Arial" w:cs="Arial"/>
          <w:lang w:val="en-CA"/>
        </w:rPr>
      </w:pPr>
      <w:r w:rsidRPr="00C32B26">
        <w:rPr>
          <w:rFonts w:ascii="Arial" w:hAnsi="Arial" w:cs="Arial"/>
          <w:lang w:val="en-CA"/>
        </w:rPr>
        <w:t>Most</w:t>
      </w:r>
      <w:r w:rsidR="00E81A2C" w:rsidRPr="00C32B26">
        <w:rPr>
          <w:rFonts w:ascii="Arial" w:hAnsi="Arial" w:cs="Arial"/>
          <w:lang w:val="en-CA"/>
        </w:rPr>
        <w:t xml:space="preserve"> registered legal persons are small entities </w:t>
      </w:r>
      <w:r w:rsidR="001841BC" w:rsidRPr="00C32B26">
        <w:rPr>
          <w:rFonts w:ascii="Arial" w:hAnsi="Arial" w:cs="Arial"/>
          <w:lang w:val="en-CA"/>
        </w:rPr>
        <w:t>(</w:t>
      </w:r>
      <w:r w:rsidR="00E81A2C" w:rsidRPr="00C32B26">
        <w:rPr>
          <w:rFonts w:ascii="Arial" w:hAnsi="Arial" w:cs="Arial"/>
          <w:lang w:val="en-CA"/>
        </w:rPr>
        <w:t>entities with 10 or fewer employees</w:t>
      </w:r>
      <w:r w:rsidR="001841BC" w:rsidRPr="00C32B26">
        <w:rPr>
          <w:rFonts w:ascii="Arial" w:hAnsi="Arial" w:cs="Arial"/>
          <w:lang w:val="en-CA"/>
        </w:rPr>
        <w:t>)</w:t>
      </w:r>
      <w:r w:rsidR="00E81A2C" w:rsidRPr="00C32B26">
        <w:rPr>
          <w:rFonts w:ascii="Arial" w:hAnsi="Arial" w:cs="Arial"/>
          <w:lang w:val="en-CA"/>
        </w:rPr>
        <w:t>.</w:t>
      </w:r>
      <w:r w:rsidR="001841BC" w:rsidRPr="00C32B26">
        <w:rPr>
          <w:rStyle w:val="Appelnotedebasdep"/>
          <w:rFonts w:ascii="Arial" w:hAnsi="Arial" w:cs="Arial"/>
          <w:lang w:val="en-CA"/>
        </w:rPr>
        <w:footnoteReference w:id="36"/>
      </w:r>
    </w:p>
    <w:p w14:paraId="5D57AA82" w14:textId="456C0E20" w:rsidR="004F610C" w:rsidRPr="00C32B26" w:rsidRDefault="00867E1A" w:rsidP="008C7DE9">
      <w:pPr>
        <w:pStyle w:val="Paragrdouble"/>
        <w:numPr>
          <w:ilvl w:val="0"/>
          <w:numId w:val="5"/>
        </w:numPr>
        <w:spacing w:before="0" w:after="0" w:line="240" w:lineRule="auto"/>
        <w:rPr>
          <w:rFonts w:cs="Arial"/>
          <w:lang w:val="en-CA"/>
        </w:rPr>
      </w:pPr>
      <w:r w:rsidRPr="00C32B26">
        <w:rPr>
          <w:rFonts w:cs="Arial"/>
          <w:lang w:val="en-CA"/>
        </w:rPr>
        <w:t>The use of translators engenders additional costs</w:t>
      </w:r>
      <w:r w:rsidR="004F610C" w:rsidRPr="00C32B26">
        <w:rPr>
          <w:rStyle w:val="Appelnotedebasdep"/>
          <w:rFonts w:cs="Arial"/>
          <w:lang w:val="en-CA"/>
        </w:rPr>
        <w:footnoteReference w:id="37"/>
      </w:r>
      <w:r w:rsidR="004F610C" w:rsidRPr="00C32B26">
        <w:rPr>
          <w:rFonts w:cs="Arial"/>
          <w:lang w:val="en-CA"/>
        </w:rPr>
        <w:t xml:space="preserve"> </w:t>
      </w:r>
      <w:r w:rsidRPr="00C32B26">
        <w:rPr>
          <w:rFonts w:cs="Arial"/>
          <w:lang w:val="en-CA"/>
        </w:rPr>
        <w:t>that could be excessive for certain businesses of modest means.</w:t>
      </w:r>
      <w:r w:rsidR="004F610C" w:rsidRPr="00C32B26">
        <w:rPr>
          <w:rStyle w:val="Appelnotedebasdep"/>
          <w:rFonts w:cs="Arial"/>
          <w:lang w:val="en-CA"/>
        </w:rPr>
        <w:footnoteReference w:id="38"/>
      </w:r>
    </w:p>
    <w:p w14:paraId="073532CB" w14:textId="10BAF582" w:rsidR="004F610C" w:rsidRPr="00C32B26" w:rsidRDefault="00867E1A" w:rsidP="008C7DE9">
      <w:pPr>
        <w:pStyle w:val="Paragrdouble"/>
        <w:numPr>
          <w:ilvl w:val="0"/>
          <w:numId w:val="5"/>
        </w:numPr>
        <w:spacing w:before="0" w:after="0" w:line="240" w:lineRule="auto"/>
        <w:rPr>
          <w:rFonts w:cs="Arial"/>
          <w:lang w:val="en-CA"/>
        </w:rPr>
      </w:pPr>
      <w:r w:rsidRPr="00C32B26">
        <w:rPr>
          <w:rFonts w:cs="Arial"/>
          <w:lang w:val="en-CA"/>
        </w:rPr>
        <w:t>English-language legal persons are often involved in expedited or urgent proceedings</w:t>
      </w:r>
      <w:r w:rsidR="004F610C" w:rsidRPr="00C32B26">
        <w:rPr>
          <w:rFonts w:cs="Arial"/>
          <w:lang w:val="en-CA"/>
        </w:rPr>
        <w:t xml:space="preserve"> (inj</w:t>
      </w:r>
      <w:r w:rsidR="00A83B5D" w:rsidRPr="00C32B26">
        <w:rPr>
          <w:rFonts w:cs="Arial"/>
          <w:lang w:val="en-CA"/>
        </w:rPr>
        <w:t>unct</w:t>
      </w:r>
      <w:r w:rsidR="004F610C" w:rsidRPr="00C32B26">
        <w:rPr>
          <w:rFonts w:cs="Arial"/>
          <w:lang w:val="en-CA"/>
        </w:rPr>
        <w:t xml:space="preserve">ions, </w:t>
      </w:r>
      <w:r w:rsidR="00A83B5D" w:rsidRPr="00C32B26">
        <w:rPr>
          <w:rFonts w:cs="Arial"/>
          <w:lang w:val="en-CA"/>
        </w:rPr>
        <w:t>applications for judicial review</w:t>
      </w:r>
      <w:r w:rsidR="004F610C" w:rsidRPr="00C32B26">
        <w:rPr>
          <w:rFonts w:cs="Arial"/>
          <w:lang w:val="en-CA"/>
        </w:rPr>
        <w:t xml:space="preserve">, </w:t>
      </w:r>
      <w:r w:rsidR="00A83B5D" w:rsidRPr="00C32B26">
        <w:rPr>
          <w:rFonts w:cs="Arial"/>
          <w:lang w:val="en-CA"/>
        </w:rPr>
        <w:t>seizures before</w:t>
      </w:r>
      <w:r w:rsidR="004F610C" w:rsidRPr="00C32B26">
        <w:rPr>
          <w:rFonts w:cs="Arial"/>
          <w:lang w:val="en-CA"/>
        </w:rPr>
        <w:t xml:space="preserve"> ju</w:t>
      </w:r>
      <w:r w:rsidR="00A83B5D" w:rsidRPr="00C32B26">
        <w:rPr>
          <w:rFonts w:cs="Arial"/>
          <w:lang w:val="en-CA"/>
        </w:rPr>
        <w:t>d</w:t>
      </w:r>
      <w:r w:rsidR="004F610C" w:rsidRPr="00C32B26">
        <w:rPr>
          <w:rFonts w:cs="Arial"/>
          <w:lang w:val="en-CA"/>
        </w:rPr>
        <w:t xml:space="preserve">gment, </w:t>
      </w:r>
      <w:r w:rsidR="00A83B5D" w:rsidRPr="00C32B26">
        <w:rPr>
          <w:rFonts w:cs="Arial"/>
          <w:lang w:val="en-CA"/>
        </w:rPr>
        <w:t>claims regarding rights</w:t>
      </w:r>
      <w:r w:rsidR="004F610C" w:rsidRPr="00C32B26">
        <w:rPr>
          <w:rFonts w:cs="Arial"/>
          <w:lang w:val="en-CA"/>
        </w:rPr>
        <w:t xml:space="preserve"> </w:t>
      </w:r>
      <w:r w:rsidR="00A83B5D" w:rsidRPr="00C32B26">
        <w:rPr>
          <w:rFonts w:cs="Arial"/>
          <w:lang w:val="en-CA"/>
        </w:rPr>
        <w:t>soon to be prescribed</w:t>
      </w:r>
      <w:r w:rsidR="004F610C" w:rsidRPr="00C32B26">
        <w:rPr>
          <w:rFonts w:cs="Arial"/>
          <w:lang w:val="en-CA"/>
        </w:rPr>
        <w:t>, etc.)</w:t>
      </w:r>
      <w:r w:rsidR="00E31017" w:rsidRPr="00C32B26">
        <w:rPr>
          <w:rFonts w:cs="Arial"/>
          <w:lang w:val="en-CA"/>
        </w:rPr>
        <w:t>.</w:t>
      </w:r>
      <w:r w:rsidR="004F610C" w:rsidRPr="00C32B26">
        <w:rPr>
          <w:rStyle w:val="Appelnotedebasdep"/>
          <w:rFonts w:cs="Arial"/>
          <w:lang w:val="en-CA"/>
        </w:rPr>
        <w:footnoteReference w:id="39"/>
      </w:r>
      <w:r w:rsidR="004F610C" w:rsidRPr="00C32B26">
        <w:rPr>
          <w:rFonts w:cs="Arial"/>
          <w:lang w:val="en-CA"/>
        </w:rPr>
        <w:t xml:space="preserve"> </w:t>
      </w:r>
    </w:p>
    <w:p w14:paraId="1EEA4900" w14:textId="3E40D9A4" w:rsidR="004F610C" w:rsidRPr="00C32B26" w:rsidRDefault="00E31017" w:rsidP="008C7DE9">
      <w:pPr>
        <w:pStyle w:val="Paragrdouble"/>
        <w:numPr>
          <w:ilvl w:val="0"/>
          <w:numId w:val="5"/>
        </w:numPr>
        <w:spacing w:before="0" w:after="0" w:line="240" w:lineRule="auto"/>
        <w:rPr>
          <w:rFonts w:cs="Arial"/>
          <w:lang w:val="en-CA"/>
        </w:rPr>
      </w:pPr>
      <w:r w:rsidRPr="00C32B26">
        <w:rPr>
          <w:rFonts w:cs="Arial"/>
          <w:lang w:val="en-CA"/>
        </w:rPr>
        <w:t>This is specifically the case for</w:t>
      </w:r>
      <w:r w:rsidR="004C74A3" w:rsidRPr="00C32B26">
        <w:rPr>
          <w:rFonts w:cs="Arial"/>
          <w:lang w:val="en-CA"/>
        </w:rPr>
        <w:t xml:space="preserve"> the</w:t>
      </w:r>
      <w:r w:rsidR="004F610C" w:rsidRPr="00C32B26">
        <w:rPr>
          <w:rFonts w:cs="Arial"/>
          <w:lang w:val="en-CA"/>
        </w:rPr>
        <w:t xml:space="preserve"> MCK </w:t>
      </w:r>
      <w:r w:rsidR="004C74A3" w:rsidRPr="00C32B26">
        <w:rPr>
          <w:rFonts w:cs="Arial"/>
          <w:lang w:val="en-CA"/>
        </w:rPr>
        <w:t xml:space="preserve">and other legal persons </w:t>
      </w:r>
      <w:r w:rsidR="005C183E" w:rsidRPr="00C32B26">
        <w:rPr>
          <w:rFonts w:cs="Arial"/>
          <w:lang w:val="en-CA"/>
        </w:rPr>
        <w:t>connected to</w:t>
      </w:r>
      <w:r w:rsidR="004C74A3" w:rsidRPr="00C32B26">
        <w:rPr>
          <w:rFonts w:cs="Arial"/>
          <w:lang w:val="en-CA"/>
        </w:rPr>
        <w:t xml:space="preserve"> the </w:t>
      </w:r>
      <w:r w:rsidR="004F610C" w:rsidRPr="00C32B26">
        <w:rPr>
          <w:rFonts w:cs="Arial"/>
          <w:lang w:val="en-CA"/>
        </w:rPr>
        <w:t>Kahnawà:ke</w:t>
      </w:r>
      <w:r w:rsidR="004C74A3" w:rsidRPr="00C32B26">
        <w:rPr>
          <w:rFonts w:cs="Arial"/>
          <w:lang w:val="en-CA"/>
        </w:rPr>
        <w:t xml:space="preserve"> community.</w:t>
      </w:r>
      <w:r w:rsidR="004F610C" w:rsidRPr="00C32B26">
        <w:rPr>
          <w:rStyle w:val="Appelnotedebasdep"/>
          <w:rFonts w:cs="Arial"/>
          <w:lang w:val="en-CA"/>
        </w:rPr>
        <w:footnoteReference w:id="40"/>
      </w:r>
    </w:p>
    <w:p w14:paraId="1CFF41C5" w14:textId="25ABCFB1" w:rsidR="004F610C" w:rsidRPr="00C32B26" w:rsidRDefault="004C74A3" w:rsidP="008C7DE9">
      <w:pPr>
        <w:pStyle w:val="Paragrdouble"/>
        <w:numPr>
          <w:ilvl w:val="0"/>
          <w:numId w:val="5"/>
        </w:numPr>
        <w:spacing w:before="0" w:after="0" w:line="240" w:lineRule="auto"/>
        <w:rPr>
          <w:rFonts w:cs="Arial"/>
          <w:lang w:val="en-CA"/>
        </w:rPr>
      </w:pPr>
      <w:r w:rsidRPr="00C32B26">
        <w:rPr>
          <w:rFonts w:cs="Arial"/>
          <w:lang w:val="en-CA"/>
        </w:rPr>
        <w:t xml:space="preserve">In some of those matters, the tight timelines would make it impossible to translate a pleading </w:t>
      </w:r>
      <w:r w:rsidR="0021169E" w:rsidRPr="00C32B26">
        <w:rPr>
          <w:rFonts w:cs="Arial"/>
          <w:lang w:val="en-CA"/>
        </w:rPr>
        <w:t>quickly enough t</w:t>
      </w:r>
      <w:r w:rsidR="00734588" w:rsidRPr="00C32B26">
        <w:rPr>
          <w:rFonts w:cs="Arial"/>
          <w:lang w:val="en-CA"/>
        </w:rPr>
        <w:t>o</w:t>
      </w:r>
      <w:r w:rsidR="0021169E" w:rsidRPr="00C32B26">
        <w:rPr>
          <w:rFonts w:cs="Arial"/>
          <w:lang w:val="en-CA"/>
        </w:rPr>
        <w:t xml:space="preserve"> be </w:t>
      </w:r>
      <w:r w:rsidR="009F4DEC" w:rsidRPr="00C32B26">
        <w:rPr>
          <w:rFonts w:cs="Arial"/>
          <w:lang w:val="en-CA"/>
        </w:rPr>
        <w:t>of use</w:t>
      </w:r>
      <w:r w:rsidRPr="00C32B26">
        <w:rPr>
          <w:rFonts w:cs="Arial"/>
          <w:lang w:val="en-CA"/>
        </w:rPr>
        <w:t>.</w:t>
      </w:r>
      <w:r w:rsidR="004F610C" w:rsidRPr="00C32B26">
        <w:rPr>
          <w:rStyle w:val="Appelnotedebasdep"/>
          <w:rFonts w:cs="Arial"/>
          <w:lang w:val="en-CA"/>
        </w:rPr>
        <w:footnoteReference w:id="41"/>
      </w:r>
    </w:p>
    <w:p w14:paraId="078AE1F6" w14:textId="58F4EA3F" w:rsidR="004F610C" w:rsidRPr="00C32B26" w:rsidRDefault="00DC4D77" w:rsidP="008C7DE9">
      <w:pPr>
        <w:pStyle w:val="Paragrdouble"/>
        <w:numPr>
          <w:ilvl w:val="0"/>
          <w:numId w:val="5"/>
        </w:numPr>
        <w:spacing w:line="240" w:lineRule="auto"/>
        <w:rPr>
          <w:rFonts w:cs="Arial"/>
          <w:lang w:val="en-CA"/>
        </w:rPr>
      </w:pPr>
      <w:r w:rsidRPr="00C32B26">
        <w:rPr>
          <w:rFonts w:cs="Arial"/>
          <w:lang w:val="en-CA"/>
        </w:rPr>
        <w:t xml:space="preserve">According to estimates </w:t>
      </w:r>
      <w:r w:rsidR="008913C2" w:rsidRPr="00C32B26">
        <w:rPr>
          <w:rFonts w:cs="Arial"/>
          <w:lang w:val="en-CA"/>
        </w:rPr>
        <w:t>given by</w:t>
      </w:r>
      <w:r w:rsidRPr="00C32B26">
        <w:rPr>
          <w:rFonts w:cs="Arial"/>
          <w:lang w:val="en-CA"/>
        </w:rPr>
        <w:t xml:space="preserve"> certain legal translators</w:t>
      </w:r>
      <w:r w:rsidR="004F610C" w:rsidRPr="00C32B26">
        <w:rPr>
          <w:rFonts w:cs="Arial"/>
          <w:lang w:val="en-CA"/>
        </w:rPr>
        <w:t xml:space="preserve">, </w:t>
      </w:r>
      <w:r w:rsidRPr="00C32B26">
        <w:rPr>
          <w:rFonts w:cs="Arial"/>
          <w:lang w:val="en-CA"/>
        </w:rPr>
        <w:t>the turnaround time</w:t>
      </w:r>
      <w:r w:rsidR="00C0396C" w:rsidRPr="00C32B26">
        <w:rPr>
          <w:rFonts w:cs="Arial"/>
          <w:lang w:val="en-CA"/>
        </w:rPr>
        <w:t>s</w:t>
      </w:r>
      <w:r w:rsidRPr="00C32B26">
        <w:rPr>
          <w:rFonts w:cs="Arial"/>
          <w:lang w:val="en-CA"/>
        </w:rPr>
        <w:t xml:space="preserve"> for translation can </w:t>
      </w:r>
      <w:r w:rsidR="003623F7" w:rsidRPr="00C32B26">
        <w:rPr>
          <w:rFonts w:cs="Arial"/>
          <w:lang w:val="en-CA"/>
        </w:rPr>
        <w:t>range as high as</w:t>
      </w:r>
    </w:p>
    <w:p w14:paraId="760B411A" w14:textId="15CAFC88" w:rsidR="004F610C" w:rsidRPr="00C32B26" w:rsidRDefault="00DC4D77" w:rsidP="008C7DE9">
      <w:pPr>
        <w:pStyle w:val="Puces"/>
        <w:numPr>
          <w:ilvl w:val="0"/>
          <w:numId w:val="5"/>
        </w:numPr>
        <w:spacing w:after="0" w:line="240" w:lineRule="auto"/>
        <w:ind w:left="993" w:firstLine="141"/>
        <w:rPr>
          <w:rFonts w:ascii="Arial" w:hAnsi="Arial" w:cs="Arial"/>
          <w:lang w:val="en-CA"/>
        </w:rPr>
      </w:pPr>
      <w:r w:rsidRPr="00C32B26">
        <w:rPr>
          <w:rFonts w:ascii="Arial" w:hAnsi="Arial" w:cs="Arial"/>
          <w:lang w:val="en-CA"/>
        </w:rPr>
        <w:t>2 to 5</w:t>
      </w:r>
      <w:r w:rsidR="004F610C" w:rsidRPr="00C32B26">
        <w:rPr>
          <w:rFonts w:ascii="Arial" w:hAnsi="Arial" w:cs="Arial"/>
          <w:lang w:val="en-CA"/>
        </w:rPr>
        <w:t xml:space="preserve"> </w:t>
      </w:r>
      <w:r w:rsidRPr="00C32B26">
        <w:rPr>
          <w:rFonts w:ascii="Arial" w:hAnsi="Arial" w:cs="Arial"/>
          <w:lang w:val="en-CA"/>
        </w:rPr>
        <w:t xml:space="preserve">business days for a six-page </w:t>
      </w:r>
      <w:r w:rsidR="00406789" w:rsidRPr="00C32B26">
        <w:rPr>
          <w:rFonts w:ascii="Arial" w:hAnsi="Arial" w:cs="Arial"/>
          <w:lang w:val="en-CA"/>
        </w:rPr>
        <w:t xml:space="preserve">originating </w:t>
      </w:r>
      <w:r w:rsidRPr="00C32B26">
        <w:rPr>
          <w:rFonts w:ascii="Arial" w:hAnsi="Arial" w:cs="Arial"/>
          <w:lang w:val="en-CA"/>
        </w:rPr>
        <w:t>application in a contractual matter</w:t>
      </w:r>
      <w:r w:rsidR="002456E0" w:rsidRPr="00C32B26">
        <w:rPr>
          <w:rFonts w:ascii="Arial" w:hAnsi="Arial" w:cs="Arial"/>
          <w:lang w:val="en-CA"/>
        </w:rPr>
        <w:t>;</w:t>
      </w:r>
    </w:p>
    <w:p w14:paraId="28CD7F21" w14:textId="0BEF4C2C" w:rsidR="004F610C" w:rsidRPr="00C32B26" w:rsidRDefault="00DC4D77" w:rsidP="008C7DE9">
      <w:pPr>
        <w:pStyle w:val="Puces"/>
        <w:numPr>
          <w:ilvl w:val="0"/>
          <w:numId w:val="5"/>
        </w:numPr>
        <w:spacing w:after="0" w:line="240" w:lineRule="auto"/>
        <w:ind w:left="993" w:firstLine="141"/>
        <w:rPr>
          <w:rFonts w:ascii="Arial" w:hAnsi="Arial" w:cs="Arial"/>
          <w:lang w:val="en-CA"/>
        </w:rPr>
      </w:pPr>
      <w:r w:rsidRPr="00C32B26">
        <w:rPr>
          <w:rFonts w:ascii="Arial" w:hAnsi="Arial" w:cs="Arial"/>
          <w:lang w:val="en-CA"/>
        </w:rPr>
        <w:t>4 to 6</w:t>
      </w:r>
      <w:r w:rsidR="004F610C" w:rsidRPr="00C32B26">
        <w:rPr>
          <w:rFonts w:ascii="Arial" w:hAnsi="Arial" w:cs="Arial"/>
          <w:lang w:val="en-CA"/>
        </w:rPr>
        <w:t xml:space="preserve"> </w:t>
      </w:r>
      <w:r w:rsidRPr="00C32B26">
        <w:rPr>
          <w:rFonts w:ascii="Arial" w:hAnsi="Arial" w:cs="Arial"/>
          <w:lang w:val="en-CA"/>
        </w:rPr>
        <w:t>business days for a</w:t>
      </w:r>
      <w:r w:rsidR="00406789" w:rsidRPr="00C32B26">
        <w:rPr>
          <w:rFonts w:ascii="Arial" w:hAnsi="Arial" w:cs="Arial"/>
          <w:lang w:val="en-CA"/>
        </w:rPr>
        <w:t>n 11-page application for case management</w:t>
      </w:r>
      <w:r w:rsidR="004F610C" w:rsidRPr="00C32B26">
        <w:rPr>
          <w:rFonts w:ascii="Arial" w:hAnsi="Arial" w:cs="Arial"/>
          <w:lang w:val="en-CA"/>
        </w:rPr>
        <w:t xml:space="preserve"> </w:t>
      </w:r>
      <w:r w:rsidR="00406789" w:rsidRPr="00C32B26">
        <w:rPr>
          <w:rFonts w:ascii="Arial" w:hAnsi="Arial" w:cs="Arial"/>
          <w:lang w:val="en-CA"/>
        </w:rPr>
        <w:t>measures in a highly contested civil case</w:t>
      </w:r>
      <w:r w:rsidR="002456E0" w:rsidRPr="00C32B26">
        <w:rPr>
          <w:rFonts w:ascii="Arial" w:hAnsi="Arial" w:cs="Arial"/>
          <w:lang w:val="en-CA"/>
        </w:rPr>
        <w:t>; and</w:t>
      </w:r>
    </w:p>
    <w:p w14:paraId="63028BF0" w14:textId="6AD5D58D" w:rsidR="004F610C" w:rsidRPr="00C32B26" w:rsidRDefault="00281336" w:rsidP="008C7DE9">
      <w:pPr>
        <w:pStyle w:val="Puces"/>
        <w:numPr>
          <w:ilvl w:val="0"/>
          <w:numId w:val="5"/>
        </w:numPr>
        <w:spacing w:after="0" w:line="240" w:lineRule="auto"/>
        <w:ind w:left="993" w:firstLine="141"/>
        <w:rPr>
          <w:rFonts w:ascii="Arial" w:hAnsi="Arial" w:cs="Arial"/>
          <w:lang w:val="en-CA"/>
        </w:rPr>
      </w:pPr>
      <w:r w:rsidRPr="00C32B26">
        <w:rPr>
          <w:rFonts w:ascii="Arial" w:hAnsi="Arial" w:cs="Arial"/>
          <w:lang w:val="en-CA"/>
        </w:rPr>
        <w:t>12 or 13 business days for a 44-page appellate factum pertaining to language rights.</w:t>
      </w:r>
      <w:r w:rsidR="004F610C" w:rsidRPr="00C32B26">
        <w:rPr>
          <w:rFonts w:ascii="Arial" w:hAnsi="Arial" w:cs="Arial"/>
          <w:vertAlign w:val="superscript"/>
          <w:lang w:val="en-CA"/>
        </w:rPr>
        <w:footnoteReference w:id="42"/>
      </w:r>
    </w:p>
    <w:p w14:paraId="64754E15" w14:textId="3B981708" w:rsidR="004F610C" w:rsidRPr="00C32B26" w:rsidRDefault="00C05BB4" w:rsidP="008C7DE9">
      <w:pPr>
        <w:pStyle w:val="Paragrdouble"/>
        <w:numPr>
          <w:ilvl w:val="0"/>
          <w:numId w:val="5"/>
        </w:numPr>
        <w:spacing w:after="0" w:line="240" w:lineRule="auto"/>
        <w:rPr>
          <w:rFonts w:cs="Arial"/>
          <w:lang w:val="en-CA"/>
        </w:rPr>
      </w:pPr>
      <w:r w:rsidRPr="00C32B26">
        <w:rPr>
          <w:rFonts w:cs="Arial"/>
          <w:lang w:val="en-CA"/>
        </w:rPr>
        <w:t xml:space="preserve">According to information </w:t>
      </w:r>
      <w:r w:rsidR="00D679C2" w:rsidRPr="00C32B26">
        <w:rPr>
          <w:rFonts w:cs="Arial"/>
          <w:lang w:val="en-CA"/>
        </w:rPr>
        <w:t xml:space="preserve">obtained </w:t>
      </w:r>
      <w:r w:rsidRPr="00C32B26">
        <w:rPr>
          <w:rFonts w:cs="Arial"/>
          <w:lang w:val="en-CA"/>
        </w:rPr>
        <w:t xml:space="preserve">from the directory of the </w:t>
      </w:r>
      <w:r w:rsidR="004F610C" w:rsidRPr="00C32B26">
        <w:rPr>
          <w:rFonts w:cs="Arial"/>
          <w:lang w:val="en-CA"/>
        </w:rPr>
        <w:t>Ordre des traducteurs, terminologues et interprètes agréés du Québec (</w:t>
      </w:r>
      <w:r w:rsidR="00137E00" w:rsidRPr="00C32B26">
        <w:rPr>
          <w:rFonts w:cs="Arial"/>
          <w:lang w:val="en-CA"/>
        </w:rPr>
        <w:t xml:space="preserve">OTTIAQ), </w:t>
      </w:r>
      <w:r w:rsidR="00D679C2" w:rsidRPr="00C32B26">
        <w:rPr>
          <w:rFonts w:cs="Arial"/>
          <w:lang w:val="en-CA"/>
        </w:rPr>
        <w:t>only</w:t>
      </w:r>
      <w:r w:rsidR="00137E00" w:rsidRPr="00C32B26">
        <w:rPr>
          <w:rFonts w:cs="Arial"/>
          <w:lang w:val="en-CA"/>
        </w:rPr>
        <w:t xml:space="preserve"> 412</w:t>
      </w:r>
      <w:r w:rsidR="004F610C" w:rsidRPr="00C32B26">
        <w:rPr>
          <w:rFonts w:cs="Arial"/>
          <w:lang w:val="en-CA"/>
        </w:rPr>
        <w:t xml:space="preserve"> memb</w:t>
      </w:r>
      <w:r w:rsidR="00D679C2" w:rsidRPr="00C32B26">
        <w:rPr>
          <w:rFonts w:cs="Arial"/>
          <w:lang w:val="en-CA"/>
        </w:rPr>
        <w:t xml:space="preserve">ers are </w:t>
      </w:r>
      <w:r w:rsidR="00D679C2" w:rsidRPr="00C32B26">
        <w:rPr>
          <w:rFonts w:cs="Arial"/>
          <w:lang w:val="en-CA"/>
        </w:rPr>
        <w:lastRenderedPageBreak/>
        <w:t xml:space="preserve">qualified to translate “official documents” from English to French, </w:t>
      </w:r>
      <w:r w:rsidR="004F610C" w:rsidRPr="00C32B26">
        <w:rPr>
          <w:rFonts w:cs="Arial"/>
          <w:lang w:val="en-CA"/>
        </w:rPr>
        <w:t xml:space="preserve">46 </w:t>
      </w:r>
      <w:r w:rsidR="0064421D" w:rsidRPr="00C32B26">
        <w:rPr>
          <w:rFonts w:cs="Arial"/>
          <w:lang w:val="en-CA"/>
        </w:rPr>
        <w:t xml:space="preserve">of whom </w:t>
      </w:r>
      <w:r w:rsidR="003E6E04" w:rsidRPr="00C32B26">
        <w:rPr>
          <w:rFonts w:cs="Arial"/>
          <w:lang w:val="en-CA"/>
        </w:rPr>
        <w:t>declare</w:t>
      </w:r>
      <w:r w:rsidR="004F610C" w:rsidRPr="00C32B26">
        <w:rPr>
          <w:rFonts w:cs="Arial"/>
          <w:lang w:val="en-CA"/>
        </w:rPr>
        <w:t xml:space="preserve"> </w:t>
      </w:r>
      <w:r w:rsidR="00D679C2" w:rsidRPr="00C32B26">
        <w:rPr>
          <w:rFonts w:cs="Arial"/>
          <w:lang w:val="en-CA"/>
        </w:rPr>
        <w:t>a specialization in “civil law.”</w:t>
      </w:r>
      <w:r w:rsidR="004F610C" w:rsidRPr="00C32B26">
        <w:rPr>
          <w:rStyle w:val="Appelnotedebasdep"/>
          <w:rFonts w:cs="Arial"/>
          <w:lang w:val="en-CA"/>
        </w:rPr>
        <w:footnoteReference w:id="43"/>
      </w:r>
    </w:p>
    <w:p w14:paraId="0341770A" w14:textId="6653AFAD" w:rsidR="004F610C" w:rsidRPr="00C32B26" w:rsidRDefault="00E67700" w:rsidP="008C7DE9">
      <w:pPr>
        <w:pStyle w:val="Paragrdouble"/>
        <w:numPr>
          <w:ilvl w:val="0"/>
          <w:numId w:val="5"/>
        </w:numPr>
        <w:spacing w:after="0" w:line="240" w:lineRule="auto"/>
        <w:rPr>
          <w:rFonts w:cs="Arial"/>
          <w:lang w:val="en-CA"/>
        </w:rPr>
      </w:pPr>
      <w:r w:rsidRPr="00C32B26">
        <w:rPr>
          <w:rFonts w:cs="Arial"/>
          <w:lang w:val="en-CA"/>
        </w:rPr>
        <w:t>Some</w:t>
      </w:r>
      <w:r w:rsidR="004F610C" w:rsidRPr="00C32B26">
        <w:rPr>
          <w:rFonts w:cs="Arial"/>
          <w:lang w:val="en-CA"/>
        </w:rPr>
        <w:t xml:space="preserve"> </w:t>
      </w:r>
      <w:r w:rsidR="003E6E04" w:rsidRPr="00C32B26">
        <w:rPr>
          <w:rFonts w:cs="Arial"/>
          <w:lang w:val="en-CA"/>
        </w:rPr>
        <w:t xml:space="preserve">lawyers anticipate </w:t>
      </w:r>
      <w:r w:rsidR="0039779B" w:rsidRPr="00C32B26">
        <w:rPr>
          <w:rFonts w:cs="Arial"/>
          <w:lang w:val="en-CA"/>
        </w:rPr>
        <w:t>being</w:t>
      </w:r>
      <w:r w:rsidR="004C433C" w:rsidRPr="00C32B26">
        <w:rPr>
          <w:rFonts w:cs="Arial"/>
          <w:lang w:val="en-CA"/>
        </w:rPr>
        <w:t xml:space="preserve"> </w:t>
      </w:r>
      <w:r w:rsidR="003E6E04" w:rsidRPr="00C32B26">
        <w:rPr>
          <w:rFonts w:cs="Arial"/>
          <w:lang w:val="en-CA"/>
        </w:rPr>
        <w:t>forced</w:t>
      </w:r>
      <w:r w:rsidR="0039779B" w:rsidRPr="00C32B26">
        <w:rPr>
          <w:rFonts w:cs="Arial"/>
          <w:lang w:val="en-CA"/>
        </w:rPr>
        <w:t xml:space="preserve"> in some cases</w:t>
      </w:r>
      <w:r w:rsidR="003E6E04" w:rsidRPr="00C32B26">
        <w:rPr>
          <w:rFonts w:cs="Arial"/>
          <w:lang w:val="en-CA"/>
        </w:rPr>
        <w:t xml:space="preserve"> to draft their pleadings </w:t>
      </w:r>
      <w:r w:rsidR="00917DA9" w:rsidRPr="00C32B26">
        <w:rPr>
          <w:rFonts w:cs="Arial"/>
          <w:lang w:val="en-CA"/>
        </w:rPr>
        <w:t xml:space="preserve">only </w:t>
      </w:r>
      <w:r w:rsidR="003E6E04" w:rsidRPr="00C32B26">
        <w:rPr>
          <w:rFonts w:cs="Arial"/>
          <w:lang w:val="en-CA"/>
        </w:rPr>
        <w:t>in French</w:t>
      </w:r>
      <w:r w:rsidR="00917DA9" w:rsidRPr="00C32B26">
        <w:rPr>
          <w:rFonts w:cs="Arial"/>
          <w:lang w:val="en-CA"/>
        </w:rPr>
        <w:t>.</w:t>
      </w:r>
      <w:r w:rsidR="004F610C" w:rsidRPr="00C32B26">
        <w:rPr>
          <w:rStyle w:val="Appelnotedebasdep"/>
          <w:rFonts w:cs="Arial"/>
          <w:lang w:val="en-CA"/>
        </w:rPr>
        <w:footnoteReference w:id="44"/>
      </w:r>
    </w:p>
    <w:p w14:paraId="01807455" w14:textId="35AE71BB" w:rsidR="004F610C" w:rsidRPr="00C32B26" w:rsidRDefault="001376AB" w:rsidP="008C7DE9">
      <w:pPr>
        <w:pStyle w:val="Paragrdouble"/>
        <w:numPr>
          <w:ilvl w:val="0"/>
          <w:numId w:val="5"/>
        </w:numPr>
        <w:spacing w:after="0" w:line="240" w:lineRule="auto"/>
        <w:rPr>
          <w:rFonts w:cs="Arial"/>
          <w:lang w:val="en-CA"/>
        </w:rPr>
      </w:pPr>
      <w:r w:rsidRPr="00C32B26">
        <w:rPr>
          <w:rFonts w:cs="Arial"/>
          <w:lang w:val="en-CA"/>
        </w:rPr>
        <w:t>Some</w:t>
      </w:r>
      <w:r w:rsidR="003E6E04" w:rsidRPr="00C32B26">
        <w:rPr>
          <w:rFonts w:cs="Arial"/>
          <w:lang w:val="en-CA"/>
        </w:rPr>
        <w:t xml:space="preserve"> lawyers personally </w:t>
      </w:r>
      <w:r w:rsidR="00636CAB" w:rsidRPr="00C32B26">
        <w:rPr>
          <w:rFonts w:cs="Arial"/>
          <w:lang w:val="en-CA"/>
        </w:rPr>
        <w:t>anticipate</w:t>
      </w:r>
      <w:r w:rsidR="003E6E04" w:rsidRPr="00C32B26">
        <w:rPr>
          <w:rFonts w:cs="Arial"/>
          <w:lang w:val="en-CA"/>
        </w:rPr>
        <w:t xml:space="preserve"> or foresee </w:t>
      </w:r>
      <w:r w:rsidR="007F14CD" w:rsidRPr="00C32B26">
        <w:rPr>
          <w:rFonts w:cs="Arial"/>
          <w:lang w:val="en-CA"/>
        </w:rPr>
        <w:t xml:space="preserve">advising </w:t>
      </w:r>
      <w:r w:rsidR="003E6E04" w:rsidRPr="00C32B26">
        <w:rPr>
          <w:rFonts w:cs="Arial"/>
          <w:lang w:val="en-CA"/>
        </w:rPr>
        <w:t>English</w:t>
      </w:r>
      <w:r w:rsidR="009917BC" w:rsidRPr="00C32B26">
        <w:rPr>
          <w:rFonts w:cs="Arial"/>
          <w:lang w:val="en-CA"/>
        </w:rPr>
        <w:noBreakHyphen/>
      </w:r>
      <w:r w:rsidR="003E6E04" w:rsidRPr="00C32B26">
        <w:rPr>
          <w:rFonts w:cs="Arial"/>
          <w:lang w:val="en-CA"/>
        </w:rPr>
        <w:t>language legal person</w:t>
      </w:r>
      <w:r w:rsidR="007F14CD" w:rsidRPr="00C32B26">
        <w:rPr>
          <w:rFonts w:cs="Arial"/>
          <w:lang w:val="en-CA"/>
        </w:rPr>
        <w:t>s</w:t>
      </w:r>
      <w:r w:rsidR="00636CAB" w:rsidRPr="00C32B26">
        <w:rPr>
          <w:rFonts w:cs="Arial"/>
          <w:lang w:val="en-CA"/>
        </w:rPr>
        <w:t xml:space="preserve"> </w:t>
      </w:r>
      <w:r w:rsidR="009A0231" w:rsidRPr="00C32B26">
        <w:rPr>
          <w:rFonts w:cs="Arial"/>
          <w:lang w:val="en-CA"/>
        </w:rPr>
        <w:t>to</w:t>
      </w:r>
      <w:r w:rsidR="003E6E04" w:rsidRPr="00C32B26">
        <w:rPr>
          <w:rFonts w:cs="Arial"/>
          <w:lang w:val="en-CA"/>
        </w:rPr>
        <w:t xml:space="preserve"> </w:t>
      </w:r>
      <w:r w:rsidR="009917BC" w:rsidRPr="00C32B26">
        <w:rPr>
          <w:rFonts w:cs="Arial"/>
          <w:lang w:val="en-CA"/>
        </w:rPr>
        <w:t xml:space="preserve">seek relief from </w:t>
      </w:r>
      <w:r w:rsidR="003E6E04" w:rsidRPr="00C32B26">
        <w:rPr>
          <w:rFonts w:cs="Arial"/>
          <w:lang w:val="en-CA"/>
        </w:rPr>
        <w:t xml:space="preserve">courts </w:t>
      </w:r>
      <w:r w:rsidR="007656B4" w:rsidRPr="00C32B26">
        <w:rPr>
          <w:rFonts w:cs="Arial"/>
          <w:lang w:val="en-CA"/>
        </w:rPr>
        <w:t>outside</w:t>
      </w:r>
      <w:r w:rsidR="003E6E04" w:rsidRPr="00C32B26">
        <w:rPr>
          <w:rFonts w:cs="Arial"/>
          <w:lang w:val="en-CA"/>
        </w:rPr>
        <w:t xml:space="preserve"> Quebec</w:t>
      </w:r>
      <w:r w:rsidR="007656B4" w:rsidRPr="00C32B26">
        <w:rPr>
          <w:rFonts w:cs="Arial"/>
          <w:lang w:val="en-CA"/>
        </w:rPr>
        <w:t>, which</w:t>
      </w:r>
      <w:r w:rsidR="003E6E04" w:rsidRPr="00C32B26">
        <w:rPr>
          <w:rFonts w:cs="Arial"/>
          <w:lang w:val="en-CA"/>
        </w:rPr>
        <w:t xml:space="preserve"> could cause disadvantages</w:t>
      </w:r>
      <w:r w:rsidR="009A0231" w:rsidRPr="00C32B26">
        <w:rPr>
          <w:rFonts w:cs="Arial"/>
          <w:lang w:val="en-CA"/>
        </w:rPr>
        <w:t xml:space="preserve"> for those clients</w:t>
      </w:r>
      <w:r w:rsidR="003E6E04" w:rsidRPr="00C32B26">
        <w:rPr>
          <w:rFonts w:cs="Arial"/>
          <w:lang w:val="en-CA"/>
        </w:rPr>
        <w:t>.</w:t>
      </w:r>
      <w:r w:rsidR="004F610C" w:rsidRPr="00C32B26">
        <w:rPr>
          <w:rStyle w:val="Appelnotedebasdep"/>
          <w:rFonts w:cs="Arial"/>
          <w:lang w:val="en-CA"/>
        </w:rPr>
        <w:footnoteReference w:id="45"/>
      </w:r>
    </w:p>
    <w:p w14:paraId="5680D915" w14:textId="0AEF73AB" w:rsidR="004F610C" w:rsidRPr="00C32B26" w:rsidRDefault="006A1364" w:rsidP="00C03D48">
      <w:pPr>
        <w:pStyle w:val="Paragrdouble"/>
        <w:tabs>
          <w:tab w:val="clear" w:pos="3053"/>
          <w:tab w:val="num" w:pos="567"/>
        </w:tabs>
        <w:spacing w:line="240" w:lineRule="auto"/>
        <w:ind w:left="0"/>
        <w:rPr>
          <w:rFonts w:cs="Arial"/>
          <w:lang w:val="en-CA"/>
        </w:rPr>
      </w:pPr>
      <w:r w:rsidRPr="00C32B26">
        <w:rPr>
          <w:rFonts w:cs="Arial"/>
          <w:lang w:val="en-CA"/>
        </w:rPr>
        <w:t xml:space="preserve">The AGQ has submitted evidence concerning the number and availability of certified translators in Quebec. The sworn statement of OTTIAQ president </w:t>
      </w:r>
      <w:r w:rsidR="004F610C" w:rsidRPr="00C32B26">
        <w:rPr>
          <w:rFonts w:cs="Arial"/>
          <w:lang w:val="en-CA"/>
        </w:rPr>
        <w:t>Donald Barabé</w:t>
      </w:r>
      <w:r w:rsidR="00753EB5" w:rsidRPr="00C32B26">
        <w:rPr>
          <w:rFonts w:cs="Arial"/>
          <w:lang w:val="en-CA"/>
        </w:rPr>
        <w:t xml:space="preserve"> </w:t>
      </w:r>
      <w:r w:rsidRPr="00C32B26">
        <w:rPr>
          <w:rFonts w:cs="Arial"/>
          <w:lang w:val="en-CA"/>
        </w:rPr>
        <w:t>provides evidence to the following effect</w:t>
      </w:r>
      <w:r w:rsidR="004F610C" w:rsidRPr="00C32B26">
        <w:rPr>
          <w:rFonts w:cs="Arial"/>
          <w:lang w:val="en-CA"/>
        </w:rPr>
        <w:t>:</w:t>
      </w:r>
    </w:p>
    <w:p w14:paraId="19EF259A" w14:textId="014966E4" w:rsidR="004F610C" w:rsidRPr="00C32B26" w:rsidRDefault="00ED7745" w:rsidP="008C7DE9">
      <w:pPr>
        <w:pStyle w:val="Paragrdouble"/>
        <w:numPr>
          <w:ilvl w:val="0"/>
          <w:numId w:val="5"/>
        </w:numPr>
        <w:spacing w:before="0" w:after="0" w:line="240" w:lineRule="auto"/>
        <w:rPr>
          <w:rFonts w:cs="Arial"/>
          <w:lang w:val="en-CA"/>
        </w:rPr>
      </w:pPr>
      <w:r w:rsidRPr="00C32B26">
        <w:rPr>
          <w:rFonts w:cs="Arial"/>
          <w:lang w:val="en-CA"/>
        </w:rPr>
        <w:t>2</w:t>
      </w:r>
      <w:r w:rsidR="006A1364" w:rsidRPr="00C32B26">
        <w:rPr>
          <w:rFonts w:cs="Arial"/>
          <w:lang w:val="en-CA"/>
        </w:rPr>
        <w:t>,</w:t>
      </w:r>
      <w:r w:rsidR="004F610C" w:rsidRPr="00C32B26">
        <w:rPr>
          <w:rFonts w:cs="Arial"/>
          <w:lang w:val="en-CA"/>
        </w:rPr>
        <w:t xml:space="preserve">637 </w:t>
      </w:r>
      <w:r w:rsidR="006A1364" w:rsidRPr="00C32B26">
        <w:rPr>
          <w:rFonts w:cs="Arial"/>
          <w:lang w:val="en-CA"/>
        </w:rPr>
        <w:t>OTTIAQ</w:t>
      </w:r>
      <w:r w:rsidR="004F610C" w:rsidRPr="00C32B26">
        <w:rPr>
          <w:rFonts w:cs="Arial"/>
          <w:lang w:val="en-CA"/>
        </w:rPr>
        <w:t xml:space="preserve"> </w:t>
      </w:r>
      <w:r w:rsidR="006A1364" w:rsidRPr="00C32B26">
        <w:rPr>
          <w:rFonts w:cs="Arial"/>
          <w:lang w:val="en-CA"/>
        </w:rPr>
        <w:t xml:space="preserve">members are certified translators, </w:t>
      </w:r>
      <w:r w:rsidR="004F610C" w:rsidRPr="00C32B26">
        <w:rPr>
          <w:rFonts w:cs="Arial"/>
          <w:lang w:val="en-CA"/>
        </w:rPr>
        <w:t>2</w:t>
      </w:r>
      <w:r w:rsidR="006A1364" w:rsidRPr="00C32B26">
        <w:rPr>
          <w:rFonts w:cs="Arial"/>
          <w:lang w:val="en-CA"/>
        </w:rPr>
        <w:t>,</w:t>
      </w:r>
      <w:r w:rsidR="004F610C" w:rsidRPr="00C32B26">
        <w:rPr>
          <w:rFonts w:cs="Arial"/>
          <w:lang w:val="en-CA"/>
        </w:rPr>
        <w:t xml:space="preserve">115 </w:t>
      </w:r>
      <w:r w:rsidR="006A1364" w:rsidRPr="00C32B26">
        <w:rPr>
          <w:rFonts w:cs="Arial"/>
          <w:lang w:val="en-CA"/>
        </w:rPr>
        <w:t xml:space="preserve">of </w:t>
      </w:r>
      <w:r w:rsidR="00850A8A" w:rsidRPr="00C32B26">
        <w:rPr>
          <w:rFonts w:cs="Arial"/>
          <w:lang w:val="en-CA"/>
        </w:rPr>
        <w:t xml:space="preserve">whom </w:t>
      </w:r>
      <w:r w:rsidR="006A1364" w:rsidRPr="00C32B26">
        <w:rPr>
          <w:rFonts w:cs="Arial"/>
          <w:lang w:val="en-CA"/>
        </w:rPr>
        <w:t>are certified in the English</w:t>
      </w:r>
      <w:r w:rsidR="00131E7B" w:rsidRPr="00C32B26">
        <w:rPr>
          <w:rFonts w:cs="Arial"/>
          <w:lang w:val="en-CA"/>
        </w:rPr>
        <w:t xml:space="preserve"> </w:t>
      </w:r>
      <w:r w:rsidR="006A1364" w:rsidRPr="00C32B26">
        <w:rPr>
          <w:rFonts w:cs="Arial"/>
          <w:lang w:val="en-CA"/>
        </w:rPr>
        <w:t>to</w:t>
      </w:r>
      <w:r w:rsidR="00131E7B" w:rsidRPr="00C32B26">
        <w:rPr>
          <w:rFonts w:cs="Arial"/>
          <w:lang w:val="en-CA"/>
        </w:rPr>
        <w:t xml:space="preserve"> </w:t>
      </w:r>
      <w:r w:rsidR="006A1364" w:rsidRPr="00C32B26">
        <w:rPr>
          <w:rFonts w:cs="Arial"/>
          <w:lang w:val="en-CA"/>
        </w:rPr>
        <w:t>French language combination.</w:t>
      </w:r>
      <w:r w:rsidR="004F610C" w:rsidRPr="00C32B26">
        <w:rPr>
          <w:rStyle w:val="Appelnotedebasdep"/>
          <w:rFonts w:cs="Arial"/>
          <w:lang w:val="en-CA"/>
        </w:rPr>
        <w:footnoteReference w:id="46"/>
      </w:r>
    </w:p>
    <w:p w14:paraId="0682422A" w14:textId="0C0B4648" w:rsidR="004F610C" w:rsidRPr="00C32B26" w:rsidRDefault="00480EB7" w:rsidP="008C7DE9">
      <w:pPr>
        <w:pStyle w:val="Paragrdouble"/>
        <w:numPr>
          <w:ilvl w:val="0"/>
          <w:numId w:val="5"/>
        </w:numPr>
        <w:spacing w:before="0" w:after="0" w:line="240" w:lineRule="auto"/>
        <w:rPr>
          <w:rFonts w:cs="Arial"/>
          <w:lang w:val="en-CA"/>
        </w:rPr>
      </w:pPr>
      <w:r w:rsidRPr="00C32B26">
        <w:rPr>
          <w:rFonts w:cs="Arial"/>
          <w:lang w:val="en-CA"/>
        </w:rPr>
        <w:t>OTTIAQ anticipates a roughly 1% increase in translation requests submitted to its members because of the coming into force of the impugned provisions.</w:t>
      </w:r>
      <w:r w:rsidR="004F610C" w:rsidRPr="00C32B26">
        <w:rPr>
          <w:rStyle w:val="Appelnotedebasdep"/>
          <w:rFonts w:cs="Arial"/>
          <w:lang w:val="en-CA"/>
        </w:rPr>
        <w:footnoteReference w:id="47"/>
      </w:r>
    </w:p>
    <w:p w14:paraId="4E310818" w14:textId="63F35F06" w:rsidR="004F610C" w:rsidRPr="00C32B26" w:rsidRDefault="00480EB7" w:rsidP="008C7DE9">
      <w:pPr>
        <w:pStyle w:val="Paragrdouble"/>
        <w:numPr>
          <w:ilvl w:val="0"/>
          <w:numId w:val="5"/>
        </w:numPr>
        <w:spacing w:before="0" w:after="0" w:line="240" w:lineRule="auto"/>
        <w:rPr>
          <w:rFonts w:cs="Arial"/>
          <w:lang w:val="en-CA"/>
        </w:rPr>
      </w:pPr>
      <w:r w:rsidRPr="00C32B26">
        <w:rPr>
          <w:rFonts w:cs="Arial"/>
          <w:lang w:val="en-CA"/>
        </w:rPr>
        <w:t>OTTIAQ anticipates a significant increase in applications for licences to practise</w:t>
      </w:r>
      <w:r w:rsidR="004F610C" w:rsidRPr="00C32B26">
        <w:rPr>
          <w:rFonts w:cs="Arial"/>
          <w:lang w:val="en-CA"/>
        </w:rPr>
        <w:t xml:space="preserve"> </w:t>
      </w:r>
      <w:r w:rsidRPr="00C32B26">
        <w:rPr>
          <w:rFonts w:cs="Arial"/>
          <w:lang w:val="en-CA"/>
        </w:rPr>
        <w:t>the profession of certified translator.</w:t>
      </w:r>
      <w:r w:rsidR="004F610C" w:rsidRPr="00C32B26">
        <w:rPr>
          <w:rStyle w:val="Appelnotedebasdep"/>
          <w:rFonts w:cs="Arial"/>
          <w:lang w:val="en-CA"/>
        </w:rPr>
        <w:footnoteReference w:id="48"/>
      </w:r>
    </w:p>
    <w:p w14:paraId="4A105B75" w14:textId="233FB536" w:rsidR="004F610C" w:rsidRPr="00C32B26" w:rsidRDefault="00480EB7" w:rsidP="008C7DE9">
      <w:pPr>
        <w:pStyle w:val="Paragrdouble"/>
        <w:numPr>
          <w:ilvl w:val="0"/>
          <w:numId w:val="5"/>
        </w:numPr>
        <w:spacing w:before="0" w:after="0" w:line="240" w:lineRule="auto"/>
        <w:rPr>
          <w:rFonts w:cs="Arial"/>
          <w:lang w:val="en-CA"/>
        </w:rPr>
      </w:pPr>
      <w:r w:rsidRPr="00C32B26">
        <w:rPr>
          <w:rFonts w:cs="Arial"/>
          <w:lang w:val="en-CA"/>
        </w:rPr>
        <w:t>According to Statistics</w:t>
      </w:r>
      <w:r w:rsidR="004F610C" w:rsidRPr="00C32B26">
        <w:rPr>
          <w:rFonts w:cs="Arial"/>
          <w:lang w:val="en-CA"/>
        </w:rPr>
        <w:t xml:space="preserve"> Canada, </w:t>
      </w:r>
      <w:r w:rsidRPr="00C32B26">
        <w:rPr>
          <w:rFonts w:cs="Arial"/>
          <w:lang w:val="en-CA"/>
        </w:rPr>
        <w:t>there were</w:t>
      </w:r>
      <w:r w:rsidR="004F610C" w:rsidRPr="00C32B26">
        <w:rPr>
          <w:rFonts w:cs="Arial"/>
          <w:lang w:val="en-CA"/>
        </w:rPr>
        <w:t xml:space="preserve"> 8</w:t>
      </w:r>
      <w:r w:rsidRPr="00C32B26">
        <w:rPr>
          <w:rFonts w:cs="Arial"/>
          <w:lang w:val="en-CA"/>
        </w:rPr>
        <w:t>,</w:t>
      </w:r>
      <w:r w:rsidR="004F610C" w:rsidRPr="00C32B26">
        <w:rPr>
          <w:rFonts w:cs="Arial"/>
          <w:lang w:val="en-CA"/>
        </w:rPr>
        <w:t xml:space="preserve">625 </w:t>
      </w:r>
      <w:r w:rsidRPr="00C32B26">
        <w:rPr>
          <w:rFonts w:cs="Arial"/>
          <w:lang w:val="en-CA"/>
        </w:rPr>
        <w:t xml:space="preserve">certified </w:t>
      </w:r>
      <w:r w:rsidR="004375F4" w:rsidRPr="00C32B26">
        <w:rPr>
          <w:rFonts w:cs="Arial"/>
          <w:lang w:val="en-CA"/>
        </w:rPr>
        <w:t>or</w:t>
      </w:r>
      <w:r w:rsidRPr="00C32B26">
        <w:rPr>
          <w:rFonts w:cs="Arial"/>
          <w:lang w:val="en-CA"/>
        </w:rPr>
        <w:t xml:space="preserve"> non</w:t>
      </w:r>
      <w:r w:rsidRPr="00C32B26">
        <w:rPr>
          <w:rFonts w:cs="Arial"/>
          <w:lang w:val="en-CA"/>
        </w:rPr>
        <w:noBreakHyphen/>
        <w:t>certified translators, terminologists and interpreters in Quebec in 2016.</w:t>
      </w:r>
      <w:r w:rsidR="004F610C" w:rsidRPr="00C32B26">
        <w:rPr>
          <w:rStyle w:val="Appelnotedebasdep"/>
          <w:rFonts w:cs="Arial"/>
          <w:lang w:val="en-CA"/>
        </w:rPr>
        <w:footnoteReference w:id="49"/>
      </w:r>
    </w:p>
    <w:p w14:paraId="70917011" w14:textId="20A0B532" w:rsidR="004F610C" w:rsidRPr="00C32B26" w:rsidRDefault="00480EB7" w:rsidP="008C7DE9">
      <w:pPr>
        <w:pStyle w:val="Paragrdouble"/>
        <w:numPr>
          <w:ilvl w:val="0"/>
          <w:numId w:val="5"/>
        </w:numPr>
        <w:spacing w:before="0" w:after="0" w:line="240" w:lineRule="auto"/>
        <w:rPr>
          <w:rFonts w:cs="Arial"/>
          <w:lang w:val="en-CA"/>
        </w:rPr>
      </w:pPr>
      <w:r w:rsidRPr="00C32B26">
        <w:rPr>
          <w:rFonts w:cs="Arial"/>
          <w:lang w:val="en-CA"/>
        </w:rPr>
        <w:t>Generally, certified translators translate at least 1,500 words of [</w:t>
      </w:r>
      <w:r w:rsidRPr="00C32B26">
        <w:rPr>
          <w:rFonts w:cs="Arial"/>
          <w:smallCaps/>
          <w:lang w:val="en-CA"/>
        </w:rPr>
        <w:t>translation</w:t>
      </w:r>
      <w:r w:rsidRPr="00C32B26">
        <w:rPr>
          <w:rFonts w:cs="Arial"/>
          <w:lang w:val="en-CA"/>
        </w:rPr>
        <w:t>] “general”, [</w:t>
      </w:r>
      <w:r w:rsidRPr="00C32B26">
        <w:rPr>
          <w:rFonts w:cs="Arial"/>
          <w:smallCaps/>
          <w:lang w:val="en-CA"/>
        </w:rPr>
        <w:t>translation</w:t>
      </w:r>
      <w:r w:rsidRPr="00C32B26">
        <w:rPr>
          <w:rFonts w:cs="Arial"/>
          <w:lang w:val="en-CA"/>
        </w:rPr>
        <w:t>] “specialized” or [</w:t>
      </w:r>
      <w:r w:rsidRPr="00C32B26">
        <w:rPr>
          <w:rFonts w:cs="Arial"/>
          <w:smallCaps/>
          <w:lang w:val="en-CA"/>
        </w:rPr>
        <w:t>translation</w:t>
      </w:r>
      <w:r w:rsidRPr="00C32B26">
        <w:rPr>
          <w:rFonts w:cs="Arial"/>
          <w:lang w:val="en-CA"/>
        </w:rPr>
        <w:t>] “highly specialized” text per day.</w:t>
      </w:r>
      <w:r w:rsidR="004F610C" w:rsidRPr="00C32B26">
        <w:rPr>
          <w:rStyle w:val="Appelnotedebasdep"/>
          <w:rFonts w:cs="Arial"/>
          <w:lang w:val="en-CA"/>
        </w:rPr>
        <w:footnoteReference w:id="50"/>
      </w:r>
    </w:p>
    <w:p w14:paraId="168530D8" w14:textId="1B55C3A4" w:rsidR="004F610C" w:rsidRPr="00C32B26" w:rsidRDefault="00480EB7" w:rsidP="008C7DE9">
      <w:pPr>
        <w:pStyle w:val="Paragrdouble"/>
        <w:numPr>
          <w:ilvl w:val="0"/>
          <w:numId w:val="5"/>
        </w:numPr>
        <w:spacing w:before="0" w:after="0" w:line="240" w:lineRule="auto"/>
        <w:rPr>
          <w:rFonts w:cs="Arial"/>
          <w:lang w:val="en-CA"/>
        </w:rPr>
      </w:pPr>
      <w:r w:rsidRPr="00C32B26">
        <w:rPr>
          <w:rFonts w:cs="Arial"/>
          <w:lang w:val="en-CA"/>
        </w:rPr>
        <w:t>The</w:t>
      </w:r>
      <w:r w:rsidR="004F610C" w:rsidRPr="00C32B26">
        <w:rPr>
          <w:rFonts w:cs="Arial"/>
          <w:lang w:val="en-CA"/>
        </w:rPr>
        <w:t xml:space="preserve"> Société québécoise d’information juridique (SOQUIJ) </w:t>
      </w:r>
      <w:r w:rsidRPr="00C32B26">
        <w:rPr>
          <w:rFonts w:cs="Arial"/>
          <w:lang w:val="en-CA"/>
        </w:rPr>
        <w:t>has seven</w:t>
      </w:r>
      <w:r w:rsidR="004F610C" w:rsidRPr="00C32B26">
        <w:rPr>
          <w:rFonts w:cs="Arial"/>
          <w:lang w:val="en-CA"/>
        </w:rPr>
        <w:t xml:space="preserve"> (7) </w:t>
      </w:r>
      <w:r w:rsidR="009D1117" w:rsidRPr="00C32B26">
        <w:rPr>
          <w:rFonts w:cs="Arial"/>
          <w:lang w:val="en-CA"/>
        </w:rPr>
        <w:t xml:space="preserve">translators </w:t>
      </w:r>
      <w:r w:rsidR="00E153D1" w:rsidRPr="00C32B26">
        <w:rPr>
          <w:rFonts w:cs="Arial"/>
          <w:lang w:val="en-CA"/>
        </w:rPr>
        <w:t xml:space="preserve">on staff </w:t>
      </w:r>
      <w:r w:rsidR="009D1117" w:rsidRPr="00C32B26">
        <w:rPr>
          <w:rFonts w:cs="Arial"/>
          <w:lang w:val="en-CA"/>
        </w:rPr>
        <w:t xml:space="preserve">and handles 1,000 to 1,500 translation requests per year, totalling nearly </w:t>
      </w:r>
      <w:r w:rsidR="004F610C" w:rsidRPr="00C32B26">
        <w:rPr>
          <w:rFonts w:cs="Arial"/>
          <w:lang w:val="en-CA"/>
        </w:rPr>
        <w:t xml:space="preserve">3 million </w:t>
      </w:r>
      <w:r w:rsidR="009D1117" w:rsidRPr="00C32B26">
        <w:rPr>
          <w:rFonts w:cs="Arial"/>
          <w:lang w:val="en-CA"/>
        </w:rPr>
        <w:t>words.</w:t>
      </w:r>
      <w:r w:rsidR="004F610C" w:rsidRPr="00C32B26">
        <w:rPr>
          <w:rStyle w:val="Appelnotedebasdep"/>
          <w:rFonts w:cs="Arial"/>
          <w:lang w:val="en-CA"/>
        </w:rPr>
        <w:footnoteReference w:id="51"/>
      </w:r>
    </w:p>
    <w:p w14:paraId="0EAF7AE8" w14:textId="109AAC8E" w:rsidR="004F610C" w:rsidRPr="00C32B26" w:rsidRDefault="009D1117" w:rsidP="008C7DE9">
      <w:pPr>
        <w:pStyle w:val="Paragrdouble"/>
        <w:numPr>
          <w:ilvl w:val="0"/>
          <w:numId w:val="5"/>
        </w:numPr>
        <w:spacing w:before="0" w:after="0" w:line="240" w:lineRule="auto"/>
        <w:rPr>
          <w:rFonts w:cs="Arial"/>
          <w:lang w:val="en-CA"/>
        </w:rPr>
      </w:pPr>
      <w:r w:rsidRPr="00C32B26">
        <w:rPr>
          <w:rFonts w:cs="Arial"/>
          <w:lang w:val="en-CA"/>
        </w:rPr>
        <w:t>Certified translators often work in teams to ensure that deadlines are met.</w:t>
      </w:r>
      <w:r w:rsidR="004F610C" w:rsidRPr="00C32B26">
        <w:rPr>
          <w:rStyle w:val="Appelnotedebasdep"/>
          <w:rFonts w:cs="Arial"/>
          <w:lang w:val="en-CA"/>
        </w:rPr>
        <w:footnoteReference w:id="52"/>
      </w:r>
    </w:p>
    <w:p w14:paraId="7D0ABEBD" w14:textId="79186A41" w:rsidR="004F610C" w:rsidRPr="00C32B26" w:rsidRDefault="009D1117" w:rsidP="008C7DE9">
      <w:pPr>
        <w:pStyle w:val="Paragrdouble"/>
        <w:numPr>
          <w:ilvl w:val="0"/>
          <w:numId w:val="5"/>
        </w:numPr>
        <w:spacing w:before="0" w:after="0" w:line="240" w:lineRule="auto"/>
        <w:rPr>
          <w:rFonts w:cs="Arial"/>
          <w:lang w:val="en-CA"/>
        </w:rPr>
      </w:pPr>
      <w:r w:rsidRPr="00C32B26">
        <w:rPr>
          <w:rFonts w:cs="Arial"/>
          <w:lang w:val="en-CA"/>
        </w:rPr>
        <w:t>The cost of a certified translator’s services averages from $0.20 to $0.40 per word, with urgency being a factor.</w:t>
      </w:r>
      <w:r w:rsidR="004F610C" w:rsidRPr="00C32B26">
        <w:rPr>
          <w:rStyle w:val="Appelnotedebasdep"/>
          <w:rFonts w:cs="Arial"/>
          <w:lang w:val="en-CA"/>
        </w:rPr>
        <w:footnoteReference w:id="53"/>
      </w:r>
    </w:p>
    <w:p w14:paraId="20445C29" w14:textId="46C70A87" w:rsidR="004F610C" w:rsidRPr="00C32B26" w:rsidRDefault="00B62F92" w:rsidP="008C7DE9">
      <w:pPr>
        <w:pStyle w:val="Paragrdouble"/>
        <w:numPr>
          <w:ilvl w:val="0"/>
          <w:numId w:val="5"/>
        </w:numPr>
        <w:spacing w:before="0" w:after="0" w:line="240" w:lineRule="auto"/>
        <w:rPr>
          <w:rFonts w:cs="Arial"/>
          <w:lang w:val="en-CA"/>
        </w:rPr>
      </w:pPr>
      <w:r w:rsidRPr="00C32B26">
        <w:rPr>
          <w:rFonts w:cs="Arial"/>
          <w:lang w:val="en-CA"/>
        </w:rPr>
        <w:t>This means that the tra</w:t>
      </w:r>
      <w:r w:rsidR="00447492" w:rsidRPr="00C32B26">
        <w:rPr>
          <w:rFonts w:cs="Arial"/>
          <w:lang w:val="en-CA"/>
        </w:rPr>
        <w:t>n</w:t>
      </w:r>
      <w:r w:rsidRPr="00C32B26">
        <w:rPr>
          <w:rFonts w:cs="Arial"/>
          <w:lang w:val="en-CA"/>
        </w:rPr>
        <w:t xml:space="preserve">slation of </w:t>
      </w:r>
      <w:r w:rsidR="00447492" w:rsidRPr="00C32B26">
        <w:rPr>
          <w:rFonts w:cs="Arial"/>
          <w:lang w:val="en-CA"/>
        </w:rPr>
        <w:t>a</w:t>
      </w:r>
      <w:r w:rsidRPr="00C32B26">
        <w:rPr>
          <w:rFonts w:cs="Arial"/>
          <w:lang w:val="en-CA"/>
        </w:rPr>
        <w:t xml:space="preserve"> pleading equal in length to the originating application in the case at bar would cost $1,100 to $2,200.</w:t>
      </w:r>
      <w:r w:rsidR="004F610C" w:rsidRPr="00C32B26">
        <w:rPr>
          <w:rStyle w:val="Appelnotedebasdep"/>
          <w:rFonts w:cs="Arial"/>
          <w:lang w:val="en-CA"/>
        </w:rPr>
        <w:footnoteReference w:id="54"/>
      </w:r>
    </w:p>
    <w:p w14:paraId="79906257" w14:textId="57DD689B" w:rsidR="004F610C" w:rsidRPr="00C32B26" w:rsidRDefault="004F610C" w:rsidP="008C7DE9">
      <w:pPr>
        <w:pStyle w:val="Paragrdouble"/>
        <w:numPr>
          <w:ilvl w:val="0"/>
          <w:numId w:val="5"/>
        </w:numPr>
        <w:spacing w:before="0" w:after="0" w:line="240" w:lineRule="auto"/>
        <w:rPr>
          <w:rFonts w:cs="Arial"/>
          <w:lang w:val="en-CA"/>
        </w:rPr>
      </w:pPr>
      <w:r w:rsidRPr="00C32B26">
        <w:rPr>
          <w:rFonts w:cs="Arial"/>
          <w:lang w:val="en-CA"/>
        </w:rPr>
        <w:t>Certain</w:t>
      </w:r>
      <w:r w:rsidR="00447492" w:rsidRPr="00C32B26">
        <w:rPr>
          <w:rFonts w:cs="Arial"/>
          <w:lang w:val="en-CA"/>
        </w:rPr>
        <w:t xml:space="preserve"> certified translators are willing to take on</w:t>
      </w:r>
      <w:r w:rsidRPr="00C32B26">
        <w:rPr>
          <w:rFonts w:cs="Arial"/>
          <w:lang w:val="en-CA"/>
        </w:rPr>
        <w:t xml:space="preserve"> </w:t>
      </w:r>
      <w:r w:rsidRPr="00C32B26">
        <w:rPr>
          <w:rFonts w:cs="Arial"/>
          <w:i/>
          <w:lang w:val="en-CA"/>
        </w:rPr>
        <w:t>pro bono</w:t>
      </w:r>
      <w:r w:rsidR="00447492" w:rsidRPr="00C32B26">
        <w:rPr>
          <w:rFonts w:cs="Arial"/>
          <w:i/>
          <w:lang w:val="en-CA"/>
        </w:rPr>
        <w:t xml:space="preserve"> </w:t>
      </w:r>
      <w:r w:rsidR="00447492" w:rsidRPr="00C32B26">
        <w:rPr>
          <w:rFonts w:cs="Arial"/>
          <w:iCs/>
          <w:lang w:val="en-CA"/>
        </w:rPr>
        <w:t>work.</w:t>
      </w:r>
      <w:r w:rsidRPr="00C32B26">
        <w:rPr>
          <w:rStyle w:val="Appelnotedebasdep"/>
          <w:rFonts w:cs="Arial"/>
          <w:lang w:val="en-CA"/>
        </w:rPr>
        <w:footnoteReference w:id="55"/>
      </w:r>
    </w:p>
    <w:p w14:paraId="2AFA819C" w14:textId="0BC2AA81" w:rsidR="004F610C" w:rsidRPr="00C32B26" w:rsidRDefault="004F610C" w:rsidP="00C03D48">
      <w:pPr>
        <w:pStyle w:val="Paragrdouble"/>
        <w:tabs>
          <w:tab w:val="clear" w:pos="3053"/>
          <w:tab w:val="num" w:pos="567"/>
        </w:tabs>
        <w:spacing w:line="240" w:lineRule="auto"/>
        <w:ind w:left="0"/>
        <w:rPr>
          <w:rFonts w:cs="Arial"/>
          <w:lang w:val="en-CA"/>
        </w:rPr>
      </w:pPr>
      <w:r w:rsidRPr="00C32B26">
        <w:rPr>
          <w:rFonts w:cs="Arial"/>
          <w:lang w:val="en-CA"/>
        </w:rPr>
        <w:lastRenderedPageBreak/>
        <w:t>M</w:t>
      </w:r>
      <w:r w:rsidR="00E77F3F" w:rsidRPr="00C32B26">
        <w:rPr>
          <w:rFonts w:cs="Arial"/>
          <w:lang w:val="en-CA"/>
        </w:rPr>
        <w:t>r</w:t>
      </w:r>
      <w:r w:rsidRPr="00C32B26">
        <w:rPr>
          <w:rFonts w:cs="Arial"/>
          <w:lang w:val="en-CA"/>
        </w:rPr>
        <w:t>. Barabé</w:t>
      </w:r>
      <w:r w:rsidR="00121840" w:rsidRPr="00C32B26">
        <w:rPr>
          <w:rFonts w:cs="Arial"/>
          <w:lang w:val="en-CA"/>
        </w:rPr>
        <w:t>’s</w:t>
      </w:r>
      <w:r w:rsidRPr="00C32B26">
        <w:rPr>
          <w:rFonts w:cs="Arial"/>
          <w:lang w:val="en-CA"/>
        </w:rPr>
        <w:t xml:space="preserve"> </w:t>
      </w:r>
      <w:r w:rsidR="00E77F3F" w:rsidRPr="00C32B26">
        <w:rPr>
          <w:rFonts w:cs="Arial"/>
          <w:lang w:val="en-CA"/>
        </w:rPr>
        <w:t>statement does not contradict M</w:t>
      </w:r>
      <w:r w:rsidR="00E77F3F" w:rsidRPr="00C32B26">
        <w:rPr>
          <w:rFonts w:cs="Arial"/>
          <w:vertAlign w:val="superscript"/>
          <w:lang w:val="en-CA"/>
        </w:rPr>
        <w:t>tre</w:t>
      </w:r>
      <w:r w:rsidR="00E77F3F" w:rsidRPr="00C32B26">
        <w:rPr>
          <w:rFonts w:cs="Arial"/>
          <w:lang w:val="en-CA"/>
        </w:rPr>
        <w:t xml:space="preserve"> Mitchell’s </w:t>
      </w:r>
      <w:r w:rsidR="005C0A27" w:rsidRPr="00C32B26">
        <w:rPr>
          <w:rFonts w:cs="Arial"/>
          <w:lang w:val="en-CA"/>
        </w:rPr>
        <w:t>assertion</w:t>
      </w:r>
      <w:r w:rsidR="00121840" w:rsidRPr="00C32B26">
        <w:rPr>
          <w:rFonts w:cs="Arial"/>
          <w:lang w:val="en-CA"/>
        </w:rPr>
        <w:t xml:space="preserve"> that there are few certified legal translators in </w:t>
      </w:r>
      <w:r w:rsidR="009A76B2" w:rsidRPr="00C32B26">
        <w:rPr>
          <w:rFonts w:cs="Arial"/>
          <w:lang w:val="en-CA"/>
        </w:rPr>
        <w:t>Qu</w:t>
      </w:r>
      <w:r w:rsidR="00121840" w:rsidRPr="00C32B26">
        <w:rPr>
          <w:rFonts w:cs="Arial"/>
          <w:lang w:val="en-CA"/>
        </w:rPr>
        <w:t>e</w:t>
      </w:r>
      <w:r w:rsidR="009A76B2" w:rsidRPr="00C32B26">
        <w:rPr>
          <w:rFonts w:cs="Arial"/>
          <w:lang w:val="en-CA"/>
        </w:rPr>
        <w:t>bec.</w:t>
      </w:r>
    </w:p>
    <w:p w14:paraId="674B133D" w14:textId="27066F04" w:rsidR="004F610C" w:rsidRPr="00C32B26" w:rsidRDefault="005C0A27" w:rsidP="00C03D48">
      <w:pPr>
        <w:pStyle w:val="Paragrdouble"/>
        <w:tabs>
          <w:tab w:val="clear" w:pos="3053"/>
          <w:tab w:val="num" w:pos="567"/>
        </w:tabs>
        <w:spacing w:line="240" w:lineRule="auto"/>
        <w:ind w:left="0"/>
        <w:rPr>
          <w:rFonts w:cs="Arial"/>
          <w:lang w:val="en-CA"/>
        </w:rPr>
      </w:pPr>
      <w:r w:rsidRPr="00C32B26">
        <w:rPr>
          <w:rFonts w:cs="Arial"/>
          <w:lang w:val="en-CA"/>
        </w:rPr>
        <w:t xml:space="preserve">The AGQ has tendered an interpretation </w:t>
      </w:r>
      <w:r w:rsidR="009A0EE3" w:rsidRPr="00C32B26">
        <w:rPr>
          <w:rFonts w:cs="Arial"/>
          <w:lang w:val="en-CA"/>
        </w:rPr>
        <w:t>bulletin</w:t>
      </w:r>
      <w:r w:rsidRPr="00C32B26">
        <w:rPr>
          <w:rFonts w:cs="Arial"/>
          <w:lang w:val="en-CA"/>
        </w:rPr>
        <w:t xml:space="preserve"> from the Canada Revenue Agency </w:t>
      </w:r>
      <w:r w:rsidR="008F4947" w:rsidRPr="00C32B26">
        <w:rPr>
          <w:rFonts w:cs="Arial"/>
          <w:lang w:val="en-CA"/>
        </w:rPr>
        <w:t>explaining</w:t>
      </w:r>
      <w:r w:rsidRPr="00C32B26">
        <w:rPr>
          <w:rFonts w:cs="Arial"/>
          <w:lang w:val="en-CA"/>
        </w:rPr>
        <w:t xml:space="preserve"> that </w:t>
      </w:r>
      <w:r w:rsidR="008F4947" w:rsidRPr="00C32B26">
        <w:rPr>
          <w:rFonts w:cs="Arial"/>
          <w:lang w:val="en-CA"/>
        </w:rPr>
        <w:t>the “legal expenses” (“</w:t>
      </w:r>
      <w:r w:rsidR="008F4947" w:rsidRPr="00C32B26">
        <w:rPr>
          <w:rFonts w:cs="Arial"/>
          <w:i/>
          <w:iCs/>
          <w:lang w:val="en-CA"/>
        </w:rPr>
        <w:t>frais judiciaires ou extrajudiciaires</w:t>
      </w:r>
      <w:r w:rsidR="008F4947" w:rsidRPr="00C32B26">
        <w:rPr>
          <w:rFonts w:cs="Arial"/>
          <w:lang w:val="en-CA"/>
        </w:rPr>
        <w:t>”)</w:t>
      </w:r>
      <w:r w:rsidRPr="00C32B26">
        <w:rPr>
          <w:rFonts w:cs="Arial"/>
          <w:lang w:val="en-CA"/>
        </w:rPr>
        <w:t xml:space="preserve"> </w:t>
      </w:r>
      <w:r w:rsidR="003C1F0F" w:rsidRPr="00C32B26">
        <w:rPr>
          <w:rFonts w:cs="Arial"/>
          <w:lang w:val="en-CA"/>
        </w:rPr>
        <w:t xml:space="preserve">that qualify for an income tax deduction under sections </w:t>
      </w:r>
      <w:r w:rsidR="004F610C" w:rsidRPr="00C32B26">
        <w:rPr>
          <w:rFonts w:cs="Arial"/>
          <w:lang w:val="en-CA"/>
        </w:rPr>
        <w:t>8(1)</w:t>
      </w:r>
      <w:r w:rsidR="003C1F0F" w:rsidRPr="00C32B26">
        <w:rPr>
          <w:rFonts w:cs="Arial"/>
          <w:lang w:val="en-CA"/>
        </w:rPr>
        <w:t>(</w:t>
      </w:r>
      <w:r w:rsidR="004F610C" w:rsidRPr="00C32B26">
        <w:rPr>
          <w:rFonts w:cs="Arial"/>
          <w:lang w:val="en-CA"/>
        </w:rPr>
        <w:t xml:space="preserve">b) </w:t>
      </w:r>
      <w:r w:rsidR="003C1F0F" w:rsidRPr="00C32B26">
        <w:rPr>
          <w:rFonts w:cs="Arial"/>
          <w:lang w:val="en-CA"/>
        </w:rPr>
        <w:t>and</w:t>
      </w:r>
      <w:r w:rsidR="004F610C" w:rsidRPr="00C32B26">
        <w:rPr>
          <w:rFonts w:cs="Arial"/>
          <w:lang w:val="en-CA"/>
        </w:rPr>
        <w:t xml:space="preserve"> 60(o.1) </w:t>
      </w:r>
      <w:r w:rsidR="003C1F0F" w:rsidRPr="00C32B26">
        <w:rPr>
          <w:rFonts w:cs="Arial"/>
          <w:lang w:val="en-CA"/>
        </w:rPr>
        <w:t xml:space="preserve">of the </w:t>
      </w:r>
      <w:r w:rsidR="003C1F0F" w:rsidRPr="00C32B26">
        <w:rPr>
          <w:rFonts w:cs="Arial"/>
          <w:i/>
          <w:iCs/>
          <w:lang w:val="en-CA"/>
        </w:rPr>
        <w:t>Income Tax Act</w:t>
      </w:r>
      <w:r w:rsidR="004F610C" w:rsidRPr="00C32B26">
        <w:rPr>
          <w:rFonts w:cs="Arial"/>
          <w:vertAlign w:val="superscript"/>
          <w:lang w:val="en-CA"/>
        </w:rPr>
        <w:footnoteReference w:id="56"/>
      </w:r>
      <w:r w:rsidR="004F610C" w:rsidRPr="00C32B26">
        <w:rPr>
          <w:rFonts w:cs="Arial"/>
          <w:lang w:val="en-CA"/>
        </w:rPr>
        <w:t xml:space="preserve"> </w:t>
      </w:r>
      <w:r w:rsidR="003C1F0F" w:rsidRPr="00C32B26">
        <w:rPr>
          <w:rFonts w:cs="Arial"/>
          <w:lang w:val="en-CA"/>
        </w:rPr>
        <w:t>are not necessarily limited to lawyers’ fees.</w:t>
      </w:r>
      <w:r w:rsidR="004F610C" w:rsidRPr="00C32B26">
        <w:rPr>
          <w:rFonts w:cs="Arial"/>
          <w:vertAlign w:val="superscript"/>
          <w:lang w:val="en-CA"/>
        </w:rPr>
        <w:footnoteReference w:id="57"/>
      </w:r>
      <w:r w:rsidR="004F610C" w:rsidRPr="00C32B26">
        <w:rPr>
          <w:rFonts w:cs="Arial"/>
          <w:lang w:val="en-CA"/>
        </w:rPr>
        <w:t xml:space="preserve"> </w:t>
      </w:r>
      <w:r w:rsidR="005C3B6E" w:rsidRPr="00C32B26">
        <w:rPr>
          <w:rFonts w:cs="Arial"/>
          <w:lang w:val="en-CA"/>
        </w:rPr>
        <w:t xml:space="preserve">The bulletin suggests that </w:t>
      </w:r>
      <w:r w:rsidR="00F77514" w:rsidRPr="00C32B26">
        <w:rPr>
          <w:rFonts w:cs="Arial"/>
          <w:lang w:val="en-CA"/>
        </w:rPr>
        <w:t>translation expenses can be included in these income tax deduction</w:t>
      </w:r>
      <w:r w:rsidR="00B675BF" w:rsidRPr="00C32B26">
        <w:rPr>
          <w:rFonts w:cs="Arial"/>
          <w:lang w:val="en-CA"/>
        </w:rPr>
        <w:t xml:space="preserve"> categories</w:t>
      </w:r>
      <w:r w:rsidR="00F77514" w:rsidRPr="00C32B26">
        <w:rPr>
          <w:rFonts w:cs="Arial"/>
          <w:lang w:val="en-CA"/>
        </w:rPr>
        <w:t>.</w:t>
      </w:r>
      <w:r w:rsidR="004F610C" w:rsidRPr="00C32B26">
        <w:rPr>
          <w:rFonts w:cs="Arial"/>
          <w:vertAlign w:val="superscript"/>
          <w:lang w:val="en-CA"/>
        </w:rPr>
        <w:footnoteReference w:id="58"/>
      </w:r>
      <w:r w:rsidR="008103DC" w:rsidRPr="00C32B26">
        <w:rPr>
          <w:rFonts w:cs="Arial"/>
          <w:vertAlign w:val="superscript"/>
          <w:lang w:val="en-CA"/>
        </w:rPr>
        <w:t>.</w:t>
      </w:r>
      <w:r w:rsidR="004F610C" w:rsidRPr="00C32B26">
        <w:rPr>
          <w:rFonts w:cs="Arial"/>
          <w:lang w:val="en-CA"/>
        </w:rPr>
        <w:t xml:space="preserve"> </w:t>
      </w:r>
    </w:p>
    <w:p w14:paraId="462DF5A2" w14:textId="1CC2116A" w:rsidR="004F610C" w:rsidRPr="00C32B26" w:rsidRDefault="0023165B" w:rsidP="00C03D48">
      <w:pPr>
        <w:pStyle w:val="Paragrdouble"/>
        <w:tabs>
          <w:tab w:val="clear" w:pos="3053"/>
          <w:tab w:val="num" w:pos="567"/>
        </w:tabs>
        <w:spacing w:line="240" w:lineRule="auto"/>
        <w:ind w:left="0"/>
        <w:rPr>
          <w:rFonts w:cs="Arial"/>
          <w:lang w:val="en-CA"/>
        </w:rPr>
      </w:pPr>
      <w:r w:rsidRPr="00C32B26">
        <w:rPr>
          <w:rFonts w:cs="Arial"/>
          <w:lang w:val="en-CA"/>
        </w:rPr>
        <w:t xml:space="preserve">The AGQ notes that no tangible evidence has been adduced to show that the translation requirement would impose major or prohibitive costs on the legal persons </w:t>
      </w:r>
      <w:r w:rsidR="004F610C" w:rsidRPr="00C32B26">
        <w:rPr>
          <w:rFonts w:cs="Arial"/>
          <w:lang w:val="en-CA"/>
        </w:rPr>
        <w:t>concern</w:t>
      </w:r>
      <w:r w:rsidRPr="00C32B26">
        <w:rPr>
          <w:rFonts w:cs="Arial"/>
          <w:lang w:val="en-CA"/>
        </w:rPr>
        <w:t>ed</w:t>
      </w:r>
      <w:r w:rsidR="004F610C" w:rsidRPr="00C32B26">
        <w:rPr>
          <w:rFonts w:cs="Arial"/>
          <w:lang w:val="en-CA"/>
        </w:rPr>
        <w:t xml:space="preserve">. </w:t>
      </w:r>
      <w:r w:rsidRPr="00C32B26">
        <w:rPr>
          <w:rFonts w:cs="Arial"/>
          <w:lang w:val="en-CA"/>
        </w:rPr>
        <w:t xml:space="preserve">He adds that legal persons must generally be represented by lawyers in civil </w:t>
      </w:r>
      <w:r w:rsidR="00610B86" w:rsidRPr="00C32B26">
        <w:rPr>
          <w:rFonts w:cs="Arial"/>
          <w:lang w:val="en-CA"/>
        </w:rPr>
        <w:t>matters</w:t>
      </w:r>
      <w:r w:rsidRPr="00C32B26">
        <w:rPr>
          <w:rFonts w:cs="Arial"/>
          <w:lang w:val="en-CA"/>
        </w:rPr>
        <w:t>,</w:t>
      </w:r>
      <w:r w:rsidR="004F610C" w:rsidRPr="00C32B26">
        <w:rPr>
          <w:rStyle w:val="Appelnotedebasdep"/>
          <w:rFonts w:cs="Arial"/>
          <w:lang w:val="en-CA"/>
        </w:rPr>
        <w:footnoteReference w:id="59"/>
      </w:r>
      <w:r w:rsidR="004F610C" w:rsidRPr="00C32B26">
        <w:rPr>
          <w:rFonts w:cs="Arial"/>
          <w:lang w:val="en-CA"/>
        </w:rPr>
        <w:t xml:space="preserve"> </w:t>
      </w:r>
      <w:r w:rsidRPr="00C32B26">
        <w:rPr>
          <w:rFonts w:cs="Arial"/>
          <w:lang w:val="en-CA"/>
        </w:rPr>
        <w:t>which means that significant expenditures are already a given,</w:t>
      </w:r>
      <w:r w:rsidR="004F610C" w:rsidRPr="00C32B26">
        <w:rPr>
          <w:rStyle w:val="Appelnotedebasdep"/>
          <w:rFonts w:cs="Arial"/>
          <w:lang w:val="en-CA"/>
        </w:rPr>
        <w:footnoteReference w:id="60"/>
      </w:r>
      <w:r w:rsidRPr="00C32B26">
        <w:rPr>
          <w:rFonts w:cs="Arial"/>
          <w:lang w:val="en-CA"/>
        </w:rPr>
        <w:t xml:space="preserve"> albeit not in all cases.</w:t>
      </w:r>
      <w:r w:rsidR="004F610C" w:rsidRPr="00C32B26">
        <w:rPr>
          <w:rStyle w:val="Appelnotedebasdep"/>
          <w:rFonts w:cs="Arial"/>
          <w:lang w:val="en-CA"/>
        </w:rPr>
        <w:footnoteReference w:id="61"/>
      </w:r>
    </w:p>
    <w:p w14:paraId="6C3525F6" w14:textId="28695F59" w:rsidR="004F610C" w:rsidRPr="00C32B26" w:rsidRDefault="00CD4164" w:rsidP="00C03D48">
      <w:pPr>
        <w:pStyle w:val="Paragrdouble"/>
        <w:tabs>
          <w:tab w:val="clear" w:pos="3053"/>
          <w:tab w:val="num" w:pos="567"/>
        </w:tabs>
        <w:spacing w:line="240" w:lineRule="auto"/>
        <w:ind w:left="0"/>
        <w:rPr>
          <w:rFonts w:cs="Arial"/>
          <w:lang w:val="en-CA"/>
        </w:rPr>
      </w:pPr>
      <w:r w:rsidRPr="00C32B26">
        <w:rPr>
          <w:rFonts w:cs="Arial"/>
          <w:lang w:val="en-CA"/>
        </w:rPr>
        <w:t>With regard to</w:t>
      </w:r>
      <w:r w:rsidR="0084675E" w:rsidRPr="00C32B26">
        <w:rPr>
          <w:rFonts w:cs="Arial"/>
          <w:lang w:val="en-CA"/>
        </w:rPr>
        <w:t xml:space="preserve"> the </w:t>
      </w:r>
      <w:r w:rsidRPr="00C32B26">
        <w:rPr>
          <w:rFonts w:cs="Arial"/>
          <w:lang w:val="en-CA"/>
        </w:rPr>
        <w:t>issue</w:t>
      </w:r>
      <w:r w:rsidR="0084675E" w:rsidRPr="00C32B26">
        <w:rPr>
          <w:rFonts w:cs="Arial"/>
          <w:lang w:val="en-CA"/>
        </w:rPr>
        <w:t xml:space="preserve"> of delays and urgent proceedings, the AGQ submits that the applicants have not met their burden either, because (1) according to </w:t>
      </w:r>
      <w:r w:rsidR="00522204" w:rsidRPr="00C32B26">
        <w:rPr>
          <w:rFonts w:cs="Arial"/>
          <w:lang w:val="en-CA"/>
        </w:rPr>
        <w:t>M</w:t>
      </w:r>
      <w:r w:rsidR="0084675E" w:rsidRPr="00C32B26">
        <w:rPr>
          <w:rFonts w:cs="Arial"/>
          <w:lang w:val="en-CA"/>
        </w:rPr>
        <w:t>r</w:t>
      </w:r>
      <w:r w:rsidR="00522204" w:rsidRPr="00C32B26">
        <w:rPr>
          <w:rFonts w:cs="Arial"/>
          <w:lang w:val="en-CA"/>
        </w:rPr>
        <w:t>. Bara</w:t>
      </w:r>
      <w:r w:rsidR="004F610C" w:rsidRPr="00C32B26">
        <w:rPr>
          <w:rFonts w:cs="Arial"/>
          <w:lang w:val="en-CA"/>
        </w:rPr>
        <w:t>bé</w:t>
      </w:r>
      <w:r w:rsidR="0084675E" w:rsidRPr="00C32B26">
        <w:rPr>
          <w:rFonts w:cs="Arial"/>
          <w:lang w:val="en-CA"/>
        </w:rPr>
        <w:t xml:space="preserve">’s statement, there will not be a shortage of qualified translators, and </w:t>
      </w:r>
      <w:r w:rsidR="004F610C" w:rsidRPr="00C32B26">
        <w:rPr>
          <w:rFonts w:cs="Arial"/>
          <w:lang w:val="en-CA"/>
        </w:rPr>
        <w:t xml:space="preserve">(2) </w:t>
      </w:r>
      <w:r w:rsidR="0084675E" w:rsidRPr="00C32B26">
        <w:rPr>
          <w:rFonts w:cs="Arial"/>
          <w:lang w:val="en-CA"/>
        </w:rPr>
        <w:t>in civil matters,</w:t>
      </w:r>
      <w:r w:rsidR="004F610C" w:rsidRPr="00C32B26">
        <w:rPr>
          <w:rFonts w:cs="Arial"/>
          <w:lang w:val="en-CA"/>
        </w:rPr>
        <w:t xml:space="preserve"> </w:t>
      </w:r>
      <w:r w:rsidR="0084675E" w:rsidRPr="00C32B26">
        <w:rPr>
          <w:rFonts w:cs="Arial"/>
          <w:lang w:val="en-CA"/>
        </w:rPr>
        <w:t>judges will have the discretion to extend any time</w:t>
      </w:r>
      <w:r w:rsidR="00F10342" w:rsidRPr="00C32B26">
        <w:rPr>
          <w:rFonts w:cs="Arial"/>
          <w:lang w:val="en-CA"/>
        </w:rPr>
        <w:t xml:space="preserve"> limit</w:t>
      </w:r>
      <w:r w:rsidR="004F610C" w:rsidRPr="00C32B26">
        <w:rPr>
          <w:rStyle w:val="Appelnotedebasdep"/>
          <w:rFonts w:cs="Arial"/>
          <w:lang w:val="en-CA"/>
        </w:rPr>
        <w:footnoteReference w:id="62"/>
      </w:r>
      <w:r w:rsidR="004F610C" w:rsidRPr="00C32B26">
        <w:rPr>
          <w:rFonts w:cs="Arial"/>
          <w:lang w:val="en-CA"/>
        </w:rPr>
        <w:t xml:space="preserve"> o</w:t>
      </w:r>
      <w:r w:rsidR="00F10342" w:rsidRPr="00C32B26">
        <w:rPr>
          <w:rFonts w:cs="Arial"/>
          <w:lang w:val="en-CA"/>
        </w:rPr>
        <w:t>r make appropriate orders to preserve the parties’ rights</w:t>
      </w:r>
      <w:r w:rsidR="00DA6519" w:rsidRPr="00C32B26">
        <w:rPr>
          <w:rFonts w:cs="Arial"/>
          <w:lang w:val="en-CA"/>
        </w:rPr>
        <w:t>.</w:t>
      </w:r>
    </w:p>
    <w:p w14:paraId="0A7B38E1" w14:textId="1C063280" w:rsidR="004F610C" w:rsidRPr="00C32B26" w:rsidRDefault="00BD46D7" w:rsidP="00C03D48">
      <w:pPr>
        <w:pStyle w:val="Paragrdouble"/>
        <w:tabs>
          <w:tab w:val="clear" w:pos="3053"/>
          <w:tab w:val="num" w:pos="567"/>
        </w:tabs>
        <w:spacing w:line="240" w:lineRule="auto"/>
        <w:ind w:left="0"/>
        <w:rPr>
          <w:rFonts w:cs="Arial"/>
          <w:lang w:val="en-CA"/>
        </w:rPr>
      </w:pPr>
      <w:r w:rsidRPr="00C32B26">
        <w:rPr>
          <w:rFonts w:cs="Arial"/>
          <w:lang w:val="en-CA"/>
        </w:rPr>
        <w:t xml:space="preserve">Lastly, the AGQ cites an excerpt from the British Columbia Court of Appeal’s decision in </w:t>
      </w:r>
      <w:r w:rsidR="004F610C" w:rsidRPr="00C32B26">
        <w:rPr>
          <w:rFonts w:cs="Arial"/>
          <w:i/>
          <w:lang w:val="en-CA"/>
        </w:rPr>
        <w:t>Conseil scolaire francophone</w:t>
      </w:r>
      <w:r w:rsidR="008F693C" w:rsidRPr="00C32B26">
        <w:rPr>
          <w:rFonts w:cs="Arial"/>
          <w:iCs/>
          <w:lang w:val="en-CA"/>
        </w:rPr>
        <w:t>,</w:t>
      </w:r>
      <w:r w:rsidR="004F610C" w:rsidRPr="00C32B26">
        <w:rPr>
          <w:rStyle w:val="Appelnotedebasdep"/>
          <w:rFonts w:cs="Arial"/>
          <w:lang w:val="en-CA"/>
        </w:rPr>
        <w:footnoteReference w:id="63"/>
      </w:r>
      <w:r w:rsidR="004F610C" w:rsidRPr="00C32B26">
        <w:rPr>
          <w:rFonts w:cs="Arial"/>
          <w:lang w:val="en-CA"/>
        </w:rPr>
        <w:t xml:space="preserve"> </w:t>
      </w:r>
      <w:r w:rsidRPr="00C32B26">
        <w:rPr>
          <w:rFonts w:cs="Arial"/>
          <w:lang w:val="en-CA"/>
        </w:rPr>
        <w:t xml:space="preserve">which was affirmed by the Supreme </w:t>
      </w:r>
      <w:r w:rsidR="004F610C" w:rsidRPr="00C32B26">
        <w:rPr>
          <w:rFonts w:cs="Arial"/>
          <w:lang w:val="en-CA"/>
        </w:rPr>
        <w:t>Cour</w:t>
      </w:r>
      <w:r w:rsidRPr="00C32B26">
        <w:rPr>
          <w:rFonts w:cs="Arial"/>
          <w:lang w:val="en-CA"/>
        </w:rPr>
        <w:t>t</w:t>
      </w:r>
      <w:r w:rsidR="004F610C" w:rsidRPr="00C32B26">
        <w:rPr>
          <w:rStyle w:val="Appelnotedebasdep"/>
          <w:rFonts w:cs="Arial"/>
          <w:lang w:val="en-CA"/>
        </w:rPr>
        <w:footnoteReference w:id="64"/>
      </w:r>
      <w:r w:rsidR="004F610C" w:rsidRPr="00C32B26">
        <w:rPr>
          <w:rFonts w:cs="Arial"/>
          <w:lang w:val="en-CA"/>
        </w:rPr>
        <w:t xml:space="preserve"> </w:t>
      </w:r>
      <w:r w:rsidRPr="00C32B26">
        <w:rPr>
          <w:rFonts w:cs="Arial"/>
          <w:lang w:val="en-CA"/>
        </w:rPr>
        <w:t xml:space="preserve">and which, in his submission, stands for the proposition that an obligation to translate pleadings from French to English is not a barrier to access to justice in that </w:t>
      </w:r>
      <w:r w:rsidR="004F610C" w:rsidRPr="00C32B26">
        <w:rPr>
          <w:rFonts w:cs="Arial"/>
          <w:lang w:val="en-CA"/>
        </w:rPr>
        <w:t>province</w:t>
      </w:r>
      <w:r w:rsidRPr="00C32B26">
        <w:rPr>
          <w:rFonts w:cs="Arial"/>
          <w:lang w:val="en-CA"/>
        </w:rPr>
        <w:t>.</w:t>
      </w:r>
      <w:r w:rsidR="004F610C" w:rsidRPr="00C32B26">
        <w:rPr>
          <w:rStyle w:val="Appelnotedebasdep"/>
          <w:rFonts w:cs="Arial"/>
          <w:lang w:val="en-CA"/>
        </w:rPr>
        <w:footnoteReference w:id="65"/>
      </w:r>
      <w:r w:rsidR="004F610C" w:rsidRPr="00C32B26">
        <w:rPr>
          <w:rFonts w:cs="Arial"/>
          <w:lang w:val="en-CA"/>
        </w:rPr>
        <w:t xml:space="preserve"> </w:t>
      </w:r>
      <w:r w:rsidR="0028638B" w:rsidRPr="00C32B26">
        <w:rPr>
          <w:rFonts w:cs="Arial"/>
          <w:lang w:val="en-CA"/>
        </w:rPr>
        <w:t>It</w:t>
      </w:r>
      <w:r w:rsidR="00F62705" w:rsidRPr="00C32B26">
        <w:rPr>
          <w:rFonts w:cs="Arial"/>
          <w:lang w:val="en-CA"/>
        </w:rPr>
        <w:t> </w:t>
      </w:r>
      <w:r w:rsidR="0028638B" w:rsidRPr="00C32B26">
        <w:rPr>
          <w:rFonts w:cs="Arial"/>
          <w:lang w:val="en-CA"/>
        </w:rPr>
        <w:t xml:space="preserve">should be specified at the outset that, in the Court’s opinion, that excerpt does </w:t>
      </w:r>
      <w:r w:rsidR="004A056C" w:rsidRPr="00C32B26">
        <w:rPr>
          <w:rFonts w:cs="Arial"/>
          <w:lang w:val="en-CA"/>
        </w:rPr>
        <w:t xml:space="preserve">not </w:t>
      </w:r>
      <w:r w:rsidR="0028638B" w:rsidRPr="00C32B26">
        <w:rPr>
          <w:rFonts w:cs="Arial"/>
          <w:lang w:val="en-CA"/>
        </w:rPr>
        <w:t xml:space="preserve">have the significance </w:t>
      </w:r>
      <w:r w:rsidR="00331085" w:rsidRPr="00C32B26">
        <w:rPr>
          <w:rFonts w:cs="Arial"/>
          <w:lang w:val="en-CA"/>
        </w:rPr>
        <w:t xml:space="preserve">and scope </w:t>
      </w:r>
      <w:r w:rsidR="00200F87" w:rsidRPr="00C32B26">
        <w:rPr>
          <w:rFonts w:cs="Arial"/>
          <w:lang w:val="en-CA"/>
        </w:rPr>
        <w:t>ascribed to it</w:t>
      </w:r>
      <w:r w:rsidR="0028638B" w:rsidRPr="00C32B26">
        <w:rPr>
          <w:rFonts w:cs="Arial"/>
          <w:lang w:val="en-CA"/>
        </w:rPr>
        <w:t xml:space="preserve">. First of all, the British Columbia courts are not bound by section </w:t>
      </w:r>
      <w:r w:rsidR="004F610C" w:rsidRPr="00C32B26">
        <w:rPr>
          <w:rFonts w:cs="Arial"/>
          <w:lang w:val="en-CA"/>
        </w:rPr>
        <w:t xml:space="preserve">133 </w:t>
      </w:r>
      <w:r w:rsidR="0028638B" w:rsidRPr="00C32B26">
        <w:rPr>
          <w:rFonts w:cs="Arial"/>
          <w:lang w:val="en-CA"/>
        </w:rPr>
        <w:t>of the</w:t>
      </w:r>
      <w:r w:rsidR="004F610C" w:rsidRPr="00C32B26">
        <w:rPr>
          <w:rFonts w:cs="Arial"/>
          <w:lang w:val="en-CA"/>
        </w:rPr>
        <w:t xml:space="preserve"> </w:t>
      </w:r>
      <w:r w:rsidR="00882945" w:rsidRPr="00C32B26">
        <w:rPr>
          <w:rFonts w:cs="Arial"/>
          <w:i/>
          <w:lang w:val="en-CA"/>
        </w:rPr>
        <w:t>Constitution Act, 1867</w:t>
      </w:r>
      <w:r w:rsidR="00F62705" w:rsidRPr="00C32B26">
        <w:rPr>
          <w:rFonts w:cs="Arial"/>
          <w:i/>
          <w:lang w:val="en-CA"/>
        </w:rPr>
        <w:t>.</w:t>
      </w:r>
      <w:r w:rsidR="004F610C" w:rsidRPr="00C32B26">
        <w:rPr>
          <w:rStyle w:val="Appelnotedebasdep"/>
          <w:rFonts w:cs="Arial"/>
          <w:lang w:val="en-CA"/>
        </w:rPr>
        <w:footnoteReference w:id="66"/>
      </w:r>
      <w:r w:rsidR="004F610C" w:rsidRPr="00C32B26">
        <w:rPr>
          <w:rFonts w:cs="Arial"/>
          <w:lang w:val="en-CA"/>
        </w:rPr>
        <w:t xml:space="preserve"> </w:t>
      </w:r>
      <w:r w:rsidR="00F62705" w:rsidRPr="00C32B26">
        <w:rPr>
          <w:rFonts w:cs="Arial"/>
          <w:lang w:val="en-CA"/>
        </w:rPr>
        <w:t xml:space="preserve">Also, the decision does not address </w:t>
      </w:r>
      <w:r w:rsidR="00F62705" w:rsidRPr="00C32B26">
        <w:rPr>
          <w:rFonts w:cs="Arial"/>
          <w:lang w:val="en-CA"/>
        </w:rPr>
        <w:lastRenderedPageBreak/>
        <w:t>the question of irreparable harm in the context of an application for a stay or an interlocutory injunction.</w:t>
      </w:r>
    </w:p>
    <w:p w14:paraId="34797771" w14:textId="49F4E9D3" w:rsidR="009A76B2" w:rsidRPr="00C32B26" w:rsidRDefault="003267A0" w:rsidP="00C03D48">
      <w:pPr>
        <w:pStyle w:val="Paragrdouble"/>
        <w:tabs>
          <w:tab w:val="clear" w:pos="3053"/>
          <w:tab w:val="num" w:pos="567"/>
        </w:tabs>
        <w:spacing w:line="240" w:lineRule="auto"/>
        <w:ind w:left="0"/>
        <w:rPr>
          <w:rFonts w:cs="Arial"/>
          <w:lang w:val="en-CA"/>
        </w:rPr>
      </w:pPr>
      <w:r w:rsidRPr="00C32B26">
        <w:rPr>
          <w:rFonts w:cs="Arial"/>
          <w:lang w:val="en-CA"/>
        </w:rPr>
        <w:t xml:space="preserve">In the Court’s opinion, the applicants’ evidence casts doubt on whether </w:t>
      </w:r>
      <w:r w:rsidR="00962B3A" w:rsidRPr="00C32B26">
        <w:rPr>
          <w:rFonts w:cs="Arial"/>
          <w:lang w:val="en-CA"/>
        </w:rPr>
        <w:t xml:space="preserve">qualified translators exist in sufficient </w:t>
      </w:r>
      <w:r w:rsidRPr="00C32B26">
        <w:rPr>
          <w:rFonts w:cs="Arial"/>
          <w:lang w:val="en-CA"/>
        </w:rPr>
        <w:t xml:space="preserve">number and </w:t>
      </w:r>
      <w:r w:rsidR="00962B3A" w:rsidRPr="00C32B26">
        <w:rPr>
          <w:rFonts w:cs="Arial"/>
          <w:lang w:val="en-CA"/>
        </w:rPr>
        <w:t xml:space="preserve">have sufficient </w:t>
      </w:r>
      <w:r w:rsidRPr="00C32B26">
        <w:rPr>
          <w:rFonts w:cs="Arial"/>
          <w:lang w:val="en-CA"/>
        </w:rPr>
        <w:t xml:space="preserve">availability </w:t>
      </w:r>
      <w:r w:rsidR="00962B3A" w:rsidRPr="00C32B26">
        <w:rPr>
          <w:rFonts w:cs="Arial"/>
          <w:lang w:val="en-CA"/>
        </w:rPr>
        <w:t>for legal pleadings to be translated</w:t>
      </w:r>
      <w:r w:rsidRPr="00C32B26">
        <w:rPr>
          <w:rFonts w:cs="Arial"/>
          <w:lang w:val="en-CA"/>
        </w:rPr>
        <w:t xml:space="preserve"> rapidly and </w:t>
      </w:r>
      <w:r w:rsidR="00F9621D" w:rsidRPr="00C32B26">
        <w:rPr>
          <w:rFonts w:cs="Arial"/>
          <w:lang w:val="en-CA"/>
        </w:rPr>
        <w:t>efficiently.</w:t>
      </w:r>
      <w:r w:rsidRPr="00C32B26">
        <w:rPr>
          <w:rFonts w:cs="Arial"/>
          <w:lang w:val="en-CA"/>
        </w:rPr>
        <w:t xml:space="preserve"> The resulting costs and delays raise concerns about access to the courts.</w:t>
      </w:r>
    </w:p>
    <w:p w14:paraId="3441CB02" w14:textId="3707322B" w:rsidR="004F610C" w:rsidRPr="00C32B26" w:rsidRDefault="009A76B2" w:rsidP="00C03D48">
      <w:pPr>
        <w:pStyle w:val="Paragrdouble"/>
        <w:tabs>
          <w:tab w:val="clear" w:pos="3053"/>
          <w:tab w:val="num" w:pos="567"/>
        </w:tabs>
        <w:spacing w:line="240" w:lineRule="auto"/>
        <w:ind w:left="0"/>
        <w:rPr>
          <w:rFonts w:cs="Arial"/>
          <w:lang w:val="en-CA"/>
        </w:rPr>
      </w:pPr>
      <w:r w:rsidRPr="00C32B26">
        <w:rPr>
          <w:rFonts w:cs="Arial"/>
          <w:lang w:val="en-CA"/>
        </w:rPr>
        <w:t xml:space="preserve"> </w:t>
      </w:r>
      <w:r w:rsidR="003267A0" w:rsidRPr="00C32B26">
        <w:rPr>
          <w:rFonts w:cs="Arial"/>
          <w:lang w:val="en-CA"/>
        </w:rPr>
        <w:t xml:space="preserve">The applicants’ evidence </w:t>
      </w:r>
      <w:r w:rsidR="00331ADB" w:rsidRPr="00C32B26">
        <w:rPr>
          <w:rFonts w:cs="Arial"/>
          <w:lang w:val="en-CA"/>
        </w:rPr>
        <w:t>constitutes</w:t>
      </w:r>
      <w:r w:rsidR="00414A3C" w:rsidRPr="00C32B26">
        <w:rPr>
          <w:rFonts w:cs="Arial"/>
          <w:lang w:val="en-CA"/>
        </w:rPr>
        <w:t xml:space="preserve"> </w:t>
      </w:r>
      <w:r w:rsidR="00331ADB" w:rsidRPr="00C32B26">
        <w:rPr>
          <w:rFonts w:cs="Arial"/>
          <w:lang w:val="en-CA"/>
        </w:rPr>
        <w:t xml:space="preserve">a </w:t>
      </w:r>
      <w:r w:rsidR="003267A0" w:rsidRPr="00C32B26">
        <w:rPr>
          <w:rFonts w:cs="Arial"/>
          <w:lang w:val="en-CA"/>
        </w:rPr>
        <w:t xml:space="preserve">sufficient basis </w:t>
      </w:r>
      <w:r w:rsidR="00616BA4" w:rsidRPr="00C32B26">
        <w:rPr>
          <w:rFonts w:cs="Arial"/>
          <w:lang w:val="en-CA"/>
        </w:rPr>
        <w:t xml:space="preserve">for </w:t>
      </w:r>
      <w:r w:rsidR="00842448" w:rsidRPr="00C32B26">
        <w:rPr>
          <w:rFonts w:cs="Arial"/>
          <w:lang w:val="en-CA"/>
        </w:rPr>
        <w:t xml:space="preserve">a finding </w:t>
      </w:r>
      <w:r w:rsidR="003267A0" w:rsidRPr="00C32B26">
        <w:rPr>
          <w:rFonts w:cs="Arial"/>
          <w:lang w:val="en-CA"/>
        </w:rPr>
        <w:t>that irreparable harm is probable, at least with respect to urgent or expedited proceedings</w:t>
      </w:r>
      <w:r w:rsidR="00990054" w:rsidRPr="00C32B26">
        <w:rPr>
          <w:rFonts w:cs="Arial"/>
          <w:lang w:val="en-CA"/>
        </w:rPr>
        <w:t xml:space="preserve">. </w:t>
      </w:r>
      <w:r w:rsidR="00414A3C" w:rsidRPr="00C32B26">
        <w:rPr>
          <w:rFonts w:cs="Arial"/>
          <w:lang w:val="en-CA"/>
        </w:rPr>
        <w:t>This is not, as the AGQ argues, a hypothetical</w:t>
      </w:r>
      <w:r w:rsidR="00990054" w:rsidRPr="00C32B26">
        <w:rPr>
          <w:rFonts w:cs="Arial"/>
          <w:lang w:val="en-CA"/>
        </w:rPr>
        <w:t xml:space="preserve"> situation</w:t>
      </w:r>
      <w:r w:rsidR="00414A3C" w:rsidRPr="00C32B26">
        <w:rPr>
          <w:rFonts w:cs="Arial"/>
          <w:lang w:val="en-CA"/>
        </w:rPr>
        <w:t xml:space="preserve">. Indeed, </w:t>
      </w:r>
      <w:r w:rsidR="009A30B5" w:rsidRPr="00C32B26">
        <w:rPr>
          <w:rFonts w:cs="Arial"/>
          <w:lang w:val="en-CA"/>
        </w:rPr>
        <w:t>with respect to</w:t>
      </w:r>
      <w:r w:rsidR="00414A3C" w:rsidRPr="00C32B26">
        <w:rPr>
          <w:rFonts w:cs="Arial"/>
          <w:lang w:val="en-CA"/>
        </w:rPr>
        <w:t xml:space="preserve"> safeguard orders, </w:t>
      </w:r>
      <w:r w:rsidR="001F5FB6" w:rsidRPr="00C32B26">
        <w:rPr>
          <w:rFonts w:cs="Arial"/>
          <w:lang w:val="en-CA"/>
        </w:rPr>
        <w:t>temporary</w:t>
      </w:r>
      <w:r w:rsidR="00414A3C" w:rsidRPr="00C32B26">
        <w:rPr>
          <w:rFonts w:cs="Arial"/>
          <w:lang w:val="en-CA"/>
        </w:rPr>
        <w:t xml:space="preserve"> or interlocutory injunctions, seizures before judgment and Anton Pill</w:t>
      </w:r>
      <w:r w:rsidR="00616BA4" w:rsidRPr="00C32B26">
        <w:rPr>
          <w:rFonts w:cs="Arial"/>
          <w:lang w:val="en-CA"/>
        </w:rPr>
        <w:t>e</w:t>
      </w:r>
      <w:r w:rsidR="00414A3C" w:rsidRPr="00C32B26">
        <w:rPr>
          <w:rFonts w:cs="Arial"/>
          <w:lang w:val="en-CA"/>
        </w:rPr>
        <w:t xml:space="preserve">r </w:t>
      </w:r>
      <w:r w:rsidR="00617A62" w:rsidRPr="00C32B26">
        <w:rPr>
          <w:rFonts w:cs="Arial"/>
          <w:lang w:val="en-CA"/>
        </w:rPr>
        <w:t>order</w:t>
      </w:r>
      <w:r w:rsidR="00B206DD" w:rsidRPr="00C32B26">
        <w:rPr>
          <w:rFonts w:cs="Arial"/>
          <w:lang w:val="en-CA"/>
        </w:rPr>
        <w:t>s—</w:t>
      </w:r>
      <w:r w:rsidR="00414A3C" w:rsidRPr="00C32B26">
        <w:rPr>
          <w:rFonts w:cs="Arial"/>
          <w:lang w:val="en-CA"/>
        </w:rPr>
        <w:t>to name just those forms of relief</w:t>
      </w:r>
      <w:r w:rsidR="00B206DD" w:rsidRPr="00C32B26">
        <w:rPr>
          <w:rFonts w:cs="Arial"/>
          <w:lang w:val="en-CA"/>
        </w:rPr>
        <w:t>—</w:t>
      </w:r>
      <w:r w:rsidR="00414A3C" w:rsidRPr="00C32B26">
        <w:rPr>
          <w:rFonts w:cs="Arial"/>
          <w:lang w:val="en-CA"/>
        </w:rPr>
        <w:t>the Court can take judicial notice of the fact that the</w:t>
      </w:r>
      <w:r w:rsidR="003A7DE8" w:rsidRPr="00C32B26">
        <w:rPr>
          <w:rFonts w:cs="Arial"/>
          <w:lang w:val="en-CA"/>
        </w:rPr>
        <w:t xml:space="preserve"> applications</w:t>
      </w:r>
      <w:r w:rsidR="00414A3C" w:rsidRPr="00C32B26">
        <w:rPr>
          <w:rFonts w:cs="Arial"/>
          <w:lang w:val="en-CA"/>
        </w:rPr>
        <w:t xml:space="preserve"> are urgent and may require rapid appearances before the courts to prevent irreparable harm.</w:t>
      </w:r>
    </w:p>
    <w:p w14:paraId="630B9249" w14:textId="1597B91D" w:rsidR="00AC02E1" w:rsidRPr="00C32B26" w:rsidRDefault="00501EF8" w:rsidP="00AC02E1">
      <w:pPr>
        <w:pStyle w:val="Paragrdouble"/>
        <w:tabs>
          <w:tab w:val="clear" w:pos="3053"/>
          <w:tab w:val="num" w:pos="567"/>
        </w:tabs>
        <w:spacing w:line="240" w:lineRule="auto"/>
        <w:ind w:left="0"/>
        <w:rPr>
          <w:rFonts w:cs="Arial"/>
          <w:lang w:val="en-CA"/>
        </w:rPr>
      </w:pPr>
      <w:r w:rsidRPr="00C32B26">
        <w:rPr>
          <w:rFonts w:cs="Arial"/>
          <w:lang w:val="en-CA"/>
        </w:rPr>
        <w:t xml:space="preserve">The AGQ responds that the interested party need only ask a judge for an order accommodating it so </w:t>
      </w:r>
      <w:r w:rsidR="00F9621D" w:rsidRPr="00C32B26">
        <w:rPr>
          <w:rFonts w:cs="Arial"/>
          <w:lang w:val="en-CA"/>
        </w:rPr>
        <w:t>the right is not</w:t>
      </w:r>
      <w:r w:rsidRPr="00C32B26">
        <w:rPr>
          <w:rFonts w:cs="Arial"/>
          <w:lang w:val="en-CA"/>
        </w:rPr>
        <w:t xml:space="preserve"> lost. It argues that </w:t>
      </w:r>
      <w:r w:rsidR="00605CF9" w:rsidRPr="00C32B26">
        <w:rPr>
          <w:rFonts w:cs="Arial"/>
          <w:lang w:val="en-CA"/>
        </w:rPr>
        <w:t>a</w:t>
      </w:r>
      <w:r w:rsidRPr="00C32B26">
        <w:rPr>
          <w:rFonts w:cs="Arial"/>
          <w:lang w:val="en-CA"/>
        </w:rPr>
        <w:t xml:space="preserve"> party faced with an urgent situation can simply ask a judge to extend the timelines so it can obtain a certified translation of the pleadings and thereby move </w:t>
      </w:r>
      <w:r w:rsidR="00146114" w:rsidRPr="00C32B26">
        <w:rPr>
          <w:rFonts w:cs="Arial"/>
          <w:lang w:val="en-CA"/>
        </w:rPr>
        <w:t>forward</w:t>
      </w:r>
      <w:r w:rsidRPr="00C32B26">
        <w:rPr>
          <w:rFonts w:cs="Arial"/>
          <w:lang w:val="en-CA"/>
        </w:rPr>
        <w:t>. It is true that</w:t>
      </w:r>
      <w:r w:rsidR="00605CF9" w:rsidRPr="00C32B26">
        <w:rPr>
          <w:rFonts w:cs="Arial"/>
          <w:lang w:val="en-CA"/>
        </w:rPr>
        <w:t xml:space="preserve"> this solution can be envisaged</w:t>
      </w:r>
      <w:r w:rsidRPr="00C32B26">
        <w:rPr>
          <w:rFonts w:cs="Arial"/>
          <w:lang w:val="en-CA"/>
        </w:rPr>
        <w:t xml:space="preserve"> in cases where a recourse would be lost due to imminent prescription. But </w:t>
      </w:r>
      <w:r w:rsidR="00605CF9" w:rsidRPr="00C32B26">
        <w:rPr>
          <w:rFonts w:cs="Arial"/>
          <w:lang w:val="en-CA"/>
        </w:rPr>
        <w:t>this</w:t>
      </w:r>
      <w:r w:rsidR="00870F2A" w:rsidRPr="00C32B26">
        <w:rPr>
          <w:rFonts w:cs="Arial"/>
          <w:lang w:val="en-CA"/>
        </w:rPr>
        <w:t xml:space="preserve"> </w:t>
      </w:r>
      <w:r w:rsidRPr="00C32B26">
        <w:rPr>
          <w:rFonts w:cs="Arial"/>
          <w:lang w:val="en-CA"/>
        </w:rPr>
        <w:t>would not prevent the party being sued beyond the time limits from contesting the request.</w:t>
      </w:r>
    </w:p>
    <w:p w14:paraId="2F916B15" w14:textId="6B1E59D7" w:rsidR="002370A5" w:rsidRPr="00C32B26" w:rsidRDefault="00521C97" w:rsidP="00AC02E1">
      <w:pPr>
        <w:pStyle w:val="Paragrdouble"/>
        <w:tabs>
          <w:tab w:val="clear" w:pos="3053"/>
          <w:tab w:val="num" w:pos="567"/>
        </w:tabs>
        <w:spacing w:line="240" w:lineRule="auto"/>
        <w:ind w:left="0"/>
        <w:rPr>
          <w:rFonts w:cs="Arial"/>
          <w:lang w:val="en-CA"/>
        </w:rPr>
      </w:pPr>
      <w:r w:rsidRPr="00C32B26">
        <w:rPr>
          <w:rFonts w:cs="Arial"/>
          <w:lang w:val="en-CA"/>
        </w:rPr>
        <w:t xml:space="preserve"> </w:t>
      </w:r>
      <w:r w:rsidR="009E4839" w:rsidRPr="00C32B26">
        <w:rPr>
          <w:rFonts w:cs="Arial"/>
          <w:lang w:val="en-CA"/>
        </w:rPr>
        <w:t xml:space="preserve">Similarly, if leave is granted to </w:t>
      </w:r>
      <w:r w:rsidR="003E4EF4" w:rsidRPr="00C32B26">
        <w:rPr>
          <w:rFonts w:cs="Arial"/>
          <w:lang w:val="en-CA"/>
        </w:rPr>
        <w:t>file a</w:t>
      </w:r>
      <w:r w:rsidR="009E4839" w:rsidRPr="00C32B26">
        <w:rPr>
          <w:rFonts w:cs="Arial"/>
          <w:lang w:val="en-CA"/>
        </w:rPr>
        <w:t xml:space="preserve"> pleading in English at first and then later in certified French translation, this could be challenge</w:t>
      </w:r>
      <w:r w:rsidR="0073711A" w:rsidRPr="00C32B26">
        <w:rPr>
          <w:rFonts w:cs="Arial"/>
          <w:lang w:val="en-CA"/>
        </w:rPr>
        <w:t>d</w:t>
      </w:r>
      <w:r w:rsidR="009E4839" w:rsidRPr="00C32B26">
        <w:rPr>
          <w:rFonts w:cs="Arial"/>
          <w:lang w:val="en-CA"/>
        </w:rPr>
        <w:t xml:space="preserve"> as well. The </w:t>
      </w:r>
      <w:r w:rsidR="009E4839" w:rsidRPr="00C32B26">
        <w:rPr>
          <w:rFonts w:cs="Arial"/>
          <w:i/>
          <w:iCs/>
          <w:lang w:val="en-CA"/>
        </w:rPr>
        <w:t>Act</w:t>
      </w:r>
      <w:r w:rsidR="009E4839" w:rsidRPr="00C32B26">
        <w:rPr>
          <w:rFonts w:cs="Arial"/>
          <w:lang w:val="en-CA"/>
        </w:rPr>
        <w:t xml:space="preserve"> as currently drafted does not authorize any accommodation.</w:t>
      </w:r>
    </w:p>
    <w:p w14:paraId="3F70E6CB" w14:textId="4E7824A6" w:rsidR="007A3835" w:rsidRPr="00C32B26" w:rsidRDefault="00D4443A" w:rsidP="00C03D48">
      <w:pPr>
        <w:pStyle w:val="Paragrdouble"/>
        <w:tabs>
          <w:tab w:val="clear" w:pos="3053"/>
          <w:tab w:val="num" w:pos="567"/>
        </w:tabs>
        <w:spacing w:line="240" w:lineRule="auto"/>
        <w:ind w:left="0"/>
        <w:rPr>
          <w:rFonts w:cs="Arial"/>
          <w:lang w:val="en-CA"/>
        </w:rPr>
      </w:pPr>
      <w:r w:rsidRPr="00C32B26">
        <w:rPr>
          <w:rFonts w:cs="Arial"/>
          <w:lang w:val="en-CA"/>
        </w:rPr>
        <w:t>Thus,</w:t>
      </w:r>
      <w:r w:rsidR="00176128" w:rsidRPr="00C32B26">
        <w:rPr>
          <w:rFonts w:cs="Arial"/>
          <w:lang w:val="en-CA"/>
        </w:rPr>
        <w:t xml:space="preserve"> with</w:t>
      </w:r>
      <w:r w:rsidR="00D81D9A" w:rsidRPr="00C32B26">
        <w:rPr>
          <w:rFonts w:cs="Arial"/>
          <w:lang w:val="en-CA"/>
        </w:rPr>
        <w:t xml:space="preserve"> certain urgent applications</w:t>
      </w:r>
      <w:r w:rsidR="00176128" w:rsidRPr="00C32B26">
        <w:rPr>
          <w:rFonts w:cs="Arial"/>
          <w:lang w:val="en-CA"/>
        </w:rPr>
        <w:t xml:space="preserve">, </w:t>
      </w:r>
      <w:r w:rsidR="00D81D9A" w:rsidRPr="00C32B26">
        <w:rPr>
          <w:rFonts w:cs="Arial"/>
          <w:lang w:val="en-CA"/>
        </w:rPr>
        <w:t xml:space="preserve">access to the </w:t>
      </w:r>
      <w:r w:rsidR="00423CA8" w:rsidRPr="00C32B26">
        <w:rPr>
          <w:rFonts w:cs="Arial"/>
          <w:lang w:val="en-CA"/>
        </w:rPr>
        <w:t>c</w:t>
      </w:r>
      <w:r w:rsidR="00D81D9A" w:rsidRPr="00C32B26">
        <w:rPr>
          <w:rFonts w:cs="Arial"/>
          <w:lang w:val="en-CA"/>
        </w:rPr>
        <w:t xml:space="preserve">ourts for </w:t>
      </w:r>
      <w:r w:rsidRPr="00C32B26">
        <w:rPr>
          <w:rFonts w:cs="Arial"/>
          <w:lang w:val="en-CA"/>
        </w:rPr>
        <w:t>the purpose of asserting</w:t>
      </w:r>
      <w:r w:rsidR="00D81D9A" w:rsidRPr="00C32B26">
        <w:rPr>
          <w:rFonts w:cs="Arial"/>
          <w:lang w:val="en-CA"/>
        </w:rPr>
        <w:t xml:space="preserve"> rights </w:t>
      </w:r>
      <w:r w:rsidR="00176128" w:rsidRPr="00C32B26">
        <w:rPr>
          <w:rFonts w:cs="Arial"/>
          <w:lang w:val="en-CA"/>
        </w:rPr>
        <w:t xml:space="preserve">is </w:t>
      </w:r>
      <w:r w:rsidR="00BF4806" w:rsidRPr="00C32B26">
        <w:rPr>
          <w:rFonts w:cs="Arial"/>
          <w:lang w:val="en-CA"/>
        </w:rPr>
        <w:t xml:space="preserve">rendered </w:t>
      </w:r>
      <w:r w:rsidR="00D81D9A" w:rsidRPr="00C32B26">
        <w:rPr>
          <w:rFonts w:cs="Arial"/>
          <w:lang w:val="en-CA"/>
        </w:rPr>
        <w:t xml:space="preserve">illusory. </w:t>
      </w:r>
      <w:r w:rsidR="007E3EB0" w:rsidRPr="00C32B26">
        <w:rPr>
          <w:rFonts w:cs="Arial"/>
          <w:lang w:val="en-CA"/>
        </w:rPr>
        <w:t>By way of example, consider</w:t>
      </w:r>
      <w:r w:rsidR="00D81D9A" w:rsidRPr="00C32B26">
        <w:rPr>
          <w:rFonts w:cs="Arial"/>
          <w:lang w:val="en-CA"/>
        </w:rPr>
        <w:t xml:space="preserve"> an application for the seizure of certain property before judgment</w:t>
      </w:r>
      <w:r w:rsidR="007B40ED" w:rsidRPr="00C32B26">
        <w:rPr>
          <w:rFonts w:cs="Arial"/>
          <w:lang w:val="en-CA"/>
        </w:rPr>
        <w:t>,</w:t>
      </w:r>
      <w:r w:rsidR="00D81D9A" w:rsidRPr="00C32B26">
        <w:rPr>
          <w:rFonts w:cs="Arial"/>
          <w:lang w:val="en-CA"/>
        </w:rPr>
        <w:t xml:space="preserve"> </w:t>
      </w:r>
      <w:r w:rsidR="00AF6EC4" w:rsidRPr="00C32B26">
        <w:rPr>
          <w:rFonts w:cs="Arial"/>
          <w:lang w:val="en-CA"/>
        </w:rPr>
        <w:t xml:space="preserve">brought </w:t>
      </w:r>
      <w:r w:rsidR="00D81D9A" w:rsidRPr="00C32B26">
        <w:rPr>
          <w:rFonts w:cs="Arial"/>
          <w:lang w:val="en-CA"/>
        </w:rPr>
        <w:t xml:space="preserve">to prevent the property from disappearing. </w:t>
      </w:r>
      <w:r w:rsidR="00A952C6" w:rsidRPr="00C32B26">
        <w:rPr>
          <w:rFonts w:cs="Arial"/>
          <w:lang w:val="en-CA"/>
        </w:rPr>
        <w:t>If</w:t>
      </w:r>
      <w:r w:rsidR="00AF6EC4" w:rsidRPr="00C32B26">
        <w:rPr>
          <w:rFonts w:cs="Arial"/>
          <w:lang w:val="en-CA"/>
        </w:rPr>
        <w:t> </w:t>
      </w:r>
      <w:r w:rsidR="00E268D3" w:rsidRPr="00C32B26">
        <w:rPr>
          <w:rFonts w:cs="Arial"/>
          <w:lang w:val="en-CA"/>
        </w:rPr>
        <w:t>such an</w:t>
      </w:r>
      <w:r w:rsidR="00A952C6" w:rsidRPr="00C32B26">
        <w:rPr>
          <w:rFonts w:cs="Arial"/>
          <w:lang w:val="en-CA"/>
        </w:rPr>
        <w:t xml:space="preserve"> application </w:t>
      </w:r>
      <w:r w:rsidR="00E268D3" w:rsidRPr="00C32B26">
        <w:rPr>
          <w:rFonts w:cs="Arial"/>
          <w:lang w:val="en-CA"/>
        </w:rPr>
        <w:t>were</w:t>
      </w:r>
      <w:r w:rsidR="00A952C6" w:rsidRPr="00C32B26">
        <w:rPr>
          <w:rFonts w:cs="Arial"/>
          <w:lang w:val="en-CA"/>
        </w:rPr>
        <w:t xml:space="preserve"> in English only and </w:t>
      </w:r>
      <w:r w:rsidR="00E268D3" w:rsidRPr="00C32B26">
        <w:rPr>
          <w:rFonts w:cs="Arial"/>
          <w:lang w:val="en-CA"/>
        </w:rPr>
        <w:t>were</w:t>
      </w:r>
      <w:r w:rsidR="00A952C6" w:rsidRPr="00C32B26">
        <w:rPr>
          <w:rFonts w:cs="Arial"/>
          <w:lang w:val="en-CA"/>
        </w:rPr>
        <w:t xml:space="preserve"> not accompanied by a certified translation from a certified translator, </w:t>
      </w:r>
      <w:r w:rsidR="00E268D3" w:rsidRPr="00C32B26">
        <w:rPr>
          <w:rFonts w:cs="Arial"/>
          <w:lang w:val="en-CA"/>
        </w:rPr>
        <w:t>it would</w:t>
      </w:r>
      <w:r w:rsidR="00D81D9A" w:rsidRPr="00C32B26">
        <w:rPr>
          <w:rFonts w:cs="Arial"/>
          <w:lang w:val="en-CA"/>
        </w:rPr>
        <w:t xml:space="preserve"> not </w:t>
      </w:r>
      <w:r w:rsidR="00E268D3" w:rsidRPr="00C32B26">
        <w:rPr>
          <w:rFonts w:cs="Arial"/>
          <w:lang w:val="en-CA"/>
        </w:rPr>
        <w:t xml:space="preserve">be </w:t>
      </w:r>
      <w:r w:rsidR="00D81D9A" w:rsidRPr="00C32B26">
        <w:rPr>
          <w:rFonts w:cs="Arial"/>
          <w:lang w:val="en-CA"/>
        </w:rPr>
        <w:t>eligible for filing. It</w:t>
      </w:r>
      <w:r w:rsidR="00176128" w:rsidRPr="00C32B26">
        <w:rPr>
          <w:rFonts w:cs="Arial"/>
          <w:lang w:val="en-CA"/>
        </w:rPr>
        <w:t> </w:t>
      </w:r>
      <w:r w:rsidR="00D81D9A" w:rsidRPr="00C32B26">
        <w:rPr>
          <w:rFonts w:cs="Arial"/>
          <w:lang w:val="en-CA"/>
        </w:rPr>
        <w:t xml:space="preserve">would not be possible to seize the </w:t>
      </w:r>
      <w:r w:rsidR="00423CA8" w:rsidRPr="00C32B26">
        <w:rPr>
          <w:rFonts w:cs="Arial"/>
          <w:lang w:val="en-CA"/>
        </w:rPr>
        <w:t>c</w:t>
      </w:r>
      <w:r w:rsidR="00D81D9A" w:rsidRPr="00C32B26">
        <w:rPr>
          <w:rFonts w:cs="Arial"/>
          <w:lang w:val="en-CA"/>
        </w:rPr>
        <w:t xml:space="preserve">ourt of the application; a court file </w:t>
      </w:r>
      <w:r w:rsidR="00176128" w:rsidRPr="00C32B26">
        <w:rPr>
          <w:rFonts w:cs="Arial"/>
          <w:lang w:val="en-CA"/>
        </w:rPr>
        <w:t>c</w:t>
      </w:r>
      <w:r w:rsidR="00D81D9A" w:rsidRPr="00C32B26">
        <w:rPr>
          <w:rFonts w:cs="Arial"/>
          <w:lang w:val="en-CA"/>
        </w:rPr>
        <w:t>ould not even be opened. The</w:t>
      </w:r>
      <w:r w:rsidR="00AF6EC4" w:rsidRPr="00C32B26">
        <w:rPr>
          <w:rFonts w:cs="Arial"/>
          <w:lang w:val="en-CA"/>
        </w:rPr>
        <w:t> </w:t>
      </w:r>
      <w:r w:rsidR="00D81D9A" w:rsidRPr="00C32B26">
        <w:rPr>
          <w:rFonts w:cs="Arial"/>
          <w:lang w:val="en-CA"/>
        </w:rPr>
        <w:t>same applies to applications for temporary injunctions.</w:t>
      </w:r>
      <w:r w:rsidR="007A3835" w:rsidRPr="00C32B26">
        <w:rPr>
          <w:rFonts w:cs="Arial"/>
          <w:lang w:val="en-CA"/>
        </w:rPr>
        <w:t xml:space="preserve"> </w:t>
      </w:r>
    </w:p>
    <w:p w14:paraId="613A5299" w14:textId="0C005008" w:rsidR="00F72C6E" w:rsidRPr="00C32B26" w:rsidRDefault="00D417D4" w:rsidP="00F72C6E">
      <w:pPr>
        <w:pStyle w:val="Paragrdouble"/>
        <w:tabs>
          <w:tab w:val="clear" w:pos="3053"/>
          <w:tab w:val="num" w:pos="567"/>
        </w:tabs>
        <w:spacing w:line="240" w:lineRule="auto"/>
        <w:ind w:left="0"/>
        <w:rPr>
          <w:rFonts w:cs="Arial"/>
          <w:lang w:val="en-CA"/>
        </w:rPr>
      </w:pPr>
      <w:r w:rsidRPr="00C32B26">
        <w:rPr>
          <w:rFonts w:cs="Arial"/>
          <w:lang w:val="en-CA"/>
        </w:rPr>
        <w:t>The submission</w:t>
      </w:r>
      <w:r w:rsidR="001A6F2F" w:rsidRPr="00C32B26">
        <w:rPr>
          <w:rFonts w:cs="Arial"/>
          <w:lang w:val="en-CA"/>
        </w:rPr>
        <w:t xml:space="preserve"> by counsel for the AGQ</w:t>
      </w:r>
      <w:r w:rsidR="00742299" w:rsidRPr="00C32B26">
        <w:rPr>
          <w:rFonts w:cs="Arial"/>
          <w:lang w:val="en-CA"/>
        </w:rPr>
        <w:t xml:space="preserve"> </w:t>
      </w:r>
      <w:r w:rsidRPr="00C32B26">
        <w:rPr>
          <w:rFonts w:cs="Arial"/>
          <w:lang w:val="en-CA"/>
        </w:rPr>
        <w:t xml:space="preserve">that it would suffice to appear before a judge in chambers with a sworn statement and make oral arguments in view of the insufficient time to obtain a French translation of the application for seizure or injunction cannot be used as a basis for arguing that no irreparable harm would result from Bill 96 coming into force. A court action must be based on a pleading that sets out the relief sought, and on supporting evidence. A sworn statement </w:t>
      </w:r>
      <w:r w:rsidR="00423CA8" w:rsidRPr="00C32B26">
        <w:rPr>
          <w:rFonts w:cs="Arial"/>
          <w:lang w:val="en-CA"/>
        </w:rPr>
        <w:t xml:space="preserve">that can be </w:t>
      </w:r>
      <w:r w:rsidRPr="00C32B26">
        <w:rPr>
          <w:rFonts w:cs="Arial"/>
          <w:lang w:val="en-CA"/>
        </w:rPr>
        <w:t xml:space="preserve">drafted in English serves only as evidence and </w:t>
      </w:r>
      <w:r w:rsidR="005D122D" w:rsidRPr="00C32B26">
        <w:rPr>
          <w:rFonts w:cs="Arial"/>
          <w:lang w:val="en-CA"/>
        </w:rPr>
        <w:t>is not the same as</w:t>
      </w:r>
      <w:r w:rsidRPr="00C32B26">
        <w:rPr>
          <w:rFonts w:cs="Arial"/>
          <w:lang w:val="en-CA"/>
        </w:rPr>
        <w:t xml:space="preserve"> a pleading setting out the claim.</w:t>
      </w:r>
      <w:r w:rsidR="00F72C6E" w:rsidRPr="00C32B26">
        <w:rPr>
          <w:rFonts w:cs="Arial"/>
          <w:lang w:val="en-CA"/>
        </w:rPr>
        <w:t xml:space="preserve"> </w:t>
      </w:r>
    </w:p>
    <w:p w14:paraId="52763ABE" w14:textId="030B02E6" w:rsidR="001845D4" w:rsidRPr="00C32B26" w:rsidRDefault="00A608FF" w:rsidP="00F72C6E">
      <w:pPr>
        <w:pStyle w:val="Paragrdouble"/>
        <w:tabs>
          <w:tab w:val="clear" w:pos="3053"/>
          <w:tab w:val="num" w:pos="567"/>
        </w:tabs>
        <w:spacing w:line="240" w:lineRule="auto"/>
        <w:ind w:left="0"/>
        <w:rPr>
          <w:rFonts w:cs="Arial"/>
          <w:lang w:val="en-CA"/>
        </w:rPr>
      </w:pPr>
      <w:r w:rsidRPr="00C32B26">
        <w:rPr>
          <w:rFonts w:cs="Arial"/>
          <w:lang w:val="en-CA"/>
        </w:rPr>
        <w:lastRenderedPageBreak/>
        <w:t>The translation requirement involves time limits that begin to run once the pleading is finalized. The translation would need to be a translation of the final</w:t>
      </w:r>
      <w:r w:rsidR="004E0B59" w:rsidRPr="00C32B26">
        <w:rPr>
          <w:rFonts w:cs="Arial"/>
          <w:lang w:val="en-CA"/>
        </w:rPr>
        <w:t xml:space="preserve"> and</w:t>
      </w:r>
      <w:r w:rsidRPr="00C32B26">
        <w:rPr>
          <w:rFonts w:cs="Arial"/>
          <w:lang w:val="en-CA"/>
        </w:rPr>
        <w:t xml:space="preserve"> complete version of the pleading.</w:t>
      </w:r>
    </w:p>
    <w:p w14:paraId="4569A4A8" w14:textId="5E4E56EA" w:rsidR="00883C4C" w:rsidRPr="00C32B26" w:rsidRDefault="00BE56EE" w:rsidP="00C03D48">
      <w:pPr>
        <w:pStyle w:val="Paragrdouble"/>
        <w:tabs>
          <w:tab w:val="clear" w:pos="3053"/>
          <w:tab w:val="num" w:pos="567"/>
        </w:tabs>
        <w:spacing w:line="240" w:lineRule="auto"/>
        <w:ind w:left="0"/>
        <w:rPr>
          <w:rFonts w:cs="Arial"/>
          <w:lang w:val="en-CA"/>
        </w:rPr>
      </w:pPr>
      <w:r w:rsidRPr="00C32B26">
        <w:rPr>
          <w:rFonts w:cs="Arial"/>
          <w:lang w:val="en-CA"/>
        </w:rPr>
        <w:t xml:space="preserve">The </w:t>
      </w:r>
      <w:r w:rsidR="00423CA8" w:rsidRPr="00C32B26">
        <w:rPr>
          <w:rFonts w:cs="Arial"/>
          <w:lang w:val="en-CA"/>
        </w:rPr>
        <w:t xml:space="preserve">alleged </w:t>
      </w:r>
      <w:r w:rsidRPr="00C32B26">
        <w:rPr>
          <w:rFonts w:cs="Arial"/>
          <w:lang w:val="en-CA"/>
        </w:rPr>
        <w:t xml:space="preserve">challenge for access to justice </w:t>
      </w:r>
      <w:r w:rsidR="008B4323" w:rsidRPr="00C32B26">
        <w:rPr>
          <w:rFonts w:cs="Arial"/>
          <w:lang w:val="en-CA"/>
        </w:rPr>
        <w:t>is not obviated</w:t>
      </w:r>
      <w:r w:rsidRPr="00C32B26">
        <w:rPr>
          <w:rFonts w:cs="Arial"/>
          <w:lang w:val="en-CA"/>
        </w:rPr>
        <w:t xml:space="preserve"> if</w:t>
      </w:r>
      <w:r w:rsidR="00883C4C" w:rsidRPr="00C32B26">
        <w:rPr>
          <w:rFonts w:cs="Arial"/>
          <w:lang w:val="en-CA"/>
        </w:rPr>
        <w:t xml:space="preserve"> </w:t>
      </w:r>
      <w:r w:rsidRPr="00C32B26">
        <w:rPr>
          <w:rFonts w:cs="Arial"/>
          <w:lang w:val="en-CA"/>
        </w:rPr>
        <w:t xml:space="preserve">section </w:t>
      </w:r>
      <w:r w:rsidR="00883C4C" w:rsidRPr="00C32B26">
        <w:rPr>
          <w:rFonts w:cs="Arial"/>
          <w:lang w:val="en-CA"/>
        </w:rPr>
        <w:t xml:space="preserve">208.6 </w:t>
      </w:r>
      <w:r w:rsidRPr="00C32B26">
        <w:rPr>
          <w:rFonts w:cs="Arial"/>
          <w:lang w:val="en-CA"/>
        </w:rPr>
        <w:t xml:space="preserve">of the </w:t>
      </w:r>
      <w:r w:rsidR="00F55EE4" w:rsidRPr="00C32B26">
        <w:rPr>
          <w:rFonts w:cs="Arial"/>
          <w:i/>
          <w:iCs/>
          <w:lang w:val="en-CA"/>
        </w:rPr>
        <w:t>Charter of the French language</w:t>
      </w:r>
      <w:r w:rsidRPr="00C32B26">
        <w:rPr>
          <w:rFonts w:cs="Arial"/>
          <w:lang w:val="en-CA"/>
        </w:rPr>
        <w:t xml:space="preserve"> comes into force</w:t>
      </w:r>
      <w:r w:rsidR="00883C4C" w:rsidRPr="00C32B26">
        <w:rPr>
          <w:rFonts w:cs="Arial"/>
          <w:lang w:val="en-CA"/>
        </w:rPr>
        <w:t xml:space="preserve"> </w:t>
      </w:r>
      <w:r w:rsidRPr="00C32B26">
        <w:rPr>
          <w:rFonts w:cs="Arial"/>
          <w:lang w:val="en-CA"/>
        </w:rPr>
        <w:t xml:space="preserve">because, if the pleading is submitted for filing without the certified French version, </w:t>
      </w:r>
      <w:r w:rsidR="001C181F" w:rsidRPr="00C32B26">
        <w:rPr>
          <w:rFonts w:cs="Arial"/>
          <w:lang w:val="en-CA"/>
        </w:rPr>
        <w:t>it</w:t>
      </w:r>
      <w:r w:rsidRPr="00C32B26">
        <w:rPr>
          <w:rFonts w:cs="Arial"/>
          <w:lang w:val="en-CA"/>
        </w:rPr>
        <w:t xml:space="preserve"> is automatically rejected and sent back. </w:t>
      </w:r>
      <w:r w:rsidR="00F23102" w:rsidRPr="00C32B26">
        <w:rPr>
          <w:rFonts w:cs="Arial"/>
          <w:lang w:val="en-CA"/>
        </w:rPr>
        <w:t xml:space="preserve">Thus, the sanction prevents the opening of the court file </w:t>
      </w:r>
      <w:r w:rsidR="00663D89" w:rsidRPr="00C32B26">
        <w:rPr>
          <w:rFonts w:cs="Arial"/>
          <w:lang w:val="en-CA"/>
        </w:rPr>
        <w:t>and, as a result,</w:t>
      </w:r>
      <w:r w:rsidR="00F23102" w:rsidRPr="00C32B26">
        <w:rPr>
          <w:rFonts w:cs="Arial"/>
          <w:lang w:val="en-CA"/>
        </w:rPr>
        <w:t xml:space="preserve"> an application to a judge for an extension of the time limits</w:t>
      </w:r>
      <w:r w:rsidR="009D058C" w:rsidRPr="00C32B26">
        <w:rPr>
          <w:rFonts w:cs="Arial"/>
          <w:lang w:val="en-CA"/>
        </w:rPr>
        <w:t xml:space="preserve"> would not appear to be an option, as there is no way to access it. </w:t>
      </w:r>
      <w:r w:rsidR="00F23102" w:rsidRPr="00C32B26">
        <w:rPr>
          <w:rFonts w:cs="Arial"/>
          <w:lang w:val="en-CA"/>
        </w:rPr>
        <w:t xml:space="preserve"> </w:t>
      </w:r>
    </w:p>
    <w:p w14:paraId="3B738C66" w14:textId="114CC7AF" w:rsidR="007F1750" w:rsidRPr="00C32B26" w:rsidRDefault="003606CC" w:rsidP="00C03D48">
      <w:pPr>
        <w:pStyle w:val="Paragrdouble"/>
        <w:tabs>
          <w:tab w:val="clear" w:pos="3053"/>
          <w:tab w:val="num" w:pos="567"/>
        </w:tabs>
        <w:spacing w:line="240" w:lineRule="auto"/>
        <w:ind w:left="0"/>
        <w:rPr>
          <w:rFonts w:cs="Arial"/>
          <w:lang w:val="en-CA"/>
        </w:rPr>
      </w:pPr>
      <w:r w:rsidRPr="00C32B26">
        <w:rPr>
          <w:rFonts w:cs="Arial"/>
          <w:lang w:val="en-CA"/>
        </w:rPr>
        <w:t>In addition to that question, there is the question of the additional costs required of all legal persons that come before the courts, be they plaintiffs, applicants, defendants or respondents, throughout each step</w:t>
      </w:r>
      <w:r w:rsidR="00874E01" w:rsidRPr="00C32B26">
        <w:rPr>
          <w:rFonts w:cs="Arial"/>
          <w:lang w:val="en-CA"/>
        </w:rPr>
        <w:t xml:space="preserve"> of readying the case for trial.</w:t>
      </w:r>
    </w:p>
    <w:p w14:paraId="394C76FB" w14:textId="54B2F56C" w:rsidR="001845D4" w:rsidRPr="00C32B26" w:rsidRDefault="002915EB" w:rsidP="00C03D48">
      <w:pPr>
        <w:pStyle w:val="Paragrdouble"/>
        <w:tabs>
          <w:tab w:val="clear" w:pos="3053"/>
          <w:tab w:val="num" w:pos="567"/>
        </w:tabs>
        <w:spacing w:line="240" w:lineRule="auto"/>
        <w:ind w:left="0"/>
        <w:rPr>
          <w:rFonts w:cs="Arial"/>
          <w:lang w:val="en-CA"/>
        </w:rPr>
      </w:pPr>
      <w:r w:rsidRPr="00C32B26">
        <w:rPr>
          <w:rFonts w:cs="Arial"/>
          <w:lang w:val="en-CA"/>
        </w:rPr>
        <w:t>As the AGQ notes, it is possible that major corporations, such as multinationals or large</w:t>
      </w:r>
      <w:r w:rsidR="00E10D87" w:rsidRPr="00C32B26">
        <w:rPr>
          <w:rFonts w:cs="Arial"/>
          <w:lang w:val="en-CA"/>
        </w:rPr>
        <w:t xml:space="preserve"> corporate</w:t>
      </w:r>
      <w:r w:rsidRPr="00C32B26">
        <w:rPr>
          <w:rFonts w:cs="Arial"/>
          <w:lang w:val="en-CA"/>
        </w:rPr>
        <w:t xml:space="preserve"> </w:t>
      </w:r>
      <w:r w:rsidR="00D61DEE" w:rsidRPr="00C32B26">
        <w:rPr>
          <w:rFonts w:cs="Arial"/>
          <w:lang w:val="en-CA"/>
        </w:rPr>
        <w:t>landlords</w:t>
      </w:r>
      <w:r w:rsidRPr="00C32B26">
        <w:rPr>
          <w:rFonts w:cs="Arial"/>
          <w:lang w:val="en-CA"/>
        </w:rPr>
        <w:t>, will have easy access to certified translators—sometimes even on staff—to translate any pleading that must be filed in court.</w:t>
      </w:r>
    </w:p>
    <w:p w14:paraId="2DD35E9B" w14:textId="12ED6D98" w:rsidR="001845D4" w:rsidRPr="00C32B26" w:rsidRDefault="00B20793" w:rsidP="00C03D48">
      <w:pPr>
        <w:pStyle w:val="Paragrdouble"/>
        <w:tabs>
          <w:tab w:val="clear" w:pos="3053"/>
          <w:tab w:val="num" w:pos="567"/>
        </w:tabs>
        <w:spacing w:line="240" w:lineRule="auto"/>
        <w:ind w:left="0"/>
        <w:rPr>
          <w:rFonts w:cs="Arial"/>
          <w:lang w:val="en-CA"/>
        </w:rPr>
      </w:pPr>
      <w:r w:rsidRPr="00C32B26">
        <w:rPr>
          <w:rFonts w:cs="Arial"/>
          <w:lang w:val="en-CA"/>
        </w:rPr>
        <w:t>However, for other legal persons, such as small or medium-sized businesses or closely</w:t>
      </w:r>
      <w:r w:rsidR="004D118D" w:rsidRPr="00C32B26">
        <w:rPr>
          <w:rFonts w:cs="Arial"/>
          <w:lang w:val="en-CA"/>
        </w:rPr>
        <w:t xml:space="preserve"> </w:t>
      </w:r>
      <w:r w:rsidRPr="00C32B26">
        <w:rPr>
          <w:rFonts w:cs="Arial"/>
          <w:lang w:val="en-CA"/>
        </w:rPr>
        <w:t>held corporations, this obligation to submit a translation by a certified translator gives rise not only to additional delays but also additional costs.</w:t>
      </w:r>
    </w:p>
    <w:p w14:paraId="598FDC9F" w14:textId="638B0D0A" w:rsidR="00441BCD" w:rsidRPr="00C32B26" w:rsidRDefault="00AA32BB" w:rsidP="00C03D48">
      <w:pPr>
        <w:pStyle w:val="Paragrdouble"/>
        <w:tabs>
          <w:tab w:val="clear" w:pos="3053"/>
          <w:tab w:val="num" w:pos="567"/>
        </w:tabs>
        <w:spacing w:line="240" w:lineRule="auto"/>
        <w:ind w:left="0"/>
        <w:rPr>
          <w:rFonts w:cs="Arial"/>
          <w:lang w:val="en-CA"/>
        </w:rPr>
      </w:pPr>
      <w:r w:rsidRPr="00C32B26">
        <w:rPr>
          <w:rFonts w:cs="Arial"/>
          <w:lang w:val="en-CA"/>
        </w:rPr>
        <w:t xml:space="preserve">In the Court’s opinion, the evidence in this case </w:t>
      </w:r>
      <w:r w:rsidR="00A45C4E" w:rsidRPr="00C32B26">
        <w:rPr>
          <w:rFonts w:cs="Arial"/>
          <w:lang w:val="en-CA"/>
        </w:rPr>
        <w:t>evinces</w:t>
      </w:r>
      <w:r w:rsidRPr="00C32B26">
        <w:rPr>
          <w:rFonts w:cs="Arial"/>
          <w:lang w:val="en-CA"/>
        </w:rPr>
        <w:t xml:space="preserve"> a serious risk that, in such </w:t>
      </w:r>
      <w:r w:rsidR="00482DE8" w:rsidRPr="00C32B26">
        <w:rPr>
          <w:rFonts w:cs="Arial"/>
          <w:lang w:val="en-CA"/>
        </w:rPr>
        <w:t>instances,</w:t>
      </w:r>
      <w:r w:rsidRPr="00C32B26">
        <w:rPr>
          <w:rFonts w:cs="Arial"/>
          <w:lang w:val="en-CA"/>
        </w:rPr>
        <w:t xml:space="preserve"> </w:t>
      </w:r>
      <w:r w:rsidR="00482DE8" w:rsidRPr="00C32B26">
        <w:rPr>
          <w:rFonts w:cs="Arial"/>
          <w:lang w:val="en-CA"/>
        </w:rPr>
        <w:t>some</w:t>
      </w:r>
      <w:r w:rsidRPr="00C32B26">
        <w:rPr>
          <w:rFonts w:cs="Arial"/>
          <w:lang w:val="en-CA"/>
        </w:rPr>
        <w:t xml:space="preserve"> legal persons will be unable to assert their rights before the courts in a timely manner or will be forced to do so in a language other than the official language in which they and their lawyers are more conversant and which they identify as their own.</w:t>
      </w:r>
    </w:p>
    <w:p w14:paraId="5B15D933" w14:textId="4659FBFB" w:rsidR="004F610C" w:rsidRPr="00C32B26" w:rsidRDefault="00AA32BB" w:rsidP="00C03D48">
      <w:pPr>
        <w:pStyle w:val="Paragrdouble"/>
        <w:tabs>
          <w:tab w:val="clear" w:pos="3053"/>
          <w:tab w:val="num" w:pos="567"/>
        </w:tabs>
        <w:spacing w:line="240" w:lineRule="auto"/>
        <w:ind w:left="0"/>
        <w:rPr>
          <w:rFonts w:cs="Arial"/>
          <w:lang w:val="en-CA"/>
        </w:rPr>
      </w:pPr>
      <w:r w:rsidRPr="00C32B26">
        <w:rPr>
          <w:rFonts w:cs="Arial"/>
          <w:lang w:val="en-CA"/>
        </w:rPr>
        <w:t xml:space="preserve">The special impact that this could have on the </w:t>
      </w:r>
      <w:r w:rsidR="004F610C" w:rsidRPr="00C32B26">
        <w:rPr>
          <w:rFonts w:cs="Arial"/>
          <w:lang w:val="en-CA"/>
        </w:rPr>
        <w:t>Kahnawà:ke</w:t>
      </w:r>
      <w:r w:rsidRPr="00C32B26">
        <w:rPr>
          <w:rFonts w:cs="Arial"/>
          <w:lang w:val="en-CA"/>
        </w:rPr>
        <w:t xml:space="preserve"> community is worth considering</w:t>
      </w:r>
      <w:r w:rsidR="004F610C" w:rsidRPr="00C32B26">
        <w:rPr>
          <w:rFonts w:cs="Arial"/>
          <w:lang w:val="en-CA"/>
        </w:rPr>
        <w:t>.</w:t>
      </w:r>
      <w:r w:rsidR="00363B29" w:rsidRPr="00C32B26">
        <w:rPr>
          <w:rFonts w:cs="Arial"/>
          <w:lang w:val="en-CA"/>
        </w:rPr>
        <w:t xml:space="preserve"> </w:t>
      </w:r>
      <w:r w:rsidRPr="00C32B26">
        <w:rPr>
          <w:rFonts w:cs="Arial"/>
          <w:lang w:val="en-CA"/>
        </w:rPr>
        <w:t xml:space="preserve">So is the impact of the measures on applications for authorization of care </w:t>
      </w:r>
      <w:r w:rsidR="00482DE8" w:rsidRPr="00C32B26">
        <w:rPr>
          <w:rFonts w:cs="Arial"/>
          <w:lang w:val="en-CA"/>
        </w:rPr>
        <w:t>brought</w:t>
      </w:r>
      <w:r w:rsidRPr="00C32B26">
        <w:rPr>
          <w:rFonts w:cs="Arial"/>
          <w:lang w:val="en-CA"/>
        </w:rPr>
        <w:t xml:space="preserve"> by hospitals </w:t>
      </w:r>
      <w:r w:rsidR="00EF1C35" w:rsidRPr="00C32B26">
        <w:rPr>
          <w:rFonts w:cs="Arial"/>
          <w:lang w:val="en-CA"/>
        </w:rPr>
        <w:t>in connection with anglophone patients. Such applications are urgent and pertain to vulnerable persons</w:t>
      </w:r>
      <w:r w:rsidR="00363B29" w:rsidRPr="00C32B26">
        <w:rPr>
          <w:rFonts w:cs="Arial"/>
          <w:lang w:val="en-CA"/>
        </w:rPr>
        <w:t>.</w:t>
      </w:r>
    </w:p>
    <w:p w14:paraId="79706BF9" w14:textId="3A0B5E28" w:rsidR="002265C5" w:rsidRPr="00C32B26" w:rsidRDefault="005A6029" w:rsidP="00C03D48">
      <w:pPr>
        <w:pStyle w:val="Paragrdouble"/>
        <w:tabs>
          <w:tab w:val="clear" w:pos="3053"/>
          <w:tab w:val="num" w:pos="567"/>
        </w:tabs>
        <w:spacing w:line="240" w:lineRule="auto"/>
        <w:ind w:left="0"/>
        <w:rPr>
          <w:rFonts w:cs="Arial"/>
          <w:lang w:val="en-CA"/>
        </w:rPr>
      </w:pPr>
      <w:r w:rsidRPr="00C32B26">
        <w:rPr>
          <w:rFonts w:cs="Arial"/>
          <w:lang w:val="en-CA"/>
        </w:rPr>
        <w:t xml:space="preserve">In urgent matters, if the proceedings are not instituted due to a shortage of time or </w:t>
      </w:r>
      <w:r w:rsidR="00A86044" w:rsidRPr="00C32B26">
        <w:rPr>
          <w:rFonts w:cs="Arial"/>
          <w:lang w:val="en-CA"/>
        </w:rPr>
        <w:t>of</w:t>
      </w:r>
      <w:r w:rsidRPr="00C32B26">
        <w:rPr>
          <w:rFonts w:cs="Arial"/>
          <w:lang w:val="en-CA"/>
        </w:rPr>
        <w:t xml:space="preserve"> resources </w:t>
      </w:r>
      <w:r w:rsidR="00A86044" w:rsidRPr="00C32B26">
        <w:rPr>
          <w:rFonts w:cs="Arial"/>
          <w:lang w:val="en-CA"/>
        </w:rPr>
        <w:t xml:space="preserve">to </w:t>
      </w:r>
      <w:r w:rsidRPr="00C32B26">
        <w:rPr>
          <w:rFonts w:cs="Arial"/>
          <w:lang w:val="en-CA"/>
        </w:rPr>
        <w:t xml:space="preserve">cover translation costs, it will be very difficult to document and </w:t>
      </w:r>
      <w:r w:rsidR="00FE246A" w:rsidRPr="00C32B26">
        <w:rPr>
          <w:rFonts w:cs="Arial"/>
          <w:lang w:val="en-CA"/>
        </w:rPr>
        <w:t xml:space="preserve">identify </w:t>
      </w:r>
      <w:r w:rsidRPr="00C32B26">
        <w:rPr>
          <w:rFonts w:cs="Arial"/>
          <w:lang w:val="en-CA"/>
        </w:rPr>
        <w:t>cases where a party has been prevented from asserting its claims or its rights before the courts.</w:t>
      </w:r>
      <w:r w:rsidR="002265C5" w:rsidRPr="00C32B26">
        <w:rPr>
          <w:rFonts w:cs="Arial"/>
          <w:lang w:val="en-CA"/>
        </w:rPr>
        <w:t xml:space="preserve"> </w:t>
      </w:r>
    </w:p>
    <w:p w14:paraId="703A72AF" w14:textId="027133E4" w:rsidR="004F610C" w:rsidRPr="00C32B26" w:rsidRDefault="0032627C" w:rsidP="00284233">
      <w:pPr>
        <w:pStyle w:val="Paragrdouble"/>
        <w:tabs>
          <w:tab w:val="clear" w:pos="3053"/>
          <w:tab w:val="num" w:pos="567"/>
        </w:tabs>
        <w:spacing w:line="240" w:lineRule="auto"/>
        <w:ind w:left="0"/>
        <w:rPr>
          <w:rFonts w:cs="Arial"/>
          <w:lang w:val="en-CA"/>
        </w:rPr>
      </w:pPr>
      <w:r w:rsidRPr="00C32B26">
        <w:rPr>
          <w:rFonts w:cs="Arial"/>
          <w:lang w:val="en-CA"/>
        </w:rPr>
        <w:t xml:space="preserve">Furthermore, to avoid the translation requirement, </w:t>
      </w:r>
      <w:r w:rsidR="00B854EF" w:rsidRPr="00C32B26">
        <w:rPr>
          <w:rFonts w:cs="Arial"/>
          <w:lang w:val="en-CA"/>
        </w:rPr>
        <w:t xml:space="preserve">a legal person </w:t>
      </w:r>
      <w:r w:rsidR="00692F96" w:rsidRPr="00C32B26">
        <w:rPr>
          <w:rFonts w:cs="Arial"/>
          <w:lang w:val="en-CA"/>
        </w:rPr>
        <w:t>with</w:t>
      </w:r>
      <w:r w:rsidR="00B854EF" w:rsidRPr="00C32B26">
        <w:rPr>
          <w:rFonts w:cs="Arial"/>
          <w:lang w:val="en-CA"/>
        </w:rPr>
        <w:t xml:space="preserve"> English</w:t>
      </w:r>
      <w:r w:rsidR="00E541CF" w:rsidRPr="00C32B26">
        <w:rPr>
          <w:rFonts w:cs="Arial"/>
          <w:lang w:val="en-CA"/>
        </w:rPr>
        <w:noBreakHyphen/>
      </w:r>
      <w:r w:rsidR="00B854EF" w:rsidRPr="00C32B26">
        <w:rPr>
          <w:rFonts w:cs="Arial"/>
          <w:lang w:val="en-CA"/>
        </w:rPr>
        <w:t xml:space="preserve">speaking </w:t>
      </w:r>
      <w:r w:rsidR="00692F96" w:rsidRPr="00C32B26">
        <w:rPr>
          <w:rFonts w:cs="Arial"/>
          <w:lang w:val="en-CA"/>
        </w:rPr>
        <w:t>representatives</w:t>
      </w:r>
      <w:r w:rsidR="00C85E73" w:rsidRPr="00C32B26">
        <w:rPr>
          <w:rFonts w:cs="Arial"/>
          <w:lang w:val="en-CA"/>
        </w:rPr>
        <w:t xml:space="preserve"> </w:t>
      </w:r>
      <w:r w:rsidR="00B854EF" w:rsidRPr="00C32B26">
        <w:rPr>
          <w:rFonts w:cs="Arial"/>
          <w:lang w:val="en-CA"/>
        </w:rPr>
        <w:t>could instruct its counsel to draft the pleading in French, even though it must be supported by a sworn statement attesting to the veracity of the facts set out in the pleading</w:t>
      </w:r>
      <w:r w:rsidR="002265C5" w:rsidRPr="00C32B26">
        <w:rPr>
          <w:rFonts w:cs="Arial"/>
          <w:lang w:val="en-CA"/>
        </w:rPr>
        <w:t xml:space="preserve">. </w:t>
      </w:r>
      <w:r w:rsidR="00B854EF" w:rsidRPr="00C32B26">
        <w:rPr>
          <w:rFonts w:cs="Arial"/>
          <w:lang w:val="en-CA"/>
        </w:rPr>
        <w:t>This could lead to additional difficulties for the party attesting to the veracity of the facts set out in a pleading that has been drawn up in French</w:t>
      </w:r>
      <w:r w:rsidR="00C57501" w:rsidRPr="00C32B26">
        <w:rPr>
          <w:rFonts w:cs="Arial"/>
          <w:lang w:val="en-CA"/>
        </w:rPr>
        <w:t>,</w:t>
      </w:r>
      <w:r w:rsidR="00B854EF" w:rsidRPr="00C32B26">
        <w:rPr>
          <w:rFonts w:cs="Arial"/>
          <w:lang w:val="en-CA"/>
        </w:rPr>
        <w:t xml:space="preserve"> considering that the sworn statement is in English because that is the party’s language of communication.</w:t>
      </w:r>
    </w:p>
    <w:p w14:paraId="0970C38E" w14:textId="20E30B07" w:rsidR="008D766F" w:rsidRPr="00C32B26" w:rsidRDefault="00684BA4" w:rsidP="002B1043">
      <w:pPr>
        <w:pStyle w:val="Paragrdouble"/>
        <w:tabs>
          <w:tab w:val="clear" w:pos="3053"/>
          <w:tab w:val="num" w:pos="567"/>
        </w:tabs>
        <w:spacing w:line="240" w:lineRule="auto"/>
        <w:ind w:left="0"/>
        <w:rPr>
          <w:rFonts w:cs="Arial"/>
          <w:lang w:val="en-CA"/>
        </w:rPr>
      </w:pPr>
      <w:r w:rsidRPr="00C32B26">
        <w:rPr>
          <w:rFonts w:cs="Arial"/>
          <w:lang w:val="en-CA"/>
        </w:rPr>
        <w:lastRenderedPageBreak/>
        <w:t>Thus, the Court is of the opinion that the provisions attacked by the application will cause irreparable harm to certain legal persons and their English-speaking representatives</w:t>
      </w:r>
      <w:r w:rsidR="002D2C3D" w:rsidRPr="00C32B26">
        <w:rPr>
          <w:rFonts w:cs="Arial"/>
          <w:lang w:val="en-CA"/>
        </w:rPr>
        <w:t>.</w:t>
      </w:r>
    </w:p>
    <w:p w14:paraId="1F7B456B" w14:textId="7B7774D6" w:rsidR="005249A3" w:rsidRPr="00C32B26" w:rsidRDefault="00331F38" w:rsidP="00331F38">
      <w:pPr>
        <w:pStyle w:val="Titre2"/>
        <w:ind w:left="924" w:hanging="567"/>
        <w:rPr>
          <w:rFonts w:cs="Arial"/>
          <w:u w:val="none"/>
        </w:rPr>
      </w:pPr>
      <w:r w:rsidRPr="00C32B26">
        <w:rPr>
          <w:rFonts w:cs="Arial"/>
          <w:caps w:val="0"/>
          <w:u w:val="none"/>
        </w:rPr>
        <w:t>3</w:t>
      </w:r>
      <w:r w:rsidRPr="00C32B26">
        <w:rPr>
          <w:rFonts w:cs="Arial"/>
          <w:caps w:val="0"/>
          <w:u w:val="none"/>
        </w:rPr>
        <w:tab/>
      </w:r>
      <w:r w:rsidR="001E2B7B" w:rsidRPr="00C32B26">
        <w:rPr>
          <w:rFonts w:cs="Arial"/>
          <w:caps w:val="0"/>
          <w:u w:val="none"/>
          <w:lang w:val="en-CA"/>
        </w:rPr>
        <w:t>The balance of convenience</w:t>
      </w:r>
    </w:p>
    <w:p w14:paraId="1FA152E3" w14:textId="11BF097B" w:rsidR="004F610C" w:rsidRPr="00C32B26" w:rsidRDefault="00331F38" w:rsidP="00331F38">
      <w:pPr>
        <w:pStyle w:val="Titre3"/>
        <w:ind w:left="567"/>
        <w:rPr>
          <w:rFonts w:cs="Arial"/>
        </w:rPr>
      </w:pPr>
      <w:r w:rsidRPr="00C32B26">
        <w:rPr>
          <w:rFonts w:cs="Arial"/>
        </w:rPr>
        <w:t>3.1</w:t>
      </w:r>
      <w:r w:rsidRPr="00C32B26">
        <w:rPr>
          <w:rFonts w:cs="Arial"/>
        </w:rPr>
        <w:tab/>
      </w:r>
      <w:r w:rsidR="005249A3" w:rsidRPr="00C32B26">
        <w:rPr>
          <w:rFonts w:cs="Arial"/>
        </w:rPr>
        <w:t>Princip</w:t>
      </w:r>
      <w:r w:rsidR="001E2B7B" w:rsidRPr="00C32B26">
        <w:rPr>
          <w:rFonts w:cs="Arial"/>
        </w:rPr>
        <w:t>l</w:t>
      </w:r>
      <w:r w:rsidR="005249A3" w:rsidRPr="00C32B26">
        <w:rPr>
          <w:rFonts w:cs="Arial"/>
        </w:rPr>
        <w:t>es</w:t>
      </w:r>
    </w:p>
    <w:p w14:paraId="2415757A" w14:textId="30CA1F2B" w:rsidR="005249A3" w:rsidRPr="00C32B26" w:rsidRDefault="00DA0C4A" w:rsidP="00331F38">
      <w:pPr>
        <w:pStyle w:val="Paragrdouble"/>
        <w:tabs>
          <w:tab w:val="clear" w:pos="3053"/>
          <w:tab w:val="num" w:pos="567"/>
        </w:tabs>
        <w:spacing w:line="240" w:lineRule="auto"/>
        <w:ind w:left="0"/>
        <w:rPr>
          <w:rFonts w:cs="Arial"/>
          <w:lang w:val="en-CA"/>
        </w:rPr>
      </w:pPr>
      <w:r w:rsidRPr="00C32B26">
        <w:rPr>
          <w:rFonts w:cs="Arial"/>
          <w:lang w:val="en-CA"/>
        </w:rPr>
        <w:t xml:space="preserve">The balance of convenience is often the decisive </w:t>
      </w:r>
      <w:r w:rsidR="00FE1478" w:rsidRPr="00C32B26">
        <w:rPr>
          <w:rFonts w:cs="Arial"/>
          <w:lang w:val="en-CA"/>
        </w:rPr>
        <w:t>test</w:t>
      </w:r>
      <w:r w:rsidRPr="00C32B26">
        <w:rPr>
          <w:rFonts w:cs="Arial"/>
          <w:lang w:val="en-CA"/>
        </w:rPr>
        <w:t xml:space="preserve"> in constitutional cases, </w:t>
      </w:r>
      <w:r w:rsidR="009A3011" w:rsidRPr="00C32B26">
        <w:rPr>
          <w:rFonts w:cs="Arial"/>
          <w:lang w:val="en-CA"/>
        </w:rPr>
        <w:t>given that</w:t>
      </w:r>
      <w:r w:rsidRPr="00C32B26">
        <w:rPr>
          <w:rFonts w:cs="Arial"/>
          <w:lang w:val="en-CA"/>
        </w:rPr>
        <w:t xml:space="preserve"> the applicant’s burden </w:t>
      </w:r>
      <w:r w:rsidR="009E339A" w:rsidRPr="00C32B26">
        <w:rPr>
          <w:rFonts w:cs="Arial"/>
          <w:lang w:val="en-CA"/>
        </w:rPr>
        <w:t>in the</w:t>
      </w:r>
      <w:r w:rsidRPr="00C32B26">
        <w:rPr>
          <w:rFonts w:cs="Arial"/>
          <w:lang w:val="en-CA"/>
        </w:rPr>
        <w:t xml:space="preserve"> first two steps is relatively light.</w:t>
      </w:r>
      <w:r w:rsidR="005249A3" w:rsidRPr="00C32B26">
        <w:rPr>
          <w:rStyle w:val="Appelnotedebasdep"/>
          <w:rFonts w:cs="Arial"/>
          <w:lang w:val="en-CA"/>
        </w:rPr>
        <w:footnoteReference w:id="67"/>
      </w:r>
    </w:p>
    <w:p w14:paraId="66489AB1" w14:textId="16628594" w:rsidR="005249A3" w:rsidRPr="00C32B26" w:rsidRDefault="00FE1478" w:rsidP="00331F38">
      <w:pPr>
        <w:pStyle w:val="Paragrdouble"/>
        <w:tabs>
          <w:tab w:val="clear" w:pos="3053"/>
          <w:tab w:val="num" w:pos="567"/>
        </w:tabs>
        <w:spacing w:line="240" w:lineRule="auto"/>
        <w:ind w:left="0"/>
        <w:rPr>
          <w:rFonts w:cs="Arial"/>
          <w:lang w:val="en-CA"/>
        </w:rPr>
      </w:pPr>
      <w:r w:rsidRPr="00C32B26">
        <w:rPr>
          <w:rFonts w:cs="Arial"/>
          <w:lang w:val="en-CA"/>
        </w:rPr>
        <w:t xml:space="preserve">In examining the balance of convenience in the context of a debate </w:t>
      </w:r>
      <w:r w:rsidR="00752EDE" w:rsidRPr="00C32B26">
        <w:rPr>
          <w:rFonts w:cs="Arial"/>
          <w:lang w:val="en-CA"/>
        </w:rPr>
        <w:t>about</w:t>
      </w:r>
      <w:r w:rsidRPr="00C32B26">
        <w:rPr>
          <w:rFonts w:cs="Arial"/>
          <w:lang w:val="en-CA"/>
        </w:rPr>
        <w:t xml:space="preserve"> the validity of a law, the following factors must be weighed</w:t>
      </w:r>
      <w:r w:rsidR="005249A3" w:rsidRPr="00C32B26">
        <w:rPr>
          <w:rFonts w:cs="Arial"/>
          <w:lang w:val="en-CA"/>
        </w:rPr>
        <w:t>:</w:t>
      </w:r>
    </w:p>
    <w:p w14:paraId="5A5B6A75" w14:textId="433D6C46" w:rsidR="005249A3" w:rsidRPr="00C32B26" w:rsidRDefault="005249A3" w:rsidP="005249A3">
      <w:pPr>
        <w:pStyle w:val="Citation"/>
        <w:spacing w:before="0" w:after="0"/>
        <w:jc w:val="both"/>
        <w:rPr>
          <w:rFonts w:cs="Arial"/>
          <w:i w:val="0"/>
          <w:iCs w:val="0"/>
          <w:color w:val="auto"/>
          <w:sz w:val="22"/>
          <w:szCs w:val="22"/>
          <w:lang w:val="en-CA"/>
        </w:rPr>
      </w:pPr>
      <w:r w:rsidRPr="00C32B26">
        <w:rPr>
          <w:rFonts w:cs="Arial"/>
          <w:i w:val="0"/>
          <w:iCs w:val="0"/>
          <w:color w:val="auto"/>
          <w:sz w:val="22"/>
          <w:szCs w:val="22"/>
          <w:lang w:val="en-CA"/>
        </w:rPr>
        <w:t xml:space="preserve">[5] </w:t>
      </w:r>
      <w:r w:rsidR="004C7A3D" w:rsidRPr="00C32B26">
        <w:rPr>
          <w:rFonts w:cs="Arial"/>
          <w:i w:val="0"/>
          <w:iCs w:val="0"/>
          <w:color w:val="auto"/>
          <w:sz w:val="22"/>
          <w:szCs w:val="22"/>
          <w:lang w:val="en-CA"/>
        </w:rPr>
        <w:t>…</w:t>
      </w:r>
      <w:r w:rsidRPr="00C32B26">
        <w:rPr>
          <w:rFonts w:cs="Arial"/>
          <w:i w:val="0"/>
          <w:iCs w:val="0"/>
          <w:color w:val="auto"/>
          <w:sz w:val="22"/>
          <w:szCs w:val="22"/>
          <w:lang w:val="en-CA"/>
        </w:rPr>
        <w:t xml:space="preserve"> </w:t>
      </w:r>
      <w:r w:rsidR="004C7A3D" w:rsidRPr="00C32B26">
        <w:rPr>
          <w:rFonts w:cs="Arial"/>
          <w:i w:val="0"/>
          <w:iCs w:val="0"/>
          <w:color w:val="auto"/>
          <w:sz w:val="22"/>
          <w:szCs w:val="22"/>
          <w:lang w:val="en-CA"/>
        </w:rPr>
        <w:t>On the one hand stands the benefit flowing from the law. On the other stand the rights that the law is alleged to infringe. An interlocutory injunction may have the effect of depriving the public of the benefit of a statute which has been duly enacted and which may in the end be held valid, and of granting effective victory to the applicant before the case has been judicially decided. Conversely, denying or staying the injunction may deprive plaintiffs of constitutional rights simply because the courts cannot move quickly enough...</w:t>
      </w:r>
      <w:r w:rsidR="003C6407" w:rsidRPr="00C32B26">
        <w:rPr>
          <w:rFonts w:cs="Arial"/>
          <w:i w:val="0"/>
          <w:iCs w:val="0"/>
          <w:color w:val="auto"/>
          <w:sz w:val="22"/>
          <w:szCs w:val="22"/>
          <w:lang w:val="en-CA"/>
        </w:rPr>
        <w:t>.</w:t>
      </w:r>
      <w:r w:rsidRPr="00C32B26">
        <w:rPr>
          <w:rStyle w:val="Appelnotedebasdep"/>
          <w:rFonts w:cs="Arial"/>
          <w:i w:val="0"/>
          <w:iCs w:val="0"/>
          <w:color w:val="auto"/>
          <w:sz w:val="22"/>
          <w:szCs w:val="22"/>
          <w:lang w:val="en-CA"/>
        </w:rPr>
        <w:footnoteReference w:id="68"/>
      </w:r>
    </w:p>
    <w:p w14:paraId="5794AC8F" w14:textId="31C64F14" w:rsidR="005249A3" w:rsidRPr="00C32B26" w:rsidRDefault="00B701FE" w:rsidP="00331F38">
      <w:pPr>
        <w:pStyle w:val="Paragrdouble"/>
        <w:tabs>
          <w:tab w:val="clear" w:pos="3053"/>
          <w:tab w:val="num" w:pos="567"/>
        </w:tabs>
        <w:spacing w:line="240" w:lineRule="auto"/>
        <w:ind w:left="0"/>
        <w:rPr>
          <w:rFonts w:cs="Arial"/>
          <w:lang w:val="en-CA"/>
        </w:rPr>
      </w:pPr>
      <w:r w:rsidRPr="00C32B26">
        <w:rPr>
          <w:rFonts w:cs="Arial"/>
          <w:lang w:val="en-CA"/>
        </w:rPr>
        <w:t>Thus</w:t>
      </w:r>
      <w:r w:rsidR="004F0054" w:rsidRPr="00C32B26">
        <w:rPr>
          <w:rFonts w:cs="Arial"/>
          <w:lang w:val="en-CA"/>
        </w:rPr>
        <w:t>, the concept of public interest must necessarily be considered in analyzing the balance of convenience</w:t>
      </w:r>
      <w:r w:rsidR="005249A3" w:rsidRPr="00C32B26">
        <w:rPr>
          <w:rStyle w:val="Appelnotedebasdep"/>
          <w:rFonts w:cs="Arial"/>
          <w:lang w:val="en-CA"/>
        </w:rPr>
        <w:footnoteReference w:id="69"/>
      </w:r>
      <w:r w:rsidR="005249A3" w:rsidRPr="00C32B26">
        <w:rPr>
          <w:rFonts w:cs="Arial"/>
          <w:lang w:val="en-CA"/>
        </w:rPr>
        <w:t xml:space="preserve"> </w:t>
      </w:r>
      <w:r w:rsidR="004F0054" w:rsidRPr="00C32B26">
        <w:rPr>
          <w:rFonts w:cs="Arial"/>
          <w:lang w:val="en-CA"/>
        </w:rPr>
        <w:t xml:space="preserve">and when the suspension of a statute such as the one </w:t>
      </w:r>
      <w:r w:rsidR="00EC2D3A" w:rsidRPr="00C32B26">
        <w:rPr>
          <w:rFonts w:cs="Arial"/>
          <w:lang w:val="en-CA"/>
        </w:rPr>
        <w:t xml:space="preserve">in issue </w:t>
      </w:r>
      <w:r w:rsidR="004F0054" w:rsidRPr="00C32B26">
        <w:rPr>
          <w:rFonts w:cs="Arial"/>
          <w:lang w:val="en-CA"/>
        </w:rPr>
        <w:t xml:space="preserve">here is </w:t>
      </w:r>
      <w:r w:rsidR="00EC2D3A" w:rsidRPr="00C32B26">
        <w:rPr>
          <w:rFonts w:cs="Arial"/>
          <w:lang w:val="en-CA"/>
        </w:rPr>
        <w:t>being sought</w:t>
      </w:r>
      <w:r w:rsidR="004F0054" w:rsidRPr="00C32B26">
        <w:rPr>
          <w:rFonts w:cs="Arial"/>
          <w:lang w:val="en-CA"/>
        </w:rPr>
        <w:t>.</w:t>
      </w:r>
      <w:r w:rsidR="005249A3" w:rsidRPr="00C32B26">
        <w:rPr>
          <w:rStyle w:val="Appelnotedebasdep"/>
          <w:rFonts w:cs="Arial"/>
          <w:lang w:val="en-CA"/>
        </w:rPr>
        <w:footnoteReference w:id="70"/>
      </w:r>
    </w:p>
    <w:p w14:paraId="7DACBCD1" w14:textId="53DCB4FB" w:rsidR="005249A3" w:rsidRPr="00C32B26" w:rsidRDefault="009F1F61" w:rsidP="00331F38">
      <w:pPr>
        <w:pStyle w:val="Paragrdouble"/>
        <w:tabs>
          <w:tab w:val="clear" w:pos="3053"/>
          <w:tab w:val="num" w:pos="567"/>
        </w:tabs>
        <w:spacing w:line="240" w:lineRule="auto"/>
        <w:ind w:left="0"/>
        <w:rPr>
          <w:rFonts w:cs="Arial"/>
          <w:lang w:val="en-CA"/>
        </w:rPr>
      </w:pPr>
      <w:r w:rsidRPr="00C32B26">
        <w:rPr>
          <w:rFonts w:cs="Arial"/>
          <w:lang w:val="en-CA"/>
        </w:rPr>
        <w:t xml:space="preserve">The </w:t>
      </w:r>
      <w:r w:rsidR="001F17D9" w:rsidRPr="00C32B26">
        <w:rPr>
          <w:rFonts w:cs="Arial"/>
          <w:lang w:val="en-CA"/>
        </w:rPr>
        <w:t xml:space="preserve">government </w:t>
      </w:r>
      <w:r w:rsidR="00B141C3" w:rsidRPr="00C32B26">
        <w:rPr>
          <w:rFonts w:cs="Arial"/>
          <w:lang w:val="en-CA"/>
        </w:rPr>
        <w:t>does not have to</w:t>
      </w:r>
      <w:r w:rsidRPr="00C32B26">
        <w:rPr>
          <w:rFonts w:cs="Arial"/>
          <w:lang w:val="en-CA"/>
        </w:rPr>
        <w:t xml:space="preserve"> show that the contested </w:t>
      </w:r>
      <w:r w:rsidR="00B141C3" w:rsidRPr="00C32B26">
        <w:rPr>
          <w:rFonts w:cs="Arial"/>
          <w:lang w:val="en-CA"/>
        </w:rPr>
        <w:t>enactment</w:t>
      </w:r>
      <w:r w:rsidRPr="00C32B26">
        <w:rPr>
          <w:rFonts w:cs="Arial"/>
          <w:lang w:val="en-CA"/>
        </w:rPr>
        <w:t xml:space="preserve"> is in the public interest. There is a presumption that it is, and the court does not have to determine whether the effect of the law is </w:t>
      </w:r>
      <w:r w:rsidR="00B141C3" w:rsidRPr="00C32B26">
        <w:rPr>
          <w:rFonts w:cs="Arial"/>
          <w:lang w:val="en-CA"/>
        </w:rPr>
        <w:t>genuinely</w:t>
      </w:r>
      <w:r w:rsidRPr="00C32B26">
        <w:rPr>
          <w:rFonts w:cs="Arial"/>
          <w:lang w:val="en-CA"/>
        </w:rPr>
        <w:t xml:space="preserve"> beneficial to society in general:</w:t>
      </w:r>
    </w:p>
    <w:p w14:paraId="66D49A14" w14:textId="177A6515" w:rsidR="005249A3" w:rsidRPr="00C32B26" w:rsidRDefault="005249A3" w:rsidP="005249A3">
      <w:pPr>
        <w:pStyle w:val="Citation"/>
        <w:spacing w:before="0" w:after="0"/>
        <w:jc w:val="both"/>
        <w:rPr>
          <w:rFonts w:cs="Arial"/>
          <w:i w:val="0"/>
          <w:iCs w:val="0"/>
          <w:color w:val="auto"/>
          <w:sz w:val="22"/>
          <w:szCs w:val="22"/>
          <w:lang w:val="en-CA"/>
        </w:rPr>
      </w:pPr>
      <w:r w:rsidRPr="00C32B26">
        <w:rPr>
          <w:rFonts w:cs="Arial"/>
          <w:i w:val="0"/>
          <w:iCs w:val="0"/>
          <w:color w:val="auto"/>
          <w:sz w:val="22"/>
          <w:szCs w:val="22"/>
          <w:lang w:val="en-CA"/>
        </w:rPr>
        <w:t>[9]</w:t>
      </w:r>
      <w:r w:rsidR="00591572" w:rsidRPr="00C32B26">
        <w:rPr>
          <w:rFonts w:cs="Arial"/>
          <w:i w:val="0"/>
          <w:iCs w:val="0"/>
          <w:color w:val="auto"/>
          <w:sz w:val="22"/>
          <w:szCs w:val="22"/>
          <w:lang w:val="en-CA"/>
        </w:rPr>
        <w:t xml:space="preserve"> … It follows that in assessing the balance of convenience, the motions judge must proceed on the assumption that the law … is directed to the public good and serves a valid public purpose.</w:t>
      </w:r>
      <w:r w:rsidRPr="00C32B26">
        <w:rPr>
          <w:rStyle w:val="Appelnotedebasdep"/>
          <w:rFonts w:cs="Arial"/>
          <w:i w:val="0"/>
          <w:iCs w:val="0"/>
          <w:color w:val="auto"/>
          <w:sz w:val="22"/>
          <w:szCs w:val="22"/>
          <w:lang w:val="en-CA"/>
        </w:rPr>
        <w:footnoteReference w:id="71"/>
      </w:r>
    </w:p>
    <w:p w14:paraId="0527F0B9" w14:textId="468F06B3" w:rsidR="005249A3" w:rsidRPr="00C32B26" w:rsidRDefault="00591572" w:rsidP="00331F38">
      <w:pPr>
        <w:pStyle w:val="Paragrdouble"/>
        <w:tabs>
          <w:tab w:val="clear" w:pos="3053"/>
          <w:tab w:val="num" w:pos="567"/>
        </w:tabs>
        <w:spacing w:line="240" w:lineRule="auto"/>
        <w:ind w:left="0"/>
        <w:rPr>
          <w:rFonts w:cs="Arial"/>
          <w:lang w:val="en-CA"/>
        </w:rPr>
      </w:pPr>
      <w:r w:rsidRPr="00C32B26">
        <w:rPr>
          <w:rFonts w:cs="Arial"/>
          <w:lang w:val="en-CA"/>
        </w:rPr>
        <w:t xml:space="preserve">The legislation </w:t>
      </w:r>
      <w:r w:rsidR="00D3002B" w:rsidRPr="00C32B26">
        <w:rPr>
          <w:rFonts w:cs="Arial"/>
          <w:lang w:val="en-CA"/>
        </w:rPr>
        <w:t>“</w:t>
      </w:r>
      <w:r w:rsidRPr="00C32B26">
        <w:rPr>
          <w:rFonts w:cs="Arial"/>
          <w:lang w:val="en-CA"/>
        </w:rPr>
        <w:t>benefits from what is commonly, but erroneously, referred to as the presumption of constitutional validity”:</w:t>
      </w:r>
      <w:r w:rsidR="005249A3" w:rsidRPr="00C32B26">
        <w:rPr>
          <w:rStyle w:val="Appelnotedebasdep"/>
          <w:rFonts w:cs="Arial"/>
          <w:lang w:val="en-CA"/>
        </w:rPr>
        <w:footnoteReference w:id="72"/>
      </w:r>
    </w:p>
    <w:p w14:paraId="29CAB80C" w14:textId="77777777" w:rsidR="00E26649" w:rsidRPr="00C32B26" w:rsidRDefault="00E26649" w:rsidP="00E26649">
      <w:pPr>
        <w:rPr>
          <w:highlight w:val="yellow"/>
          <w:lang w:val="en-CA"/>
        </w:rPr>
      </w:pPr>
    </w:p>
    <w:p w14:paraId="684A9B8F" w14:textId="5776D700" w:rsidR="005249A3" w:rsidRPr="00C32B26" w:rsidRDefault="005249A3" w:rsidP="005249A3">
      <w:pPr>
        <w:pStyle w:val="Citation"/>
        <w:spacing w:before="0" w:after="0"/>
        <w:jc w:val="both"/>
        <w:rPr>
          <w:rFonts w:cs="Arial"/>
          <w:i w:val="0"/>
          <w:iCs w:val="0"/>
          <w:color w:val="auto"/>
          <w:sz w:val="22"/>
          <w:szCs w:val="22"/>
          <w:lang w:val="en-CA"/>
        </w:rPr>
      </w:pPr>
      <w:r w:rsidRPr="00C32B26">
        <w:rPr>
          <w:rFonts w:cs="Arial"/>
          <w:i w:val="0"/>
          <w:iCs w:val="0"/>
          <w:color w:val="auto"/>
          <w:sz w:val="22"/>
          <w:szCs w:val="22"/>
          <w:lang w:val="en-CA"/>
        </w:rPr>
        <w:lastRenderedPageBreak/>
        <w:t xml:space="preserve">[28] </w:t>
      </w:r>
      <w:r w:rsidR="00591572" w:rsidRPr="00C32B26">
        <w:rPr>
          <w:rFonts w:cs="Arial"/>
          <w:i w:val="0"/>
          <w:iCs w:val="0"/>
          <w:color w:val="auto"/>
          <w:sz w:val="22"/>
          <w:szCs w:val="22"/>
          <w:lang w:val="en-CA"/>
        </w:rPr>
        <w:t>…</w:t>
      </w:r>
      <w:r w:rsidRPr="00C32B26">
        <w:rPr>
          <w:rFonts w:cs="Arial"/>
          <w:i w:val="0"/>
          <w:iCs w:val="0"/>
          <w:color w:val="auto"/>
          <w:sz w:val="22"/>
          <w:szCs w:val="22"/>
          <w:lang w:val="en-CA"/>
        </w:rPr>
        <w:t xml:space="preserve"> </w:t>
      </w:r>
      <w:r w:rsidR="00591572" w:rsidRPr="00C32B26">
        <w:rPr>
          <w:rFonts w:cs="Arial"/>
          <w:i w:val="0"/>
          <w:iCs w:val="0"/>
          <w:color w:val="auto"/>
          <w:sz w:val="22"/>
          <w:szCs w:val="22"/>
          <w:lang w:val="en-CA"/>
        </w:rPr>
        <w:t>This presumption [of constitutional validity] is rather a rule of procedure whereby the onus of establishing that legislation violates the Constitution lies with those who challenge it. By definition, this rule is essentially directed to the merits of the case</w:t>
      </w:r>
      <w:r w:rsidR="00E26649" w:rsidRPr="00C32B26">
        <w:rPr>
          <w:rFonts w:cs="Arial"/>
          <w:i w:val="0"/>
          <w:iCs w:val="0"/>
          <w:color w:val="auto"/>
          <w:sz w:val="22"/>
          <w:szCs w:val="22"/>
          <w:lang w:val="en-CA"/>
        </w:rPr>
        <w:t>. It is therefore rare for the constitutional validity of legislation to be determined within the framework of a provisional or interlocutory proceeding, and courts will not lightly decide that a law that Parliament or a provincial legislature has duly enacted for the public good is inoperative before a complete constitutional review has been completed</w:t>
      </w:r>
      <w:r w:rsidRPr="00C32B26">
        <w:rPr>
          <w:rFonts w:cs="Arial"/>
          <w:i w:val="0"/>
          <w:iCs w:val="0"/>
          <w:color w:val="auto"/>
          <w:sz w:val="22"/>
          <w:szCs w:val="22"/>
          <w:lang w:val="en-CA"/>
        </w:rPr>
        <w:t>.</w:t>
      </w:r>
      <w:r w:rsidRPr="00C32B26">
        <w:rPr>
          <w:rStyle w:val="Appelnotedebasdep"/>
          <w:rFonts w:cs="Arial"/>
          <w:i w:val="0"/>
          <w:iCs w:val="0"/>
          <w:color w:val="auto"/>
          <w:sz w:val="22"/>
          <w:szCs w:val="22"/>
          <w:lang w:val="en-CA"/>
        </w:rPr>
        <w:footnoteReference w:id="73"/>
      </w:r>
    </w:p>
    <w:p w14:paraId="113E9930" w14:textId="2AE8C0EC" w:rsidR="005249A3" w:rsidRPr="00C32B26" w:rsidRDefault="00E26649" w:rsidP="005249A3">
      <w:pPr>
        <w:pStyle w:val="Citation"/>
        <w:spacing w:before="0" w:after="0"/>
        <w:jc w:val="right"/>
        <w:rPr>
          <w:rFonts w:cs="Arial"/>
          <w:i w:val="0"/>
          <w:iCs w:val="0"/>
          <w:color w:val="auto"/>
          <w:sz w:val="22"/>
          <w:szCs w:val="22"/>
          <w:lang w:val="en-CA"/>
        </w:rPr>
      </w:pPr>
      <w:r w:rsidRPr="00C32B26">
        <w:rPr>
          <w:rFonts w:cs="Arial"/>
          <w:i w:val="0"/>
          <w:iCs w:val="0"/>
          <w:color w:val="auto"/>
          <w:sz w:val="22"/>
          <w:szCs w:val="22"/>
          <w:lang w:val="en-CA"/>
        </w:rPr>
        <w:t>[</w:t>
      </w:r>
      <w:r w:rsidR="001E1F56" w:rsidRPr="00C32B26">
        <w:rPr>
          <w:rFonts w:cs="Arial"/>
          <w:i w:val="0"/>
          <w:iCs w:val="0"/>
          <w:color w:val="auto"/>
          <w:sz w:val="22"/>
          <w:szCs w:val="22"/>
          <w:lang w:val="en-CA"/>
        </w:rPr>
        <w:t>C</w:t>
      </w:r>
      <w:r w:rsidRPr="00C32B26">
        <w:rPr>
          <w:rFonts w:cs="Arial"/>
          <w:i w:val="0"/>
          <w:iCs w:val="0"/>
          <w:color w:val="auto"/>
          <w:sz w:val="22"/>
          <w:szCs w:val="22"/>
          <w:lang w:val="en-CA"/>
        </w:rPr>
        <w:t>itations omitted.]</w:t>
      </w:r>
    </w:p>
    <w:p w14:paraId="09841F44" w14:textId="09072776" w:rsidR="005249A3" w:rsidRPr="00C32B26" w:rsidRDefault="00C31625" w:rsidP="00D674EC">
      <w:pPr>
        <w:pStyle w:val="Paragrdouble"/>
        <w:tabs>
          <w:tab w:val="clear" w:pos="3053"/>
          <w:tab w:val="num" w:pos="567"/>
        </w:tabs>
        <w:spacing w:line="240" w:lineRule="auto"/>
        <w:ind w:left="0"/>
        <w:rPr>
          <w:rFonts w:cs="Arial"/>
          <w:lang w:val="en-CA"/>
        </w:rPr>
      </w:pPr>
      <w:r w:rsidRPr="00C32B26">
        <w:rPr>
          <w:rFonts w:cs="Arial"/>
          <w:lang w:val="en-CA"/>
        </w:rPr>
        <w:t>Thus,</w:t>
      </w:r>
      <w:r w:rsidR="00B20E11" w:rsidRPr="00C32B26">
        <w:rPr>
          <w:rFonts w:cs="Arial"/>
          <w:lang w:val="en-CA"/>
        </w:rPr>
        <w:t xml:space="preserve"> only in “clear cases”</w:t>
      </w:r>
      <w:r w:rsidR="005249A3" w:rsidRPr="00C32B26">
        <w:rPr>
          <w:rStyle w:val="Appelnotedebasdep"/>
          <w:rFonts w:cs="Arial"/>
          <w:lang w:val="en-CA"/>
        </w:rPr>
        <w:footnoteReference w:id="74"/>
      </w:r>
      <w:r w:rsidR="005249A3" w:rsidRPr="00C32B26">
        <w:rPr>
          <w:rFonts w:cs="Arial"/>
          <w:lang w:val="en-CA"/>
        </w:rPr>
        <w:t xml:space="preserve"> </w:t>
      </w:r>
      <w:r w:rsidR="00B20E11" w:rsidRPr="00C32B26">
        <w:rPr>
          <w:rFonts w:cs="Arial"/>
          <w:lang w:val="en-CA"/>
        </w:rPr>
        <w:t xml:space="preserve">will the court suspend the operation of a legislative enactment before </w:t>
      </w:r>
      <w:r w:rsidRPr="00C32B26">
        <w:rPr>
          <w:rFonts w:cs="Arial"/>
          <w:lang w:val="en-CA"/>
        </w:rPr>
        <w:t>deciding</w:t>
      </w:r>
      <w:r w:rsidR="00DD7A59" w:rsidRPr="00C32B26">
        <w:rPr>
          <w:rFonts w:cs="Arial"/>
          <w:lang w:val="en-CA"/>
        </w:rPr>
        <w:t xml:space="preserve"> on</w:t>
      </w:r>
      <w:r w:rsidR="00B20E11" w:rsidRPr="00C32B26">
        <w:rPr>
          <w:rFonts w:cs="Arial"/>
          <w:lang w:val="en-CA"/>
        </w:rPr>
        <w:t xml:space="preserve"> its validity</w:t>
      </w:r>
      <w:r w:rsidR="005249A3" w:rsidRPr="00C32B26">
        <w:rPr>
          <w:rFonts w:cs="Arial"/>
          <w:lang w:val="en-CA"/>
        </w:rPr>
        <w:t>.</w:t>
      </w:r>
    </w:p>
    <w:p w14:paraId="2CB01798" w14:textId="4D84999D" w:rsidR="005249A3" w:rsidRPr="00C32B26" w:rsidRDefault="00C57605" w:rsidP="00D674EC">
      <w:pPr>
        <w:pStyle w:val="Paragrdouble"/>
        <w:tabs>
          <w:tab w:val="clear" w:pos="3053"/>
          <w:tab w:val="num" w:pos="567"/>
        </w:tabs>
        <w:spacing w:line="240" w:lineRule="auto"/>
        <w:ind w:left="0"/>
        <w:rPr>
          <w:rFonts w:cs="Arial"/>
          <w:lang w:val="en-CA"/>
        </w:rPr>
      </w:pPr>
      <w:bookmarkStart w:id="3" w:name="Intérêtpublic"/>
      <w:r w:rsidRPr="00C32B26">
        <w:rPr>
          <w:rFonts w:cs="Arial"/>
          <w:lang w:val="en-CA"/>
        </w:rPr>
        <w:t xml:space="preserve">Although the State does not have </w:t>
      </w:r>
      <w:r w:rsidR="00A16E06" w:rsidRPr="00C32B26">
        <w:rPr>
          <w:rFonts w:cs="Arial"/>
          <w:lang w:val="en-CA"/>
        </w:rPr>
        <w:t xml:space="preserve">a </w:t>
      </w:r>
      <w:r w:rsidRPr="00C32B26">
        <w:rPr>
          <w:rFonts w:cs="Arial"/>
          <w:lang w:val="en-CA"/>
        </w:rPr>
        <w:t>monopoly on public interest in constitutional cases,</w:t>
      </w:r>
      <w:r w:rsidR="005249A3" w:rsidRPr="00C32B26">
        <w:rPr>
          <w:rStyle w:val="Appelnotedebasdep"/>
          <w:rFonts w:cs="Arial"/>
          <w:lang w:val="en-CA"/>
        </w:rPr>
        <w:footnoteReference w:id="75"/>
      </w:r>
      <w:r w:rsidR="002D2C3D" w:rsidRPr="00C32B26">
        <w:rPr>
          <w:rFonts w:cs="Arial"/>
          <w:lang w:val="en-CA"/>
        </w:rPr>
        <w:t xml:space="preserve"> </w:t>
      </w:r>
      <w:r w:rsidRPr="00C32B26">
        <w:rPr>
          <w:rFonts w:cs="Arial"/>
          <w:lang w:val="en-CA"/>
        </w:rPr>
        <w:t>it is up to the party seeking the suspension to demonstrate that “the suspension of the legislation would itself provide a public benefit.”</w:t>
      </w:r>
      <w:r w:rsidR="005249A3" w:rsidRPr="00C32B26">
        <w:rPr>
          <w:rStyle w:val="Appelnotedebasdep"/>
          <w:rFonts w:cs="Arial"/>
          <w:lang w:val="en-CA"/>
        </w:rPr>
        <w:footnoteReference w:id="76"/>
      </w:r>
      <w:r w:rsidR="005249A3" w:rsidRPr="00C32B26">
        <w:rPr>
          <w:rFonts w:cs="Arial"/>
          <w:lang w:val="en-CA"/>
        </w:rPr>
        <w:t xml:space="preserve"> </w:t>
      </w:r>
      <w:r w:rsidR="006C1D4C" w:rsidRPr="00C32B26">
        <w:rPr>
          <w:rFonts w:cs="Arial"/>
          <w:lang w:val="en-CA"/>
        </w:rPr>
        <w:t>As the Court of Appeal has stated, “the public interest is not solely that of society generally, but may also involve the particular interests of identifiable groups.”</w:t>
      </w:r>
      <w:r w:rsidR="005249A3" w:rsidRPr="00C32B26">
        <w:rPr>
          <w:rStyle w:val="Appelnotedebasdep"/>
          <w:rFonts w:cs="Arial"/>
          <w:lang w:val="en-CA"/>
        </w:rPr>
        <w:footnoteReference w:id="77"/>
      </w:r>
    </w:p>
    <w:bookmarkEnd w:id="1"/>
    <w:bookmarkEnd w:id="2"/>
    <w:bookmarkEnd w:id="3"/>
    <w:p w14:paraId="2C5E4282" w14:textId="03A6B6C5" w:rsidR="00772542" w:rsidRPr="00C32B26" w:rsidRDefault="00331F38" w:rsidP="00331F38">
      <w:pPr>
        <w:pStyle w:val="Titre3"/>
        <w:ind w:left="567"/>
        <w:rPr>
          <w:rFonts w:cs="Arial"/>
          <w:lang w:val="en-CA"/>
        </w:rPr>
      </w:pPr>
      <w:r w:rsidRPr="00C32B26">
        <w:rPr>
          <w:rFonts w:cs="Arial"/>
          <w:lang w:val="en-CA"/>
        </w:rPr>
        <w:t>3.2</w:t>
      </w:r>
      <w:r w:rsidRPr="00C32B26">
        <w:rPr>
          <w:rFonts w:cs="Arial"/>
          <w:lang w:val="en-CA"/>
        </w:rPr>
        <w:tab/>
      </w:r>
      <w:r w:rsidR="005249A3" w:rsidRPr="00C32B26">
        <w:rPr>
          <w:rFonts w:cs="Arial"/>
          <w:lang w:val="en-CA"/>
        </w:rPr>
        <w:t xml:space="preserve">Application </w:t>
      </w:r>
      <w:r w:rsidR="000D24ED" w:rsidRPr="00C32B26">
        <w:rPr>
          <w:rFonts w:cs="Arial"/>
          <w:lang w:val="en-CA"/>
        </w:rPr>
        <w:t>to the case at bar</w:t>
      </w:r>
    </w:p>
    <w:p w14:paraId="2F19D486" w14:textId="2F9C923B" w:rsidR="005249A3" w:rsidRPr="00C32B26" w:rsidRDefault="009718CB" w:rsidP="00331F38">
      <w:pPr>
        <w:pStyle w:val="Paragrdouble"/>
        <w:tabs>
          <w:tab w:val="clear" w:pos="3053"/>
          <w:tab w:val="num" w:pos="567"/>
        </w:tabs>
        <w:spacing w:line="240" w:lineRule="auto"/>
        <w:ind w:left="0"/>
        <w:rPr>
          <w:rFonts w:cs="Arial"/>
          <w:lang w:val="en-CA"/>
        </w:rPr>
      </w:pPr>
      <w:r w:rsidRPr="00C32B26">
        <w:rPr>
          <w:rFonts w:cs="Arial"/>
          <w:lang w:val="en-CA"/>
        </w:rPr>
        <w:t>The Court must</w:t>
      </w:r>
      <w:r w:rsidR="00E80DE8" w:rsidRPr="00C32B26">
        <w:rPr>
          <w:rFonts w:cs="Arial"/>
          <w:lang w:val="en-CA"/>
        </w:rPr>
        <w:t xml:space="preserve"> determine whether the applicants have succeeded in rebutting the presumption that the operation of the contested provisions until the hearing of the substantive application would serve the public interest better than their suspension</w:t>
      </w:r>
      <w:r w:rsidR="005249A3" w:rsidRPr="00C32B26">
        <w:rPr>
          <w:rFonts w:cs="Arial"/>
          <w:lang w:val="en-CA"/>
        </w:rPr>
        <w:t xml:space="preserve">. </w:t>
      </w:r>
      <w:r w:rsidRPr="00C32B26">
        <w:rPr>
          <w:lang w:val="en-CA"/>
        </w:rPr>
        <w:t>The applicants</w:t>
      </w:r>
      <w:r w:rsidRPr="00C32B26">
        <w:rPr>
          <w:rFonts w:cs="Arial"/>
          <w:lang w:val="en-CA"/>
        </w:rPr>
        <w:t xml:space="preserve"> provide several reasons why the case at bar is, in their </w:t>
      </w:r>
      <w:r w:rsidR="00B91150" w:rsidRPr="00C32B26">
        <w:rPr>
          <w:rFonts w:cs="Arial"/>
          <w:lang w:val="en-CA"/>
        </w:rPr>
        <w:t>view</w:t>
      </w:r>
      <w:r w:rsidRPr="00C32B26">
        <w:rPr>
          <w:rFonts w:cs="Arial"/>
          <w:lang w:val="en-CA"/>
        </w:rPr>
        <w:t>, a “clear case” as defined by the jurisprudence</w:t>
      </w:r>
      <w:r w:rsidR="00AF5FDC" w:rsidRPr="00C32B26">
        <w:rPr>
          <w:rFonts w:cs="Arial"/>
          <w:lang w:val="en-CA"/>
        </w:rPr>
        <w:t>:</w:t>
      </w:r>
    </w:p>
    <w:p w14:paraId="0CFAE8A2" w14:textId="666BB80D" w:rsidR="005249A3" w:rsidRPr="00C32B26" w:rsidRDefault="009718CB" w:rsidP="008C7DE9">
      <w:pPr>
        <w:pStyle w:val="Paragrdouble"/>
        <w:numPr>
          <w:ilvl w:val="0"/>
          <w:numId w:val="5"/>
        </w:numPr>
        <w:spacing w:line="240" w:lineRule="auto"/>
        <w:rPr>
          <w:rFonts w:cs="Arial"/>
          <w:lang w:val="en-CA"/>
        </w:rPr>
      </w:pPr>
      <w:r w:rsidRPr="00C32B26">
        <w:rPr>
          <w:rFonts w:cs="Arial"/>
          <w:lang w:val="en-CA"/>
        </w:rPr>
        <w:t xml:space="preserve">The </w:t>
      </w:r>
      <w:r w:rsidR="007D19AF" w:rsidRPr="00C32B26">
        <w:rPr>
          <w:rFonts w:cs="Arial"/>
          <w:lang w:val="en-CA"/>
        </w:rPr>
        <w:t>aforementioned argument</w:t>
      </w:r>
      <w:r w:rsidR="00096BF8" w:rsidRPr="00C32B26">
        <w:rPr>
          <w:rFonts w:cs="Arial"/>
          <w:lang w:val="en-CA"/>
        </w:rPr>
        <w:t xml:space="preserve">, which relies on the decisions in </w:t>
      </w:r>
      <w:r w:rsidR="00096BF8" w:rsidRPr="00C32B26">
        <w:rPr>
          <w:rFonts w:cs="Arial"/>
          <w:i/>
          <w:iCs/>
          <w:lang w:val="en-CA"/>
        </w:rPr>
        <w:t>Blaikie</w:t>
      </w:r>
      <w:r w:rsidR="00096BF8" w:rsidRPr="00C32B26">
        <w:rPr>
          <w:rFonts w:cs="Arial"/>
          <w:lang w:val="en-CA"/>
        </w:rPr>
        <w:t xml:space="preserve"> and </w:t>
      </w:r>
      <w:r w:rsidR="00096BF8" w:rsidRPr="00C32B26">
        <w:rPr>
          <w:rFonts w:cs="Arial"/>
          <w:i/>
          <w:iCs/>
          <w:lang w:val="en-CA"/>
        </w:rPr>
        <w:t>MacDonald</w:t>
      </w:r>
      <w:r w:rsidR="00096BF8" w:rsidRPr="00C32B26">
        <w:rPr>
          <w:rFonts w:cs="Arial"/>
          <w:lang w:val="en-CA"/>
        </w:rPr>
        <w:t>,</w:t>
      </w:r>
      <w:r w:rsidR="007D19AF" w:rsidRPr="00C32B26">
        <w:rPr>
          <w:rFonts w:cs="Arial"/>
          <w:lang w:val="en-CA"/>
        </w:rPr>
        <w:t xml:space="preserve"> </w:t>
      </w:r>
      <w:r w:rsidR="00BF31E4" w:rsidRPr="00C32B26">
        <w:rPr>
          <w:rFonts w:cs="Arial"/>
          <w:lang w:val="en-CA"/>
        </w:rPr>
        <w:t>that there is a</w:t>
      </w:r>
      <w:r w:rsidR="007D19AF" w:rsidRPr="00C32B26">
        <w:rPr>
          <w:rFonts w:cs="Arial"/>
          <w:lang w:val="en-CA"/>
        </w:rPr>
        <w:t xml:space="preserve"> “flagrant” conflict with</w:t>
      </w:r>
      <w:r w:rsidR="005249A3" w:rsidRPr="00C32B26">
        <w:rPr>
          <w:rFonts w:cs="Arial"/>
          <w:lang w:val="en-CA"/>
        </w:rPr>
        <w:t xml:space="preserve"> </w:t>
      </w:r>
      <w:r w:rsidR="007D19AF" w:rsidRPr="00C32B26">
        <w:rPr>
          <w:rFonts w:cs="Arial"/>
          <w:lang w:val="en-CA"/>
        </w:rPr>
        <w:t>section</w:t>
      </w:r>
      <w:r w:rsidR="005249A3" w:rsidRPr="00C32B26">
        <w:rPr>
          <w:rFonts w:cs="Arial"/>
          <w:lang w:val="en-CA"/>
        </w:rPr>
        <w:t xml:space="preserve"> 133 </w:t>
      </w:r>
      <w:r w:rsidR="007D19AF" w:rsidRPr="00C32B26">
        <w:rPr>
          <w:rFonts w:cs="Arial"/>
          <w:lang w:val="en-CA"/>
        </w:rPr>
        <w:t>of the</w:t>
      </w:r>
      <w:r w:rsidR="005249A3" w:rsidRPr="00C32B26">
        <w:rPr>
          <w:rFonts w:cs="Arial"/>
          <w:lang w:val="en-CA"/>
        </w:rPr>
        <w:t xml:space="preserve"> </w:t>
      </w:r>
      <w:r w:rsidR="00882945" w:rsidRPr="00C32B26">
        <w:rPr>
          <w:rFonts w:cs="Arial"/>
          <w:i/>
          <w:iCs/>
          <w:lang w:val="en-CA"/>
        </w:rPr>
        <w:t>Constitution Act, 1867</w:t>
      </w:r>
      <w:r w:rsidR="005249A3" w:rsidRPr="00C32B26">
        <w:rPr>
          <w:rFonts w:cs="Arial"/>
          <w:lang w:val="en-CA"/>
        </w:rPr>
        <w:t>.</w:t>
      </w:r>
    </w:p>
    <w:p w14:paraId="10BB3B10" w14:textId="3A12FFEC" w:rsidR="005249A3" w:rsidRPr="00C32B26" w:rsidRDefault="00DD04DA" w:rsidP="008C7DE9">
      <w:pPr>
        <w:pStyle w:val="Paragrdouble"/>
        <w:numPr>
          <w:ilvl w:val="0"/>
          <w:numId w:val="5"/>
        </w:numPr>
        <w:spacing w:line="240" w:lineRule="auto"/>
        <w:rPr>
          <w:rFonts w:cs="Arial"/>
          <w:lang w:val="en-CA"/>
        </w:rPr>
      </w:pPr>
      <w:r w:rsidRPr="00C32B26">
        <w:rPr>
          <w:rFonts w:cs="Arial"/>
          <w:lang w:val="en-CA"/>
        </w:rPr>
        <w:t>In light of excerpts from legislative debates, the Minister of Justice neglected the problem of access to civil justice in developing Bill 96</w:t>
      </w:r>
      <w:r w:rsidR="005249A3" w:rsidRPr="00C32B26">
        <w:rPr>
          <w:rFonts w:cs="Arial"/>
          <w:lang w:val="en-CA"/>
        </w:rPr>
        <w:t>.</w:t>
      </w:r>
    </w:p>
    <w:p w14:paraId="79D58EBB" w14:textId="43D125A9" w:rsidR="005249A3" w:rsidRPr="00C32B26" w:rsidRDefault="00DD04DA" w:rsidP="008C7DE9">
      <w:pPr>
        <w:pStyle w:val="Paragrdouble"/>
        <w:numPr>
          <w:ilvl w:val="0"/>
          <w:numId w:val="5"/>
        </w:numPr>
        <w:spacing w:line="240" w:lineRule="auto"/>
        <w:rPr>
          <w:rFonts w:cs="Arial"/>
          <w:lang w:val="en-CA"/>
        </w:rPr>
      </w:pPr>
      <w:r w:rsidRPr="00C32B26">
        <w:rPr>
          <w:rFonts w:cs="Arial"/>
          <w:lang w:val="en-CA"/>
        </w:rPr>
        <w:lastRenderedPageBreak/>
        <w:t>The impugned provisions run counter to the [</w:t>
      </w:r>
      <w:r w:rsidRPr="00C32B26">
        <w:rPr>
          <w:rFonts w:cs="Arial"/>
          <w:smallCaps/>
          <w:lang w:val="en-CA"/>
        </w:rPr>
        <w:t>translation</w:t>
      </w:r>
      <w:r w:rsidRPr="00C32B26">
        <w:rPr>
          <w:rFonts w:cs="Arial"/>
          <w:lang w:val="en-CA"/>
        </w:rPr>
        <w:t xml:space="preserve">] “required culture </w:t>
      </w:r>
      <w:r w:rsidR="00E52672" w:rsidRPr="00C32B26">
        <w:rPr>
          <w:rFonts w:cs="Arial"/>
          <w:lang w:val="en-CA"/>
        </w:rPr>
        <w:t>shift</w:t>
      </w:r>
      <w:r w:rsidRPr="00C32B26">
        <w:rPr>
          <w:rFonts w:cs="Arial"/>
          <w:lang w:val="en-CA"/>
        </w:rPr>
        <w:t xml:space="preserve"> within the civil justice system”</w:t>
      </w:r>
      <w:r w:rsidR="005249A3" w:rsidRPr="00C32B26">
        <w:rPr>
          <w:rFonts w:cs="Arial"/>
          <w:vertAlign w:val="superscript"/>
          <w:lang w:val="en-CA"/>
        </w:rPr>
        <w:footnoteReference w:id="78"/>
      </w:r>
      <w:r w:rsidR="005249A3" w:rsidRPr="00C32B26">
        <w:rPr>
          <w:rFonts w:cs="Arial"/>
          <w:lang w:val="en-CA"/>
        </w:rPr>
        <w:t xml:space="preserve"> </w:t>
      </w:r>
      <w:r w:rsidRPr="00C32B26">
        <w:rPr>
          <w:rFonts w:cs="Arial"/>
          <w:lang w:val="en-CA"/>
        </w:rPr>
        <w:t>that the courts have frequently discussed, notably in</w:t>
      </w:r>
      <w:r w:rsidR="005249A3" w:rsidRPr="00C32B26">
        <w:rPr>
          <w:rFonts w:cs="Arial"/>
          <w:lang w:val="en-CA"/>
        </w:rPr>
        <w:t xml:space="preserve"> </w:t>
      </w:r>
      <w:r w:rsidR="005249A3" w:rsidRPr="00C32B26">
        <w:rPr>
          <w:rFonts w:cs="Arial"/>
          <w:i/>
          <w:iCs/>
          <w:lang w:val="en-CA"/>
        </w:rPr>
        <w:t xml:space="preserve">Hryniak </w:t>
      </w:r>
      <w:r w:rsidRPr="00C32B26">
        <w:rPr>
          <w:rFonts w:cs="Arial"/>
          <w:i/>
          <w:iCs/>
          <w:lang w:val="en-CA"/>
        </w:rPr>
        <w:t>v</w:t>
      </w:r>
      <w:r w:rsidR="005249A3" w:rsidRPr="00C32B26">
        <w:rPr>
          <w:rFonts w:cs="Arial"/>
          <w:i/>
          <w:iCs/>
          <w:lang w:val="en-CA"/>
        </w:rPr>
        <w:t>. Mauldin</w:t>
      </w:r>
      <w:r w:rsidRPr="00C32B26">
        <w:rPr>
          <w:rFonts w:cs="Arial"/>
          <w:lang w:val="en-CA"/>
        </w:rPr>
        <w:t>.</w:t>
      </w:r>
      <w:r w:rsidR="005249A3" w:rsidRPr="00C32B26">
        <w:rPr>
          <w:rFonts w:cs="Arial"/>
          <w:vertAlign w:val="superscript"/>
          <w:lang w:val="en-CA"/>
        </w:rPr>
        <w:footnoteReference w:id="79"/>
      </w:r>
    </w:p>
    <w:p w14:paraId="3AE32E28" w14:textId="36D5F12C" w:rsidR="00DD6B48" w:rsidRPr="00C32B26" w:rsidRDefault="00E52672" w:rsidP="008C7DE9">
      <w:pPr>
        <w:pStyle w:val="Paragrdouble"/>
        <w:numPr>
          <w:ilvl w:val="0"/>
          <w:numId w:val="5"/>
        </w:numPr>
        <w:spacing w:line="240" w:lineRule="auto"/>
        <w:rPr>
          <w:rFonts w:cs="Arial"/>
          <w:lang w:val="en-CA"/>
        </w:rPr>
      </w:pPr>
      <w:r w:rsidRPr="00C32B26">
        <w:rPr>
          <w:rFonts w:cs="Arial"/>
          <w:lang w:val="en-CA"/>
        </w:rPr>
        <w:t>The</w:t>
      </w:r>
      <w:r w:rsidR="007F04B5" w:rsidRPr="00C32B26">
        <w:rPr>
          <w:rFonts w:cs="Arial"/>
          <w:lang w:val="en-CA"/>
        </w:rPr>
        <w:t xml:space="preserve"> suspension </w:t>
      </w:r>
      <w:r w:rsidRPr="00C32B26">
        <w:rPr>
          <w:rFonts w:cs="Arial"/>
          <w:lang w:val="en-CA"/>
        </w:rPr>
        <w:t xml:space="preserve">itself is in the public interest due to the collective </w:t>
      </w:r>
      <w:r w:rsidR="008A4AC2" w:rsidRPr="00C32B26">
        <w:rPr>
          <w:rFonts w:cs="Arial"/>
          <w:lang w:val="en-CA"/>
        </w:rPr>
        <w:t>aspect</w:t>
      </w:r>
      <w:r w:rsidRPr="00C32B26">
        <w:rPr>
          <w:rFonts w:cs="Arial"/>
          <w:lang w:val="en-CA"/>
        </w:rPr>
        <w:t xml:space="preserve"> of the language rights guaranteed by the Constitution.</w:t>
      </w:r>
      <w:r w:rsidR="00DD6B48" w:rsidRPr="00C32B26">
        <w:rPr>
          <w:rStyle w:val="Appelnotedebasdep"/>
          <w:rFonts w:cs="Arial"/>
          <w:lang w:val="en-CA"/>
        </w:rPr>
        <w:footnoteReference w:id="80"/>
      </w:r>
      <w:r w:rsidR="00DD6B48" w:rsidRPr="00C32B26">
        <w:rPr>
          <w:rFonts w:cs="Arial"/>
          <w:lang w:val="en-CA"/>
        </w:rPr>
        <w:t xml:space="preserve"> </w:t>
      </w:r>
      <w:r w:rsidR="008C0E89" w:rsidRPr="00C32B26">
        <w:rPr>
          <w:rFonts w:cs="Arial"/>
          <w:lang w:val="en-CA"/>
        </w:rPr>
        <w:t>When p</w:t>
      </w:r>
      <w:r w:rsidR="0015063C" w:rsidRPr="00C32B26">
        <w:rPr>
          <w:rFonts w:cs="Arial"/>
          <w:lang w:val="en-CA"/>
        </w:rPr>
        <w:t>roperly weighed, the public interest favours the protection of the anglophone minority pending the hearing on the merits of the application.</w:t>
      </w:r>
      <w:r w:rsidR="00DD6B48" w:rsidRPr="00C32B26">
        <w:rPr>
          <w:rFonts w:cs="Arial"/>
          <w:lang w:val="en-CA"/>
        </w:rPr>
        <w:t xml:space="preserve"> </w:t>
      </w:r>
    </w:p>
    <w:p w14:paraId="386E75CB" w14:textId="45455211" w:rsidR="00DD6B48" w:rsidRPr="00C32B26" w:rsidRDefault="00BC5A24" w:rsidP="008C7DE9">
      <w:pPr>
        <w:pStyle w:val="Paragrdouble"/>
        <w:numPr>
          <w:ilvl w:val="0"/>
          <w:numId w:val="5"/>
        </w:numPr>
        <w:spacing w:line="240" w:lineRule="auto"/>
        <w:rPr>
          <w:rFonts w:cs="Arial"/>
          <w:lang w:val="en-CA"/>
        </w:rPr>
      </w:pPr>
      <w:r w:rsidRPr="00C32B26">
        <w:rPr>
          <w:rFonts w:cs="Arial"/>
          <w:lang w:val="en-CA"/>
        </w:rPr>
        <w:t>There is a significant connection between language rights and the right to dignity.</w:t>
      </w:r>
    </w:p>
    <w:p w14:paraId="10CC2F6C" w14:textId="50CA7585" w:rsidR="00DD6B48" w:rsidRPr="00C32B26" w:rsidRDefault="0012116C" w:rsidP="00331F38">
      <w:pPr>
        <w:pStyle w:val="Paragrdouble"/>
        <w:tabs>
          <w:tab w:val="clear" w:pos="3053"/>
          <w:tab w:val="num" w:pos="567"/>
        </w:tabs>
        <w:spacing w:line="240" w:lineRule="auto"/>
        <w:ind w:left="0"/>
        <w:rPr>
          <w:rFonts w:cs="Arial"/>
          <w:lang w:val="en-CA"/>
        </w:rPr>
      </w:pPr>
      <w:r w:rsidRPr="00C32B26">
        <w:rPr>
          <w:rFonts w:cs="Arial"/>
          <w:lang w:val="en-CA"/>
        </w:rPr>
        <w:t>The AGQ cites the presumption that the contested legislation serves the public interest</w:t>
      </w:r>
      <w:r w:rsidR="00AF5FDC" w:rsidRPr="00C32B26">
        <w:rPr>
          <w:rFonts w:cs="Arial"/>
          <w:lang w:val="en-CA"/>
        </w:rPr>
        <w:t>:</w:t>
      </w:r>
    </w:p>
    <w:p w14:paraId="0443FF01" w14:textId="067BFF4E" w:rsidR="00DD6B48" w:rsidRPr="00C32B26" w:rsidRDefault="0012116C" w:rsidP="008C7DE9">
      <w:pPr>
        <w:pStyle w:val="Paragrdouble"/>
        <w:numPr>
          <w:ilvl w:val="0"/>
          <w:numId w:val="5"/>
        </w:numPr>
        <w:spacing w:line="240" w:lineRule="auto"/>
        <w:rPr>
          <w:rFonts w:cs="Arial"/>
          <w:lang w:val="en-CA"/>
        </w:rPr>
      </w:pPr>
      <w:r w:rsidRPr="00C32B26">
        <w:rPr>
          <w:rFonts w:cs="Arial"/>
          <w:lang w:val="en-CA"/>
        </w:rPr>
        <w:t xml:space="preserve">The contested provisions are part of a </w:t>
      </w:r>
      <w:r w:rsidR="00FE549B" w:rsidRPr="00C32B26">
        <w:rPr>
          <w:rFonts w:cs="Arial"/>
          <w:lang w:val="en-CA"/>
        </w:rPr>
        <w:t>wide</w:t>
      </w:r>
      <w:r w:rsidRPr="00C32B26">
        <w:rPr>
          <w:rFonts w:cs="Arial"/>
          <w:lang w:val="en-CA"/>
        </w:rPr>
        <w:t xml:space="preserve">-ranging law aimed at affirming </w:t>
      </w:r>
      <w:r w:rsidR="00865852" w:rsidRPr="00C32B26">
        <w:rPr>
          <w:rFonts w:cs="Arial"/>
          <w:lang w:val="en-CA"/>
        </w:rPr>
        <w:t>Quebec’s French</w:t>
      </w:r>
      <w:r w:rsidRPr="00C32B26">
        <w:rPr>
          <w:rFonts w:cs="Arial"/>
          <w:lang w:val="en-CA"/>
        </w:rPr>
        <w:t xml:space="preserve"> character.</w:t>
      </w:r>
    </w:p>
    <w:p w14:paraId="3F9A88C1" w14:textId="560B1812" w:rsidR="00DD6B48" w:rsidRPr="00C32B26" w:rsidRDefault="0012116C" w:rsidP="008C7DE9">
      <w:pPr>
        <w:pStyle w:val="Paragrdouble"/>
        <w:numPr>
          <w:ilvl w:val="0"/>
          <w:numId w:val="5"/>
        </w:numPr>
        <w:spacing w:line="240" w:lineRule="auto"/>
        <w:rPr>
          <w:rFonts w:cs="Arial"/>
          <w:lang w:val="en-CA"/>
        </w:rPr>
      </w:pPr>
      <w:r w:rsidRPr="00C32B26">
        <w:rPr>
          <w:rFonts w:cs="Arial"/>
          <w:lang w:val="en-CA"/>
        </w:rPr>
        <w:t xml:space="preserve">Certain Court of Appeal and Supreme Court decisions have confirmed the importance or legitimacy of </w:t>
      </w:r>
      <w:r w:rsidR="00865852" w:rsidRPr="00C32B26">
        <w:rPr>
          <w:rFonts w:cs="Arial"/>
          <w:lang w:val="en-CA"/>
        </w:rPr>
        <w:t xml:space="preserve">the </w:t>
      </w:r>
      <w:r w:rsidRPr="00C32B26">
        <w:rPr>
          <w:rFonts w:cs="Arial"/>
          <w:lang w:val="en-CA"/>
        </w:rPr>
        <w:t>goal of protecting the French language in Quebec.</w:t>
      </w:r>
      <w:r w:rsidR="00DD6B48" w:rsidRPr="00C32B26">
        <w:rPr>
          <w:rStyle w:val="Appelnotedebasdep"/>
          <w:rFonts w:cs="Arial"/>
          <w:lang w:val="en-CA"/>
        </w:rPr>
        <w:footnoteReference w:id="81"/>
      </w:r>
    </w:p>
    <w:p w14:paraId="2A957EB9" w14:textId="476BD8D0" w:rsidR="00DD6B48" w:rsidRPr="00C32B26" w:rsidRDefault="0012116C" w:rsidP="008C7DE9">
      <w:pPr>
        <w:pStyle w:val="Paragrdouble"/>
        <w:numPr>
          <w:ilvl w:val="0"/>
          <w:numId w:val="5"/>
        </w:numPr>
        <w:spacing w:line="240" w:lineRule="auto"/>
        <w:rPr>
          <w:rFonts w:cs="Arial"/>
          <w:lang w:val="en-CA"/>
        </w:rPr>
      </w:pPr>
      <w:r w:rsidRPr="00C32B26">
        <w:rPr>
          <w:rFonts w:cs="Arial"/>
          <w:lang w:val="en-CA"/>
        </w:rPr>
        <w:t xml:space="preserve">The contested provisions themselves serve access to justice </w:t>
      </w:r>
      <w:r w:rsidR="00C43790" w:rsidRPr="00C32B26">
        <w:rPr>
          <w:rFonts w:cs="Arial"/>
          <w:lang w:val="en-CA"/>
        </w:rPr>
        <w:t xml:space="preserve">objectives </w:t>
      </w:r>
      <w:r w:rsidRPr="00C32B26">
        <w:rPr>
          <w:rFonts w:cs="Arial"/>
          <w:lang w:val="en-CA"/>
        </w:rPr>
        <w:t>for francophone</w:t>
      </w:r>
      <w:r w:rsidR="00C43790" w:rsidRPr="00C32B26">
        <w:rPr>
          <w:rFonts w:cs="Arial"/>
          <w:lang w:val="en-CA"/>
        </w:rPr>
        <w:t xml:space="preserve"> litigants</w:t>
      </w:r>
      <w:r w:rsidR="00DD6B48" w:rsidRPr="00C32B26">
        <w:rPr>
          <w:rFonts w:cs="Arial"/>
          <w:lang w:val="en-CA"/>
        </w:rPr>
        <w:t xml:space="preserve">. </w:t>
      </w:r>
      <w:r w:rsidRPr="00C32B26">
        <w:rPr>
          <w:rFonts w:cs="Arial"/>
          <w:lang w:val="en-CA"/>
        </w:rPr>
        <w:t xml:space="preserve">The examples </w:t>
      </w:r>
      <w:r w:rsidR="00247B43" w:rsidRPr="00C32B26">
        <w:rPr>
          <w:rFonts w:cs="Arial"/>
          <w:lang w:val="en-CA"/>
        </w:rPr>
        <w:t>given</w:t>
      </w:r>
      <w:r w:rsidR="00DD6B48" w:rsidRPr="00C32B26">
        <w:rPr>
          <w:rStyle w:val="Appelnotedebasdep"/>
          <w:rFonts w:cs="Arial"/>
          <w:lang w:val="en-CA"/>
        </w:rPr>
        <w:footnoteReference w:id="82"/>
      </w:r>
      <w:r w:rsidR="00DD6B48" w:rsidRPr="00C32B26">
        <w:rPr>
          <w:rFonts w:cs="Arial"/>
          <w:lang w:val="en-CA"/>
        </w:rPr>
        <w:t xml:space="preserve"> </w:t>
      </w:r>
      <w:r w:rsidRPr="00C32B26">
        <w:rPr>
          <w:rFonts w:cs="Arial"/>
          <w:lang w:val="en-CA"/>
        </w:rPr>
        <w:t xml:space="preserve">include the right of a tenant </w:t>
      </w:r>
      <w:r w:rsidR="00C43790" w:rsidRPr="00C32B26">
        <w:rPr>
          <w:rFonts w:cs="Arial"/>
          <w:lang w:val="en-CA"/>
        </w:rPr>
        <w:t>who</w:t>
      </w:r>
      <w:r w:rsidRPr="00C32B26">
        <w:rPr>
          <w:rFonts w:cs="Arial"/>
          <w:lang w:val="en-CA"/>
        </w:rPr>
        <w:t xml:space="preserve"> is the subject of an eviction application brought by a </w:t>
      </w:r>
      <w:r w:rsidR="00E21114" w:rsidRPr="00C32B26">
        <w:rPr>
          <w:rFonts w:cs="Arial"/>
          <w:lang w:val="en-CA"/>
        </w:rPr>
        <w:t>real estate</w:t>
      </w:r>
      <w:r w:rsidRPr="00C32B26">
        <w:rPr>
          <w:rFonts w:cs="Arial"/>
          <w:lang w:val="en-CA"/>
        </w:rPr>
        <w:t xml:space="preserve"> company</w:t>
      </w:r>
      <w:r w:rsidR="00C43790" w:rsidRPr="00C32B26">
        <w:rPr>
          <w:rFonts w:cs="Arial"/>
          <w:lang w:val="en-CA"/>
        </w:rPr>
        <w:t>,</w:t>
      </w:r>
      <w:r w:rsidRPr="00C32B26">
        <w:rPr>
          <w:rFonts w:cs="Arial"/>
          <w:lang w:val="en-CA"/>
        </w:rPr>
        <w:t xml:space="preserve"> and the right of an employee whose workers’ compensation claim is contested by his multinational corporate employer before the </w:t>
      </w:r>
      <w:r w:rsidR="003A5A25" w:rsidRPr="00C32B26">
        <w:rPr>
          <w:rFonts w:cs="Arial"/>
          <w:lang w:val="en-CA"/>
        </w:rPr>
        <w:t>Administrative Labour Tribunal</w:t>
      </w:r>
      <w:r w:rsidR="00DD6B48" w:rsidRPr="00C32B26">
        <w:rPr>
          <w:rFonts w:cs="Arial"/>
          <w:lang w:val="en-CA"/>
        </w:rPr>
        <w:t>.</w:t>
      </w:r>
    </w:p>
    <w:p w14:paraId="4DA3D193" w14:textId="63D77DBB" w:rsidR="00DD6B48" w:rsidRPr="00C32B26" w:rsidRDefault="000855B6" w:rsidP="00331F38">
      <w:pPr>
        <w:pStyle w:val="Paragrdouble"/>
        <w:tabs>
          <w:tab w:val="clear" w:pos="3053"/>
          <w:tab w:val="num" w:pos="567"/>
        </w:tabs>
        <w:spacing w:line="240" w:lineRule="auto"/>
        <w:ind w:left="0"/>
        <w:rPr>
          <w:rFonts w:cs="Arial"/>
          <w:lang w:val="en-CA"/>
        </w:rPr>
      </w:pPr>
      <w:r w:rsidRPr="00C32B26">
        <w:rPr>
          <w:rFonts w:cs="Arial"/>
          <w:lang w:val="en-CA"/>
        </w:rPr>
        <w:t xml:space="preserve">The AGQ also refers to other provisions of the </w:t>
      </w:r>
      <w:r w:rsidR="00F55EE4" w:rsidRPr="00C32B26">
        <w:rPr>
          <w:rFonts w:cs="Arial"/>
          <w:i/>
          <w:iCs/>
          <w:lang w:val="en-CA"/>
        </w:rPr>
        <w:t>Charter of the French language</w:t>
      </w:r>
      <w:r w:rsidRPr="00C32B26">
        <w:rPr>
          <w:rFonts w:cs="Arial"/>
          <w:lang w:val="en-CA"/>
        </w:rPr>
        <w:t xml:space="preserve"> and the </w:t>
      </w:r>
      <w:r w:rsidRPr="00C32B26">
        <w:rPr>
          <w:rFonts w:cs="Arial"/>
          <w:i/>
          <w:iCs/>
          <w:lang w:val="en-CA"/>
        </w:rPr>
        <w:t xml:space="preserve">Charter of </w:t>
      </w:r>
      <w:r w:rsidR="00514B14" w:rsidRPr="00C32B26">
        <w:rPr>
          <w:rFonts w:cs="Arial"/>
          <w:i/>
          <w:iCs/>
          <w:lang w:val="en-CA"/>
        </w:rPr>
        <w:t>h</w:t>
      </w:r>
      <w:r w:rsidRPr="00C32B26">
        <w:rPr>
          <w:rFonts w:cs="Arial"/>
          <w:i/>
          <w:iCs/>
          <w:lang w:val="en-CA"/>
        </w:rPr>
        <w:t xml:space="preserve">uman </w:t>
      </w:r>
      <w:r w:rsidR="00514B14" w:rsidRPr="00C32B26">
        <w:rPr>
          <w:rFonts w:cs="Arial"/>
          <w:i/>
          <w:iCs/>
          <w:lang w:val="en-CA"/>
        </w:rPr>
        <w:t>r</w:t>
      </w:r>
      <w:r w:rsidRPr="00C32B26">
        <w:rPr>
          <w:rFonts w:cs="Arial"/>
          <w:i/>
          <w:iCs/>
          <w:lang w:val="en-CA"/>
        </w:rPr>
        <w:t xml:space="preserve">ights and </w:t>
      </w:r>
      <w:r w:rsidR="00514B14" w:rsidRPr="00C32B26">
        <w:rPr>
          <w:rFonts w:cs="Arial"/>
          <w:i/>
          <w:iCs/>
          <w:lang w:val="en-CA"/>
        </w:rPr>
        <w:t>f</w:t>
      </w:r>
      <w:r w:rsidRPr="00C32B26">
        <w:rPr>
          <w:rFonts w:cs="Arial"/>
          <w:i/>
          <w:iCs/>
          <w:lang w:val="en-CA"/>
        </w:rPr>
        <w:t>reedoms</w:t>
      </w:r>
      <w:r w:rsidR="00DD6B48" w:rsidRPr="00C32B26">
        <w:rPr>
          <w:rStyle w:val="Appelnotedebasdep"/>
          <w:rFonts w:cs="Arial"/>
          <w:lang w:val="en-CA"/>
        </w:rPr>
        <w:footnoteReference w:id="83"/>
      </w:r>
      <w:r w:rsidR="00D06E77" w:rsidRPr="00C32B26">
        <w:rPr>
          <w:rFonts w:cs="Arial"/>
          <w:i/>
          <w:iCs/>
          <w:lang w:val="en-CA"/>
        </w:rPr>
        <w:t xml:space="preserve"> </w:t>
      </w:r>
      <w:r w:rsidR="0072016F" w:rsidRPr="00C32B26">
        <w:rPr>
          <w:rFonts w:cs="Arial"/>
          <w:lang w:val="en-CA"/>
        </w:rPr>
        <w:t xml:space="preserve">that </w:t>
      </w:r>
      <w:r w:rsidR="00D06E77" w:rsidRPr="00C32B26">
        <w:rPr>
          <w:rFonts w:cs="Arial"/>
          <w:lang w:val="en-CA"/>
        </w:rPr>
        <w:t>complement or will complement the contested provisions</w:t>
      </w:r>
      <w:r w:rsidR="00DD6B48" w:rsidRPr="00C32B26">
        <w:rPr>
          <w:rFonts w:cs="Arial"/>
          <w:lang w:val="en-CA"/>
        </w:rPr>
        <w:t>:</w:t>
      </w:r>
    </w:p>
    <w:p w14:paraId="20ABC75A" w14:textId="6AD1B354" w:rsidR="00DD6B48" w:rsidRPr="00C32B26" w:rsidRDefault="004060E0" w:rsidP="008C7DE9">
      <w:pPr>
        <w:pStyle w:val="Paragrdouble"/>
        <w:numPr>
          <w:ilvl w:val="0"/>
          <w:numId w:val="5"/>
        </w:numPr>
        <w:spacing w:before="0" w:after="0" w:line="240" w:lineRule="auto"/>
        <w:rPr>
          <w:rFonts w:cs="Arial"/>
          <w:lang w:val="en-CA"/>
        </w:rPr>
      </w:pPr>
      <w:r w:rsidRPr="00C32B26">
        <w:rPr>
          <w:rFonts w:cs="Arial"/>
          <w:lang w:val="en-CA"/>
        </w:rPr>
        <w:t>Section</w:t>
      </w:r>
      <w:r w:rsidR="00A77EF6" w:rsidRPr="00C32B26">
        <w:rPr>
          <w:rFonts w:cs="Arial"/>
          <w:lang w:val="en-CA"/>
        </w:rPr>
        <w:t xml:space="preserve"> </w:t>
      </w:r>
      <w:r w:rsidR="00DD6B48" w:rsidRPr="00C32B26">
        <w:rPr>
          <w:rFonts w:cs="Arial"/>
          <w:lang w:val="en-CA"/>
        </w:rPr>
        <w:t>4 </w:t>
      </w:r>
      <w:r w:rsidRPr="00C32B26">
        <w:rPr>
          <w:rFonts w:cs="Arial"/>
          <w:lang w:val="en-CA"/>
        </w:rPr>
        <w:t xml:space="preserve">of the </w:t>
      </w:r>
      <w:r w:rsidR="00F55EE4" w:rsidRPr="00C32B26">
        <w:rPr>
          <w:rFonts w:cs="Arial"/>
          <w:i/>
          <w:iCs/>
          <w:lang w:val="en-CA"/>
        </w:rPr>
        <w:t>Charter of the French language</w:t>
      </w:r>
      <w:r w:rsidRPr="00C32B26">
        <w:rPr>
          <w:rFonts w:cs="Arial"/>
          <w:lang w:val="en-CA"/>
        </w:rPr>
        <w:t xml:space="preserve">, in force and unaltered by Bill 96: </w:t>
      </w:r>
      <w:r w:rsidR="00DD6B48" w:rsidRPr="00C32B26">
        <w:rPr>
          <w:rFonts w:cs="Arial"/>
          <w:lang w:val="en-CA"/>
        </w:rPr>
        <w:t xml:space="preserve"> </w:t>
      </w:r>
    </w:p>
    <w:p w14:paraId="7BEFEE1B" w14:textId="77777777" w:rsidR="00EC480E" w:rsidRPr="00C32B26" w:rsidRDefault="00EC480E" w:rsidP="00EC480E">
      <w:pPr>
        <w:pStyle w:val="Paragrdouble"/>
        <w:numPr>
          <w:ilvl w:val="0"/>
          <w:numId w:val="0"/>
        </w:numPr>
        <w:spacing w:before="0" w:after="0" w:line="240" w:lineRule="auto"/>
        <w:ind w:left="1276"/>
        <w:rPr>
          <w:rFonts w:cs="Arial"/>
          <w:b/>
          <w:bCs/>
          <w:sz w:val="22"/>
          <w:szCs w:val="22"/>
          <w:highlight w:val="yellow"/>
          <w:lang w:val="en-CA"/>
        </w:rPr>
      </w:pPr>
    </w:p>
    <w:p w14:paraId="790B7E17" w14:textId="259FBBAF" w:rsidR="00DD6B48" w:rsidRPr="00C32B26" w:rsidRDefault="00DD6B48" w:rsidP="00EC480E">
      <w:pPr>
        <w:pStyle w:val="Paragrdouble"/>
        <w:numPr>
          <w:ilvl w:val="0"/>
          <w:numId w:val="0"/>
        </w:numPr>
        <w:spacing w:before="0" w:after="0" w:line="240" w:lineRule="auto"/>
        <w:ind w:left="1276"/>
        <w:rPr>
          <w:rFonts w:cs="Arial"/>
          <w:sz w:val="22"/>
          <w:szCs w:val="22"/>
          <w:lang w:val="en-CA"/>
        </w:rPr>
      </w:pPr>
      <w:r w:rsidRPr="00C32B26">
        <w:rPr>
          <w:rFonts w:cs="Arial"/>
          <w:b/>
          <w:bCs/>
          <w:sz w:val="22"/>
          <w:szCs w:val="22"/>
          <w:lang w:val="en-CA"/>
        </w:rPr>
        <w:t>4.</w:t>
      </w:r>
      <w:r w:rsidRPr="00C32B26">
        <w:rPr>
          <w:rFonts w:cs="Arial"/>
          <w:sz w:val="22"/>
          <w:szCs w:val="22"/>
          <w:lang w:val="en-CA"/>
        </w:rPr>
        <w:t xml:space="preserve"> </w:t>
      </w:r>
      <w:r w:rsidR="0052541E" w:rsidRPr="00C32B26">
        <w:rPr>
          <w:rFonts w:cs="Arial"/>
          <w:sz w:val="22"/>
          <w:szCs w:val="22"/>
          <w:lang w:val="en-CA"/>
        </w:rPr>
        <w:t>Workers have a right to carry on their activities in French.</w:t>
      </w:r>
      <w:r w:rsidRPr="00C32B26">
        <w:rPr>
          <w:rFonts w:cs="Arial"/>
          <w:sz w:val="22"/>
          <w:szCs w:val="22"/>
          <w:lang w:val="en-CA"/>
        </w:rPr>
        <w:t xml:space="preserve"> </w:t>
      </w:r>
    </w:p>
    <w:p w14:paraId="70D1003B" w14:textId="77777777" w:rsidR="00FB36D8" w:rsidRPr="00C32B26" w:rsidRDefault="00FB36D8" w:rsidP="00DD6B48">
      <w:pPr>
        <w:pStyle w:val="Paragrdouble"/>
        <w:numPr>
          <w:ilvl w:val="0"/>
          <w:numId w:val="0"/>
        </w:numPr>
        <w:spacing w:before="0" w:after="0" w:line="240" w:lineRule="auto"/>
        <w:ind w:left="720"/>
        <w:rPr>
          <w:rFonts w:cs="Arial"/>
          <w:lang w:val="en-CA"/>
        </w:rPr>
      </w:pPr>
    </w:p>
    <w:p w14:paraId="48F1339D" w14:textId="78B8D94D" w:rsidR="00DD6B48" w:rsidRPr="00C32B26" w:rsidRDefault="0052541E" w:rsidP="008C7DE9">
      <w:pPr>
        <w:pStyle w:val="Paragrdouble"/>
        <w:numPr>
          <w:ilvl w:val="0"/>
          <w:numId w:val="5"/>
        </w:numPr>
        <w:spacing w:before="0" w:after="0" w:line="240" w:lineRule="auto"/>
        <w:rPr>
          <w:rFonts w:cs="Arial"/>
          <w:lang w:val="en-CA"/>
        </w:rPr>
      </w:pPr>
      <w:r w:rsidRPr="00C32B26">
        <w:rPr>
          <w:rFonts w:cs="Arial"/>
          <w:lang w:val="en-CA"/>
        </w:rPr>
        <w:lastRenderedPageBreak/>
        <w:t>The new section</w:t>
      </w:r>
      <w:r w:rsidR="00DD6B48" w:rsidRPr="00C32B26">
        <w:rPr>
          <w:rFonts w:cs="Arial"/>
          <w:lang w:val="en-CA"/>
        </w:rPr>
        <w:t xml:space="preserve"> 6.2 </w:t>
      </w:r>
      <w:r w:rsidRPr="00C32B26">
        <w:rPr>
          <w:rFonts w:cs="Arial"/>
          <w:lang w:val="en-CA"/>
        </w:rPr>
        <w:t xml:space="preserve">of the </w:t>
      </w:r>
      <w:r w:rsidR="00F55EE4" w:rsidRPr="00C32B26">
        <w:rPr>
          <w:rFonts w:cs="Arial"/>
          <w:i/>
          <w:iCs/>
          <w:lang w:val="en-CA"/>
        </w:rPr>
        <w:t>Charter of the French language</w:t>
      </w:r>
      <w:r w:rsidRPr="00C32B26">
        <w:rPr>
          <w:rFonts w:cs="Arial"/>
          <w:lang w:val="en-CA"/>
        </w:rPr>
        <w:t>,</w:t>
      </w:r>
      <w:r w:rsidR="00DD6B48" w:rsidRPr="00C32B26">
        <w:rPr>
          <w:rFonts w:cs="Arial"/>
          <w:lang w:val="en-CA"/>
        </w:rPr>
        <w:t xml:space="preserve"> </w:t>
      </w:r>
      <w:r w:rsidRPr="00C32B26">
        <w:rPr>
          <w:rFonts w:cs="Arial"/>
          <w:lang w:val="en-CA"/>
        </w:rPr>
        <w:t>in force since June 1, 2022:</w:t>
      </w:r>
      <w:r w:rsidR="00DD6B48" w:rsidRPr="00C32B26">
        <w:rPr>
          <w:rFonts w:cs="Arial"/>
          <w:vertAlign w:val="superscript"/>
          <w:lang w:val="en-CA"/>
        </w:rPr>
        <w:footnoteReference w:id="84"/>
      </w:r>
      <w:r w:rsidR="00DD6B48" w:rsidRPr="00C32B26">
        <w:rPr>
          <w:rFonts w:cs="Arial"/>
          <w:lang w:val="en-CA"/>
        </w:rPr>
        <w:t> </w:t>
      </w:r>
    </w:p>
    <w:p w14:paraId="1CCFB81F" w14:textId="77777777" w:rsidR="00EC480E" w:rsidRPr="00C32B26" w:rsidRDefault="00EC480E" w:rsidP="008C7DE9">
      <w:pPr>
        <w:pStyle w:val="Paragrdouble"/>
        <w:numPr>
          <w:ilvl w:val="0"/>
          <w:numId w:val="5"/>
        </w:numPr>
        <w:spacing w:before="0" w:after="0" w:line="240" w:lineRule="auto"/>
        <w:rPr>
          <w:rFonts w:cs="Arial"/>
          <w:lang w:val="en-CA"/>
        </w:rPr>
      </w:pPr>
    </w:p>
    <w:p w14:paraId="6855E03B" w14:textId="2AA0BACE" w:rsidR="00DD6B48" w:rsidRPr="00C32B26" w:rsidRDefault="00DD6B48" w:rsidP="00EC480E">
      <w:pPr>
        <w:pStyle w:val="Paragrdouble"/>
        <w:numPr>
          <w:ilvl w:val="0"/>
          <w:numId w:val="0"/>
        </w:numPr>
        <w:spacing w:before="0" w:after="0" w:line="240" w:lineRule="auto"/>
        <w:ind w:left="1276"/>
        <w:rPr>
          <w:rFonts w:cs="Arial"/>
          <w:sz w:val="22"/>
          <w:szCs w:val="22"/>
          <w:lang w:val="en-CA"/>
        </w:rPr>
      </w:pPr>
      <w:r w:rsidRPr="00C32B26">
        <w:rPr>
          <w:rFonts w:cs="Arial"/>
          <w:b/>
          <w:bCs/>
          <w:sz w:val="22"/>
          <w:szCs w:val="22"/>
          <w:lang w:val="en-CA"/>
        </w:rPr>
        <w:t>6.2.</w:t>
      </w:r>
      <w:r w:rsidRPr="00C32B26">
        <w:rPr>
          <w:rFonts w:cs="Arial"/>
          <w:sz w:val="22"/>
          <w:szCs w:val="22"/>
          <w:lang w:val="en-CA"/>
        </w:rPr>
        <w:t xml:space="preserve"> </w:t>
      </w:r>
      <w:r w:rsidR="0052541E" w:rsidRPr="00C32B26">
        <w:rPr>
          <w:rFonts w:cs="Arial"/>
          <w:sz w:val="22"/>
          <w:szCs w:val="22"/>
          <w:lang w:val="en-CA"/>
        </w:rPr>
        <w:t>Every person has a right to justice and legislation in French.</w:t>
      </w:r>
    </w:p>
    <w:p w14:paraId="1D02CA73" w14:textId="77777777" w:rsidR="00FB36D8" w:rsidRPr="00C32B26" w:rsidRDefault="00FB36D8" w:rsidP="00DD6B48">
      <w:pPr>
        <w:pStyle w:val="Paragrdouble"/>
        <w:numPr>
          <w:ilvl w:val="0"/>
          <w:numId w:val="0"/>
        </w:numPr>
        <w:spacing w:before="0" w:after="0" w:line="240" w:lineRule="auto"/>
        <w:ind w:left="720"/>
        <w:rPr>
          <w:rFonts w:cs="Arial"/>
          <w:lang w:val="en-CA"/>
        </w:rPr>
      </w:pPr>
    </w:p>
    <w:p w14:paraId="41881B3D" w14:textId="15C5B977" w:rsidR="00DD6B48" w:rsidRPr="00C32B26" w:rsidRDefault="0052541E" w:rsidP="008C7DE9">
      <w:pPr>
        <w:pStyle w:val="Paragrdouble"/>
        <w:numPr>
          <w:ilvl w:val="0"/>
          <w:numId w:val="5"/>
        </w:numPr>
        <w:spacing w:before="0" w:after="0" w:line="240" w:lineRule="auto"/>
        <w:rPr>
          <w:rFonts w:cs="Arial"/>
          <w:lang w:val="en-CA"/>
        </w:rPr>
      </w:pPr>
      <w:r w:rsidRPr="00C32B26">
        <w:rPr>
          <w:rFonts w:cs="Arial"/>
          <w:lang w:val="en-CA"/>
        </w:rPr>
        <w:t>The new section</w:t>
      </w:r>
      <w:r w:rsidR="00DD6B48" w:rsidRPr="00C32B26">
        <w:rPr>
          <w:rFonts w:cs="Arial"/>
          <w:lang w:val="en-CA"/>
        </w:rPr>
        <w:t xml:space="preserve"> 3.1 </w:t>
      </w:r>
      <w:r w:rsidRPr="00C32B26">
        <w:rPr>
          <w:rFonts w:cs="Arial"/>
          <w:lang w:val="en-CA"/>
        </w:rPr>
        <w:t xml:space="preserve">of the </w:t>
      </w:r>
      <w:r w:rsidRPr="00C32B26">
        <w:rPr>
          <w:rFonts w:cs="Arial"/>
          <w:i/>
          <w:iCs/>
          <w:lang w:val="en-CA"/>
        </w:rPr>
        <w:t xml:space="preserve">Charter of </w:t>
      </w:r>
      <w:r w:rsidR="00975824" w:rsidRPr="00C32B26">
        <w:rPr>
          <w:rFonts w:cs="Arial"/>
          <w:i/>
          <w:iCs/>
          <w:lang w:val="en-CA"/>
        </w:rPr>
        <w:t>h</w:t>
      </w:r>
      <w:r w:rsidRPr="00C32B26">
        <w:rPr>
          <w:rFonts w:cs="Arial"/>
          <w:i/>
          <w:iCs/>
          <w:lang w:val="en-CA"/>
        </w:rPr>
        <w:t xml:space="preserve">uman </w:t>
      </w:r>
      <w:r w:rsidR="00975824" w:rsidRPr="00C32B26">
        <w:rPr>
          <w:rFonts w:cs="Arial"/>
          <w:i/>
          <w:iCs/>
          <w:lang w:val="en-CA"/>
        </w:rPr>
        <w:t>r</w:t>
      </w:r>
      <w:r w:rsidRPr="00C32B26">
        <w:rPr>
          <w:rFonts w:cs="Arial"/>
          <w:i/>
          <w:iCs/>
          <w:lang w:val="en-CA"/>
        </w:rPr>
        <w:t xml:space="preserve">ights and </w:t>
      </w:r>
      <w:r w:rsidR="00975824" w:rsidRPr="00C32B26">
        <w:rPr>
          <w:rFonts w:cs="Arial"/>
          <w:i/>
          <w:iCs/>
          <w:lang w:val="en-CA"/>
        </w:rPr>
        <w:t>f</w:t>
      </w:r>
      <w:r w:rsidRPr="00C32B26">
        <w:rPr>
          <w:rFonts w:cs="Arial"/>
          <w:i/>
          <w:iCs/>
          <w:lang w:val="en-CA"/>
        </w:rPr>
        <w:t>reedoms</w:t>
      </w:r>
      <w:r w:rsidR="00DD6B48" w:rsidRPr="00C32B26">
        <w:rPr>
          <w:rFonts w:cs="Arial"/>
          <w:lang w:val="en-CA"/>
        </w:rPr>
        <w:t xml:space="preserve">, </w:t>
      </w:r>
      <w:r w:rsidRPr="00C32B26">
        <w:rPr>
          <w:rFonts w:cs="Arial"/>
          <w:lang w:val="en-CA"/>
        </w:rPr>
        <w:t>also in force since June 1, 2022:</w:t>
      </w:r>
      <w:r w:rsidR="00DD6B48" w:rsidRPr="00C32B26">
        <w:rPr>
          <w:rFonts w:cs="Arial"/>
          <w:vertAlign w:val="superscript"/>
          <w:lang w:val="en-CA"/>
        </w:rPr>
        <w:footnoteReference w:id="85"/>
      </w:r>
      <w:r w:rsidR="00DD6B48" w:rsidRPr="00C32B26">
        <w:rPr>
          <w:rFonts w:cs="Arial"/>
          <w:lang w:val="en-CA"/>
        </w:rPr>
        <w:t> </w:t>
      </w:r>
    </w:p>
    <w:p w14:paraId="46C30555" w14:textId="77777777" w:rsidR="00EC480E" w:rsidRPr="00C32B26" w:rsidRDefault="00EC480E" w:rsidP="00EC480E">
      <w:pPr>
        <w:pStyle w:val="Paragrdouble"/>
        <w:numPr>
          <w:ilvl w:val="0"/>
          <w:numId w:val="0"/>
        </w:numPr>
        <w:spacing w:before="0" w:after="0" w:line="240" w:lineRule="auto"/>
        <w:ind w:left="720"/>
        <w:rPr>
          <w:rFonts w:cs="Arial"/>
          <w:lang w:val="en-CA"/>
        </w:rPr>
      </w:pPr>
    </w:p>
    <w:p w14:paraId="1D89CAE7" w14:textId="5CFF5CB4" w:rsidR="00DD6B48" w:rsidRPr="00C32B26" w:rsidRDefault="00DD6B48" w:rsidP="00EC480E">
      <w:pPr>
        <w:pStyle w:val="Paragrdouble"/>
        <w:numPr>
          <w:ilvl w:val="0"/>
          <w:numId w:val="0"/>
        </w:numPr>
        <w:spacing w:before="0" w:after="0" w:line="240" w:lineRule="auto"/>
        <w:ind w:left="1276" w:right="573"/>
        <w:rPr>
          <w:rFonts w:cs="Arial"/>
          <w:sz w:val="22"/>
          <w:szCs w:val="22"/>
          <w:lang w:val="en-CA"/>
        </w:rPr>
      </w:pPr>
      <w:r w:rsidRPr="00C32B26">
        <w:rPr>
          <w:rFonts w:cs="Arial"/>
          <w:b/>
          <w:bCs/>
          <w:sz w:val="22"/>
          <w:szCs w:val="22"/>
          <w:lang w:val="en-CA"/>
        </w:rPr>
        <w:t>3.1.</w:t>
      </w:r>
      <w:r w:rsidRPr="00C32B26">
        <w:rPr>
          <w:rFonts w:cs="Arial"/>
          <w:sz w:val="22"/>
          <w:szCs w:val="22"/>
          <w:lang w:val="en-CA"/>
        </w:rPr>
        <w:t xml:space="preserve"> </w:t>
      </w:r>
      <w:r w:rsidR="00601DDC" w:rsidRPr="00C32B26">
        <w:rPr>
          <w:rFonts w:cs="Arial"/>
          <w:sz w:val="22"/>
          <w:szCs w:val="22"/>
          <w:lang w:val="en-CA"/>
        </w:rPr>
        <w:t xml:space="preserve">Every person has a right to live in French to the extent provided for in the </w:t>
      </w:r>
      <w:r w:rsidR="00F55EE4" w:rsidRPr="00C32B26">
        <w:rPr>
          <w:rFonts w:cs="Arial"/>
          <w:sz w:val="22"/>
          <w:szCs w:val="22"/>
          <w:lang w:val="en-CA"/>
        </w:rPr>
        <w:t xml:space="preserve">Charter of the French </w:t>
      </w:r>
      <w:r w:rsidR="00B8573B" w:rsidRPr="00C32B26">
        <w:rPr>
          <w:rFonts w:cs="Arial"/>
          <w:sz w:val="22"/>
          <w:szCs w:val="22"/>
          <w:lang w:val="en-CA"/>
        </w:rPr>
        <w:t>l</w:t>
      </w:r>
      <w:r w:rsidR="00F55EE4" w:rsidRPr="00C32B26">
        <w:rPr>
          <w:rFonts w:cs="Arial"/>
          <w:sz w:val="22"/>
          <w:szCs w:val="22"/>
          <w:lang w:val="en-CA"/>
        </w:rPr>
        <w:t>anguage</w:t>
      </w:r>
      <w:r w:rsidR="00601DDC" w:rsidRPr="00C32B26">
        <w:rPr>
          <w:rFonts w:cs="Arial"/>
          <w:sz w:val="22"/>
          <w:szCs w:val="22"/>
          <w:lang w:val="en-CA"/>
        </w:rPr>
        <w:t xml:space="preserve"> (chapter C</w:t>
      </w:r>
      <w:r w:rsidR="00601DDC" w:rsidRPr="00C32B26">
        <w:rPr>
          <w:rFonts w:cs="Arial"/>
          <w:sz w:val="22"/>
          <w:szCs w:val="22"/>
          <w:lang w:val="en-CA"/>
        </w:rPr>
        <w:noBreakHyphen/>
        <w:t>11).</w:t>
      </w:r>
    </w:p>
    <w:p w14:paraId="2C5E4283" w14:textId="6758D82A" w:rsidR="00772542" w:rsidRPr="00C32B26" w:rsidRDefault="003A2773" w:rsidP="00331F38">
      <w:pPr>
        <w:pStyle w:val="Paragrdouble"/>
        <w:tabs>
          <w:tab w:val="clear" w:pos="3053"/>
          <w:tab w:val="num" w:pos="567"/>
        </w:tabs>
        <w:spacing w:line="240" w:lineRule="auto"/>
        <w:ind w:left="0"/>
        <w:rPr>
          <w:rFonts w:cs="Arial"/>
          <w:lang w:val="en-CA"/>
        </w:rPr>
      </w:pPr>
      <w:r w:rsidRPr="00C32B26">
        <w:rPr>
          <w:rFonts w:cs="Arial"/>
          <w:lang w:val="en-CA"/>
        </w:rPr>
        <w:t>The AGQ argues that a suspension should be granted only in the clearest cases</w:t>
      </w:r>
      <w:r w:rsidR="00193600" w:rsidRPr="00C32B26">
        <w:rPr>
          <w:rFonts w:cs="Arial"/>
          <w:lang w:val="en-CA"/>
        </w:rPr>
        <w:t>,</w:t>
      </w:r>
      <w:r w:rsidR="00DD6B48" w:rsidRPr="00C32B26">
        <w:rPr>
          <w:rStyle w:val="Appelnotedebasdep"/>
          <w:rFonts w:cs="Arial"/>
          <w:lang w:val="en-CA"/>
        </w:rPr>
        <w:footnoteReference w:id="86"/>
      </w:r>
      <w:r w:rsidR="00DD6B48" w:rsidRPr="00C32B26">
        <w:rPr>
          <w:rFonts w:cs="Arial"/>
          <w:lang w:val="en-CA"/>
        </w:rPr>
        <w:t xml:space="preserve"> </w:t>
      </w:r>
      <w:r w:rsidRPr="00C32B26">
        <w:rPr>
          <w:rFonts w:cs="Arial"/>
          <w:lang w:val="en-CA"/>
        </w:rPr>
        <w:t xml:space="preserve">and that the grounds of the application must be considered with great caution and must be supported by the evidence and </w:t>
      </w:r>
      <w:r w:rsidR="00B03E5B" w:rsidRPr="00C32B26">
        <w:rPr>
          <w:rFonts w:cs="Arial"/>
          <w:lang w:val="en-CA"/>
        </w:rPr>
        <w:t xml:space="preserve">be </w:t>
      </w:r>
      <w:r w:rsidRPr="00C32B26">
        <w:rPr>
          <w:rFonts w:cs="Arial"/>
          <w:lang w:val="en-CA"/>
        </w:rPr>
        <w:t>sufficient to rebut the presumption that the application of the contested provisions serves the public interest.</w:t>
      </w:r>
      <w:r w:rsidR="00446EC3" w:rsidRPr="00C32B26">
        <w:rPr>
          <w:rFonts w:cs="Arial"/>
          <w:lang w:val="en-CA"/>
        </w:rPr>
        <w:t xml:space="preserve"> </w:t>
      </w:r>
    </w:p>
    <w:p w14:paraId="330F58DD" w14:textId="59F6FE9E" w:rsidR="003214E6" w:rsidRPr="00C32B26" w:rsidRDefault="00A96BDD" w:rsidP="00331F38">
      <w:pPr>
        <w:pStyle w:val="Paragrdouble"/>
        <w:tabs>
          <w:tab w:val="clear" w:pos="3053"/>
          <w:tab w:val="num" w:pos="567"/>
        </w:tabs>
        <w:spacing w:line="240" w:lineRule="auto"/>
        <w:ind w:left="0"/>
        <w:rPr>
          <w:rFonts w:cs="Arial"/>
          <w:lang w:val="en-CA"/>
        </w:rPr>
      </w:pPr>
      <w:r w:rsidRPr="00C32B26">
        <w:rPr>
          <w:rFonts w:cs="Arial"/>
          <w:lang w:val="en-CA"/>
        </w:rPr>
        <w:t xml:space="preserve">If the </w:t>
      </w:r>
      <w:r w:rsidR="001D01C0" w:rsidRPr="00C32B26">
        <w:rPr>
          <w:rFonts w:cs="Arial"/>
          <w:lang w:val="en-CA"/>
        </w:rPr>
        <w:t xml:space="preserve">Bill 96 </w:t>
      </w:r>
      <w:r w:rsidRPr="00C32B26">
        <w:rPr>
          <w:rFonts w:cs="Arial"/>
          <w:lang w:val="en-CA"/>
        </w:rPr>
        <w:t xml:space="preserve">suspension is granted, </w:t>
      </w:r>
      <w:r w:rsidR="00BD5C5E" w:rsidRPr="00C32B26">
        <w:rPr>
          <w:rFonts w:cs="Arial"/>
          <w:lang w:val="en-CA"/>
        </w:rPr>
        <w:t>this</w:t>
      </w:r>
      <w:r w:rsidRPr="00C32B26">
        <w:rPr>
          <w:rFonts w:cs="Arial"/>
          <w:lang w:val="en-CA"/>
        </w:rPr>
        <w:t xml:space="preserve"> </w:t>
      </w:r>
      <w:r w:rsidR="00BD5C5E" w:rsidRPr="00C32B26">
        <w:rPr>
          <w:rFonts w:cs="Arial"/>
          <w:lang w:val="en-CA"/>
        </w:rPr>
        <w:t xml:space="preserve">will </w:t>
      </w:r>
      <w:r w:rsidRPr="00C32B26">
        <w:rPr>
          <w:rFonts w:cs="Arial"/>
          <w:lang w:val="en-CA"/>
        </w:rPr>
        <w:t>suspend, for the duration of the proceedings, the obligation of anglophone legal persons to obtain a version, translated by a certified translator, of all pleadings they wish to file with the court and thereby gain access to the court.</w:t>
      </w:r>
      <w:r w:rsidR="003214E6" w:rsidRPr="00C32B26">
        <w:rPr>
          <w:rFonts w:cs="Arial"/>
          <w:lang w:val="en-CA"/>
        </w:rPr>
        <w:t xml:space="preserve"> </w:t>
      </w:r>
      <w:r w:rsidRPr="00C32B26">
        <w:rPr>
          <w:rFonts w:cs="Arial"/>
          <w:lang w:val="en-CA"/>
        </w:rPr>
        <w:t xml:space="preserve">Another effect will be to deprive francophone litigants of a French version of any of the pleadings </w:t>
      </w:r>
      <w:r w:rsidR="00866445" w:rsidRPr="00C32B26">
        <w:rPr>
          <w:rFonts w:cs="Arial"/>
          <w:lang w:val="en-CA"/>
        </w:rPr>
        <w:t>to</w:t>
      </w:r>
      <w:r w:rsidRPr="00C32B26">
        <w:rPr>
          <w:rFonts w:cs="Arial"/>
          <w:lang w:val="en-CA"/>
        </w:rPr>
        <w:t xml:space="preserve"> which they </w:t>
      </w:r>
      <w:r w:rsidR="00866445" w:rsidRPr="00C32B26">
        <w:rPr>
          <w:rFonts w:cs="Arial"/>
          <w:lang w:val="en-CA"/>
        </w:rPr>
        <w:t>may</w:t>
      </w:r>
      <w:r w:rsidR="001D01C0" w:rsidRPr="00C32B26">
        <w:rPr>
          <w:rFonts w:cs="Arial"/>
          <w:lang w:val="en-CA"/>
        </w:rPr>
        <w:t xml:space="preserve"> </w:t>
      </w:r>
      <w:r w:rsidRPr="00C32B26">
        <w:rPr>
          <w:rFonts w:cs="Arial"/>
          <w:lang w:val="en-CA"/>
        </w:rPr>
        <w:t xml:space="preserve">be a party.  </w:t>
      </w:r>
    </w:p>
    <w:p w14:paraId="22C6B58C" w14:textId="11E2E541" w:rsidR="0033120C" w:rsidRPr="00C32B26" w:rsidRDefault="00100381" w:rsidP="005317E3">
      <w:pPr>
        <w:pStyle w:val="Paragrdouble"/>
        <w:tabs>
          <w:tab w:val="clear" w:pos="3053"/>
          <w:tab w:val="num" w:pos="567"/>
        </w:tabs>
        <w:spacing w:line="240" w:lineRule="auto"/>
        <w:ind w:left="0"/>
        <w:rPr>
          <w:rFonts w:cs="Arial"/>
          <w:lang w:val="en-CA"/>
        </w:rPr>
      </w:pPr>
      <w:r w:rsidRPr="00C32B26">
        <w:rPr>
          <w:rFonts w:cs="Arial"/>
          <w:lang w:val="en-CA"/>
        </w:rPr>
        <w:t>The Court finds upon its examination of</w:t>
      </w:r>
      <w:r w:rsidR="001D01C0" w:rsidRPr="00C32B26">
        <w:rPr>
          <w:rFonts w:cs="Arial"/>
          <w:lang w:val="en-CA"/>
        </w:rPr>
        <w:t xml:space="preserve"> the provisions in question above</w:t>
      </w:r>
      <w:r w:rsidRPr="00C32B26">
        <w:rPr>
          <w:rFonts w:cs="Arial"/>
          <w:lang w:val="en-CA"/>
        </w:rPr>
        <w:t xml:space="preserve"> that</w:t>
      </w:r>
      <w:r w:rsidR="001D01C0" w:rsidRPr="00C32B26">
        <w:rPr>
          <w:rFonts w:cs="Arial"/>
          <w:lang w:val="en-CA"/>
        </w:rPr>
        <w:t xml:space="preserve"> the provision declaring the right to justice in French under section 6.2 of the </w:t>
      </w:r>
      <w:r w:rsidR="00F55EE4" w:rsidRPr="00C32B26">
        <w:rPr>
          <w:rFonts w:cs="Arial"/>
          <w:i/>
          <w:iCs/>
          <w:lang w:val="en-CA"/>
        </w:rPr>
        <w:t>Charter of the French language</w:t>
      </w:r>
      <w:r w:rsidR="001D01C0" w:rsidRPr="00C32B26">
        <w:rPr>
          <w:rFonts w:cs="Arial"/>
          <w:lang w:val="en-CA"/>
        </w:rPr>
        <w:t xml:space="preserve"> </w:t>
      </w:r>
      <w:r w:rsidR="000E0F22" w:rsidRPr="00C32B26">
        <w:rPr>
          <w:rFonts w:cs="Arial"/>
          <w:lang w:val="en-CA"/>
        </w:rPr>
        <w:t>supports the AGQ’s argument. It is important to bear in mind that the validity of this provision is not under attack. In fact, the applicants acknowledge its importance or even its necessity in their application.</w:t>
      </w:r>
      <w:r w:rsidR="00D326D4" w:rsidRPr="00C32B26">
        <w:rPr>
          <w:rFonts w:cs="Arial"/>
          <w:lang w:val="en-CA"/>
        </w:rPr>
        <w:t xml:space="preserve"> </w:t>
      </w:r>
      <w:r w:rsidR="0056717B" w:rsidRPr="00C32B26">
        <w:rPr>
          <w:rFonts w:cs="Arial"/>
          <w:lang w:val="en-CA"/>
        </w:rPr>
        <w:t xml:space="preserve"> </w:t>
      </w:r>
    </w:p>
    <w:p w14:paraId="72BF77AB" w14:textId="109CF108" w:rsidR="00074685" w:rsidRPr="00C32B26" w:rsidRDefault="000E0F22" w:rsidP="005317E3">
      <w:pPr>
        <w:pStyle w:val="Paragrdouble"/>
        <w:tabs>
          <w:tab w:val="clear" w:pos="3053"/>
          <w:tab w:val="num" w:pos="567"/>
        </w:tabs>
        <w:spacing w:line="240" w:lineRule="auto"/>
        <w:ind w:left="0"/>
        <w:rPr>
          <w:rFonts w:cs="Arial"/>
          <w:lang w:val="en-CA"/>
        </w:rPr>
      </w:pPr>
      <w:r w:rsidRPr="00C32B26">
        <w:rPr>
          <w:rFonts w:cs="Arial"/>
          <w:lang w:val="en-CA"/>
        </w:rPr>
        <w:t xml:space="preserve">On the other hand, while </w:t>
      </w:r>
      <w:r w:rsidR="00100381" w:rsidRPr="00C32B26">
        <w:rPr>
          <w:rFonts w:cs="Arial"/>
          <w:lang w:val="en-CA"/>
        </w:rPr>
        <w:t>the impugned provisions</w:t>
      </w:r>
      <w:r w:rsidRPr="00C32B26">
        <w:rPr>
          <w:rFonts w:cs="Arial"/>
          <w:lang w:val="en-CA"/>
        </w:rPr>
        <w:t xml:space="preserve"> preserve the primacy of French as an objective even before the courts, it appears that </w:t>
      </w:r>
      <w:r w:rsidR="00100381" w:rsidRPr="00C32B26">
        <w:rPr>
          <w:rFonts w:cs="Arial"/>
          <w:lang w:val="en-CA"/>
        </w:rPr>
        <w:t xml:space="preserve">they also </w:t>
      </w:r>
      <w:r w:rsidRPr="00C32B26">
        <w:rPr>
          <w:rFonts w:cs="Arial"/>
          <w:lang w:val="en-CA"/>
        </w:rPr>
        <w:t>compromise access to the courts.</w:t>
      </w:r>
      <w:r w:rsidR="00074685" w:rsidRPr="00C32B26">
        <w:rPr>
          <w:rFonts w:cs="Arial"/>
          <w:lang w:val="en-CA"/>
        </w:rPr>
        <w:t xml:space="preserve"> </w:t>
      </w:r>
    </w:p>
    <w:p w14:paraId="1C4358C6" w14:textId="238413A5" w:rsidR="0018249A" w:rsidRPr="00C32B26" w:rsidRDefault="00E8595D" w:rsidP="005317E3">
      <w:pPr>
        <w:pStyle w:val="Paragrdouble"/>
        <w:tabs>
          <w:tab w:val="clear" w:pos="3053"/>
          <w:tab w:val="num" w:pos="567"/>
        </w:tabs>
        <w:spacing w:line="240" w:lineRule="auto"/>
        <w:ind w:left="0"/>
        <w:rPr>
          <w:rFonts w:cs="Arial"/>
          <w:lang w:val="en-CA"/>
        </w:rPr>
      </w:pPr>
      <w:r w:rsidRPr="00C32B26">
        <w:rPr>
          <w:rFonts w:cs="Arial"/>
          <w:lang w:val="en-CA"/>
        </w:rPr>
        <w:t xml:space="preserve">Since the </w:t>
      </w:r>
      <w:r w:rsidRPr="00C32B26">
        <w:rPr>
          <w:rFonts w:cs="Arial"/>
          <w:i/>
          <w:iCs/>
          <w:lang w:val="en-CA"/>
        </w:rPr>
        <w:t>Constitution Act, 1872</w:t>
      </w:r>
      <w:r w:rsidRPr="00C32B26">
        <w:rPr>
          <w:rFonts w:cs="Arial"/>
          <w:lang w:val="en-CA"/>
        </w:rPr>
        <w:t>, individuals and legal persons in Quebec have had the right to address the courts in the language of their choice. If the impugned provisions come into force, this will remain the case</w:t>
      </w:r>
      <w:r w:rsidR="0043654A" w:rsidRPr="00C32B26">
        <w:rPr>
          <w:rFonts w:cs="Arial"/>
          <w:lang w:val="en-CA"/>
        </w:rPr>
        <w:t>,</w:t>
      </w:r>
      <w:r w:rsidRPr="00C32B26">
        <w:rPr>
          <w:rFonts w:cs="Arial"/>
          <w:lang w:val="en-CA"/>
        </w:rPr>
        <w:t xml:space="preserve"> except that in order for a pleading to be eligible for filing with the registry, it will need to be accompanied simultaneously by a certified translation from a certified translator. Failure to attach a translated version to the legal person’s pleading will immediately result in its rejection, without any examination of the nature or circumstances of the case.</w:t>
      </w:r>
    </w:p>
    <w:p w14:paraId="5844567B" w14:textId="4F72D0FA" w:rsidR="0018249A" w:rsidRPr="00C32B26" w:rsidRDefault="00324E0F" w:rsidP="005317E3">
      <w:pPr>
        <w:pStyle w:val="Paragrdouble"/>
        <w:tabs>
          <w:tab w:val="clear" w:pos="3053"/>
          <w:tab w:val="num" w:pos="567"/>
        </w:tabs>
        <w:spacing w:line="240" w:lineRule="auto"/>
        <w:ind w:left="0"/>
        <w:rPr>
          <w:rFonts w:cs="Arial"/>
          <w:lang w:val="en-CA"/>
        </w:rPr>
      </w:pPr>
      <w:r w:rsidRPr="00C32B26">
        <w:rPr>
          <w:rFonts w:cs="Arial"/>
          <w:lang w:val="en-CA"/>
        </w:rPr>
        <w:lastRenderedPageBreak/>
        <w:t xml:space="preserve"> </w:t>
      </w:r>
      <w:r w:rsidR="00691A03" w:rsidRPr="00C32B26">
        <w:rPr>
          <w:rFonts w:cs="Arial"/>
          <w:lang w:val="en-CA"/>
        </w:rPr>
        <w:t xml:space="preserve">As worded, Bill </w:t>
      </w:r>
      <w:r w:rsidR="003A2566" w:rsidRPr="00C32B26">
        <w:rPr>
          <w:rFonts w:cs="Arial"/>
          <w:lang w:val="en-CA"/>
        </w:rPr>
        <w:t xml:space="preserve">96 </w:t>
      </w:r>
      <w:r w:rsidR="00691A03" w:rsidRPr="00C32B26">
        <w:rPr>
          <w:rFonts w:cs="Arial"/>
          <w:lang w:val="en-CA"/>
        </w:rPr>
        <w:t>prevents the filing of an English-only pleading even if all the parties to the case are using English. The absence of a certified true translation</w:t>
      </w:r>
      <w:r w:rsidR="0018249A" w:rsidRPr="00C32B26">
        <w:rPr>
          <w:rFonts w:cs="Arial"/>
          <w:lang w:val="en-CA"/>
        </w:rPr>
        <w:t xml:space="preserve"> </w:t>
      </w:r>
      <w:r w:rsidR="00691A03" w:rsidRPr="00C32B26">
        <w:rPr>
          <w:rFonts w:cs="Arial"/>
          <w:lang w:val="en-CA"/>
        </w:rPr>
        <w:t>bars access to the courts by legal persons exercising</w:t>
      </w:r>
      <w:r w:rsidR="00AB5C7F" w:rsidRPr="00C32B26">
        <w:rPr>
          <w:rFonts w:cs="Arial"/>
          <w:lang w:val="en-CA"/>
        </w:rPr>
        <w:t xml:space="preserve"> </w:t>
      </w:r>
      <w:r w:rsidR="00691A03" w:rsidRPr="00C32B26">
        <w:rPr>
          <w:rFonts w:cs="Arial"/>
          <w:lang w:val="en-CA"/>
        </w:rPr>
        <w:t>recourse</w:t>
      </w:r>
      <w:r w:rsidR="005C38F5" w:rsidRPr="00C32B26">
        <w:rPr>
          <w:rFonts w:cs="Arial"/>
          <w:lang w:val="en-CA"/>
        </w:rPr>
        <w:t>s</w:t>
      </w:r>
      <w:r w:rsidR="0018249A" w:rsidRPr="00C32B26">
        <w:rPr>
          <w:rFonts w:cs="Arial"/>
          <w:lang w:val="en-CA"/>
        </w:rPr>
        <w:t>.</w:t>
      </w:r>
    </w:p>
    <w:p w14:paraId="515B60CE" w14:textId="4BF42410" w:rsidR="00446EC3" w:rsidRPr="00C32B26" w:rsidRDefault="00691A03" w:rsidP="005317E3">
      <w:pPr>
        <w:pStyle w:val="Paragrdouble"/>
        <w:tabs>
          <w:tab w:val="clear" w:pos="3053"/>
          <w:tab w:val="num" w:pos="567"/>
        </w:tabs>
        <w:spacing w:line="240" w:lineRule="auto"/>
        <w:ind w:left="0"/>
        <w:rPr>
          <w:rFonts w:cs="Arial"/>
          <w:lang w:val="en-CA"/>
        </w:rPr>
      </w:pPr>
      <w:r w:rsidRPr="00C32B26">
        <w:rPr>
          <w:rFonts w:cs="Arial"/>
          <w:lang w:val="en-CA"/>
        </w:rPr>
        <w:t>It should be emphasized that the current debate is not part of a challenge by the legislator that relies on a</w:t>
      </w:r>
      <w:r w:rsidR="00AB5C7F" w:rsidRPr="00C32B26">
        <w:rPr>
          <w:rFonts w:cs="Arial"/>
          <w:lang w:val="en-CA"/>
        </w:rPr>
        <w:t xml:space="preserve"> </w:t>
      </w:r>
      <w:r w:rsidR="00F72970" w:rsidRPr="00C32B26">
        <w:rPr>
          <w:rFonts w:cs="Arial"/>
          <w:lang w:val="en-CA"/>
        </w:rPr>
        <w:t xml:space="preserve">derogation </w:t>
      </w:r>
      <w:r w:rsidRPr="00C32B26">
        <w:rPr>
          <w:rFonts w:cs="Arial"/>
          <w:lang w:val="en-CA"/>
        </w:rPr>
        <w:t xml:space="preserve">clause </w:t>
      </w:r>
      <w:r w:rsidR="00AB5C7F" w:rsidRPr="00C32B26">
        <w:rPr>
          <w:rFonts w:cs="Arial"/>
          <w:lang w:val="en-CA"/>
        </w:rPr>
        <w:t>overriding</w:t>
      </w:r>
      <w:r w:rsidRPr="00C32B26">
        <w:rPr>
          <w:rFonts w:cs="Arial"/>
          <w:lang w:val="en-CA"/>
        </w:rPr>
        <w:t xml:space="preserve"> the fundamental rights protected by the </w:t>
      </w:r>
      <w:r w:rsidRPr="00C32B26">
        <w:rPr>
          <w:rFonts w:cs="Arial"/>
          <w:i/>
          <w:iCs/>
          <w:lang w:val="en-CA"/>
        </w:rPr>
        <w:t xml:space="preserve">Charter of </w:t>
      </w:r>
      <w:r w:rsidR="008A4F64" w:rsidRPr="00C32B26">
        <w:rPr>
          <w:rFonts w:cs="Arial"/>
          <w:i/>
          <w:iCs/>
          <w:lang w:val="en-CA"/>
        </w:rPr>
        <w:t>h</w:t>
      </w:r>
      <w:r w:rsidRPr="00C32B26">
        <w:rPr>
          <w:rFonts w:cs="Arial"/>
          <w:i/>
          <w:iCs/>
          <w:lang w:val="en-CA"/>
        </w:rPr>
        <w:t xml:space="preserve">uman </w:t>
      </w:r>
      <w:r w:rsidR="008A4F64" w:rsidRPr="00C32B26">
        <w:rPr>
          <w:rFonts w:cs="Arial"/>
          <w:i/>
          <w:iCs/>
          <w:lang w:val="en-CA"/>
        </w:rPr>
        <w:t>r</w:t>
      </w:r>
      <w:r w:rsidRPr="00C32B26">
        <w:rPr>
          <w:rFonts w:cs="Arial"/>
          <w:i/>
          <w:iCs/>
          <w:lang w:val="en-CA"/>
        </w:rPr>
        <w:t xml:space="preserve">ights and </w:t>
      </w:r>
      <w:r w:rsidR="008A4F64" w:rsidRPr="00C32B26">
        <w:rPr>
          <w:rFonts w:cs="Arial"/>
          <w:i/>
          <w:iCs/>
          <w:lang w:val="en-CA"/>
        </w:rPr>
        <w:t>f</w:t>
      </w:r>
      <w:r w:rsidRPr="00C32B26">
        <w:rPr>
          <w:rFonts w:cs="Arial"/>
          <w:i/>
          <w:iCs/>
          <w:lang w:val="en-CA"/>
        </w:rPr>
        <w:t>reedoms</w:t>
      </w:r>
      <w:r w:rsidRPr="00C32B26">
        <w:rPr>
          <w:rFonts w:cs="Arial"/>
          <w:lang w:val="en-CA"/>
        </w:rPr>
        <w:t>. The recourse in the case at bar contest</w:t>
      </w:r>
      <w:r w:rsidR="00F72970" w:rsidRPr="00C32B26">
        <w:rPr>
          <w:rFonts w:cs="Arial"/>
          <w:lang w:val="en-CA"/>
        </w:rPr>
        <w:t>s</w:t>
      </w:r>
      <w:r w:rsidRPr="00C32B26">
        <w:rPr>
          <w:rFonts w:cs="Arial"/>
          <w:lang w:val="en-CA"/>
        </w:rPr>
        <w:t xml:space="preserve"> what is alleged to be a</w:t>
      </w:r>
      <w:r w:rsidR="00F72970" w:rsidRPr="00C32B26">
        <w:rPr>
          <w:rFonts w:cs="Arial"/>
          <w:lang w:val="en-CA"/>
        </w:rPr>
        <w:t xml:space="preserve"> derogation from a</w:t>
      </w:r>
      <w:r w:rsidRPr="00C32B26">
        <w:rPr>
          <w:rFonts w:cs="Arial"/>
          <w:lang w:val="en-CA"/>
        </w:rPr>
        <w:t xml:space="preserve"> provision of the</w:t>
      </w:r>
      <w:r w:rsidR="00324E0F" w:rsidRPr="00C32B26">
        <w:rPr>
          <w:rFonts w:cs="Arial"/>
          <w:lang w:val="en-CA"/>
        </w:rPr>
        <w:t xml:space="preserve"> </w:t>
      </w:r>
      <w:r w:rsidR="00882945" w:rsidRPr="00C32B26">
        <w:rPr>
          <w:rFonts w:cs="Arial"/>
          <w:i/>
          <w:lang w:val="en-CA"/>
        </w:rPr>
        <w:t>Constitution Act, 1867</w:t>
      </w:r>
      <w:r w:rsidRPr="00C32B26">
        <w:rPr>
          <w:rFonts w:cs="Arial"/>
          <w:iCs/>
          <w:lang w:val="en-CA"/>
        </w:rPr>
        <w:t>.</w:t>
      </w:r>
      <w:r w:rsidR="003214E6" w:rsidRPr="00C32B26">
        <w:rPr>
          <w:rStyle w:val="Appelnotedebasdep"/>
          <w:rFonts w:cs="Arial"/>
          <w:lang w:val="en-CA"/>
        </w:rPr>
        <w:footnoteReference w:id="87"/>
      </w:r>
    </w:p>
    <w:p w14:paraId="23B166BD" w14:textId="539EB570" w:rsidR="00DF720F" w:rsidRPr="00C32B26" w:rsidRDefault="00235A9B" w:rsidP="005317E3">
      <w:pPr>
        <w:pStyle w:val="Paragrdouble"/>
        <w:tabs>
          <w:tab w:val="clear" w:pos="3053"/>
          <w:tab w:val="num" w:pos="567"/>
        </w:tabs>
        <w:spacing w:line="240" w:lineRule="auto"/>
        <w:ind w:left="0"/>
        <w:rPr>
          <w:lang w:val="en-CA"/>
        </w:rPr>
      </w:pPr>
      <w:r w:rsidRPr="00C32B26">
        <w:rPr>
          <w:lang w:val="en-CA"/>
        </w:rPr>
        <w:t>The Court acknowledges that it remains possible</w:t>
      </w:r>
      <w:r w:rsidR="00547D5D" w:rsidRPr="00C32B26">
        <w:rPr>
          <w:lang w:val="en-CA"/>
        </w:rPr>
        <w:t>,</w:t>
      </w:r>
      <w:r w:rsidRPr="00C32B26">
        <w:rPr>
          <w:lang w:val="en-CA"/>
        </w:rPr>
        <w:t xml:space="preserve"> under the provisions in question</w:t>
      </w:r>
      <w:r w:rsidR="00547D5D" w:rsidRPr="00C32B26">
        <w:rPr>
          <w:lang w:val="en-CA"/>
        </w:rPr>
        <w:t>,</w:t>
      </w:r>
      <w:r w:rsidRPr="00C32B26">
        <w:rPr>
          <w:lang w:val="en-CA"/>
        </w:rPr>
        <w:t xml:space="preserve"> for legal persons to draft their pleadings in English. Despite this, we must consider the effect of the new requirements to ascertain whether it is appropriate to suspend them during the proceedings.</w:t>
      </w:r>
    </w:p>
    <w:p w14:paraId="2B571327" w14:textId="770A041A" w:rsidR="00DF720F" w:rsidRPr="00C32B26" w:rsidRDefault="007F04B5" w:rsidP="005317E3">
      <w:pPr>
        <w:pStyle w:val="Paragrdouble"/>
        <w:tabs>
          <w:tab w:val="clear" w:pos="3053"/>
          <w:tab w:val="num" w:pos="567"/>
        </w:tabs>
        <w:spacing w:line="240" w:lineRule="auto"/>
        <w:ind w:left="0"/>
        <w:rPr>
          <w:lang w:val="en-CA"/>
        </w:rPr>
      </w:pPr>
      <w:r w:rsidRPr="00C32B26">
        <w:rPr>
          <w:lang w:val="en-CA"/>
        </w:rPr>
        <w:t xml:space="preserve"> </w:t>
      </w:r>
      <w:r w:rsidR="0083493D" w:rsidRPr="00C32B26">
        <w:rPr>
          <w:lang w:val="en-CA"/>
        </w:rPr>
        <w:t xml:space="preserve">The provisions challenged by the litigation risk creating an obstacle that could prove insurmountable and equivalent to a denial of justice, notably, as discussed earlier, in the event of urgent proceedings. The effect on the timelines when undertaking an urgent proceeding to preserve rights is concerning; it </w:t>
      </w:r>
      <w:r w:rsidR="00834EA0" w:rsidRPr="00C32B26">
        <w:rPr>
          <w:lang w:val="en-CA"/>
        </w:rPr>
        <w:t>makes</w:t>
      </w:r>
      <w:r w:rsidR="0083493D" w:rsidRPr="00C32B26">
        <w:rPr>
          <w:lang w:val="en-CA"/>
        </w:rPr>
        <w:t xml:space="preserve"> </w:t>
      </w:r>
      <w:r w:rsidR="001031E4" w:rsidRPr="00C32B26">
        <w:rPr>
          <w:lang w:val="en-CA"/>
        </w:rPr>
        <w:t>the recourse</w:t>
      </w:r>
      <w:r w:rsidR="0083493D" w:rsidRPr="00C32B26">
        <w:rPr>
          <w:lang w:val="en-CA"/>
        </w:rPr>
        <w:t xml:space="preserve"> so inefficient that it might not be undertaken.</w:t>
      </w:r>
      <w:r w:rsidR="003214E6" w:rsidRPr="00C32B26">
        <w:rPr>
          <w:lang w:val="en-CA"/>
        </w:rPr>
        <w:t xml:space="preserve"> </w:t>
      </w:r>
      <w:r w:rsidR="0083493D" w:rsidRPr="00C32B26">
        <w:rPr>
          <w:lang w:val="en-CA"/>
        </w:rPr>
        <w:t>Similarly, the issue of translation costs throughout the proceedings merits an assessment of the resulting effect on access to</w:t>
      </w:r>
      <w:r w:rsidR="003214E6" w:rsidRPr="00C32B26">
        <w:rPr>
          <w:lang w:val="en-CA"/>
        </w:rPr>
        <w:t xml:space="preserve"> justice. </w:t>
      </w:r>
    </w:p>
    <w:p w14:paraId="03C45D72" w14:textId="59DAAA19" w:rsidR="003214E6" w:rsidRPr="00C32B26" w:rsidRDefault="00BC2F38" w:rsidP="005317E3">
      <w:pPr>
        <w:pStyle w:val="Paragrdouble"/>
        <w:tabs>
          <w:tab w:val="clear" w:pos="3053"/>
          <w:tab w:val="num" w:pos="567"/>
        </w:tabs>
        <w:spacing w:line="240" w:lineRule="auto"/>
        <w:ind w:left="0"/>
        <w:rPr>
          <w:lang w:val="en-CA"/>
        </w:rPr>
      </w:pPr>
      <w:r w:rsidRPr="00C32B26">
        <w:rPr>
          <w:lang w:val="en-CA"/>
        </w:rPr>
        <w:t>Based on the fact that no</w:t>
      </w:r>
      <w:r w:rsidR="000E2BE4" w:rsidRPr="00C32B26">
        <w:rPr>
          <w:lang w:val="en-CA"/>
        </w:rPr>
        <w:t xml:space="preserve"> measure has been enacted to offset what has been noted</w:t>
      </w:r>
      <w:r w:rsidRPr="00C32B26">
        <w:rPr>
          <w:lang w:val="en-CA"/>
        </w:rPr>
        <w:t xml:space="preserve">, the </w:t>
      </w:r>
      <w:r w:rsidR="000E2BE4" w:rsidRPr="00C32B26">
        <w:rPr>
          <w:lang w:val="en-CA"/>
        </w:rPr>
        <w:t xml:space="preserve">Court </w:t>
      </w:r>
      <w:r w:rsidRPr="00C32B26">
        <w:rPr>
          <w:lang w:val="en-CA"/>
        </w:rPr>
        <w:t>is</w:t>
      </w:r>
      <w:r w:rsidR="000E2BE4" w:rsidRPr="00C32B26">
        <w:rPr>
          <w:lang w:val="en-CA"/>
        </w:rPr>
        <w:t xml:space="preserve"> inclined to conclude that, at this stage in the proceedings, the balance of convenience favours the applicants.</w:t>
      </w:r>
    </w:p>
    <w:p w14:paraId="654CDA88" w14:textId="747B4EF4" w:rsidR="0018249A" w:rsidRPr="00C32B26" w:rsidRDefault="00F71D2F" w:rsidP="005317E3">
      <w:pPr>
        <w:pStyle w:val="Paragrdouble"/>
        <w:tabs>
          <w:tab w:val="clear" w:pos="3053"/>
          <w:tab w:val="num" w:pos="567"/>
        </w:tabs>
        <w:spacing w:line="240" w:lineRule="auto"/>
        <w:ind w:left="0"/>
        <w:rPr>
          <w:rFonts w:cs="Arial"/>
          <w:lang w:val="en-CA"/>
        </w:rPr>
      </w:pPr>
      <w:r w:rsidRPr="00C32B26">
        <w:rPr>
          <w:rFonts w:cs="Arial"/>
          <w:lang w:val="en-CA"/>
        </w:rPr>
        <w:t xml:space="preserve">Lastly, Bill 96, which </w:t>
      </w:r>
      <w:r w:rsidR="006C4A62" w:rsidRPr="00C32B26">
        <w:rPr>
          <w:rFonts w:cs="Arial"/>
          <w:lang w:val="en-CA"/>
        </w:rPr>
        <w:t>significantly changes</w:t>
      </w:r>
      <w:r w:rsidRPr="00C32B26">
        <w:rPr>
          <w:rFonts w:cs="Arial"/>
          <w:lang w:val="en-CA"/>
        </w:rPr>
        <w:t xml:space="preserve"> many spheres of activity in Quebec, contains various coming into force dates for </w:t>
      </w:r>
      <w:r w:rsidR="006C4A62" w:rsidRPr="00C32B26">
        <w:rPr>
          <w:rFonts w:cs="Arial"/>
          <w:lang w:val="en-CA"/>
        </w:rPr>
        <w:t>the different measures it contains</w:t>
      </w:r>
      <w:r w:rsidRPr="00C32B26">
        <w:rPr>
          <w:rFonts w:cs="Arial"/>
          <w:lang w:val="en-CA"/>
        </w:rPr>
        <w:t>.</w:t>
      </w:r>
      <w:r w:rsidR="0018249A" w:rsidRPr="00C32B26">
        <w:rPr>
          <w:rFonts w:cs="Arial"/>
          <w:lang w:val="en-CA"/>
        </w:rPr>
        <w:t xml:space="preserve"> </w:t>
      </w:r>
      <w:r w:rsidRPr="00C32B26">
        <w:rPr>
          <w:rFonts w:cs="Arial"/>
          <w:lang w:val="en-CA"/>
        </w:rPr>
        <w:t>Some provisions are already in force.</w:t>
      </w:r>
      <w:r w:rsidR="001326BB" w:rsidRPr="00C32B26">
        <w:rPr>
          <w:rStyle w:val="Appelnotedebasdep"/>
          <w:rFonts w:cs="Arial"/>
          <w:lang w:val="en-CA"/>
        </w:rPr>
        <w:footnoteReference w:id="88"/>
      </w:r>
      <w:r w:rsidR="0018249A" w:rsidRPr="00C32B26">
        <w:rPr>
          <w:rFonts w:cs="Arial"/>
          <w:lang w:val="en-CA"/>
        </w:rPr>
        <w:t xml:space="preserve"> </w:t>
      </w:r>
      <w:r w:rsidR="00145802" w:rsidRPr="00C32B26">
        <w:rPr>
          <w:rFonts w:cs="Arial"/>
          <w:lang w:val="en-CA"/>
        </w:rPr>
        <w:t>Those</w:t>
      </w:r>
      <w:r w:rsidRPr="00C32B26">
        <w:rPr>
          <w:rFonts w:cs="Arial"/>
          <w:lang w:val="en-CA"/>
        </w:rPr>
        <w:t xml:space="preserve"> attacked in these proceedings </w:t>
      </w:r>
      <w:r w:rsidR="00A37B52" w:rsidRPr="00C32B26">
        <w:rPr>
          <w:rFonts w:cs="Arial"/>
          <w:lang w:val="en-CA"/>
        </w:rPr>
        <w:t>are scheduled to</w:t>
      </w:r>
      <w:r w:rsidRPr="00C32B26">
        <w:rPr>
          <w:rFonts w:cs="Arial"/>
          <w:lang w:val="en-CA"/>
        </w:rPr>
        <w:t xml:space="preserve"> come into force on September 1, 2022.</w:t>
      </w:r>
      <w:r w:rsidR="001326BB" w:rsidRPr="00C32B26">
        <w:rPr>
          <w:rStyle w:val="Appelnotedebasdep"/>
          <w:rFonts w:cs="Arial"/>
          <w:lang w:val="en-CA"/>
        </w:rPr>
        <w:footnoteReference w:id="89"/>
      </w:r>
      <w:r w:rsidRPr="00C32B26">
        <w:rPr>
          <w:rFonts w:cs="Arial"/>
          <w:lang w:val="en-CA"/>
        </w:rPr>
        <w:t xml:space="preserve"> Other elements of Bill 96 will come into force between 2023 and 2025.</w:t>
      </w:r>
      <w:r w:rsidR="001326BB" w:rsidRPr="00C32B26">
        <w:rPr>
          <w:rStyle w:val="Appelnotedebasdep"/>
          <w:rFonts w:cs="Arial"/>
          <w:lang w:val="en-CA"/>
        </w:rPr>
        <w:footnoteReference w:id="90"/>
      </w:r>
      <w:r w:rsidRPr="00C32B26">
        <w:rPr>
          <w:rFonts w:cs="Arial"/>
          <w:lang w:val="en-CA"/>
        </w:rPr>
        <w:t xml:space="preserve"> Thus, the complete rollout of the legislation over a period </w:t>
      </w:r>
      <w:r w:rsidR="008D118F" w:rsidRPr="00C32B26">
        <w:rPr>
          <w:rFonts w:cs="Arial"/>
          <w:lang w:val="en-CA"/>
        </w:rPr>
        <w:t xml:space="preserve">of a </w:t>
      </w:r>
      <w:r w:rsidRPr="00C32B26">
        <w:rPr>
          <w:rFonts w:cs="Arial"/>
          <w:lang w:val="en-CA"/>
        </w:rPr>
        <w:t>few months to a few years suggests it might be appropriate to temper the negative impact on the public interest that results from temporarily suspending certain provisions while the</w:t>
      </w:r>
      <w:r w:rsidR="00DB7419">
        <w:rPr>
          <w:rFonts w:cs="Arial"/>
          <w:lang w:val="en-CA"/>
        </w:rPr>
        <w:t xml:space="preserve"> parties</w:t>
      </w:r>
      <w:r w:rsidRPr="00C32B26">
        <w:rPr>
          <w:rFonts w:cs="Arial"/>
          <w:lang w:val="en-CA"/>
        </w:rPr>
        <w:t xml:space="preserve"> </w:t>
      </w:r>
      <w:r w:rsidR="00B5450B" w:rsidRPr="00C32B26">
        <w:rPr>
          <w:rFonts w:cs="Arial"/>
          <w:lang w:val="en-CA"/>
        </w:rPr>
        <w:t>submit</w:t>
      </w:r>
      <w:r w:rsidRPr="00C32B26">
        <w:rPr>
          <w:rFonts w:cs="Arial"/>
          <w:lang w:val="en-CA"/>
        </w:rPr>
        <w:t xml:space="preserve"> their arguments on the merits of the constitutional challenge.</w:t>
      </w:r>
    </w:p>
    <w:p w14:paraId="007AE266" w14:textId="69BB8518" w:rsidR="00571F84" w:rsidRPr="00C32B26" w:rsidRDefault="00F63C18" w:rsidP="008C7DE9">
      <w:pPr>
        <w:pStyle w:val="Paragrdouble"/>
        <w:tabs>
          <w:tab w:val="clear" w:pos="3053"/>
          <w:tab w:val="num" w:pos="567"/>
        </w:tabs>
        <w:spacing w:line="240" w:lineRule="auto"/>
        <w:ind w:left="0"/>
        <w:rPr>
          <w:rFonts w:cs="Arial"/>
          <w:lang w:val="en-CA"/>
        </w:rPr>
      </w:pPr>
      <w:r w:rsidRPr="00C32B26">
        <w:rPr>
          <w:rFonts w:cs="Arial"/>
          <w:lang w:val="en-CA"/>
        </w:rPr>
        <w:t xml:space="preserve">The applicants have demonstrated not merely a private interest but a public interest that can be served by suspending the application of the two provisions under consideration. This interest is rooted in the collective dimension of the language rights protected by section 133 of the </w:t>
      </w:r>
      <w:r w:rsidRPr="00C32B26">
        <w:rPr>
          <w:rFonts w:cs="Arial"/>
          <w:i/>
          <w:iCs/>
          <w:lang w:val="en-CA"/>
        </w:rPr>
        <w:t>Constitution Act, 1867</w:t>
      </w:r>
      <w:r w:rsidR="00F744D3" w:rsidRPr="00C32B26">
        <w:rPr>
          <w:rFonts w:cs="Arial"/>
          <w:lang w:val="en-CA"/>
        </w:rPr>
        <w:t>,</w:t>
      </w:r>
      <w:r w:rsidRPr="00C32B26">
        <w:rPr>
          <w:rFonts w:cs="Arial"/>
          <w:lang w:val="en-CA"/>
        </w:rPr>
        <w:t xml:space="preserve"> and in the harm caused to an identified group</w:t>
      </w:r>
      <w:r w:rsidR="00E73B64" w:rsidRPr="00C32B26">
        <w:rPr>
          <w:rFonts w:cs="Arial"/>
          <w:lang w:val="en-CA"/>
        </w:rPr>
        <w:t>, namely, Quebec anglophones.</w:t>
      </w:r>
    </w:p>
    <w:p w14:paraId="5D6324E0" w14:textId="3A594547" w:rsidR="00571F84" w:rsidRPr="00C32B26" w:rsidRDefault="008F05AF" w:rsidP="008C7DE9">
      <w:pPr>
        <w:pStyle w:val="Paragrdouble"/>
        <w:tabs>
          <w:tab w:val="clear" w:pos="3053"/>
          <w:tab w:val="num" w:pos="567"/>
        </w:tabs>
        <w:spacing w:line="240" w:lineRule="auto"/>
        <w:ind w:left="0"/>
        <w:rPr>
          <w:rFonts w:cs="Arial"/>
          <w:lang w:val="en-CA"/>
        </w:rPr>
      </w:pPr>
      <w:r w:rsidRPr="00C32B26">
        <w:rPr>
          <w:rFonts w:cs="Arial"/>
          <w:lang w:val="en-CA"/>
        </w:rPr>
        <w:lastRenderedPageBreak/>
        <w:t xml:space="preserve">Consequently, the applicants have succeeded in rebutting the presumption that the implementation of the specific provisions of Bill 96 that are under consideration serves the public interest. </w:t>
      </w:r>
    </w:p>
    <w:p w14:paraId="27C88C20" w14:textId="1CE64653" w:rsidR="001326BB" w:rsidRPr="00C32B26" w:rsidRDefault="00A576F7" w:rsidP="008C7DE9">
      <w:pPr>
        <w:pStyle w:val="Paragrdouble"/>
        <w:tabs>
          <w:tab w:val="clear" w:pos="3053"/>
          <w:tab w:val="num" w:pos="567"/>
        </w:tabs>
        <w:spacing w:line="240" w:lineRule="auto"/>
        <w:ind w:left="0"/>
        <w:rPr>
          <w:rFonts w:cs="Arial"/>
          <w:lang w:val="en-CA"/>
        </w:rPr>
      </w:pPr>
      <w:r w:rsidRPr="00C32B26">
        <w:rPr>
          <w:rFonts w:cs="Arial"/>
          <w:lang w:val="en-CA"/>
        </w:rPr>
        <w:t>Accordingly</w:t>
      </w:r>
      <w:r w:rsidR="00D01F67" w:rsidRPr="00C32B26">
        <w:rPr>
          <w:rFonts w:cs="Arial"/>
          <w:lang w:val="en-CA"/>
        </w:rPr>
        <w:t>, the Court is of the opinion that the balance of convenience for English</w:t>
      </w:r>
      <w:r w:rsidR="00913944" w:rsidRPr="00C32B26">
        <w:rPr>
          <w:rFonts w:cs="Arial"/>
          <w:lang w:val="en-CA"/>
        </w:rPr>
        <w:noBreakHyphen/>
      </w:r>
      <w:r w:rsidR="00D01F67" w:rsidRPr="00C32B26">
        <w:rPr>
          <w:rFonts w:cs="Arial"/>
          <w:lang w:val="en-CA"/>
        </w:rPr>
        <w:t xml:space="preserve">language legal persons </w:t>
      </w:r>
      <w:r w:rsidR="00636AA8" w:rsidRPr="00C32B26">
        <w:rPr>
          <w:rFonts w:cs="Arial"/>
          <w:lang w:val="en-CA"/>
        </w:rPr>
        <w:t>favours</w:t>
      </w:r>
      <w:r w:rsidR="00D01F67" w:rsidRPr="00C32B26">
        <w:rPr>
          <w:rFonts w:cs="Arial"/>
          <w:lang w:val="en-CA"/>
        </w:rPr>
        <w:t xml:space="preserve"> temporarily suspend</w:t>
      </w:r>
      <w:r w:rsidR="00636AA8" w:rsidRPr="00C32B26">
        <w:rPr>
          <w:rFonts w:cs="Arial"/>
          <w:lang w:val="en-CA"/>
        </w:rPr>
        <w:t>ing</w:t>
      </w:r>
      <w:r w:rsidR="00D01F67" w:rsidRPr="00C32B26">
        <w:rPr>
          <w:rFonts w:cs="Arial"/>
          <w:lang w:val="en-CA"/>
        </w:rPr>
        <w:t xml:space="preserve"> the application of the new sections </w:t>
      </w:r>
      <w:r w:rsidR="00DF720F" w:rsidRPr="00C32B26">
        <w:rPr>
          <w:rFonts w:cs="Arial"/>
          <w:lang w:val="en-CA"/>
        </w:rPr>
        <w:t xml:space="preserve">9 </w:t>
      </w:r>
      <w:r w:rsidR="00D01F67" w:rsidRPr="00C32B26">
        <w:rPr>
          <w:rFonts w:cs="Arial"/>
          <w:lang w:val="en-CA"/>
        </w:rPr>
        <w:t>and</w:t>
      </w:r>
      <w:r w:rsidR="00DF720F" w:rsidRPr="00C32B26">
        <w:rPr>
          <w:rFonts w:cs="Arial"/>
          <w:lang w:val="en-CA"/>
        </w:rPr>
        <w:t xml:space="preserve"> 208.6</w:t>
      </w:r>
      <w:r w:rsidR="00D01F67" w:rsidRPr="00C32B26">
        <w:rPr>
          <w:rFonts w:cs="Arial"/>
          <w:lang w:val="en-CA"/>
        </w:rPr>
        <w:t xml:space="preserve"> of the</w:t>
      </w:r>
      <w:r w:rsidR="00DF720F" w:rsidRPr="00C32B26">
        <w:rPr>
          <w:rFonts w:cs="Arial"/>
          <w:lang w:val="en-CA"/>
        </w:rPr>
        <w:t xml:space="preserve"> </w:t>
      </w:r>
      <w:r w:rsidR="00F55EE4" w:rsidRPr="00C32B26">
        <w:rPr>
          <w:rFonts w:cs="Arial"/>
          <w:i/>
          <w:lang w:val="en-CA"/>
        </w:rPr>
        <w:t>Charter of the French language</w:t>
      </w:r>
      <w:r w:rsidR="00DF720F" w:rsidRPr="00C32B26">
        <w:rPr>
          <w:rFonts w:cs="Arial"/>
          <w:i/>
          <w:lang w:val="en-CA"/>
        </w:rPr>
        <w:t xml:space="preserve"> </w:t>
      </w:r>
      <w:r w:rsidR="00D01F67" w:rsidRPr="00C32B26">
        <w:rPr>
          <w:rFonts w:cs="Arial"/>
          <w:lang w:val="en-CA"/>
        </w:rPr>
        <w:t>until the questions raised by the present debate are examined on the merits</w:t>
      </w:r>
      <w:r w:rsidR="001326BB" w:rsidRPr="00C32B26">
        <w:rPr>
          <w:rFonts w:cs="Arial"/>
          <w:lang w:val="en-CA"/>
        </w:rPr>
        <w:t>.</w:t>
      </w:r>
      <w:r w:rsidR="000D0075" w:rsidRPr="00C32B26">
        <w:rPr>
          <w:rFonts w:cs="Arial"/>
          <w:lang w:val="en-CA"/>
        </w:rPr>
        <w:t xml:space="preserve"> </w:t>
      </w:r>
    </w:p>
    <w:p w14:paraId="79096587" w14:textId="67094EFB" w:rsidR="00DD6B48" w:rsidRPr="00C32B26" w:rsidRDefault="00295CCC" w:rsidP="00DD6B48">
      <w:pPr>
        <w:pStyle w:val="Titre2"/>
        <w:rPr>
          <w:rFonts w:cs="Arial"/>
          <w:lang w:val="en-CA"/>
        </w:rPr>
      </w:pPr>
      <w:r w:rsidRPr="00C32B26">
        <w:rPr>
          <w:rFonts w:cs="Arial"/>
          <w:lang w:val="en-CA"/>
        </w:rPr>
        <w:t>conclusions sought</w:t>
      </w:r>
    </w:p>
    <w:p w14:paraId="7888E653" w14:textId="44E75AE3" w:rsidR="00DD6B48" w:rsidRPr="00C32B26" w:rsidRDefault="00295CCC" w:rsidP="008C7DE9">
      <w:pPr>
        <w:pStyle w:val="Paragrdouble"/>
        <w:tabs>
          <w:tab w:val="clear" w:pos="3053"/>
          <w:tab w:val="num" w:pos="567"/>
        </w:tabs>
        <w:spacing w:line="240" w:lineRule="auto"/>
        <w:ind w:left="0"/>
        <w:rPr>
          <w:rFonts w:cs="Arial"/>
          <w:lang w:val="en-CA"/>
        </w:rPr>
      </w:pPr>
      <w:r w:rsidRPr="00C32B26">
        <w:rPr>
          <w:rFonts w:cs="Arial"/>
          <w:lang w:val="en-CA"/>
        </w:rPr>
        <w:t>The conclusions of the application for judicial review are presently drafted as follows:</w:t>
      </w:r>
    </w:p>
    <w:p w14:paraId="43A031F3" w14:textId="77777777" w:rsidR="00295CCC" w:rsidRPr="00C32B26" w:rsidRDefault="00295CCC" w:rsidP="00DD6B48">
      <w:pPr>
        <w:pStyle w:val="Citation"/>
        <w:spacing w:before="0" w:after="0"/>
        <w:jc w:val="both"/>
        <w:rPr>
          <w:rFonts w:cs="Arial"/>
          <w:color w:val="auto"/>
          <w:lang w:val="en-CA"/>
        </w:rPr>
      </w:pPr>
    </w:p>
    <w:p w14:paraId="779558D3" w14:textId="3CF659C2" w:rsidR="00295CCC" w:rsidRPr="00C32B26" w:rsidRDefault="00295CCC" w:rsidP="00DD6B48">
      <w:pPr>
        <w:pStyle w:val="Citation"/>
        <w:spacing w:before="0" w:after="0"/>
        <w:jc w:val="both"/>
        <w:rPr>
          <w:rFonts w:cs="Arial"/>
          <w:i w:val="0"/>
          <w:iCs w:val="0"/>
          <w:color w:val="auto"/>
          <w:sz w:val="22"/>
          <w:szCs w:val="22"/>
          <w:lang w:val="en-CA"/>
        </w:rPr>
      </w:pPr>
      <w:r w:rsidRPr="00C32B26">
        <w:rPr>
          <w:rFonts w:cs="Arial"/>
          <w:i w:val="0"/>
          <w:iCs w:val="0"/>
          <w:color w:val="auto"/>
          <w:sz w:val="22"/>
          <w:szCs w:val="22"/>
          <w:lang w:val="en-CA"/>
        </w:rPr>
        <w:t>[</w:t>
      </w:r>
      <w:r w:rsidR="00636AA8" w:rsidRPr="00C32B26">
        <w:rPr>
          <w:rFonts w:cs="Arial"/>
          <w:i w:val="0"/>
          <w:iCs w:val="0"/>
          <w:smallCaps/>
          <w:color w:val="auto"/>
          <w:sz w:val="22"/>
          <w:szCs w:val="22"/>
          <w:lang w:val="en-CA"/>
        </w:rPr>
        <w:t>translation</w:t>
      </w:r>
      <w:r w:rsidRPr="00C32B26">
        <w:rPr>
          <w:rFonts w:cs="Arial"/>
          <w:i w:val="0"/>
          <w:iCs w:val="0"/>
          <w:color w:val="auto"/>
          <w:sz w:val="22"/>
          <w:szCs w:val="22"/>
          <w:lang w:val="en-CA"/>
        </w:rPr>
        <w:t>]</w:t>
      </w:r>
    </w:p>
    <w:p w14:paraId="48F5C4BE" w14:textId="77777777" w:rsidR="00295CCC" w:rsidRPr="00C32B26" w:rsidRDefault="00295CCC" w:rsidP="00295CCC">
      <w:pPr>
        <w:rPr>
          <w:lang w:val="en-CA"/>
        </w:rPr>
      </w:pPr>
    </w:p>
    <w:p w14:paraId="36F8E8C7" w14:textId="5BA65009" w:rsidR="00DD6B48" w:rsidRPr="00C32B26" w:rsidRDefault="00295CCC" w:rsidP="00DD6B48">
      <w:pPr>
        <w:pStyle w:val="Citation"/>
        <w:spacing w:before="0" w:after="0"/>
        <w:jc w:val="both"/>
        <w:rPr>
          <w:rFonts w:cs="Arial"/>
          <w:i w:val="0"/>
          <w:iCs w:val="0"/>
          <w:color w:val="auto"/>
          <w:sz w:val="22"/>
          <w:szCs w:val="22"/>
          <w:lang w:val="en-CA"/>
        </w:rPr>
      </w:pPr>
      <w:r w:rsidRPr="00C32B26">
        <w:rPr>
          <w:rFonts w:cs="Arial"/>
          <w:i w:val="0"/>
          <w:iCs w:val="0"/>
          <w:color w:val="auto"/>
          <w:sz w:val="22"/>
          <w:szCs w:val="22"/>
          <w:lang w:val="en-CA"/>
        </w:rPr>
        <w:t xml:space="preserve">DECLARE sections 9 and 208.6 of Bill 96 </w:t>
      </w:r>
      <w:r w:rsidR="00692459" w:rsidRPr="00C32B26">
        <w:rPr>
          <w:rFonts w:cs="Arial"/>
          <w:i w:val="0"/>
          <w:iCs w:val="0"/>
          <w:color w:val="auto"/>
          <w:sz w:val="22"/>
          <w:szCs w:val="22"/>
          <w:lang w:val="en-CA"/>
        </w:rPr>
        <w:t xml:space="preserve">to be </w:t>
      </w:r>
      <w:r w:rsidR="0029575E" w:rsidRPr="00C32B26">
        <w:rPr>
          <w:rFonts w:cs="Arial"/>
          <w:i w:val="0"/>
          <w:iCs w:val="0"/>
          <w:color w:val="auto"/>
          <w:sz w:val="22"/>
          <w:szCs w:val="22"/>
          <w:lang w:val="en-CA"/>
        </w:rPr>
        <w:t>of no force or effect</w:t>
      </w:r>
      <w:r w:rsidRPr="00C32B26">
        <w:rPr>
          <w:rFonts w:cs="Arial"/>
          <w:i w:val="0"/>
          <w:iCs w:val="0"/>
          <w:color w:val="auto"/>
          <w:sz w:val="22"/>
          <w:szCs w:val="22"/>
          <w:lang w:val="en-CA"/>
        </w:rPr>
        <w:t xml:space="preserve"> by virtue of section 133 of the </w:t>
      </w:r>
      <w:r w:rsidR="00882945" w:rsidRPr="00C32B26">
        <w:rPr>
          <w:rFonts w:cs="Arial"/>
          <w:color w:val="auto"/>
          <w:sz w:val="22"/>
          <w:szCs w:val="22"/>
          <w:lang w:val="en-CA"/>
        </w:rPr>
        <w:t>Constitution Act, 1867</w:t>
      </w:r>
      <w:r w:rsidR="00DD6B48" w:rsidRPr="00C32B26">
        <w:rPr>
          <w:rFonts w:cs="Arial"/>
          <w:i w:val="0"/>
          <w:iCs w:val="0"/>
          <w:color w:val="auto"/>
          <w:sz w:val="22"/>
          <w:szCs w:val="22"/>
          <w:lang w:val="en-CA"/>
        </w:rPr>
        <w:t xml:space="preserve"> </w:t>
      </w:r>
      <w:r w:rsidRPr="00C32B26">
        <w:rPr>
          <w:rFonts w:cs="Arial"/>
          <w:i w:val="0"/>
          <w:iCs w:val="0"/>
          <w:color w:val="auto"/>
          <w:sz w:val="22"/>
          <w:szCs w:val="22"/>
          <w:lang w:val="en-CA"/>
        </w:rPr>
        <w:t>and section</w:t>
      </w:r>
      <w:r w:rsidR="00DD6B48" w:rsidRPr="00C32B26">
        <w:rPr>
          <w:rFonts w:cs="Arial"/>
          <w:i w:val="0"/>
          <w:iCs w:val="0"/>
          <w:color w:val="auto"/>
          <w:sz w:val="22"/>
          <w:szCs w:val="22"/>
          <w:lang w:val="en-CA"/>
        </w:rPr>
        <w:t xml:space="preserve"> 52 </w:t>
      </w:r>
      <w:r w:rsidRPr="00C32B26">
        <w:rPr>
          <w:rFonts w:cs="Arial"/>
          <w:i w:val="0"/>
          <w:iCs w:val="0"/>
          <w:color w:val="auto"/>
          <w:sz w:val="22"/>
          <w:szCs w:val="22"/>
          <w:lang w:val="en-CA"/>
        </w:rPr>
        <w:t xml:space="preserve">of the </w:t>
      </w:r>
      <w:r w:rsidRPr="00C32B26">
        <w:rPr>
          <w:rFonts w:cs="Arial"/>
          <w:color w:val="auto"/>
          <w:sz w:val="22"/>
          <w:szCs w:val="22"/>
          <w:lang w:val="en-CA"/>
        </w:rPr>
        <w:t>Constitution Act, 1982</w:t>
      </w:r>
      <w:r w:rsidRPr="00C32B26">
        <w:rPr>
          <w:rFonts w:cs="Arial"/>
          <w:i w:val="0"/>
          <w:iCs w:val="0"/>
          <w:color w:val="auto"/>
          <w:sz w:val="22"/>
          <w:szCs w:val="22"/>
          <w:lang w:val="en-CA"/>
        </w:rPr>
        <w:t>,</w:t>
      </w:r>
      <w:r w:rsidR="00DD6B48" w:rsidRPr="00C32B26">
        <w:rPr>
          <w:rFonts w:cs="Arial"/>
          <w:i w:val="0"/>
          <w:iCs w:val="0"/>
          <w:color w:val="auto"/>
          <w:sz w:val="22"/>
          <w:szCs w:val="22"/>
          <w:lang w:val="en-CA"/>
        </w:rPr>
        <w:t xml:space="preserve"> </w:t>
      </w:r>
      <w:r w:rsidRPr="00C32B26">
        <w:rPr>
          <w:rFonts w:cs="Arial"/>
          <w:i w:val="0"/>
          <w:iCs w:val="0"/>
          <w:color w:val="auto"/>
          <w:sz w:val="22"/>
          <w:szCs w:val="22"/>
          <w:lang w:val="en-CA"/>
        </w:rPr>
        <w:t>notwithstanding</w:t>
      </w:r>
      <w:r w:rsidR="002A0BD7" w:rsidRPr="00C32B26">
        <w:rPr>
          <w:rFonts w:cs="Arial"/>
          <w:i w:val="0"/>
          <w:iCs w:val="0"/>
          <w:color w:val="auto"/>
          <w:sz w:val="22"/>
          <w:szCs w:val="22"/>
          <w:lang w:val="en-CA"/>
        </w:rPr>
        <w:t xml:space="preserve"> </w:t>
      </w:r>
      <w:r w:rsidRPr="00C32B26">
        <w:rPr>
          <w:rFonts w:cs="Arial"/>
          <w:i w:val="0"/>
          <w:iCs w:val="0"/>
          <w:color w:val="auto"/>
          <w:sz w:val="22"/>
          <w:szCs w:val="22"/>
          <w:lang w:val="en-CA"/>
        </w:rPr>
        <w:t>appeal</w:t>
      </w:r>
      <w:r w:rsidR="00DD6B48" w:rsidRPr="00C32B26">
        <w:rPr>
          <w:rFonts w:cs="Arial"/>
          <w:i w:val="0"/>
          <w:iCs w:val="0"/>
          <w:color w:val="auto"/>
          <w:sz w:val="22"/>
          <w:szCs w:val="22"/>
          <w:lang w:val="en-CA"/>
        </w:rPr>
        <w:t>.</w:t>
      </w:r>
    </w:p>
    <w:p w14:paraId="185CA1C4" w14:textId="77777777" w:rsidR="00913944" w:rsidRPr="00C32B26" w:rsidRDefault="00913944" w:rsidP="00913944">
      <w:pPr>
        <w:rPr>
          <w:lang w:val="en-CA"/>
        </w:rPr>
      </w:pPr>
    </w:p>
    <w:p w14:paraId="0606E00E" w14:textId="12E13B91" w:rsidR="00DD6B48" w:rsidRPr="00C32B26" w:rsidRDefault="00DD6B48" w:rsidP="00DD6B48">
      <w:pPr>
        <w:pStyle w:val="Citation"/>
        <w:spacing w:before="0" w:after="0"/>
        <w:jc w:val="both"/>
        <w:rPr>
          <w:rFonts w:cs="Arial"/>
          <w:i w:val="0"/>
          <w:iCs w:val="0"/>
          <w:color w:val="auto"/>
          <w:sz w:val="22"/>
          <w:szCs w:val="22"/>
          <w:lang w:val="en-CA"/>
        </w:rPr>
      </w:pPr>
      <w:r w:rsidRPr="00C32B26">
        <w:rPr>
          <w:rFonts w:cs="Arial"/>
          <w:i w:val="0"/>
          <w:iCs w:val="0"/>
          <w:color w:val="auto"/>
          <w:sz w:val="22"/>
          <w:szCs w:val="22"/>
          <w:lang w:val="en-CA"/>
        </w:rPr>
        <w:t>SUSPEND</w:t>
      </w:r>
      <w:r w:rsidR="00295CCC" w:rsidRPr="00C32B26">
        <w:rPr>
          <w:rFonts w:cs="Arial"/>
          <w:i w:val="0"/>
          <w:iCs w:val="0"/>
          <w:color w:val="auto"/>
          <w:sz w:val="22"/>
          <w:szCs w:val="22"/>
          <w:lang w:val="en-CA"/>
        </w:rPr>
        <w:t xml:space="preserve"> the operation of sections 9 and 208.6 of Bill 96 until final judgment, notwithstanding appeal. </w:t>
      </w:r>
      <w:r w:rsidRPr="00C32B26">
        <w:rPr>
          <w:rFonts w:cs="Arial"/>
          <w:i w:val="0"/>
          <w:iCs w:val="0"/>
          <w:color w:val="auto"/>
          <w:sz w:val="22"/>
          <w:szCs w:val="22"/>
          <w:lang w:val="en-CA"/>
        </w:rPr>
        <w:t xml:space="preserve"> </w:t>
      </w:r>
    </w:p>
    <w:p w14:paraId="59CA025B" w14:textId="77777777" w:rsidR="00913944" w:rsidRPr="00C32B26" w:rsidRDefault="00913944" w:rsidP="00913944">
      <w:pPr>
        <w:rPr>
          <w:lang w:val="en-CA"/>
        </w:rPr>
      </w:pPr>
    </w:p>
    <w:p w14:paraId="50CE30AF" w14:textId="52BA941D" w:rsidR="00DD6B48" w:rsidRPr="00C32B26" w:rsidRDefault="00295CCC" w:rsidP="00DD6B48">
      <w:pPr>
        <w:pStyle w:val="Citation"/>
        <w:spacing w:before="0" w:after="0"/>
        <w:jc w:val="both"/>
        <w:rPr>
          <w:rFonts w:cs="Arial"/>
          <w:i w:val="0"/>
          <w:iCs w:val="0"/>
          <w:color w:val="auto"/>
          <w:sz w:val="22"/>
          <w:szCs w:val="22"/>
          <w:lang w:val="en-CA"/>
        </w:rPr>
      </w:pPr>
      <w:r w:rsidRPr="00C32B26">
        <w:rPr>
          <w:rFonts w:cs="Arial"/>
          <w:i w:val="0"/>
          <w:iCs w:val="0"/>
          <w:color w:val="auto"/>
          <w:sz w:val="22"/>
          <w:szCs w:val="22"/>
          <w:lang w:val="en-CA"/>
        </w:rPr>
        <w:t>THE WHOLE with legal costs.</w:t>
      </w:r>
      <w:r w:rsidR="00DD6B48" w:rsidRPr="00C32B26">
        <w:rPr>
          <w:rFonts w:cs="Arial"/>
          <w:i w:val="0"/>
          <w:iCs w:val="0"/>
          <w:color w:val="auto"/>
          <w:sz w:val="22"/>
          <w:szCs w:val="22"/>
          <w:lang w:val="en-CA"/>
        </w:rPr>
        <w:t xml:space="preserve"> </w:t>
      </w:r>
    </w:p>
    <w:p w14:paraId="3F2C99EC" w14:textId="7A027D7C" w:rsidR="00DD6B48" w:rsidRPr="00C32B26" w:rsidRDefault="00736EE0" w:rsidP="008C7DE9">
      <w:pPr>
        <w:pStyle w:val="Paragrdouble"/>
        <w:tabs>
          <w:tab w:val="clear" w:pos="3053"/>
          <w:tab w:val="num" w:pos="567"/>
        </w:tabs>
        <w:spacing w:line="240" w:lineRule="auto"/>
        <w:ind w:left="0"/>
        <w:rPr>
          <w:rFonts w:cs="Arial"/>
          <w:lang w:val="en-CA"/>
        </w:rPr>
      </w:pPr>
      <w:r w:rsidRPr="00C32B26">
        <w:rPr>
          <w:rFonts w:cs="Arial"/>
          <w:lang w:val="en-CA"/>
        </w:rPr>
        <w:t xml:space="preserve">As discussed at the hearing, all the parties, including the AGQ, agree that the provisions contested by the applicants are in fact sections </w:t>
      </w:r>
      <w:r w:rsidR="00DD6B48" w:rsidRPr="00C32B26">
        <w:rPr>
          <w:rFonts w:cs="Arial"/>
          <w:lang w:val="en-CA"/>
        </w:rPr>
        <w:t xml:space="preserve">9 </w:t>
      </w:r>
      <w:r w:rsidRPr="00C32B26">
        <w:rPr>
          <w:rFonts w:cs="Arial"/>
          <w:lang w:val="en-CA"/>
        </w:rPr>
        <w:t xml:space="preserve">and </w:t>
      </w:r>
      <w:r w:rsidR="00DD6B48" w:rsidRPr="00C32B26">
        <w:rPr>
          <w:rFonts w:cs="Arial"/>
          <w:lang w:val="en-CA"/>
        </w:rPr>
        <w:t xml:space="preserve">208.6 </w:t>
      </w:r>
      <w:r w:rsidRPr="00C32B26">
        <w:rPr>
          <w:rFonts w:cs="Arial"/>
          <w:lang w:val="en-CA"/>
        </w:rPr>
        <w:t xml:space="preserve">of the </w:t>
      </w:r>
      <w:r w:rsidR="00F55EE4" w:rsidRPr="00C32B26">
        <w:rPr>
          <w:rFonts w:cs="Arial"/>
          <w:i/>
          <w:iCs/>
          <w:lang w:val="en-CA"/>
        </w:rPr>
        <w:t>Charter of the French language</w:t>
      </w:r>
      <w:r w:rsidRPr="00C32B26">
        <w:rPr>
          <w:rFonts w:cs="Arial"/>
          <w:lang w:val="en-CA"/>
        </w:rPr>
        <w:t xml:space="preserve"> as amended by sections </w:t>
      </w:r>
      <w:r w:rsidR="00DD6B48" w:rsidRPr="00C32B26">
        <w:rPr>
          <w:rFonts w:cs="Arial"/>
          <w:lang w:val="en-CA"/>
        </w:rPr>
        <w:t xml:space="preserve">5 </w:t>
      </w:r>
      <w:r w:rsidRPr="00C32B26">
        <w:rPr>
          <w:rFonts w:cs="Arial"/>
          <w:lang w:val="en-CA"/>
        </w:rPr>
        <w:t>and</w:t>
      </w:r>
      <w:r w:rsidR="00DD6B48" w:rsidRPr="00C32B26">
        <w:rPr>
          <w:rFonts w:cs="Arial"/>
          <w:lang w:val="en-CA"/>
        </w:rPr>
        <w:t xml:space="preserve"> 119 </w:t>
      </w:r>
      <w:r w:rsidRPr="00C32B26">
        <w:rPr>
          <w:rFonts w:cs="Arial"/>
          <w:lang w:val="en-CA"/>
        </w:rPr>
        <w:t>of Bill</w:t>
      </w:r>
      <w:r w:rsidR="00DD6B48" w:rsidRPr="00C32B26">
        <w:rPr>
          <w:rFonts w:cs="Arial"/>
          <w:lang w:val="en-CA"/>
        </w:rPr>
        <w:t> 96</w:t>
      </w:r>
      <w:r w:rsidRPr="00C32B26">
        <w:rPr>
          <w:rFonts w:cs="Arial"/>
          <w:lang w:val="en-CA"/>
        </w:rPr>
        <w:t>.</w:t>
      </w:r>
      <w:r w:rsidR="00DD6B48" w:rsidRPr="00C32B26">
        <w:rPr>
          <w:rStyle w:val="Appelnotedebasdep"/>
          <w:rFonts w:cs="Arial"/>
          <w:lang w:val="en-CA"/>
        </w:rPr>
        <w:footnoteReference w:id="91"/>
      </w:r>
      <w:r w:rsidR="00DD6B48" w:rsidRPr="00C32B26">
        <w:rPr>
          <w:rFonts w:cs="Arial"/>
          <w:lang w:val="en-CA"/>
        </w:rPr>
        <w:t xml:space="preserve"> </w:t>
      </w:r>
      <w:r w:rsidRPr="00C32B26">
        <w:rPr>
          <w:rFonts w:cs="Arial"/>
          <w:lang w:val="en-CA"/>
        </w:rPr>
        <w:t>The wording of the relief sought needs to be revised</w:t>
      </w:r>
      <w:r w:rsidR="001326BB" w:rsidRPr="00C32B26">
        <w:rPr>
          <w:rFonts w:cs="Arial"/>
          <w:lang w:val="en-CA"/>
        </w:rPr>
        <w:t>.</w:t>
      </w:r>
      <w:r w:rsidR="00D674EC" w:rsidRPr="00C32B26">
        <w:rPr>
          <w:rFonts w:cs="Arial"/>
          <w:lang w:val="en-CA"/>
        </w:rPr>
        <w:t xml:space="preserve"> </w:t>
      </w:r>
      <w:r w:rsidRPr="00C32B26">
        <w:rPr>
          <w:rFonts w:cs="Arial"/>
          <w:lang w:val="en-CA"/>
        </w:rPr>
        <w:t xml:space="preserve">The AGQ agreed at the hearing that, if an order granting suspension is issued, the relief in question should </w:t>
      </w:r>
      <w:r w:rsidR="00F33DD9" w:rsidRPr="00C32B26">
        <w:rPr>
          <w:rFonts w:cs="Arial"/>
          <w:lang w:val="en-CA"/>
        </w:rPr>
        <w:t xml:space="preserve">be </w:t>
      </w:r>
      <w:r w:rsidRPr="00C32B26">
        <w:rPr>
          <w:rFonts w:cs="Arial"/>
          <w:lang w:val="en-CA"/>
        </w:rPr>
        <w:t>granted without further formality.</w:t>
      </w:r>
    </w:p>
    <w:p w14:paraId="2D19D591" w14:textId="378619E4" w:rsidR="00DD6B48" w:rsidRPr="00C32B26" w:rsidRDefault="008A3F1A" w:rsidP="008C7DE9">
      <w:pPr>
        <w:pStyle w:val="Paragrdouble"/>
        <w:tabs>
          <w:tab w:val="clear" w:pos="3053"/>
          <w:tab w:val="num" w:pos="567"/>
        </w:tabs>
        <w:spacing w:line="240" w:lineRule="auto"/>
        <w:ind w:left="0"/>
        <w:rPr>
          <w:rFonts w:cs="Arial"/>
          <w:lang w:val="en-CA"/>
        </w:rPr>
      </w:pPr>
      <w:r w:rsidRPr="00C32B26">
        <w:rPr>
          <w:rFonts w:cs="Arial"/>
          <w:lang w:val="en-CA"/>
        </w:rPr>
        <w:t xml:space="preserve">Also, it appears the applicants are seeking provisional </w:t>
      </w:r>
      <w:r w:rsidR="009E52C5" w:rsidRPr="00C32B26">
        <w:rPr>
          <w:rFonts w:cs="Arial"/>
          <w:lang w:val="en-CA"/>
        </w:rPr>
        <w:t>execution</w:t>
      </w:r>
      <w:r w:rsidRPr="00C32B26">
        <w:rPr>
          <w:rFonts w:cs="Arial"/>
          <w:lang w:val="en-CA"/>
        </w:rPr>
        <w:t xml:space="preserve"> of the judgment, which requires a showing that </w:t>
      </w:r>
      <w:r w:rsidR="009E52C5" w:rsidRPr="00C32B26">
        <w:rPr>
          <w:rFonts w:cs="Arial"/>
          <w:lang w:val="en-CA"/>
        </w:rPr>
        <w:t>“bringing an appeal is likely to cause serious or irreparable prejudice to one of the parties.”</w:t>
      </w:r>
      <w:r w:rsidR="00DD6B48" w:rsidRPr="00C32B26">
        <w:rPr>
          <w:rStyle w:val="Appelnotedebasdep"/>
          <w:rFonts w:cs="Arial"/>
          <w:lang w:val="en-CA"/>
        </w:rPr>
        <w:footnoteReference w:id="92"/>
      </w:r>
    </w:p>
    <w:p w14:paraId="2C5E4285" w14:textId="58C5AECB" w:rsidR="00772542" w:rsidRPr="00C32B26" w:rsidRDefault="00631B61" w:rsidP="008C7DE9">
      <w:pPr>
        <w:pStyle w:val="Paragrdouble"/>
        <w:tabs>
          <w:tab w:val="clear" w:pos="3053"/>
          <w:tab w:val="num" w:pos="567"/>
        </w:tabs>
        <w:spacing w:line="240" w:lineRule="auto"/>
        <w:ind w:left="0"/>
        <w:rPr>
          <w:rFonts w:cs="Arial"/>
          <w:lang w:val="en-CA"/>
        </w:rPr>
      </w:pPr>
      <w:r w:rsidRPr="00C32B26">
        <w:rPr>
          <w:rFonts w:cs="Arial"/>
          <w:lang w:val="en-CA"/>
        </w:rPr>
        <w:t xml:space="preserve">In the Court’s opinion, given the showing of irreparable </w:t>
      </w:r>
      <w:r w:rsidR="00F33DD9" w:rsidRPr="00C32B26">
        <w:rPr>
          <w:rFonts w:cs="Arial"/>
          <w:lang w:val="en-CA"/>
        </w:rPr>
        <w:t xml:space="preserve">harm </w:t>
      </w:r>
      <w:r w:rsidRPr="00C32B26">
        <w:rPr>
          <w:rFonts w:cs="Arial"/>
          <w:lang w:val="en-CA"/>
        </w:rPr>
        <w:t>and the coming into force scheduled for September 1, 2022, the suspension must be declared notwithstanding appeal</w:t>
      </w:r>
      <w:r w:rsidR="00276041" w:rsidRPr="00C32B26">
        <w:rPr>
          <w:rFonts w:cs="Arial"/>
          <w:lang w:val="en-CA"/>
        </w:rPr>
        <w:t>.</w:t>
      </w:r>
    </w:p>
    <w:p w14:paraId="2C5E4290" w14:textId="77777777" w:rsidR="00772542" w:rsidRPr="00C32B26" w:rsidRDefault="00772542" w:rsidP="008A5221">
      <w:pPr>
        <w:pStyle w:val="Titre1"/>
        <w:rPr>
          <w:rFonts w:cs="Arial"/>
          <w:lang w:val="en-CA"/>
        </w:rPr>
      </w:pPr>
      <w:bookmarkStart w:id="4" w:name="_Toc45807147"/>
      <w:bookmarkStart w:id="5" w:name="_Toc56788871"/>
      <w:r w:rsidRPr="00C32B26">
        <w:rPr>
          <w:rFonts w:cs="Arial"/>
          <w:lang w:val="en-CA"/>
        </w:rPr>
        <w:lastRenderedPageBreak/>
        <w:t>CONCLUSION</w:t>
      </w:r>
      <w:bookmarkEnd w:id="4"/>
      <w:bookmarkEnd w:id="5"/>
    </w:p>
    <w:p w14:paraId="163865FD" w14:textId="26BD0F2E" w:rsidR="000D0075" w:rsidRPr="00C32B26" w:rsidRDefault="00F85074" w:rsidP="008C7DE9">
      <w:pPr>
        <w:pStyle w:val="Paragrdouble"/>
        <w:tabs>
          <w:tab w:val="clear" w:pos="3053"/>
          <w:tab w:val="num" w:pos="567"/>
        </w:tabs>
        <w:spacing w:line="240" w:lineRule="auto"/>
        <w:ind w:left="0"/>
        <w:rPr>
          <w:rFonts w:cs="Arial"/>
          <w:lang w:val="en-CA"/>
        </w:rPr>
      </w:pPr>
      <w:r w:rsidRPr="00C32B26">
        <w:rPr>
          <w:rFonts w:cs="Arial"/>
          <w:lang w:val="en-CA"/>
        </w:rPr>
        <w:t xml:space="preserve">The Court grants the requested </w:t>
      </w:r>
      <w:r w:rsidR="00F33DD9" w:rsidRPr="00C32B26">
        <w:rPr>
          <w:rFonts w:cs="Arial"/>
          <w:lang w:val="en-CA"/>
        </w:rPr>
        <w:t xml:space="preserve">suspension </w:t>
      </w:r>
      <w:r w:rsidRPr="00C32B26">
        <w:rPr>
          <w:rFonts w:cs="Arial"/>
          <w:lang w:val="en-CA"/>
        </w:rPr>
        <w:t>for the duration of the proceedings, that is to say, until the final judgment of the Superior</w:t>
      </w:r>
      <w:r w:rsidR="00B66C40" w:rsidRPr="00C32B26">
        <w:rPr>
          <w:rFonts w:cs="Arial"/>
          <w:lang w:val="en-CA"/>
        </w:rPr>
        <w:t xml:space="preserve"> Cour</w:t>
      </w:r>
      <w:r w:rsidRPr="00C32B26">
        <w:rPr>
          <w:rFonts w:cs="Arial"/>
          <w:lang w:val="en-CA"/>
        </w:rPr>
        <w:t>t is rendered</w:t>
      </w:r>
      <w:r w:rsidR="00B66C40" w:rsidRPr="00C32B26">
        <w:rPr>
          <w:rFonts w:cs="Arial"/>
          <w:lang w:val="en-CA"/>
        </w:rPr>
        <w:t>.</w:t>
      </w:r>
      <w:r w:rsidR="000D0075" w:rsidRPr="00C32B26">
        <w:rPr>
          <w:rFonts w:cs="Arial"/>
          <w:lang w:val="en-CA"/>
        </w:rPr>
        <w:t xml:space="preserve"> </w:t>
      </w:r>
      <w:r w:rsidRPr="00C32B26">
        <w:rPr>
          <w:rFonts w:cs="Arial"/>
          <w:lang w:val="en-CA"/>
        </w:rPr>
        <w:t>Furthermore, the Court intends to proceed as soon as the parties are ready and has even proposed a final hearing</w:t>
      </w:r>
      <w:r w:rsidR="000771FB" w:rsidRPr="00C32B26">
        <w:rPr>
          <w:rFonts w:cs="Arial"/>
          <w:lang w:val="en-CA"/>
        </w:rPr>
        <w:t xml:space="preserve"> </w:t>
      </w:r>
      <w:r w:rsidRPr="00C32B26">
        <w:rPr>
          <w:rFonts w:cs="Arial"/>
          <w:lang w:val="en-CA"/>
        </w:rPr>
        <w:t>as early as November</w:t>
      </w:r>
      <w:r w:rsidR="000D0075" w:rsidRPr="00C32B26">
        <w:rPr>
          <w:rFonts w:cs="Arial"/>
          <w:lang w:val="en-CA"/>
        </w:rPr>
        <w:t xml:space="preserve"> 2022. </w:t>
      </w:r>
      <w:r w:rsidRPr="00C32B26">
        <w:rPr>
          <w:rFonts w:cs="Arial"/>
          <w:lang w:val="en-CA"/>
        </w:rPr>
        <w:t>It will be up to the</w:t>
      </w:r>
      <w:r w:rsidR="000D0075" w:rsidRPr="00C32B26">
        <w:rPr>
          <w:rFonts w:cs="Arial"/>
          <w:lang w:val="en-CA"/>
        </w:rPr>
        <w:t xml:space="preserve"> parties </w:t>
      </w:r>
      <w:r w:rsidRPr="00C32B26">
        <w:rPr>
          <w:rFonts w:cs="Arial"/>
          <w:lang w:val="en-CA"/>
        </w:rPr>
        <w:t xml:space="preserve">to decide on a timeline </w:t>
      </w:r>
      <w:r w:rsidR="00F33DD9" w:rsidRPr="00C32B26">
        <w:rPr>
          <w:rFonts w:cs="Arial"/>
          <w:lang w:val="en-CA"/>
        </w:rPr>
        <w:t xml:space="preserve">for readying the case for trial </w:t>
      </w:r>
      <w:r w:rsidRPr="00C32B26">
        <w:rPr>
          <w:rFonts w:cs="Arial"/>
          <w:lang w:val="en-CA"/>
        </w:rPr>
        <w:t>on the merits</w:t>
      </w:r>
      <w:r w:rsidR="000D0075" w:rsidRPr="00C32B26">
        <w:rPr>
          <w:rFonts w:cs="Arial"/>
          <w:lang w:val="en-CA"/>
        </w:rPr>
        <w:t>.</w:t>
      </w:r>
    </w:p>
    <w:p w14:paraId="2C5E4292" w14:textId="51902D12" w:rsidR="00CF51ED" w:rsidRPr="00C32B26" w:rsidRDefault="00BF7BE9" w:rsidP="008A5221">
      <w:pPr>
        <w:pStyle w:val="Titre1"/>
        <w:rPr>
          <w:rFonts w:cs="Arial"/>
          <w:lang w:val="en-CA"/>
        </w:rPr>
      </w:pPr>
      <w:bookmarkStart w:id="6" w:name="_Toc56788872"/>
      <w:r w:rsidRPr="00C32B26">
        <w:rPr>
          <w:rFonts w:cs="Arial"/>
          <w:lang w:val="en-CA"/>
        </w:rPr>
        <w:t>FOR THESE REASONS, THE COURT</w:t>
      </w:r>
      <w:r w:rsidR="00772542" w:rsidRPr="00C32B26">
        <w:rPr>
          <w:rFonts w:cs="Arial"/>
          <w:lang w:val="en-CA"/>
        </w:rPr>
        <w:t>:</w:t>
      </w:r>
      <w:bookmarkEnd w:id="0"/>
      <w:bookmarkEnd w:id="6"/>
    </w:p>
    <w:p w14:paraId="2C5E4293" w14:textId="6C01326B" w:rsidR="00D47A26" w:rsidRPr="00C32B26" w:rsidRDefault="00BF7BE9" w:rsidP="008C7DE9">
      <w:pPr>
        <w:pStyle w:val="Paragrdouble"/>
        <w:tabs>
          <w:tab w:val="clear" w:pos="3053"/>
          <w:tab w:val="num" w:pos="567"/>
        </w:tabs>
        <w:spacing w:line="240" w:lineRule="auto"/>
        <w:ind w:left="0"/>
        <w:rPr>
          <w:rFonts w:cs="Arial"/>
          <w:lang w:val="en-CA"/>
        </w:rPr>
      </w:pPr>
      <w:r w:rsidRPr="00C32B26">
        <w:rPr>
          <w:rFonts w:cs="Arial"/>
          <w:b/>
          <w:lang w:val="en-CA"/>
        </w:rPr>
        <w:t>GRANTS</w:t>
      </w:r>
      <w:r w:rsidR="00B66C40" w:rsidRPr="00C32B26">
        <w:rPr>
          <w:rFonts w:cs="Arial"/>
          <w:lang w:val="en-CA"/>
        </w:rPr>
        <w:t xml:space="preserve"> </w:t>
      </w:r>
      <w:r w:rsidRPr="00C32B26">
        <w:rPr>
          <w:rFonts w:cs="Arial"/>
          <w:lang w:val="en-CA"/>
        </w:rPr>
        <w:t xml:space="preserve">the applicants’ application for </w:t>
      </w:r>
      <w:r w:rsidR="00E520E0" w:rsidRPr="00C32B26">
        <w:rPr>
          <w:rFonts w:cs="Arial"/>
          <w:lang w:val="en-CA"/>
        </w:rPr>
        <w:t>suspension;</w:t>
      </w:r>
    </w:p>
    <w:p w14:paraId="2FFBABF4" w14:textId="551F2975" w:rsidR="00B66C40" w:rsidRPr="00C32B26" w:rsidRDefault="00B66C40" w:rsidP="008C7DE9">
      <w:pPr>
        <w:pStyle w:val="Paragrdouble"/>
        <w:tabs>
          <w:tab w:val="clear" w:pos="3053"/>
          <w:tab w:val="num" w:pos="567"/>
        </w:tabs>
        <w:spacing w:line="240" w:lineRule="auto"/>
        <w:ind w:left="0"/>
        <w:rPr>
          <w:lang w:val="en-CA"/>
        </w:rPr>
      </w:pPr>
      <w:r w:rsidRPr="00C32B26">
        <w:rPr>
          <w:b/>
          <w:lang w:val="en-CA"/>
        </w:rPr>
        <w:t>SUSPEND</w:t>
      </w:r>
      <w:r w:rsidR="00BF7BE9" w:rsidRPr="00C32B26">
        <w:rPr>
          <w:b/>
          <w:lang w:val="en-CA"/>
        </w:rPr>
        <w:t>S</w:t>
      </w:r>
      <w:r w:rsidR="00BF7BE9" w:rsidRPr="00C32B26">
        <w:rPr>
          <w:bCs/>
          <w:lang w:val="en-CA"/>
        </w:rPr>
        <w:t xml:space="preserve"> </w:t>
      </w:r>
      <w:r w:rsidR="00BF7BE9" w:rsidRPr="00C32B26">
        <w:rPr>
          <w:lang w:val="en-CA"/>
        </w:rPr>
        <w:t xml:space="preserve">the coming into force of sections 5 and 119 of the </w:t>
      </w:r>
      <w:r w:rsidR="00BF7BE9" w:rsidRPr="00C32B26">
        <w:rPr>
          <w:i/>
          <w:iCs/>
          <w:lang w:val="en-CA"/>
        </w:rPr>
        <w:t>Act respecting French, the official and common language of Québec</w:t>
      </w:r>
      <w:r w:rsidR="006174BA" w:rsidRPr="00C32B26">
        <w:rPr>
          <w:lang w:val="en-CA"/>
        </w:rPr>
        <w:t xml:space="preserve">, </w:t>
      </w:r>
      <w:r w:rsidR="00BF7BE9" w:rsidRPr="00C32B26">
        <w:rPr>
          <w:lang w:val="en-CA"/>
        </w:rPr>
        <w:t>S.Q.</w:t>
      </w:r>
      <w:r w:rsidR="00BC7C12" w:rsidRPr="00C32B26">
        <w:rPr>
          <w:lang w:val="en-CA"/>
        </w:rPr>
        <w:t> </w:t>
      </w:r>
      <w:r w:rsidR="006174BA" w:rsidRPr="00C32B26">
        <w:rPr>
          <w:lang w:val="en-CA"/>
        </w:rPr>
        <w:t>2022, c.</w:t>
      </w:r>
      <w:r w:rsidR="00E520E0" w:rsidRPr="00C32B26">
        <w:rPr>
          <w:lang w:val="en-CA"/>
        </w:rPr>
        <w:t> </w:t>
      </w:r>
      <w:r w:rsidR="006174BA" w:rsidRPr="00C32B26">
        <w:rPr>
          <w:lang w:val="en-CA"/>
        </w:rPr>
        <w:t>14</w:t>
      </w:r>
      <w:r w:rsidR="00BF7BE9" w:rsidRPr="00C32B26">
        <w:rPr>
          <w:lang w:val="en-CA"/>
        </w:rPr>
        <w:t>, which amend</w:t>
      </w:r>
      <w:r w:rsidR="000D0075" w:rsidRPr="00C32B26">
        <w:rPr>
          <w:lang w:val="en-CA"/>
        </w:rPr>
        <w:t xml:space="preserve"> </w:t>
      </w:r>
      <w:r w:rsidR="00BF7BE9" w:rsidRPr="00C32B26">
        <w:rPr>
          <w:lang w:val="en-CA"/>
        </w:rPr>
        <w:t>the</w:t>
      </w:r>
      <w:r w:rsidR="000D0075" w:rsidRPr="00C32B26">
        <w:rPr>
          <w:lang w:val="en-CA"/>
        </w:rPr>
        <w:t xml:space="preserve"> </w:t>
      </w:r>
      <w:r w:rsidR="00F55EE4" w:rsidRPr="00C32B26">
        <w:rPr>
          <w:i/>
          <w:lang w:val="en-CA"/>
        </w:rPr>
        <w:t>Charter of the French language</w:t>
      </w:r>
      <w:r w:rsidR="00BF7BE9" w:rsidRPr="00C32B26">
        <w:rPr>
          <w:i/>
          <w:lang w:val="en-CA"/>
        </w:rPr>
        <w:t xml:space="preserve">, </w:t>
      </w:r>
      <w:r w:rsidR="00BF7BE9" w:rsidRPr="00C32B26">
        <w:rPr>
          <w:lang w:val="en-CA"/>
        </w:rPr>
        <w:t>CQLR,</w:t>
      </w:r>
      <w:r w:rsidR="00691167" w:rsidRPr="00C32B26">
        <w:rPr>
          <w:lang w:val="en-CA"/>
        </w:rPr>
        <w:t xml:space="preserve"> c. C-11 </w:t>
      </w:r>
      <w:r w:rsidR="00BF7BE9" w:rsidRPr="00C32B26">
        <w:rPr>
          <w:lang w:val="en-CA"/>
        </w:rPr>
        <w:t>by adding sections</w:t>
      </w:r>
      <w:r w:rsidR="00227965" w:rsidRPr="00C32B26">
        <w:rPr>
          <w:lang w:val="en-CA"/>
        </w:rPr>
        <w:t xml:space="preserve"> 9 </w:t>
      </w:r>
      <w:r w:rsidR="00BF7BE9" w:rsidRPr="00C32B26">
        <w:rPr>
          <w:lang w:val="en-CA"/>
        </w:rPr>
        <w:t>and</w:t>
      </w:r>
      <w:r w:rsidR="00227965" w:rsidRPr="00C32B26">
        <w:rPr>
          <w:lang w:val="en-CA"/>
        </w:rPr>
        <w:t xml:space="preserve"> 2</w:t>
      </w:r>
      <w:r w:rsidR="00E17357" w:rsidRPr="00C32B26">
        <w:rPr>
          <w:lang w:val="en-CA"/>
        </w:rPr>
        <w:t>08.6</w:t>
      </w:r>
      <w:r w:rsidR="00BF7BE9" w:rsidRPr="00C32B26">
        <w:rPr>
          <w:lang w:val="en-CA"/>
        </w:rPr>
        <w:t xml:space="preserve"> thereto</w:t>
      </w:r>
      <w:r w:rsidR="00885A5D" w:rsidRPr="00C32B26">
        <w:rPr>
          <w:lang w:val="en-CA"/>
        </w:rPr>
        <w:t xml:space="preserve">, </w:t>
      </w:r>
      <w:r w:rsidR="00BF7BE9" w:rsidRPr="00C32B26">
        <w:rPr>
          <w:lang w:val="en-CA"/>
        </w:rPr>
        <w:t>while the proceedings are pending before the Superior Court</w:t>
      </w:r>
      <w:r w:rsidR="00F33DD9" w:rsidRPr="00C32B26">
        <w:rPr>
          <w:lang w:val="en-CA"/>
        </w:rPr>
        <w:t xml:space="preserve"> of Quebec</w:t>
      </w:r>
      <w:r w:rsidR="008F2EAE" w:rsidRPr="00C32B26">
        <w:rPr>
          <w:lang w:val="en-CA"/>
        </w:rPr>
        <w:t>, notwithstanding appeal</w:t>
      </w:r>
      <w:r w:rsidR="00E520E0" w:rsidRPr="00C32B26">
        <w:rPr>
          <w:lang w:val="en-CA"/>
        </w:rPr>
        <w:t>;</w:t>
      </w:r>
    </w:p>
    <w:p w14:paraId="328DE620" w14:textId="34C27C47" w:rsidR="000D0075" w:rsidRPr="00C32B26" w:rsidRDefault="000C226D" w:rsidP="008C7DE9">
      <w:pPr>
        <w:pStyle w:val="Paragrdouble"/>
        <w:tabs>
          <w:tab w:val="clear" w:pos="3053"/>
          <w:tab w:val="num" w:pos="567"/>
        </w:tabs>
        <w:spacing w:line="240" w:lineRule="auto"/>
        <w:ind w:left="0"/>
        <w:rPr>
          <w:lang w:val="en-CA"/>
        </w:rPr>
      </w:pPr>
      <w:r w:rsidRPr="00C32B26">
        <w:rPr>
          <w:b/>
          <w:lang w:val="en-CA"/>
        </w:rPr>
        <w:t>THE WHOLE</w:t>
      </w:r>
      <w:r w:rsidR="000D0075" w:rsidRPr="00C32B26">
        <w:rPr>
          <w:b/>
          <w:lang w:val="en-CA"/>
        </w:rPr>
        <w:t xml:space="preserve"> </w:t>
      </w:r>
      <w:r w:rsidRPr="00C32B26">
        <w:rPr>
          <w:lang w:val="en-CA"/>
        </w:rPr>
        <w:t>with legal costs</w:t>
      </w:r>
      <w:r w:rsidR="000D0075" w:rsidRPr="00C32B26">
        <w:rPr>
          <w:lang w:val="en-CA"/>
        </w:rPr>
        <w:t>.</w:t>
      </w:r>
    </w:p>
    <w:tbl>
      <w:tblPr>
        <w:tblW w:w="9505" w:type="dxa"/>
        <w:tblLayout w:type="fixed"/>
        <w:tblCellMar>
          <w:left w:w="70" w:type="dxa"/>
          <w:right w:w="70" w:type="dxa"/>
        </w:tblCellMar>
        <w:tblLook w:val="0000" w:firstRow="0" w:lastRow="0" w:firstColumn="0" w:lastColumn="0" w:noHBand="0" w:noVBand="0"/>
      </w:tblPr>
      <w:tblGrid>
        <w:gridCol w:w="2197"/>
        <w:gridCol w:w="2670"/>
        <w:gridCol w:w="4638"/>
      </w:tblGrid>
      <w:tr w:rsidR="00C32B26" w:rsidRPr="00DB7419" w14:paraId="2C5E4297" w14:textId="77777777" w:rsidTr="00BA153A">
        <w:trPr>
          <w:trHeight w:val="576"/>
        </w:trPr>
        <w:tc>
          <w:tcPr>
            <w:tcW w:w="9505" w:type="dxa"/>
            <w:gridSpan w:val="3"/>
          </w:tcPr>
          <w:p w14:paraId="2C5E4296" w14:textId="77777777" w:rsidR="00121A72" w:rsidRPr="00C32B26" w:rsidRDefault="00121A72" w:rsidP="00D26929">
            <w:pPr>
              <w:keepNext/>
              <w:keepLines/>
              <w:rPr>
                <w:rFonts w:cs="Arial"/>
                <w:lang w:val="en-CA"/>
              </w:rPr>
            </w:pPr>
          </w:p>
        </w:tc>
      </w:tr>
      <w:tr w:rsidR="00C32B26" w:rsidRPr="00C32B26" w14:paraId="2C5E429A" w14:textId="77777777" w:rsidTr="00BA153A">
        <w:tblPrEx>
          <w:tblCellMar>
            <w:left w:w="0" w:type="dxa"/>
            <w:right w:w="0" w:type="dxa"/>
          </w:tblCellMar>
        </w:tblPrEx>
        <w:trPr>
          <w:cantSplit/>
        </w:trPr>
        <w:tc>
          <w:tcPr>
            <w:tcW w:w="4867" w:type="dxa"/>
            <w:gridSpan w:val="2"/>
          </w:tcPr>
          <w:p w14:paraId="2C5E4298" w14:textId="77777777" w:rsidR="00121A72" w:rsidRPr="00C32B26" w:rsidRDefault="00121A72" w:rsidP="00D26929">
            <w:pPr>
              <w:rPr>
                <w:rFonts w:cs="Arial"/>
                <w:lang w:val="en-CA"/>
              </w:rPr>
            </w:pPr>
          </w:p>
        </w:tc>
        <w:tc>
          <w:tcPr>
            <w:tcW w:w="4638" w:type="dxa"/>
          </w:tcPr>
          <w:p w14:paraId="2C5E4299" w14:textId="293F62D5" w:rsidR="00121A72" w:rsidRPr="00C32B26" w:rsidRDefault="00121A72" w:rsidP="004D061F">
            <w:pPr>
              <w:pStyle w:val="zSoquijdatSignature3Juge"/>
              <w:rPr>
                <w:rFonts w:cs="Arial"/>
              </w:rPr>
            </w:pPr>
            <w:r w:rsidRPr="00C32B26">
              <w:rPr>
                <w:rFonts w:cs="Arial"/>
              </w:rPr>
              <w:t>___</w:t>
            </w:r>
            <w:r w:rsidR="00F4770B" w:rsidRPr="00C32B26">
              <w:rPr>
                <w:rFonts w:cs="Arial"/>
              </w:rPr>
              <w:t>_______________________________</w:t>
            </w:r>
            <w:r w:rsidR="004D061F" w:rsidRPr="00C32B26">
              <w:rPr>
                <w:rFonts w:cs="Arial"/>
                <w:caps/>
              </w:rPr>
              <w:t xml:space="preserve">CHANTAL CORRIVEAU, </w:t>
            </w:r>
            <w:r w:rsidR="00CE5A4C" w:rsidRPr="00C32B26">
              <w:rPr>
                <w:rFonts w:cs="Arial"/>
                <w:caps/>
              </w:rPr>
              <w:t>j.s.</w:t>
            </w:r>
            <w:r w:rsidR="000C226D" w:rsidRPr="00C32B26">
              <w:rPr>
                <w:rFonts w:cs="Arial"/>
                <w:caps/>
              </w:rPr>
              <w:t>C.</w:t>
            </w:r>
          </w:p>
        </w:tc>
      </w:tr>
      <w:tr w:rsidR="00C32B26" w:rsidRPr="00C32B26" w14:paraId="2C5E429E" w14:textId="77777777" w:rsidTr="00BA153A">
        <w:trPr>
          <w:cantSplit/>
        </w:trPr>
        <w:tc>
          <w:tcPr>
            <w:tcW w:w="9505" w:type="dxa"/>
            <w:gridSpan w:val="3"/>
          </w:tcPr>
          <w:p w14:paraId="2C5E429D" w14:textId="5E8D0664" w:rsidR="00121A72" w:rsidRPr="00C32B26" w:rsidRDefault="00BA5C91" w:rsidP="00BA5C91">
            <w:pPr>
              <w:rPr>
                <w:rFonts w:cs="Arial"/>
                <w:sz w:val="22"/>
                <w:lang w:val="en-CA" w:eastAsia="fr-CA"/>
              </w:rPr>
            </w:pPr>
            <w:r w:rsidRPr="00C32B26">
              <w:rPr>
                <w:rFonts w:cs="Arial"/>
                <w:lang w:val="en-CA"/>
              </w:rPr>
              <w:t>M</w:t>
            </w:r>
            <w:r w:rsidR="00923677" w:rsidRPr="00C32B26">
              <w:rPr>
                <w:rFonts w:cs="Arial"/>
                <w:vertAlign w:val="superscript"/>
                <w:lang w:val="en-CA"/>
              </w:rPr>
              <w:t>tr</w:t>
            </w:r>
            <w:r w:rsidRPr="00C32B26">
              <w:rPr>
                <w:rFonts w:cs="Arial"/>
                <w:vertAlign w:val="superscript"/>
                <w:lang w:val="en-CA"/>
              </w:rPr>
              <w:t>e</w:t>
            </w:r>
            <w:r w:rsidRPr="00C32B26">
              <w:rPr>
                <w:rStyle w:val="apple-converted-space"/>
                <w:rFonts w:cs="Arial"/>
                <w:lang w:val="en-CA"/>
              </w:rPr>
              <w:t> </w:t>
            </w:r>
            <w:r w:rsidRPr="00C32B26">
              <w:rPr>
                <w:rFonts w:cs="Arial"/>
                <w:lang w:val="en-CA"/>
              </w:rPr>
              <w:t>Félix-Antoine Doyon</w:t>
            </w:r>
          </w:p>
        </w:tc>
      </w:tr>
      <w:tr w:rsidR="00C32B26" w:rsidRPr="00C32B26" w14:paraId="2C5E42A2" w14:textId="77777777" w:rsidTr="00BA153A">
        <w:trPr>
          <w:cantSplit/>
        </w:trPr>
        <w:tc>
          <w:tcPr>
            <w:tcW w:w="9505" w:type="dxa"/>
            <w:gridSpan w:val="3"/>
          </w:tcPr>
          <w:p w14:paraId="2C5E42A1" w14:textId="6A7D72E5" w:rsidR="00121A72" w:rsidRPr="00C32B26" w:rsidRDefault="00BA5C91" w:rsidP="00010C29">
            <w:pPr>
              <w:pStyle w:val="zSoquijlblProcureurDem"/>
              <w:rPr>
                <w:rFonts w:cs="Arial"/>
                <w:lang w:val="en-CA"/>
              </w:rPr>
            </w:pPr>
            <w:r w:rsidRPr="00C32B26">
              <w:rPr>
                <w:rFonts w:cs="Arial"/>
                <w:lang w:val="en-CA"/>
              </w:rPr>
              <w:t>M</w:t>
            </w:r>
            <w:r w:rsidR="00923677" w:rsidRPr="00C32B26">
              <w:rPr>
                <w:rFonts w:cs="Arial"/>
                <w:vertAlign w:val="superscript"/>
                <w:lang w:val="en-CA"/>
              </w:rPr>
              <w:t>tr</w:t>
            </w:r>
            <w:r w:rsidRPr="00C32B26">
              <w:rPr>
                <w:rFonts w:cs="Arial"/>
                <w:vertAlign w:val="superscript"/>
                <w:lang w:val="en-CA"/>
              </w:rPr>
              <w:t>e</w:t>
            </w:r>
            <w:r w:rsidRPr="00C32B26">
              <w:rPr>
                <w:rFonts w:cs="Arial"/>
                <w:lang w:val="en-CA"/>
              </w:rPr>
              <w:t xml:space="preserve"> Kamy Pelletier-Khamphinith</w:t>
            </w:r>
          </w:p>
        </w:tc>
      </w:tr>
      <w:tr w:rsidR="00C32B26" w:rsidRPr="00C32B26" w14:paraId="2C5E42A4" w14:textId="77777777" w:rsidTr="00BA153A">
        <w:trPr>
          <w:cantSplit/>
        </w:trPr>
        <w:tc>
          <w:tcPr>
            <w:tcW w:w="9505" w:type="dxa"/>
            <w:gridSpan w:val="3"/>
          </w:tcPr>
          <w:p w14:paraId="2C5E42A3" w14:textId="062EF199" w:rsidR="00121A72" w:rsidRPr="00C32B26" w:rsidRDefault="00BA5C91" w:rsidP="00D26929">
            <w:pPr>
              <w:rPr>
                <w:rFonts w:cs="Arial"/>
                <w:sz w:val="21"/>
                <w:szCs w:val="21"/>
                <w:lang w:val="en-CA"/>
              </w:rPr>
            </w:pPr>
            <w:r w:rsidRPr="00C32B26">
              <w:rPr>
                <w:rFonts w:cs="Arial"/>
                <w:lang w:val="en-CA"/>
              </w:rPr>
              <w:t>Labrecque Doyon Avocats</w:t>
            </w:r>
          </w:p>
        </w:tc>
      </w:tr>
      <w:tr w:rsidR="00C32B26" w:rsidRPr="00C32B26" w14:paraId="2C5E42A6" w14:textId="77777777" w:rsidTr="00BA153A">
        <w:trPr>
          <w:cantSplit/>
        </w:trPr>
        <w:tc>
          <w:tcPr>
            <w:tcW w:w="9505" w:type="dxa"/>
            <w:gridSpan w:val="3"/>
          </w:tcPr>
          <w:p w14:paraId="2C5E42A5" w14:textId="4AC7381D" w:rsidR="00121A72" w:rsidRPr="00C32B26" w:rsidRDefault="000838F1" w:rsidP="00D26929">
            <w:pPr>
              <w:pStyle w:val="zSoquijdatNomProcureurDef"/>
              <w:rPr>
                <w:rFonts w:cs="Arial"/>
                <w:lang w:val="en-CA"/>
              </w:rPr>
            </w:pPr>
            <w:r w:rsidRPr="00C32B26">
              <w:rPr>
                <w:rFonts w:cs="Arial"/>
                <w:lang w:val="en-CA"/>
              </w:rPr>
              <w:t>Counsel</w:t>
            </w:r>
            <w:r w:rsidR="00923677" w:rsidRPr="00C32B26">
              <w:rPr>
                <w:rFonts w:cs="Arial"/>
                <w:lang w:val="en-CA"/>
              </w:rPr>
              <w:t xml:space="preserve"> for the applicants</w:t>
            </w:r>
          </w:p>
        </w:tc>
      </w:tr>
      <w:tr w:rsidR="00C32B26" w:rsidRPr="00C32B26" w14:paraId="2E9D4A97" w14:textId="77777777" w:rsidTr="00BA153A">
        <w:trPr>
          <w:cantSplit/>
        </w:trPr>
        <w:tc>
          <w:tcPr>
            <w:tcW w:w="9505" w:type="dxa"/>
            <w:gridSpan w:val="3"/>
          </w:tcPr>
          <w:p w14:paraId="10B298D1" w14:textId="77777777" w:rsidR="000726DC" w:rsidRPr="00C32B26" w:rsidRDefault="000726DC" w:rsidP="00D26929">
            <w:pPr>
              <w:pStyle w:val="zSoquijdatNomProcureurDef"/>
              <w:rPr>
                <w:rFonts w:cs="Arial"/>
                <w:lang w:val="en-CA"/>
              </w:rPr>
            </w:pPr>
          </w:p>
        </w:tc>
      </w:tr>
      <w:tr w:rsidR="00C32B26" w:rsidRPr="00C32B26" w14:paraId="63214558" w14:textId="77777777" w:rsidTr="00BA153A">
        <w:trPr>
          <w:cantSplit/>
        </w:trPr>
        <w:tc>
          <w:tcPr>
            <w:tcW w:w="9505" w:type="dxa"/>
            <w:gridSpan w:val="3"/>
          </w:tcPr>
          <w:p w14:paraId="31DF6B39" w14:textId="5294C5D4" w:rsidR="008C7DE9" w:rsidRPr="00C32B26" w:rsidRDefault="008C7DE9" w:rsidP="008C7DE9">
            <w:pPr>
              <w:keepNext/>
              <w:keepLines/>
              <w:rPr>
                <w:b/>
                <w:sz w:val="22"/>
                <w:szCs w:val="22"/>
                <w:lang w:val="en-CA"/>
              </w:rPr>
            </w:pPr>
            <w:r w:rsidRPr="00C32B26">
              <w:rPr>
                <w:rFonts w:cs="Arial"/>
                <w:lang w:val="en-CA"/>
              </w:rPr>
              <w:t>M</w:t>
            </w:r>
            <w:r w:rsidR="00923677" w:rsidRPr="00C32B26">
              <w:rPr>
                <w:rFonts w:cs="Arial"/>
                <w:vertAlign w:val="superscript"/>
                <w:lang w:val="en-CA"/>
              </w:rPr>
              <w:t>tr</w:t>
            </w:r>
            <w:r w:rsidRPr="00C32B26">
              <w:rPr>
                <w:rFonts w:cs="Arial"/>
                <w:vertAlign w:val="superscript"/>
                <w:lang w:val="en-CA"/>
              </w:rPr>
              <w:t>e</w:t>
            </w:r>
            <w:r w:rsidRPr="00C32B26">
              <w:rPr>
                <w:rFonts w:cs="Arial"/>
                <w:lang w:val="en-CA"/>
              </w:rPr>
              <w:t xml:space="preserve"> François-Alexandre Gagné</w:t>
            </w:r>
            <w:r w:rsidRPr="00C32B26">
              <w:rPr>
                <w:b/>
                <w:sz w:val="22"/>
                <w:szCs w:val="22"/>
                <w:lang w:val="en-CA"/>
              </w:rPr>
              <w:t xml:space="preserve"> </w:t>
            </w:r>
          </w:p>
        </w:tc>
      </w:tr>
      <w:tr w:rsidR="00C32B26" w:rsidRPr="00C32B26" w14:paraId="2C5E42A8" w14:textId="77777777" w:rsidTr="00BA153A">
        <w:trPr>
          <w:cantSplit/>
        </w:trPr>
        <w:tc>
          <w:tcPr>
            <w:tcW w:w="9505" w:type="dxa"/>
            <w:gridSpan w:val="3"/>
          </w:tcPr>
          <w:p w14:paraId="2C5E42A7" w14:textId="43C89731" w:rsidR="009D4A70" w:rsidRPr="00C32B26" w:rsidRDefault="009D4A70" w:rsidP="00D26929">
            <w:pPr>
              <w:pStyle w:val="zSoquijdatCabinetProcureurDef"/>
              <w:rPr>
                <w:rFonts w:cs="Arial"/>
                <w:lang w:val="en-CA"/>
              </w:rPr>
            </w:pPr>
            <w:r w:rsidRPr="00C32B26">
              <w:rPr>
                <w:rFonts w:cs="Arial"/>
                <w:lang w:val="en-CA"/>
              </w:rPr>
              <w:t>M</w:t>
            </w:r>
            <w:r w:rsidR="00923677" w:rsidRPr="00C32B26">
              <w:rPr>
                <w:rFonts w:cs="Arial"/>
                <w:vertAlign w:val="superscript"/>
                <w:lang w:val="en-CA"/>
              </w:rPr>
              <w:t>tr</w:t>
            </w:r>
            <w:r w:rsidRPr="00C32B26">
              <w:rPr>
                <w:rFonts w:cs="Arial"/>
                <w:vertAlign w:val="superscript"/>
                <w:lang w:val="en-CA"/>
              </w:rPr>
              <w:t>e</w:t>
            </w:r>
            <w:r w:rsidRPr="00C32B26">
              <w:rPr>
                <w:rFonts w:cs="Arial"/>
                <w:lang w:val="en-CA"/>
              </w:rPr>
              <w:t xml:space="preserve"> Manuel Klein </w:t>
            </w:r>
          </w:p>
        </w:tc>
      </w:tr>
      <w:tr w:rsidR="00C32B26" w:rsidRPr="00C32B26" w14:paraId="048E23D6" w14:textId="77777777" w:rsidTr="00BA153A">
        <w:trPr>
          <w:cantSplit/>
        </w:trPr>
        <w:tc>
          <w:tcPr>
            <w:tcW w:w="9505" w:type="dxa"/>
            <w:gridSpan w:val="3"/>
          </w:tcPr>
          <w:p w14:paraId="0FCE9DF3" w14:textId="6AEB738A" w:rsidR="008C7DE9" w:rsidRPr="00C32B26" w:rsidRDefault="008C7DE9" w:rsidP="00D26929">
            <w:pPr>
              <w:pStyle w:val="zSoquijdatCabinetProcureurDef"/>
              <w:rPr>
                <w:rFonts w:cs="Arial"/>
                <w:szCs w:val="24"/>
                <w:lang w:val="en-CA"/>
              </w:rPr>
            </w:pPr>
            <w:r w:rsidRPr="00C32B26">
              <w:rPr>
                <w:szCs w:val="24"/>
                <w:lang w:val="en-CA"/>
              </w:rPr>
              <w:t>M</w:t>
            </w:r>
            <w:r w:rsidR="00923677" w:rsidRPr="00C32B26">
              <w:rPr>
                <w:szCs w:val="24"/>
                <w:vertAlign w:val="superscript"/>
                <w:lang w:val="en-CA"/>
              </w:rPr>
              <w:t>tr</w:t>
            </w:r>
            <w:r w:rsidRPr="00C32B26">
              <w:rPr>
                <w:szCs w:val="24"/>
                <w:vertAlign w:val="superscript"/>
                <w:lang w:val="en-CA"/>
              </w:rPr>
              <w:t>e</w:t>
            </w:r>
            <w:r w:rsidRPr="00C32B26">
              <w:rPr>
                <w:szCs w:val="24"/>
                <w:lang w:val="en-CA"/>
              </w:rPr>
              <w:t xml:space="preserve"> Maxence Duchesneau</w:t>
            </w:r>
          </w:p>
        </w:tc>
      </w:tr>
      <w:tr w:rsidR="00C32B26" w:rsidRPr="00C32B26" w14:paraId="1936DE38" w14:textId="77777777" w:rsidTr="00BA153A">
        <w:trPr>
          <w:cantSplit/>
        </w:trPr>
        <w:tc>
          <w:tcPr>
            <w:tcW w:w="9505" w:type="dxa"/>
            <w:gridSpan w:val="3"/>
          </w:tcPr>
          <w:p w14:paraId="2BB9FD4B" w14:textId="1B2C915B" w:rsidR="008C7DE9" w:rsidRPr="00C32B26" w:rsidRDefault="008C7DE9" w:rsidP="00D26929">
            <w:pPr>
              <w:pStyle w:val="zSoquijdatCabinetProcureurDef"/>
              <w:rPr>
                <w:rFonts w:cs="Arial"/>
                <w:lang w:val="en-CA"/>
              </w:rPr>
            </w:pPr>
            <w:r w:rsidRPr="00C32B26">
              <w:rPr>
                <w:rFonts w:cs="Arial"/>
                <w:lang w:val="en-CA"/>
              </w:rPr>
              <w:t>Bernard, Roy (Justice-Québec)</w:t>
            </w:r>
          </w:p>
        </w:tc>
      </w:tr>
      <w:tr w:rsidR="00C32B26" w:rsidRPr="00C32B26" w14:paraId="75F927F0" w14:textId="77777777" w:rsidTr="00BA153A">
        <w:trPr>
          <w:cantSplit/>
        </w:trPr>
        <w:tc>
          <w:tcPr>
            <w:tcW w:w="9505" w:type="dxa"/>
            <w:gridSpan w:val="3"/>
          </w:tcPr>
          <w:p w14:paraId="7F44302D" w14:textId="40C87FF9" w:rsidR="00BA5C91" w:rsidRPr="00C32B26" w:rsidRDefault="000838F1" w:rsidP="008C7DE9">
            <w:pPr>
              <w:pStyle w:val="zSoquijlblProcureurDef"/>
              <w:rPr>
                <w:rFonts w:cs="Arial"/>
                <w:lang w:val="en-CA"/>
              </w:rPr>
            </w:pPr>
            <w:r w:rsidRPr="00C32B26">
              <w:rPr>
                <w:rFonts w:cs="Arial"/>
                <w:lang w:val="en-CA"/>
              </w:rPr>
              <w:t xml:space="preserve">Counsel </w:t>
            </w:r>
            <w:r w:rsidR="00923677" w:rsidRPr="00C32B26">
              <w:rPr>
                <w:rFonts w:cs="Arial"/>
                <w:lang w:val="en-CA"/>
              </w:rPr>
              <w:t>for the respondent</w:t>
            </w:r>
            <w:r w:rsidR="008C7DE9" w:rsidRPr="00C32B26">
              <w:rPr>
                <w:rFonts w:cs="Arial"/>
                <w:lang w:val="en-CA"/>
              </w:rPr>
              <w:t xml:space="preserve"> </w:t>
            </w:r>
          </w:p>
        </w:tc>
      </w:tr>
      <w:tr w:rsidR="00C32B26" w:rsidRPr="00C32B26" w14:paraId="45833D9E" w14:textId="77777777" w:rsidTr="00BA153A">
        <w:trPr>
          <w:cantSplit/>
        </w:trPr>
        <w:tc>
          <w:tcPr>
            <w:tcW w:w="9505" w:type="dxa"/>
            <w:gridSpan w:val="3"/>
          </w:tcPr>
          <w:p w14:paraId="518063D8" w14:textId="5A449A40" w:rsidR="008C7DE9" w:rsidRPr="00C32B26" w:rsidRDefault="008C7DE9" w:rsidP="008C7DE9">
            <w:pPr>
              <w:pStyle w:val="zSoquijlblProcureurDef"/>
              <w:rPr>
                <w:rFonts w:cs="Arial"/>
                <w:lang w:val="en-CA"/>
              </w:rPr>
            </w:pPr>
            <w:r w:rsidRPr="00C32B26">
              <w:rPr>
                <w:rFonts w:cs="Arial"/>
                <w:lang w:val="en-CA"/>
              </w:rPr>
              <w:t>M</w:t>
            </w:r>
            <w:r w:rsidR="00923677" w:rsidRPr="00C32B26">
              <w:rPr>
                <w:rFonts w:cs="Arial"/>
                <w:vertAlign w:val="superscript"/>
                <w:lang w:val="en-CA"/>
              </w:rPr>
              <w:t>tr</w:t>
            </w:r>
            <w:r w:rsidRPr="00C32B26">
              <w:rPr>
                <w:rFonts w:cs="Arial"/>
                <w:vertAlign w:val="superscript"/>
                <w:lang w:val="en-CA"/>
              </w:rPr>
              <w:t>e</w:t>
            </w:r>
            <w:r w:rsidRPr="00C32B26">
              <w:rPr>
                <w:rFonts w:cs="Arial"/>
                <w:lang w:val="en-CA"/>
              </w:rPr>
              <w:t xml:space="preserve"> André-Philippe Malette </w:t>
            </w:r>
          </w:p>
        </w:tc>
      </w:tr>
      <w:tr w:rsidR="00C32B26" w:rsidRPr="00C32B26" w14:paraId="30AEFE90" w14:textId="77777777" w:rsidTr="00BA153A">
        <w:trPr>
          <w:cantSplit/>
        </w:trPr>
        <w:tc>
          <w:tcPr>
            <w:tcW w:w="9505" w:type="dxa"/>
            <w:gridSpan w:val="3"/>
          </w:tcPr>
          <w:p w14:paraId="535CF850" w14:textId="60306602" w:rsidR="008C7DE9" w:rsidRPr="00C32B26" w:rsidRDefault="008C7DE9" w:rsidP="008C7DE9">
            <w:pPr>
              <w:keepNext/>
              <w:keepLines/>
              <w:rPr>
                <w:szCs w:val="24"/>
                <w:lang w:val="en-CA"/>
              </w:rPr>
            </w:pPr>
            <w:r w:rsidRPr="00C32B26">
              <w:rPr>
                <w:szCs w:val="24"/>
                <w:lang w:val="en-CA"/>
              </w:rPr>
              <w:t>M</w:t>
            </w:r>
            <w:r w:rsidR="00923677" w:rsidRPr="00C32B26">
              <w:rPr>
                <w:szCs w:val="24"/>
                <w:vertAlign w:val="superscript"/>
                <w:lang w:val="en-CA"/>
              </w:rPr>
              <w:t>tr</w:t>
            </w:r>
            <w:r w:rsidRPr="00C32B26">
              <w:rPr>
                <w:szCs w:val="24"/>
                <w:vertAlign w:val="superscript"/>
                <w:lang w:val="en-CA"/>
              </w:rPr>
              <w:t>e</w:t>
            </w:r>
            <w:r w:rsidRPr="00C32B26">
              <w:rPr>
                <w:szCs w:val="24"/>
                <w:lang w:val="en-CA"/>
              </w:rPr>
              <w:t xml:space="preserve"> Roxanne Blanchette</w:t>
            </w:r>
          </w:p>
        </w:tc>
      </w:tr>
      <w:tr w:rsidR="00C32B26" w:rsidRPr="00DB7419" w14:paraId="2C5E42AA" w14:textId="77777777" w:rsidTr="00BA153A">
        <w:trPr>
          <w:cantSplit/>
        </w:trPr>
        <w:tc>
          <w:tcPr>
            <w:tcW w:w="9505" w:type="dxa"/>
            <w:gridSpan w:val="3"/>
          </w:tcPr>
          <w:p w14:paraId="2C5E42A9" w14:textId="7CB7283A" w:rsidR="009D4A70" w:rsidRPr="00C32B26" w:rsidRDefault="000838F1" w:rsidP="00010C29">
            <w:pPr>
              <w:pStyle w:val="zSoquijlblProcureurDef"/>
              <w:rPr>
                <w:rFonts w:cs="Arial"/>
                <w:lang w:val="en-CA"/>
              </w:rPr>
            </w:pPr>
            <w:r w:rsidRPr="00C32B26">
              <w:rPr>
                <w:rFonts w:cs="Arial"/>
                <w:lang w:val="en-CA"/>
              </w:rPr>
              <w:t>Counsel</w:t>
            </w:r>
            <w:r w:rsidR="00923677" w:rsidRPr="00C32B26">
              <w:rPr>
                <w:rFonts w:cs="Arial"/>
                <w:lang w:val="en-CA"/>
              </w:rPr>
              <w:t xml:space="preserve"> for the</w:t>
            </w:r>
            <w:r w:rsidR="009D4A70" w:rsidRPr="00C32B26">
              <w:rPr>
                <w:rFonts w:cs="Arial"/>
                <w:lang w:val="en-CA"/>
              </w:rPr>
              <w:t xml:space="preserve"> Barreau du Québec</w:t>
            </w:r>
          </w:p>
        </w:tc>
      </w:tr>
      <w:tr w:rsidR="00C32B26" w:rsidRPr="00DB7419" w14:paraId="2C5E42AC" w14:textId="77777777" w:rsidTr="00BA153A">
        <w:tc>
          <w:tcPr>
            <w:tcW w:w="9505" w:type="dxa"/>
            <w:gridSpan w:val="3"/>
          </w:tcPr>
          <w:p w14:paraId="2C5E42AB" w14:textId="77777777" w:rsidR="00121A72" w:rsidRPr="00C32B26" w:rsidRDefault="00121A72" w:rsidP="00D26929">
            <w:pPr>
              <w:rPr>
                <w:rFonts w:cs="Arial"/>
                <w:lang w:val="en-CA"/>
              </w:rPr>
            </w:pPr>
          </w:p>
        </w:tc>
      </w:tr>
      <w:tr w:rsidR="00121A72" w:rsidRPr="00C32B26" w14:paraId="2C5E42AF" w14:textId="77777777" w:rsidTr="00BA153A">
        <w:tc>
          <w:tcPr>
            <w:tcW w:w="2197" w:type="dxa"/>
          </w:tcPr>
          <w:p w14:paraId="2C5E42AD" w14:textId="651F2C1B" w:rsidR="00121A72" w:rsidRPr="00C32B26" w:rsidRDefault="00121A72" w:rsidP="00D26929">
            <w:pPr>
              <w:pStyle w:val="zSoquijlblDateAudience"/>
              <w:rPr>
                <w:rFonts w:cs="Arial"/>
                <w:lang w:val="en-CA"/>
              </w:rPr>
            </w:pPr>
            <w:r w:rsidRPr="00C32B26">
              <w:rPr>
                <w:rFonts w:cs="Arial"/>
                <w:lang w:val="en-CA"/>
              </w:rPr>
              <w:t xml:space="preserve">Date </w:t>
            </w:r>
            <w:r w:rsidR="00923677" w:rsidRPr="00C32B26">
              <w:rPr>
                <w:rFonts w:cs="Arial"/>
                <w:lang w:val="en-CA"/>
              </w:rPr>
              <w:t>of hearing</w:t>
            </w:r>
            <w:r w:rsidRPr="00C32B26">
              <w:rPr>
                <w:rFonts w:cs="Arial"/>
                <w:lang w:val="en-CA"/>
              </w:rPr>
              <w:t>:</w:t>
            </w:r>
          </w:p>
        </w:tc>
        <w:tc>
          <w:tcPr>
            <w:tcW w:w="7308" w:type="dxa"/>
            <w:gridSpan w:val="2"/>
          </w:tcPr>
          <w:p w14:paraId="2C5E42AE" w14:textId="241E8FAF" w:rsidR="00121A72" w:rsidRPr="00C32B26" w:rsidRDefault="00923677" w:rsidP="00D26929">
            <w:pPr>
              <w:pStyle w:val="zSoquijdatDateAudience"/>
              <w:rPr>
                <w:rFonts w:cs="Arial"/>
                <w:lang w:val="en-CA"/>
              </w:rPr>
            </w:pPr>
            <w:r w:rsidRPr="00C32B26">
              <w:rPr>
                <w:rFonts w:cs="Arial"/>
                <w:lang w:val="en-CA"/>
              </w:rPr>
              <w:t>August 5,</w:t>
            </w:r>
            <w:r w:rsidR="007C1E87" w:rsidRPr="00C32B26">
              <w:rPr>
                <w:rFonts w:cs="Arial"/>
                <w:lang w:val="en-CA"/>
              </w:rPr>
              <w:t xml:space="preserve"> 2022</w:t>
            </w:r>
          </w:p>
        </w:tc>
      </w:tr>
    </w:tbl>
    <w:p w14:paraId="2C5E42B2" w14:textId="77777777" w:rsidR="00121A72" w:rsidRPr="00C32B26" w:rsidRDefault="00121A72" w:rsidP="00D26929">
      <w:pPr>
        <w:rPr>
          <w:rFonts w:cs="Arial"/>
          <w:lang w:val="en-CA"/>
        </w:rPr>
      </w:pPr>
    </w:p>
    <w:sectPr w:rsidR="00121A72" w:rsidRPr="00C32B26" w:rsidSect="00397FD0">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2" w:h="15842" w:code="1"/>
      <w:pgMar w:top="1440" w:right="1009" w:bottom="1440" w:left="1871" w:header="1440"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4352" w14:textId="77777777" w:rsidR="00621DDE" w:rsidRDefault="00621DDE">
      <w:r>
        <w:separator/>
      </w:r>
    </w:p>
  </w:endnote>
  <w:endnote w:type="continuationSeparator" w:id="0">
    <w:p w14:paraId="27DB2C4F" w14:textId="77777777" w:rsidR="00621DDE" w:rsidRDefault="0062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42BB" w14:textId="77777777" w:rsidR="00B83D45" w:rsidRDefault="00B83D45">
    <w:pPr>
      <w:framePr w:wrap="around" w:vAnchor="text" w:hAnchor="margin" w:xAlign="right" w:y="1"/>
    </w:pPr>
    <w:r>
      <w:fldChar w:fldCharType="begin"/>
    </w:r>
    <w:r>
      <w:instrText xml:space="preserve">PAGE  </w:instrText>
    </w:r>
    <w:r>
      <w:fldChar w:fldCharType="end"/>
    </w:r>
  </w:p>
  <w:p w14:paraId="2C5E42BC" w14:textId="77777777" w:rsidR="00B83D45" w:rsidRDefault="00B83D4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EFC9" w14:textId="77777777" w:rsidR="00BF0485" w:rsidRDefault="00BF048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A2EE" w14:textId="77777777" w:rsidR="00BF0485" w:rsidRDefault="00BF04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6EBC8" w14:textId="77777777" w:rsidR="00621DDE" w:rsidRDefault="00621DDE">
      <w:r>
        <w:separator/>
      </w:r>
    </w:p>
  </w:footnote>
  <w:footnote w:type="continuationSeparator" w:id="0">
    <w:p w14:paraId="3FE12A60" w14:textId="77777777" w:rsidR="00621DDE" w:rsidRDefault="00621DDE">
      <w:r>
        <w:continuationSeparator/>
      </w:r>
    </w:p>
  </w:footnote>
  <w:footnote w:id="1">
    <w:p w14:paraId="5C3E1F70" w14:textId="54E03A45" w:rsidR="00B83D45" w:rsidRPr="002B780F" w:rsidRDefault="00B83D45">
      <w:pPr>
        <w:pStyle w:val="Notedebasdepage"/>
        <w:rPr>
          <w:lang w:val="en-CA"/>
        </w:rPr>
      </w:pPr>
      <w:r w:rsidRPr="002B780F">
        <w:rPr>
          <w:rStyle w:val="Appelnotedebasdep"/>
        </w:rPr>
        <w:footnoteRef/>
      </w:r>
      <w:r w:rsidRPr="002B780F">
        <w:rPr>
          <w:lang w:val="en-CA"/>
        </w:rPr>
        <w:t xml:space="preserve"> </w:t>
      </w:r>
      <w:r w:rsidR="00C57724" w:rsidRPr="002B780F">
        <w:rPr>
          <w:lang w:val="en-CA"/>
        </w:rPr>
        <w:tab/>
      </w:r>
      <w:r w:rsidR="003C4A9A" w:rsidRPr="002B780F">
        <w:rPr>
          <w:lang w:val="en-CA"/>
        </w:rPr>
        <w:t>S.</w:t>
      </w:r>
      <w:r w:rsidRPr="002B780F">
        <w:rPr>
          <w:lang w:val="en-CA"/>
        </w:rPr>
        <w:t>Q. 2022, c</w:t>
      </w:r>
      <w:r w:rsidR="003C4A9A" w:rsidRPr="002B780F">
        <w:rPr>
          <w:lang w:val="en-CA"/>
        </w:rPr>
        <w:t>.</w:t>
      </w:r>
      <w:r w:rsidRPr="002B780F">
        <w:rPr>
          <w:lang w:val="en-CA"/>
        </w:rPr>
        <w:t xml:space="preserve"> 14.</w:t>
      </w:r>
      <w:r w:rsidR="00D76F16" w:rsidRPr="002B780F">
        <w:rPr>
          <w:lang w:val="en-CA"/>
        </w:rPr>
        <w:t xml:space="preserve"> </w:t>
      </w:r>
    </w:p>
  </w:footnote>
  <w:footnote w:id="2">
    <w:p w14:paraId="4BE350FF" w14:textId="43EE48A1" w:rsidR="00B83D45" w:rsidRPr="002B780F" w:rsidRDefault="00B83D45" w:rsidP="00C57724">
      <w:pPr>
        <w:pStyle w:val="Notedebasdepage"/>
        <w:rPr>
          <w:lang w:val="en-CA"/>
        </w:rPr>
      </w:pPr>
      <w:r w:rsidRPr="002B780F">
        <w:rPr>
          <w:rStyle w:val="Appelnotedebasdep"/>
          <w:lang w:val="en-CA"/>
        </w:rPr>
        <w:footnoteRef/>
      </w:r>
      <w:r w:rsidRPr="002B780F">
        <w:rPr>
          <w:lang w:val="en-CA"/>
        </w:rPr>
        <w:t xml:space="preserve"> </w:t>
      </w:r>
      <w:r w:rsidR="00C57724" w:rsidRPr="002B780F">
        <w:rPr>
          <w:lang w:val="en-CA"/>
        </w:rPr>
        <w:tab/>
      </w:r>
      <w:r w:rsidR="003C4A9A" w:rsidRPr="002B780F">
        <w:rPr>
          <w:lang w:val="en-CA"/>
        </w:rPr>
        <w:t xml:space="preserve">At issue are </w:t>
      </w:r>
      <w:r w:rsidR="00BB2440" w:rsidRPr="002B780F">
        <w:rPr>
          <w:lang w:val="en-CA"/>
        </w:rPr>
        <w:t xml:space="preserve">ss. </w:t>
      </w:r>
      <w:r w:rsidRPr="002B780F">
        <w:rPr>
          <w:lang w:val="en-CA"/>
        </w:rPr>
        <w:t xml:space="preserve">9 </w:t>
      </w:r>
      <w:r w:rsidR="003C4A9A" w:rsidRPr="002B780F">
        <w:rPr>
          <w:lang w:val="en-CA"/>
        </w:rPr>
        <w:t>and</w:t>
      </w:r>
      <w:r w:rsidRPr="002B780F">
        <w:rPr>
          <w:lang w:val="en-CA"/>
        </w:rPr>
        <w:t xml:space="preserve"> 208.6 </w:t>
      </w:r>
      <w:r w:rsidR="003C4A9A" w:rsidRPr="002B780F">
        <w:rPr>
          <w:lang w:val="en-CA"/>
        </w:rPr>
        <w:t>of the</w:t>
      </w:r>
      <w:r w:rsidRPr="002B780F">
        <w:rPr>
          <w:lang w:val="en-CA"/>
        </w:rPr>
        <w:t xml:space="preserve"> </w:t>
      </w:r>
      <w:r w:rsidR="00F55EE4" w:rsidRPr="002B780F">
        <w:rPr>
          <w:i/>
          <w:lang w:val="en-CA"/>
        </w:rPr>
        <w:t>Charter of the French language</w:t>
      </w:r>
      <w:r w:rsidR="003C4A9A" w:rsidRPr="002B780F">
        <w:rPr>
          <w:iCs/>
          <w:lang w:val="en-CA"/>
        </w:rPr>
        <w:t>,</w:t>
      </w:r>
      <w:r w:rsidRPr="002B780F">
        <w:rPr>
          <w:lang w:val="en-CA"/>
        </w:rPr>
        <w:t xml:space="preserve"> </w:t>
      </w:r>
      <w:r w:rsidR="003C4A9A" w:rsidRPr="002B780F">
        <w:rPr>
          <w:lang w:val="en-CA"/>
        </w:rPr>
        <w:t>CQLR</w:t>
      </w:r>
      <w:r w:rsidRPr="002B780F">
        <w:rPr>
          <w:lang w:val="en-CA"/>
        </w:rPr>
        <w:t xml:space="preserve"> c. C-11, </w:t>
      </w:r>
      <w:r w:rsidR="003C4A9A" w:rsidRPr="002B780F">
        <w:rPr>
          <w:lang w:val="en-CA"/>
        </w:rPr>
        <w:t xml:space="preserve">as amended by </w:t>
      </w:r>
      <w:r w:rsidR="00BB2440" w:rsidRPr="002B780F">
        <w:rPr>
          <w:lang w:val="en-CA"/>
        </w:rPr>
        <w:t xml:space="preserve">ss. </w:t>
      </w:r>
      <w:r w:rsidR="00C32B26" w:rsidRPr="002B780F">
        <w:rPr>
          <w:lang w:val="en-CA"/>
        </w:rPr>
        <w:t> </w:t>
      </w:r>
      <w:r w:rsidRPr="002B780F">
        <w:rPr>
          <w:lang w:val="en-CA"/>
        </w:rPr>
        <w:t xml:space="preserve">5 </w:t>
      </w:r>
      <w:r w:rsidR="003C4A9A" w:rsidRPr="002B780F">
        <w:rPr>
          <w:lang w:val="en-CA"/>
        </w:rPr>
        <w:t xml:space="preserve">and </w:t>
      </w:r>
      <w:r w:rsidRPr="002B780F">
        <w:rPr>
          <w:lang w:val="en-CA"/>
        </w:rPr>
        <w:t xml:space="preserve">119 </w:t>
      </w:r>
      <w:r w:rsidR="003C4A9A" w:rsidRPr="002B780F">
        <w:rPr>
          <w:lang w:val="en-CA"/>
        </w:rPr>
        <w:t>of Bill 96</w:t>
      </w:r>
      <w:r w:rsidRPr="002B780F">
        <w:rPr>
          <w:lang w:val="en-CA"/>
        </w:rPr>
        <w:t xml:space="preserve">. </w:t>
      </w:r>
      <w:r w:rsidR="003C4A9A" w:rsidRPr="002B780F">
        <w:rPr>
          <w:lang w:val="en-CA"/>
        </w:rPr>
        <w:t>The text of the two provisions is reproduced</w:t>
      </w:r>
      <w:r w:rsidRPr="002B780F">
        <w:rPr>
          <w:lang w:val="en-CA"/>
        </w:rPr>
        <w:t xml:space="preserve"> </w:t>
      </w:r>
      <w:r w:rsidR="003C4A9A" w:rsidRPr="002B780F">
        <w:rPr>
          <w:lang w:val="en-CA"/>
        </w:rPr>
        <w:t>at</w:t>
      </w:r>
      <w:r w:rsidR="00E75750" w:rsidRPr="002B780F">
        <w:rPr>
          <w:lang w:val="en-CA"/>
        </w:rPr>
        <w:t xml:space="preserve"> paragraph 21</w:t>
      </w:r>
      <w:r w:rsidRPr="002B780F">
        <w:rPr>
          <w:lang w:val="en-CA"/>
        </w:rPr>
        <w:t xml:space="preserve"> </w:t>
      </w:r>
      <w:r w:rsidR="003C4A9A" w:rsidRPr="002B780F">
        <w:rPr>
          <w:lang w:val="en-CA"/>
        </w:rPr>
        <w:t>of this judgment</w:t>
      </w:r>
      <w:r w:rsidRPr="002B780F">
        <w:rPr>
          <w:lang w:val="en-CA"/>
        </w:rPr>
        <w:t>.</w:t>
      </w:r>
    </w:p>
  </w:footnote>
  <w:footnote w:id="3">
    <w:p w14:paraId="6DFB3EAB" w14:textId="55C5E85D" w:rsidR="00B83D45" w:rsidRPr="002B780F" w:rsidRDefault="00B83D45">
      <w:pPr>
        <w:pStyle w:val="Notedebasdepage"/>
        <w:rPr>
          <w:lang w:val="en-CA"/>
        </w:rPr>
      </w:pPr>
      <w:r w:rsidRPr="002B780F">
        <w:rPr>
          <w:rStyle w:val="Appelnotedebasdep"/>
          <w:lang w:val="en-CA"/>
        </w:rPr>
        <w:footnoteRef/>
      </w:r>
      <w:r w:rsidR="00C57724" w:rsidRPr="002B780F">
        <w:rPr>
          <w:lang w:val="en-CA"/>
        </w:rPr>
        <w:t xml:space="preserve"> </w:t>
      </w:r>
      <w:r w:rsidR="00C57724" w:rsidRPr="002B780F">
        <w:rPr>
          <w:lang w:val="en-CA"/>
        </w:rPr>
        <w:tab/>
      </w:r>
      <w:r w:rsidR="005964D6" w:rsidRPr="002B780F">
        <w:rPr>
          <w:lang w:val="en-CA"/>
        </w:rPr>
        <w:t xml:space="preserve">Specifically, </w:t>
      </w:r>
      <w:r w:rsidR="00BB2440" w:rsidRPr="002B780F">
        <w:rPr>
          <w:lang w:val="en-CA"/>
        </w:rPr>
        <w:t xml:space="preserve">s. </w:t>
      </w:r>
      <w:r w:rsidRPr="002B780F">
        <w:rPr>
          <w:lang w:val="en-CA"/>
        </w:rPr>
        <w:t xml:space="preserve">133 </w:t>
      </w:r>
      <w:r w:rsidR="005964D6" w:rsidRPr="002B780F">
        <w:rPr>
          <w:lang w:val="en-CA"/>
        </w:rPr>
        <w:t>of the</w:t>
      </w:r>
      <w:r w:rsidRPr="002B780F">
        <w:rPr>
          <w:lang w:val="en-CA"/>
        </w:rPr>
        <w:t xml:space="preserve"> </w:t>
      </w:r>
      <w:r w:rsidR="005964D6" w:rsidRPr="002B780F">
        <w:rPr>
          <w:i/>
          <w:lang w:val="en-CA"/>
        </w:rPr>
        <w:t>Constitution Act,</w:t>
      </w:r>
      <w:r w:rsidRPr="002B780F">
        <w:rPr>
          <w:i/>
          <w:lang w:val="en-CA"/>
        </w:rPr>
        <w:t xml:space="preserve"> 1867</w:t>
      </w:r>
      <w:r w:rsidRPr="002B780F">
        <w:rPr>
          <w:lang w:val="en-CA"/>
        </w:rPr>
        <w:t>,</w:t>
      </w:r>
      <w:r w:rsidR="005964D6" w:rsidRPr="002B780F">
        <w:rPr>
          <w:lang w:val="en-CA"/>
        </w:rPr>
        <w:t xml:space="preserve"> </w:t>
      </w:r>
      <w:r w:rsidRPr="002B780F">
        <w:rPr>
          <w:lang w:val="en-CA"/>
        </w:rPr>
        <w:t>30 &amp; 31 Vict., c.</w:t>
      </w:r>
      <w:r w:rsidR="005964D6" w:rsidRPr="002B780F">
        <w:rPr>
          <w:lang w:val="en-CA"/>
        </w:rPr>
        <w:t xml:space="preserve"> </w:t>
      </w:r>
      <w:r w:rsidRPr="002B780F">
        <w:rPr>
          <w:lang w:val="en-CA"/>
        </w:rPr>
        <w:t>3.</w:t>
      </w:r>
    </w:p>
  </w:footnote>
  <w:footnote w:id="4">
    <w:p w14:paraId="31F2DC05" w14:textId="2010E49B" w:rsidR="00B83D45" w:rsidRPr="002B780F" w:rsidRDefault="00B83D45">
      <w:pPr>
        <w:pStyle w:val="Notedebasdepage"/>
        <w:rPr>
          <w:lang w:val="en-CA"/>
        </w:rPr>
      </w:pPr>
      <w:r w:rsidRPr="002B780F">
        <w:rPr>
          <w:rStyle w:val="Appelnotedebasdep"/>
          <w:lang w:val="en-CA"/>
        </w:rPr>
        <w:footnoteRef/>
      </w:r>
      <w:r w:rsidRPr="002B780F">
        <w:rPr>
          <w:lang w:val="en-CA"/>
        </w:rPr>
        <w:t xml:space="preserve"> </w:t>
      </w:r>
      <w:r w:rsidR="00C57724" w:rsidRPr="002B780F">
        <w:rPr>
          <w:lang w:val="en-CA"/>
        </w:rPr>
        <w:tab/>
      </w:r>
      <w:r w:rsidRPr="002B780F">
        <w:rPr>
          <w:i/>
          <w:lang w:val="en-CA"/>
        </w:rPr>
        <w:t>I</w:t>
      </w:r>
      <w:r w:rsidR="005964D6" w:rsidRPr="002B780F">
        <w:rPr>
          <w:i/>
          <w:lang w:val="en-CA"/>
        </w:rPr>
        <w:t>bi</w:t>
      </w:r>
      <w:r w:rsidRPr="002B780F">
        <w:rPr>
          <w:i/>
          <w:lang w:val="en-CA"/>
        </w:rPr>
        <w:t>d.</w:t>
      </w:r>
    </w:p>
  </w:footnote>
  <w:footnote w:id="5">
    <w:p w14:paraId="4561CA27" w14:textId="766A482A" w:rsidR="00B83D45" w:rsidRPr="002B780F" w:rsidRDefault="00B83D45" w:rsidP="00FF68A9">
      <w:pPr>
        <w:pStyle w:val="Notedebasdepage"/>
        <w:rPr>
          <w:lang w:val="en-CA"/>
        </w:rPr>
      </w:pPr>
      <w:r w:rsidRPr="002B780F">
        <w:rPr>
          <w:rStyle w:val="Appelnotedebasdep"/>
        </w:rPr>
        <w:footnoteRef/>
      </w:r>
      <w:r w:rsidRPr="002B780F">
        <w:rPr>
          <w:lang w:val="en-CA"/>
        </w:rPr>
        <w:t xml:space="preserve"> </w:t>
      </w:r>
      <w:r w:rsidRPr="002B780F">
        <w:rPr>
          <w:lang w:val="en-CA"/>
        </w:rPr>
        <w:tab/>
      </w:r>
      <w:r w:rsidRPr="002B780F">
        <w:rPr>
          <w:i/>
          <w:lang w:val="en-CA"/>
        </w:rPr>
        <w:t>Manitoba (</w:t>
      </w:r>
      <w:r w:rsidR="00D76F16" w:rsidRPr="002B780F">
        <w:rPr>
          <w:i/>
          <w:lang w:val="en-CA"/>
        </w:rPr>
        <w:t>A</w:t>
      </w:r>
      <w:r w:rsidRPr="002B780F">
        <w:rPr>
          <w:i/>
          <w:lang w:val="en-CA"/>
        </w:rPr>
        <w:t>.G.)</w:t>
      </w:r>
      <w:r w:rsidRPr="002B780F">
        <w:rPr>
          <w:lang w:val="en-CA"/>
        </w:rPr>
        <w:t xml:space="preserve"> </w:t>
      </w:r>
      <w:r w:rsidR="00D76F16" w:rsidRPr="002B780F">
        <w:rPr>
          <w:i/>
          <w:iCs/>
          <w:lang w:val="en-CA"/>
        </w:rPr>
        <w:t>v</w:t>
      </w:r>
      <w:r w:rsidRPr="002B780F">
        <w:rPr>
          <w:i/>
          <w:iCs/>
          <w:lang w:val="en-CA"/>
        </w:rPr>
        <w:t>.</w:t>
      </w:r>
      <w:r w:rsidRPr="002B780F">
        <w:rPr>
          <w:lang w:val="en-CA"/>
        </w:rPr>
        <w:t xml:space="preserve"> </w:t>
      </w:r>
      <w:r w:rsidRPr="002B780F">
        <w:rPr>
          <w:i/>
          <w:lang w:val="en-CA"/>
        </w:rPr>
        <w:t>Metropolitan Stores Ltd.</w:t>
      </w:r>
      <w:r w:rsidRPr="002B780F">
        <w:rPr>
          <w:lang w:val="en-CA"/>
        </w:rPr>
        <w:t>, [1987] 1 S.</w:t>
      </w:r>
      <w:r w:rsidR="00D76F16" w:rsidRPr="002B780F">
        <w:rPr>
          <w:lang w:val="en-CA"/>
        </w:rPr>
        <w:t>C.R.</w:t>
      </w:r>
      <w:r w:rsidRPr="002B780F">
        <w:rPr>
          <w:lang w:val="en-CA"/>
        </w:rPr>
        <w:t xml:space="preserve"> 110.</w:t>
      </w:r>
    </w:p>
  </w:footnote>
  <w:footnote w:id="6">
    <w:p w14:paraId="539506AC" w14:textId="71240F12" w:rsidR="00B83D45" w:rsidRPr="002B780F" w:rsidRDefault="00B83D45" w:rsidP="00FF68A9">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Pr="002B780F">
        <w:rPr>
          <w:i/>
          <w:lang w:val="en-CA"/>
        </w:rPr>
        <w:t>RJR–Macdonald Inc.</w:t>
      </w:r>
      <w:r w:rsidRPr="002B780F">
        <w:rPr>
          <w:lang w:val="en-CA"/>
        </w:rPr>
        <w:t xml:space="preserve"> </w:t>
      </w:r>
      <w:r w:rsidR="00D76F16" w:rsidRPr="002B780F">
        <w:rPr>
          <w:i/>
          <w:iCs/>
          <w:lang w:val="en-CA"/>
        </w:rPr>
        <w:t>v</w:t>
      </w:r>
      <w:r w:rsidRPr="002B780F">
        <w:rPr>
          <w:i/>
          <w:iCs/>
          <w:lang w:val="en-CA"/>
        </w:rPr>
        <w:t>.</w:t>
      </w:r>
      <w:r w:rsidRPr="002B780F">
        <w:rPr>
          <w:lang w:val="en-CA"/>
        </w:rPr>
        <w:t xml:space="preserve"> </w:t>
      </w:r>
      <w:r w:rsidRPr="002B780F">
        <w:rPr>
          <w:i/>
          <w:lang w:val="en-CA"/>
        </w:rPr>
        <w:t>Canada (</w:t>
      </w:r>
      <w:r w:rsidR="00D76F16" w:rsidRPr="002B780F">
        <w:rPr>
          <w:i/>
          <w:lang w:val="en-CA"/>
        </w:rPr>
        <w:t>Attorney</w:t>
      </w:r>
      <w:r w:rsidRPr="002B780F">
        <w:rPr>
          <w:i/>
          <w:lang w:val="en-CA"/>
        </w:rPr>
        <w:t xml:space="preserve"> </w:t>
      </w:r>
      <w:r w:rsidR="00D76F16" w:rsidRPr="002B780F">
        <w:rPr>
          <w:i/>
          <w:lang w:val="en-CA"/>
        </w:rPr>
        <w:t>Ge</w:t>
      </w:r>
      <w:r w:rsidRPr="002B780F">
        <w:rPr>
          <w:i/>
          <w:lang w:val="en-CA"/>
        </w:rPr>
        <w:t>n</w:t>
      </w:r>
      <w:r w:rsidR="00D76F16" w:rsidRPr="002B780F">
        <w:rPr>
          <w:i/>
          <w:lang w:val="en-CA"/>
        </w:rPr>
        <w:t>e</w:t>
      </w:r>
      <w:r w:rsidRPr="002B780F">
        <w:rPr>
          <w:i/>
          <w:lang w:val="en-CA"/>
        </w:rPr>
        <w:t>ral)</w:t>
      </w:r>
      <w:r w:rsidRPr="002B780F">
        <w:rPr>
          <w:lang w:val="en-CA"/>
        </w:rPr>
        <w:t>, [1994] 1 S</w:t>
      </w:r>
      <w:r w:rsidR="00D76F16" w:rsidRPr="002B780F">
        <w:rPr>
          <w:lang w:val="en-CA"/>
        </w:rPr>
        <w:t>.C.R.</w:t>
      </w:r>
      <w:r w:rsidRPr="002B780F">
        <w:rPr>
          <w:lang w:val="en-CA"/>
        </w:rPr>
        <w:t xml:space="preserve"> 311.</w:t>
      </w:r>
    </w:p>
  </w:footnote>
  <w:footnote w:id="7">
    <w:p w14:paraId="172DD06D" w14:textId="7F2F34E2" w:rsidR="00B83D45" w:rsidRPr="002B780F" w:rsidRDefault="00B83D45" w:rsidP="00FF68A9">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Pr="002B780F">
        <w:rPr>
          <w:i/>
          <w:lang w:val="en-CA"/>
        </w:rPr>
        <w:t>Harper</w:t>
      </w:r>
      <w:r w:rsidRPr="002B780F">
        <w:rPr>
          <w:lang w:val="en-CA"/>
        </w:rPr>
        <w:t xml:space="preserve"> </w:t>
      </w:r>
      <w:r w:rsidR="00F86545" w:rsidRPr="002B780F">
        <w:rPr>
          <w:i/>
          <w:iCs/>
          <w:lang w:val="en-CA"/>
        </w:rPr>
        <w:t>v</w:t>
      </w:r>
      <w:r w:rsidRPr="002B780F">
        <w:rPr>
          <w:i/>
          <w:iCs/>
          <w:lang w:val="en-CA"/>
        </w:rPr>
        <w:t>.</w:t>
      </w:r>
      <w:r w:rsidRPr="002B780F">
        <w:rPr>
          <w:lang w:val="en-CA"/>
        </w:rPr>
        <w:t xml:space="preserve"> </w:t>
      </w:r>
      <w:r w:rsidRPr="002B780F">
        <w:rPr>
          <w:i/>
          <w:lang w:val="en-CA"/>
        </w:rPr>
        <w:t>Canada (</w:t>
      </w:r>
      <w:r w:rsidR="00F86545" w:rsidRPr="002B780F">
        <w:rPr>
          <w:i/>
          <w:lang w:val="en-CA"/>
        </w:rPr>
        <w:t>Attorney</w:t>
      </w:r>
      <w:r w:rsidRPr="002B780F">
        <w:rPr>
          <w:i/>
          <w:lang w:val="en-CA"/>
        </w:rPr>
        <w:t xml:space="preserve"> </w:t>
      </w:r>
      <w:r w:rsidR="00F86545" w:rsidRPr="002B780F">
        <w:rPr>
          <w:i/>
          <w:lang w:val="en-CA"/>
        </w:rPr>
        <w:t>Ge</w:t>
      </w:r>
      <w:r w:rsidRPr="002B780F">
        <w:rPr>
          <w:i/>
          <w:lang w:val="en-CA"/>
        </w:rPr>
        <w:t>n</w:t>
      </w:r>
      <w:r w:rsidR="00F86545" w:rsidRPr="002B780F">
        <w:rPr>
          <w:i/>
          <w:lang w:val="en-CA"/>
        </w:rPr>
        <w:t>e</w:t>
      </w:r>
      <w:r w:rsidRPr="002B780F">
        <w:rPr>
          <w:i/>
          <w:lang w:val="en-CA"/>
        </w:rPr>
        <w:t>ral)</w:t>
      </w:r>
      <w:r w:rsidRPr="002B780F">
        <w:rPr>
          <w:lang w:val="en-CA"/>
        </w:rPr>
        <w:t xml:space="preserve">, [2000] 2 </w:t>
      </w:r>
      <w:r w:rsidR="00F86545" w:rsidRPr="002B780F">
        <w:rPr>
          <w:lang w:val="en-CA"/>
        </w:rPr>
        <w:t>S.C.R.</w:t>
      </w:r>
      <w:r w:rsidRPr="002B780F">
        <w:rPr>
          <w:lang w:val="en-CA"/>
        </w:rPr>
        <w:t xml:space="preserve"> 764.</w:t>
      </w:r>
    </w:p>
  </w:footnote>
  <w:footnote w:id="8">
    <w:p w14:paraId="53A19434" w14:textId="3BA0289C" w:rsidR="00B83D45" w:rsidRPr="00DB7419" w:rsidRDefault="00B83D45" w:rsidP="00FF68A9">
      <w:pPr>
        <w:pStyle w:val="Notedebasdepage"/>
      </w:pPr>
      <w:r w:rsidRPr="002B780F">
        <w:rPr>
          <w:rStyle w:val="Appelnotedebasdep"/>
          <w:lang w:val="en-CA"/>
        </w:rPr>
        <w:footnoteRef/>
      </w:r>
      <w:r w:rsidRPr="00DB7419">
        <w:t xml:space="preserve"> </w:t>
      </w:r>
      <w:r w:rsidRPr="00DB7419">
        <w:tab/>
        <w:t>Art</w:t>
      </w:r>
      <w:r w:rsidR="00BB2440" w:rsidRPr="00DB7419">
        <w:t>icle</w:t>
      </w:r>
      <w:r w:rsidRPr="00DB7419">
        <w:t xml:space="preserve"> 511 </w:t>
      </w:r>
      <w:r w:rsidR="00F86545" w:rsidRPr="00DB7419">
        <w:t>C.C.P</w:t>
      </w:r>
      <w:r w:rsidRPr="00DB7419">
        <w:t>.</w:t>
      </w:r>
    </w:p>
  </w:footnote>
  <w:footnote w:id="9">
    <w:p w14:paraId="78BF67FA" w14:textId="03060427" w:rsidR="00B83D45" w:rsidRPr="002B780F" w:rsidRDefault="00B83D45" w:rsidP="00FF68A9">
      <w:pPr>
        <w:pStyle w:val="Notedebasdepage"/>
      </w:pPr>
      <w:r w:rsidRPr="002B780F">
        <w:rPr>
          <w:rStyle w:val="Appelnotedebasdep"/>
          <w:lang w:val="en-CA"/>
        </w:rPr>
        <w:footnoteRef/>
      </w:r>
      <w:r w:rsidRPr="002B780F">
        <w:t xml:space="preserve"> </w:t>
      </w:r>
      <w:r w:rsidRPr="002B780F">
        <w:tab/>
      </w:r>
      <w:r w:rsidRPr="002B780F">
        <w:rPr>
          <w:i/>
        </w:rPr>
        <w:t>Procureur général du Québec</w:t>
      </w:r>
      <w:r w:rsidRPr="002B780F">
        <w:t xml:space="preserve"> </w:t>
      </w:r>
      <w:r w:rsidRPr="002B780F">
        <w:rPr>
          <w:i/>
          <w:iCs/>
        </w:rPr>
        <w:t>c.</w:t>
      </w:r>
      <w:r w:rsidRPr="002B780F">
        <w:t xml:space="preserve"> </w:t>
      </w:r>
      <w:r w:rsidRPr="002B780F">
        <w:rPr>
          <w:i/>
        </w:rPr>
        <w:t>Quebec English School Board Association</w:t>
      </w:r>
      <w:r w:rsidRPr="002B780F">
        <w:t>, 2020 QCCA 117</w:t>
      </w:r>
      <w:r w:rsidR="00F86545" w:rsidRPr="002B780F">
        <w:t>1 at para.</w:t>
      </w:r>
      <w:r w:rsidR="00EA3964" w:rsidRPr="002B780F">
        <w:t> </w:t>
      </w:r>
      <w:r w:rsidRPr="002B780F">
        <w:t xml:space="preserve">10; </w:t>
      </w:r>
      <w:r w:rsidRPr="002B780F">
        <w:rPr>
          <w:i/>
        </w:rPr>
        <w:t>Hak</w:t>
      </w:r>
      <w:r w:rsidRPr="002B780F">
        <w:t xml:space="preserve"> </w:t>
      </w:r>
      <w:r w:rsidRPr="002B780F">
        <w:rPr>
          <w:i/>
          <w:iCs/>
        </w:rPr>
        <w:t>c.</w:t>
      </w:r>
      <w:r w:rsidRPr="002B780F">
        <w:t xml:space="preserve"> </w:t>
      </w:r>
      <w:r w:rsidRPr="002B780F">
        <w:rPr>
          <w:i/>
        </w:rPr>
        <w:t>Procureure générale du Québec</w:t>
      </w:r>
      <w:r w:rsidRPr="002B780F">
        <w:t>, 2019 QCCA 214</w:t>
      </w:r>
      <w:r w:rsidR="00F86545" w:rsidRPr="002B780F">
        <w:t xml:space="preserve">5 at para. </w:t>
      </w:r>
      <w:r w:rsidRPr="002B780F">
        <w:t>103.</w:t>
      </w:r>
    </w:p>
  </w:footnote>
  <w:footnote w:id="10">
    <w:p w14:paraId="7034B3CA" w14:textId="0572733C" w:rsidR="00B83D45" w:rsidRPr="002B780F" w:rsidRDefault="00B83D45" w:rsidP="00FF68A9">
      <w:pPr>
        <w:pStyle w:val="Notedebasdepage"/>
      </w:pPr>
      <w:r w:rsidRPr="002B780F">
        <w:rPr>
          <w:rStyle w:val="Appelnotedebasdep"/>
          <w:lang w:val="en-CA"/>
        </w:rPr>
        <w:footnoteRef/>
      </w:r>
      <w:r w:rsidRPr="002B780F">
        <w:t xml:space="preserve"> </w:t>
      </w:r>
      <w:r w:rsidRPr="002B780F">
        <w:tab/>
      </w:r>
      <w:r w:rsidR="005365D8" w:rsidRPr="002B780F">
        <w:t>Apart from certain</w:t>
      </w:r>
      <w:r w:rsidR="00EA3964" w:rsidRPr="002B780F">
        <w:t xml:space="preserve"> exceptional cases</w:t>
      </w:r>
      <w:r w:rsidRPr="002B780F">
        <w:t xml:space="preserve">; </w:t>
      </w:r>
      <w:r w:rsidRPr="002B780F">
        <w:rPr>
          <w:i/>
        </w:rPr>
        <w:t>Groupe CRH Canada inc</w:t>
      </w:r>
      <w:r w:rsidRPr="002B780F">
        <w:rPr>
          <w:iCs/>
        </w:rPr>
        <w:t xml:space="preserve">. </w:t>
      </w:r>
      <w:r w:rsidRPr="002B780F">
        <w:rPr>
          <w:i/>
        </w:rPr>
        <w:t>c</w:t>
      </w:r>
      <w:r w:rsidRPr="002B780F">
        <w:rPr>
          <w:iCs/>
        </w:rPr>
        <w:t>.</w:t>
      </w:r>
      <w:r w:rsidRPr="002B780F">
        <w:t xml:space="preserve"> </w:t>
      </w:r>
      <w:r w:rsidRPr="002B780F">
        <w:rPr>
          <w:i/>
        </w:rPr>
        <w:t>Beauregard</w:t>
      </w:r>
      <w:r w:rsidRPr="002B780F">
        <w:t>, 2018 QCCA 106</w:t>
      </w:r>
      <w:r w:rsidR="00F86545" w:rsidRPr="002B780F">
        <w:t xml:space="preserve">3 at para. </w:t>
      </w:r>
      <w:r w:rsidRPr="002B780F">
        <w:t>77.</w:t>
      </w:r>
    </w:p>
  </w:footnote>
  <w:footnote w:id="11">
    <w:p w14:paraId="30E23D3A" w14:textId="2A287E69" w:rsidR="00B83D45" w:rsidRPr="002B780F" w:rsidRDefault="00B83D45" w:rsidP="00FF68A9">
      <w:pPr>
        <w:pStyle w:val="Notedebasdepage"/>
        <w:rPr>
          <w:lang w:val="en-CA"/>
        </w:rPr>
      </w:pPr>
      <w:r w:rsidRPr="002B780F">
        <w:rPr>
          <w:rStyle w:val="Appelnotedebasdep"/>
          <w:lang w:val="en-CA"/>
        </w:rPr>
        <w:footnoteRef/>
      </w:r>
      <w:r w:rsidRPr="002B780F">
        <w:t xml:space="preserve"> </w:t>
      </w:r>
      <w:r w:rsidRPr="002B780F">
        <w:tab/>
      </w:r>
      <w:r w:rsidRPr="002B780F">
        <w:rPr>
          <w:i/>
        </w:rPr>
        <w:t>FLS Transportation Services Limited</w:t>
      </w:r>
      <w:r w:rsidRPr="002B780F">
        <w:t xml:space="preserve"> </w:t>
      </w:r>
      <w:r w:rsidRPr="002B780F">
        <w:rPr>
          <w:i/>
          <w:iCs/>
        </w:rPr>
        <w:t>c.</w:t>
      </w:r>
      <w:r w:rsidRPr="002B780F">
        <w:t xml:space="preserve"> </w:t>
      </w:r>
      <w:r w:rsidRPr="002B780F">
        <w:rPr>
          <w:i/>
        </w:rPr>
        <w:t>Fuze Logistics Services Inc.</w:t>
      </w:r>
      <w:r w:rsidRPr="002B780F">
        <w:t>, 2020 QCCA 163</w:t>
      </w:r>
      <w:r w:rsidR="00F86545" w:rsidRPr="002B780F">
        <w:t xml:space="preserve">7 at para. </w:t>
      </w:r>
      <w:r w:rsidRPr="002B780F">
        <w:t xml:space="preserve">28; </w:t>
      </w:r>
      <w:r w:rsidRPr="002B780F">
        <w:rPr>
          <w:i/>
        </w:rPr>
        <w:t>Conseil des juifs hassidiques du Québec</w:t>
      </w:r>
      <w:r w:rsidRPr="002B780F">
        <w:t xml:space="preserve"> </w:t>
      </w:r>
      <w:r w:rsidRPr="002B780F">
        <w:rPr>
          <w:i/>
          <w:iCs/>
        </w:rPr>
        <w:t>c.</w:t>
      </w:r>
      <w:r w:rsidRPr="002B780F">
        <w:t xml:space="preserve"> </w:t>
      </w:r>
      <w:r w:rsidRPr="002B780F">
        <w:rPr>
          <w:i/>
        </w:rPr>
        <w:t>Procureur général du Québec</w:t>
      </w:r>
      <w:r w:rsidRPr="002B780F">
        <w:t>, 2021 QCCS 28</w:t>
      </w:r>
      <w:r w:rsidR="00F86545" w:rsidRPr="002B780F">
        <w:t>1 at para.</w:t>
      </w:r>
      <w:r w:rsidR="00643FDD" w:rsidRPr="002B780F">
        <w:t> </w:t>
      </w:r>
      <w:r w:rsidRPr="002B780F">
        <w:rPr>
          <w:lang w:val="en-CA"/>
        </w:rPr>
        <w:t>108.</w:t>
      </w:r>
    </w:p>
  </w:footnote>
  <w:footnote w:id="12">
    <w:p w14:paraId="7A0A0F5C" w14:textId="43C56F4F" w:rsidR="00B83D45" w:rsidRPr="002B780F" w:rsidRDefault="00B83D45" w:rsidP="006B4150">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Pr="002B780F">
        <w:rPr>
          <w:i/>
          <w:lang w:val="en-CA"/>
        </w:rPr>
        <w:t>Manitoba (</w:t>
      </w:r>
      <w:r w:rsidR="00B618AB" w:rsidRPr="002B780F">
        <w:rPr>
          <w:i/>
          <w:lang w:val="en-CA"/>
        </w:rPr>
        <w:t>A</w:t>
      </w:r>
      <w:r w:rsidRPr="002B780F">
        <w:rPr>
          <w:i/>
          <w:lang w:val="en-CA"/>
        </w:rPr>
        <w:t>.G.)</w:t>
      </w:r>
      <w:r w:rsidRPr="002B780F">
        <w:rPr>
          <w:lang w:val="en-CA"/>
        </w:rPr>
        <w:t xml:space="preserve"> </w:t>
      </w:r>
      <w:r w:rsidR="00B618AB" w:rsidRPr="002B780F">
        <w:rPr>
          <w:i/>
          <w:iCs/>
          <w:lang w:val="en-CA"/>
        </w:rPr>
        <w:t>v</w:t>
      </w:r>
      <w:r w:rsidRPr="002B780F">
        <w:rPr>
          <w:i/>
          <w:iCs/>
          <w:lang w:val="en-CA"/>
        </w:rPr>
        <w:t>.</w:t>
      </w:r>
      <w:r w:rsidRPr="002B780F">
        <w:rPr>
          <w:lang w:val="en-CA"/>
        </w:rPr>
        <w:t xml:space="preserve"> </w:t>
      </w:r>
      <w:r w:rsidRPr="002B780F">
        <w:rPr>
          <w:i/>
          <w:lang w:val="en-CA"/>
        </w:rPr>
        <w:t>Metropolitan Stores Ltd.</w:t>
      </w:r>
      <w:r w:rsidRPr="002B780F">
        <w:rPr>
          <w:lang w:val="en-CA"/>
        </w:rPr>
        <w:t xml:space="preserve">, [1987] 1 </w:t>
      </w:r>
      <w:r w:rsidR="00F86545" w:rsidRPr="002B780F">
        <w:rPr>
          <w:lang w:val="en-CA"/>
        </w:rPr>
        <w:t>S.C.R.</w:t>
      </w:r>
      <w:r w:rsidRPr="002B780F">
        <w:rPr>
          <w:lang w:val="en-CA"/>
        </w:rPr>
        <w:t xml:space="preserve"> 110</w:t>
      </w:r>
      <w:r w:rsidR="005365D8" w:rsidRPr="002B780F">
        <w:rPr>
          <w:lang w:val="en-CA"/>
        </w:rPr>
        <w:t xml:space="preserve"> at</w:t>
      </w:r>
      <w:r w:rsidRPr="002B780F">
        <w:rPr>
          <w:lang w:val="en-CA"/>
        </w:rPr>
        <w:t xml:space="preserve"> 127.</w:t>
      </w:r>
    </w:p>
  </w:footnote>
  <w:footnote w:id="13">
    <w:p w14:paraId="3227DA54" w14:textId="02ED72F5" w:rsidR="00B83D45" w:rsidRPr="002B780F" w:rsidRDefault="00B83D45" w:rsidP="006B4150">
      <w:pPr>
        <w:pStyle w:val="Notedebasdepage"/>
        <w:rPr>
          <w:lang w:val="en-CA"/>
        </w:rPr>
      </w:pPr>
      <w:r w:rsidRPr="002B780F">
        <w:rPr>
          <w:rStyle w:val="Appelnotedebasdep"/>
        </w:rPr>
        <w:footnoteRef/>
      </w:r>
      <w:r w:rsidRPr="002B780F">
        <w:rPr>
          <w:lang w:val="en-CA"/>
        </w:rPr>
        <w:t xml:space="preserve"> </w:t>
      </w:r>
      <w:r w:rsidRPr="002B780F">
        <w:rPr>
          <w:lang w:val="en-CA"/>
        </w:rPr>
        <w:tab/>
      </w:r>
      <w:r w:rsidRPr="002B780F">
        <w:rPr>
          <w:i/>
          <w:lang w:val="en-CA"/>
        </w:rPr>
        <w:t>RJR</w:t>
      </w:r>
      <w:r w:rsidR="00E33CAD" w:rsidRPr="002B780F">
        <w:rPr>
          <w:rFonts w:cs="Arial"/>
          <w:i/>
          <w:lang w:val="en-CA"/>
        </w:rPr>
        <w:t>–</w:t>
      </w:r>
      <w:r w:rsidRPr="002B780F">
        <w:rPr>
          <w:i/>
          <w:lang w:val="en-CA"/>
        </w:rPr>
        <w:t>Macdonald Inc.</w:t>
      </w:r>
      <w:r w:rsidR="001B6602" w:rsidRPr="002B780F">
        <w:rPr>
          <w:i/>
          <w:lang w:val="en-CA"/>
        </w:rPr>
        <w:t xml:space="preserve"> </w:t>
      </w:r>
      <w:r w:rsidR="00B36688" w:rsidRPr="002B780F">
        <w:rPr>
          <w:i/>
          <w:lang w:val="en-CA"/>
        </w:rPr>
        <w:t>v</w:t>
      </w:r>
      <w:r w:rsidRPr="002B780F">
        <w:rPr>
          <w:i/>
          <w:lang w:val="en-CA"/>
        </w:rPr>
        <w:t xml:space="preserve">. Canada </w:t>
      </w:r>
      <w:r w:rsidR="00F86545" w:rsidRPr="002B780F">
        <w:rPr>
          <w:i/>
          <w:lang w:val="en-CA"/>
        </w:rPr>
        <w:t>(Attorney General)</w:t>
      </w:r>
      <w:r w:rsidR="00C6048F" w:rsidRPr="002B780F">
        <w:rPr>
          <w:i/>
          <w:lang w:val="en-CA"/>
        </w:rPr>
        <w:t>,</w:t>
      </w:r>
      <w:r w:rsidRPr="002B780F">
        <w:rPr>
          <w:i/>
          <w:lang w:val="en-CA"/>
        </w:rPr>
        <w:t xml:space="preserve"> </w:t>
      </w:r>
      <w:r w:rsidRPr="002B780F">
        <w:rPr>
          <w:iCs/>
          <w:lang w:val="en-CA"/>
        </w:rPr>
        <w:t xml:space="preserve">[1994] 1 </w:t>
      </w:r>
      <w:r w:rsidR="00F86545" w:rsidRPr="002B780F">
        <w:rPr>
          <w:iCs/>
          <w:lang w:val="en-CA"/>
        </w:rPr>
        <w:t>S.C.R.</w:t>
      </w:r>
      <w:r w:rsidRPr="002B780F">
        <w:rPr>
          <w:iCs/>
          <w:lang w:val="en-CA"/>
        </w:rPr>
        <w:t xml:space="preserve"> 311</w:t>
      </w:r>
      <w:r w:rsidRPr="002B780F">
        <w:rPr>
          <w:i/>
          <w:lang w:val="en-CA"/>
        </w:rPr>
        <w:t xml:space="preserve"> </w:t>
      </w:r>
      <w:r w:rsidR="00B36688" w:rsidRPr="002B780F">
        <w:rPr>
          <w:iCs/>
          <w:lang w:val="en-CA"/>
        </w:rPr>
        <w:t>at</w:t>
      </w:r>
      <w:r w:rsidR="00B36688" w:rsidRPr="002B780F">
        <w:rPr>
          <w:i/>
          <w:lang w:val="en-CA"/>
        </w:rPr>
        <w:t xml:space="preserve"> </w:t>
      </w:r>
      <w:r w:rsidRPr="002B780F">
        <w:rPr>
          <w:lang w:val="en-CA"/>
        </w:rPr>
        <w:t>348</w:t>
      </w:r>
      <w:r w:rsidR="00B36688" w:rsidRPr="002B780F">
        <w:rPr>
          <w:lang w:val="en-CA"/>
        </w:rPr>
        <w:t>;</w:t>
      </w:r>
      <w:r w:rsidRPr="002B780F">
        <w:rPr>
          <w:lang w:val="en-CA"/>
        </w:rPr>
        <w:t xml:space="preserve"> </w:t>
      </w:r>
      <w:r w:rsidRPr="002B780F">
        <w:rPr>
          <w:i/>
          <w:lang w:val="en-CA"/>
        </w:rPr>
        <w:t>Karounis</w:t>
      </w:r>
      <w:r w:rsidRPr="002B780F">
        <w:rPr>
          <w:lang w:val="en-CA"/>
        </w:rPr>
        <w:t xml:space="preserve"> </w:t>
      </w:r>
      <w:r w:rsidRPr="002B780F">
        <w:rPr>
          <w:i/>
          <w:iCs/>
          <w:lang w:val="en-CA"/>
        </w:rPr>
        <w:t>c.</w:t>
      </w:r>
      <w:r w:rsidRPr="002B780F">
        <w:rPr>
          <w:lang w:val="en-CA"/>
        </w:rPr>
        <w:t xml:space="preserve"> </w:t>
      </w:r>
      <w:r w:rsidRPr="002B780F">
        <w:rPr>
          <w:i/>
          <w:lang w:val="en-CA"/>
        </w:rPr>
        <w:t>Procureur général du Québec</w:t>
      </w:r>
      <w:r w:rsidRPr="002B780F">
        <w:rPr>
          <w:lang w:val="en-CA"/>
        </w:rPr>
        <w:t>, 2020 QCCS 281</w:t>
      </w:r>
      <w:r w:rsidR="00F86545" w:rsidRPr="002B780F">
        <w:rPr>
          <w:lang w:val="en-CA"/>
        </w:rPr>
        <w:t xml:space="preserve">7 at para. </w:t>
      </w:r>
      <w:r w:rsidRPr="002B780F">
        <w:rPr>
          <w:lang w:val="en-CA"/>
        </w:rPr>
        <w:t>13.</w:t>
      </w:r>
    </w:p>
  </w:footnote>
  <w:footnote w:id="14">
    <w:p w14:paraId="3DEF8941" w14:textId="69016014" w:rsidR="00B83D45" w:rsidRPr="002B780F" w:rsidRDefault="00B83D45" w:rsidP="006B4150">
      <w:pPr>
        <w:pStyle w:val="Notedebasdepage"/>
        <w:rPr>
          <w:lang w:val="en-CA"/>
        </w:rPr>
      </w:pPr>
      <w:r w:rsidRPr="002B780F">
        <w:rPr>
          <w:rStyle w:val="Appelnotedebasdep"/>
        </w:rPr>
        <w:footnoteRef/>
      </w:r>
      <w:r w:rsidRPr="002B780F">
        <w:rPr>
          <w:lang w:val="en-CA"/>
        </w:rPr>
        <w:t xml:space="preserve"> </w:t>
      </w:r>
      <w:r w:rsidRPr="002B780F">
        <w:rPr>
          <w:lang w:val="en-CA"/>
        </w:rPr>
        <w:tab/>
      </w:r>
      <w:r w:rsidRPr="002B780F">
        <w:rPr>
          <w:i/>
          <w:lang w:val="en-CA"/>
        </w:rPr>
        <w:t>Manitoba (</w:t>
      </w:r>
      <w:r w:rsidR="001B6602" w:rsidRPr="002B780F">
        <w:rPr>
          <w:i/>
          <w:lang w:val="en-CA"/>
        </w:rPr>
        <w:t>A</w:t>
      </w:r>
      <w:r w:rsidRPr="002B780F">
        <w:rPr>
          <w:i/>
          <w:lang w:val="en-CA"/>
        </w:rPr>
        <w:t>.G.)</w:t>
      </w:r>
      <w:r w:rsidRPr="002B780F">
        <w:rPr>
          <w:lang w:val="en-CA"/>
        </w:rPr>
        <w:t xml:space="preserve"> </w:t>
      </w:r>
      <w:r w:rsidR="001B6602" w:rsidRPr="002B780F">
        <w:rPr>
          <w:i/>
          <w:iCs/>
          <w:lang w:val="en-CA"/>
        </w:rPr>
        <w:t>v</w:t>
      </w:r>
      <w:r w:rsidRPr="002B780F">
        <w:rPr>
          <w:i/>
          <w:iCs/>
          <w:lang w:val="en-CA"/>
        </w:rPr>
        <w:t>.</w:t>
      </w:r>
      <w:r w:rsidRPr="002B780F">
        <w:rPr>
          <w:lang w:val="en-CA"/>
        </w:rPr>
        <w:t xml:space="preserve"> </w:t>
      </w:r>
      <w:r w:rsidRPr="002B780F">
        <w:rPr>
          <w:i/>
          <w:lang w:val="en-CA"/>
        </w:rPr>
        <w:t>Metropolitan Stores Ltd.</w:t>
      </w:r>
      <w:r w:rsidRPr="002B780F">
        <w:rPr>
          <w:lang w:val="en-CA"/>
        </w:rPr>
        <w:t xml:space="preserve">, [1987] 1 </w:t>
      </w:r>
      <w:r w:rsidR="00F86545" w:rsidRPr="002B780F">
        <w:rPr>
          <w:lang w:val="en-CA"/>
        </w:rPr>
        <w:t>S.C.R.</w:t>
      </w:r>
      <w:r w:rsidRPr="002B780F">
        <w:rPr>
          <w:lang w:val="en-CA"/>
        </w:rPr>
        <w:t xml:space="preserve"> 110</w:t>
      </w:r>
      <w:r w:rsidR="001B6602" w:rsidRPr="002B780F">
        <w:rPr>
          <w:lang w:val="en-CA"/>
        </w:rPr>
        <w:t xml:space="preserve"> at</w:t>
      </w:r>
      <w:r w:rsidRPr="002B780F">
        <w:rPr>
          <w:lang w:val="en-CA"/>
        </w:rPr>
        <w:t xml:space="preserve"> 133.</w:t>
      </w:r>
    </w:p>
  </w:footnote>
  <w:footnote w:id="15">
    <w:p w14:paraId="48B33756" w14:textId="69F35B3F" w:rsidR="00B83D45" w:rsidRPr="002B780F" w:rsidRDefault="00B83D45" w:rsidP="006B4150">
      <w:pPr>
        <w:pStyle w:val="Notedebasdepage"/>
        <w:rPr>
          <w:lang w:val="en-CA"/>
        </w:rPr>
      </w:pPr>
      <w:r w:rsidRPr="002B780F">
        <w:rPr>
          <w:rStyle w:val="Appelnotedebasdep"/>
        </w:rPr>
        <w:footnoteRef/>
      </w:r>
      <w:r w:rsidRPr="002B780F">
        <w:rPr>
          <w:lang w:val="en-CA"/>
        </w:rPr>
        <w:t xml:space="preserve"> </w:t>
      </w:r>
      <w:r w:rsidRPr="002B780F">
        <w:rPr>
          <w:lang w:val="en-CA"/>
        </w:rPr>
        <w:tab/>
        <w:t xml:space="preserve">[1979] 2 </w:t>
      </w:r>
      <w:r w:rsidR="00F86545" w:rsidRPr="002B780F">
        <w:rPr>
          <w:lang w:val="en-CA"/>
        </w:rPr>
        <w:t>S.C.R.</w:t>
      </w:r>
      <w:r w:rsidRPr="002B780F">
        <w:rPr>
          <w:lang w:val="en-CA"/>
        </w:rPr>
        <w:t xml:space="preserve"> 1016.</w:t>
      </w:r>
    </w:p>
  </w:footnote>
  <w:footnote w:id="16">
    <w:p w14:paraId="1E5EB576" w14:textId="039582AE" w:rsidR="00B83D45" w:rsidRPr="002B780F" w:rsidRDefault="00B83D45" w:rsidP="006B4150">
      <w:pPr>
        <w:pStyle w:val="Notedebasdepage"/>
        <w:rPr>
          <w:lang w:val="en-CA"/>
        </w:rPr>
      </w:pPr>
      <w:r w:rsidRPr="002B780F">
        <w:rPr>
          <w:rStyle w:val="Appelnotedebasdep"/>
        </w:rPr>
        <w:footnoteRef/>
      </w:r>
      <w:r w:rsidRPr="002B780F">
        <w:rPr>
          <w:lang w:val="en-CA"/>
        </w:rPr>
        <w:t xml:space="preserve"> </w:t>
      </w:r>
      <w:r w:rsidRPr="002B780F">
        <w:rPr>
          <w:lang w:val="en-CA"/>
        </w:rPr>
        <w:tab/>
        <w:t xml:space="preserve">[1986] 1 </w:t>
      </w:r>
      <w:r w:rsidR="00F86545" w:rsidRPr="002B780F">
        <w:rPr>
          <w:lang w:val="en-CA"/>
        </w:rPr>
        <w:t>S.C.R.</w:t>
      </w:r>
      <w:r w:rsidRPr="002B780F">
        <w:rPr>
          <w:lang w:val="en-CA"/>
        </w:rPr>
        <w:t xml:space="preserve"> 460. </w:t>
      </w:r>
    </w:p>
  </w:footnote>
  <w:footnote w:id="17">
    <w:p w14:paraId="65CAB6A2" w14:textId="6B9073FE" w:rsidR="00B83D45" w:rsidRPr="002B780F" w:rsidRDefault="00B83D45" w:rsidP="006B4150">
      <w:pPr>
        <w:pStyle w:val="Notedebasdepage"/>
        <w:rPr>
          <w:lang w:val="en-CA"/>
        </w:rPr>
      </w:pPr>
      <w:r w:rsidRPr="002B780F">
        <w:rPr>
          <w:rStyle w:val="Appelnotedebasdep"/>
        </w:rPr>
        <w:footnoteRef/>
      </w:r>
      <w:r w:rsidRPr="002B780F">
        <w:rPr>
          <w:lang w:val="en-CA"/>
        </w:rPr>
        <w:t xml:space="preserve"> </w:t>
      </w:r>
      <w:r w:rsidRPr="002B780F">
        <w:rPr>
          <w:lang w:val="en-CA"/>
        </w:rPr>
        <w:tab/>
        <w:t xml:space="preserve">[1999] 1 </w:t>
      </w:r>
      <w:r w:rsidR="00F86545" w:rsidRPr="002B780F">
        <w:rPr>
          <w:lang w:val="en-CA"/>
        </w:rPr>
        <w:t>S.C.R.</w:t>
      </w:r>
      <w:r w:rsidRPr="002B780F">
        <w:rPr>
          <w:lang w:val="en-CA"/>
        </w:rPr>
        <w:t xml:space="preserve"> 768.</w:t>
      </w:r>
    </w:p>
  </w:footnote>
  <w:footnote w:id="18">
    <w:p w14:paraId="2CCD3F84" w14:textId="0358EA12" w:rsidR="00B83D45" w:rsidRPr="002B780F" w:rsidRDefault="00B83D45" w:rsidP="006B4150">
      <w:pPr>
        <w:pStyle w:val="Notedebasdepage"/>
        <w:rPr>
          <w:lang w:val="en-CA"/>
        </w:rPr>
      </w:pPr>
      <w:r w:rsidRPr="002B780F">
        <w:rPr>
          <w:rStyle w:val="Appelnotedebasdep"/>
        </w:rPr>
        <w:footnoteRef/>
      </w:r>
      <w:r w:rsidRPr="002B780F">
        <w:rPr>
          <w:lang w:val="en-CA"/>
        </w:rPr>
        <w:t xml:space="preserve"> </w:t>
      </w:r>
      <w:r w:rsidRPr="002B780F">
        <w:rPr>
          <w:lang w:val="en-CA"/>
        </w:rPr>
        <w:tab/>
        <w:t>2018 S</w:t>
      </w:r>
      <w:r w:rsidR="0026509C" w:rsidRPr="002B780F">
        <w:rPr>
          <w:lang w:val="en-CA"/>
        </w:rPr>
        <w:t>C</w:t>
      </w:r>
      <w:r w:rsidRPr="002B780F">
        <w:rPr>
          <w:lang w:val="en-CA"/>
        </w:rPr>
        <w:t xml:space="preserve">C 50. </w:t>
      </w:r>
    </w:p>
  </w:footnote>
  <w:footnote w:id="19">
    <w:p w14:paraId="060DEC28" w14:textId="78E8CF2D" w:rsidR="00B83D45" w:rsidRPr="002B780F" w:rsidRDefault="00B83D45" w:rsidP="006B4150">
      <w:pPr>
        <w:pStyle w:val="Notedebasdepage"/>
        <w:rPr>
          <w:lang w:val="en-CA"/>
        </w:rPr>
      </w:pPr>
      <w:r w:rsidRPr="002B780F">
        <w:rPr>
          <w:rStyle w:val="Appelnotedebasdep"/>
          <w:shd w:val="clear" w:color="auto" w:fill="FFFFFF" w:themeFill="background1"/>
        </w:rPr>
        <w:footnoteRef/>
      </w:r>
      <w:r w:rsidRPr="002B780F">
        <w:rPr>
          <w:shd w:val="clear" w:color="auto" w:fill="FFFFFF" w:themeFill="background1"/>
          <w:lang w:val="en-CA"/>
        </w:rPr>
        <w:t xml:space="preserve"> </w:t>
      </w:r>
      <w:r w:rsidRPr="002B780F">
        <w:rPr>
          <w:shd w:val="clear" w:color="auto" w:fill="FFFFFF" w:themeFill="background1"/>
          <w:lang w:val="en-CA"/>
        </w:rPr>
        <w:tab/>
      </w:r>
      <w:r w:rsidR="00515A53" w:rsidRPr="002B780F">
        <w:rPr>
          <w:shd w:val="clear" w:color="auto" w:fill="FFFFFF" w:themeFill="background1"/>
          <w:lang w:val="en-CA"/>
        </w:rPr>
        <w:t xml:space="preserve">Respondent’s </w:t>
      </w:r>
      <w:r w:rsidR="002865CB" w:rsidRPr="002B780F">
        <w:rPr>
          <w:shd w:val="clear" w:color="auto" w:fill="FFFFFF" w:themeFill="background1"/>
          <w:lang w:val="en-CA"/>
        </w:rPr>
        <w:t>argumentation plan</w:t>
      </w:r>
      <w:r w:rsidR="0026509C" w:rsidRPr="002B780F">
        <w:rPr>
          <w:shd w:val="clear" w:color="auto" w:fill="FFFFFF" w:themeFill="background1"/>
          <w:lang w:val="en-CA"/>
        </w:rPr>
        <w:t xml:space="preserve"> </w:t>
      </w:r>
      <w:r w:rsidR="00F86545" w:rsidRPr="002B780F">
        <w:rPr>
          <w:shd w:val="clear" w:color="auto" w:fill="FFFFFF" w:themeFill="background1"/>
          <w:lang w:val="en-CA"/>
        </w:rPr>
        <w:t xml:space="preserve">at para. </w:t>
      </w:r>
      <w:r w:rsidRPr="002B780F">
        <w:rPr>
          <w:shd w:val="clear" w:color="auto" w:fill="FFFFFF" w:themeFill="background1"/>
          <w:lang w:val="en-CA"/>
        </w:rPr>
        <w:t>26.</w:t>
      </w:r>
    </w:p>
  </w:footnote>
  <w:footnote w:id="20">
    <w:p w14:paraId="028FE937" w14:textId="04AFF956" w:rsidR="00B83D45" w:rsidRPr="002B780F" w:rsidRDefault="00B83D45">
      <w:pPr>
        <w:pStyle w:val="Notedebasdepage"/>
        <w:rPr>
          <w:lang w:val="en-CA"/>
        </w:rPr>
      </w:pPr>
      <w:r w:rsidRPr="002B780F">
        <w:rPr>
          <w:rStyle w:val="Appelnotedebasdep"/>
        </w:rPr>
        <w:footnoteRef/>
      </w:r>
      <w:r w:rsidRPr="002B780F">
        <w:rPr>
          <w:lang w:val="en-CA"/>
        </w:rPr>
        <w:t xml:space="preserve"> </w:t>
      </w:r>
      <w:r w:rsidR="00C57724" w:rsidRPr="002B780F">
        <w:rPr>
          <w:lang w:val="en-CA"/>
        </w:rPr>
        <w:tab/>
      </w:r>
      <w:r w:rsidR="00B344B6" w:rsidRPr="002B780F">
        <w:rPr>
          <w:i/>
          <w:iCs/>
          <w:lang w:val="en-CA"/>
        </w:rPr>
        <w:t>Attorney General of Quebec v.</w:t>
      </w:r>
      <w:r w:rsidRPr="002B780F">
        <w:rPr>
          <w:i/>
          <w:iCs/>
          <w:lang w:val="en-CA"/>
        </w:rPr>
        <w:t xml:space="preserve"> Blaikie</w:t>
      </w:r>
      <w:r w:rsidR="00B344B6" w:rsidRPr="002B780F">
        <w:rPr>
          <w:lang w:val="en-CA"/>
        </w:rPr>
        <w:t xml:space="preserve">, </w:t>
      </w:r>
      <w:r w:rsidRPr="002B780F">
        <w:rPr>
          <w:lang w:val="en-CA"/>
        </w:rPr>
        <w:t xml:space="preserve">[1979] 2 </w:t>
      </w:r>
      <w:r w:rsidR="00F86545" w:rsidRPr="002B780F">
        <w:rPr>
          <w:lang w:val="en-CA"/>
        </w:rPr>
        <w:t>S.C.R.</w:t>
      </w:r>
      <w:r w:rsidRPr="002B780F">
        <w:rPr>
          <w:lang w:val="en-CA"/>
        </w:rPr>
        <w:t xml:space="preserve"> 1016</w:t>
      </w:r>
      <w:r w:rsidR="00B344B6" w:rsidRPr="002B780F">
        <w:rPr>
          <w:lang w:val="en-CA"/>
        </w:rPr>
        <w:t xml:space="preserve"> at</w:t>
      </w:r>
      <w:r w:rsidRPr="002B780F">
        <w:rPr>
          <w:lang w:val="en-CA"/>
        </w:rPr>
        <w:t xml:space="preserve"> 1022.</w:t>
      </w:r>
    </w:p>
  </w:footnote>
  <w:footnote w:id="21">
    <w:p w14:paraId="5E3F86C7" w14:textId="78BF877F" w:rsidR="00B83D45" w:rsidRPr="002B780F" w:rsidRDefault="00B83D45">
      <w:pPr>
        <w:pStyle w:val="Notedebasdepage"/>
        <w:rPr>
          <w:lang w:val="en-CA"/>
        </w:rPr>
      </w:pPr>
      <w:r w:rsidRPr="002B780F">
        <w:rPr>
          <w:rStyle w:val="Appelnotedebasdep"/>
        </w:rPr>
        <w:footnoteRef/>
      </w:r>
      <w:r w:rsidRPr="002B780F">
        <w:rPr>
          <w:lang w:val="en-CA"/>
        </w:rPr>
        <w:t xml:space="preserve"> </w:t>
      </w:r>
      <w:r w:rsidR="00C57724" w:rsidRPr="002B780F">
        <w:rPr>
          <w:lang w:val="en-CA"/>
        </w:rPr>
        <w:tab/>
      </w:r>
      <w:r w:rsidRPr="002B780F">
        <w:rPr>
          <w:i/>
          <w:iCs/>
          <w:lang w:val="en-CA"/>
        </w:rPr>
        <w:t>I</w:t>
      </w:r>
      <w:r w:rsidR="00B344B6" w:rsidRPr="002B780F">
        <w:rPr>
          <w:i/>
          <w:iCs/>
          <w:lang w:val="en-CA"/>
        </w:rPr>
        <w:t>bi</w:t>
      </w:r>
      <w:r w:rsidRPr="002B780F">
        <w:rPr>
          <w:i/>
          <w:iCs/>
          <w:lang w:val="en-CA"/>
        </w:rPr>
        <w:t>d</w:t>
      </w:r>
      <w:r w:rsidRPr="002B780F">
        <w:rPr>
          <w:lang w:val="en-CA"/>
        </w:rPr>
        <w:t xml:space="preserve">. </w:t>
      </w:r>
      <w:r w:rsidR="00B344B6" w:rsidRPr="002B780F">
        <w:rPr>
          <w:lang w:val="en-CA"/>
        </w:rPr>
        <w:t>at</w:t>
      </w:r>
      <w:r w:rsidRPr="002B780F">
        <w:rPr>
          <w:lang w:val="en-CA"/>
        </w:rPr>
        <w:t xml:space="preserve"> 1030.</w:t>
      </w:r>
    </w:p>
  </w:footnote>
  <w:footnote w:id="22">
    <w:p w14:paraId="446C4DCB" w14:textId="7D07AC57" w:rsidR="00B83D45" w:rsidRPr="002B780F" w:rsidRDefault="00B83D45" w:rsidP="001841BC">
      <w:pPr>
        <w:pStyle w:val="Notedebasdepage"/>
        <w:rPr>
          <w:lang w:val="en-CA"/>
        </w:rPr>
      </w:pPr>
      <w:r w:rsidRPr="002B780F">
        <w:rPr>
          <w:rStyle w:val="Appelnotedebasdep"/>
        </w:rPr>
        <w:footnoteRef/>
      </w:r>
      <w:r w:rsidRPr="002B780F">
        <w:rPr>
          <w:lang w:val="en-CA"/>
        </w:rPr>
        <w:t xml:space="preserve"> </w:t>
      </w:r>
      <w:r w:rsidRPr="002B780F">
        <w:rPr>
          <w:lang w:val="en-CA"/>
        </w:rPr>
        <w:tab/>
      </w:r>
      <w:r w:rsidRPr="002B780F">
        <w:rPr>
          <w:i/>
          <w:lang w:val="en-CA"/>
        </w:rPr>
        <w:t>RJR–Macdonald Inc.</w:t>
      </w:r>
      <w:r w:rsidRPr="002B780F">
        <w:rPr>
          <w:lang w:val="en-CA"/>
        </w:rPr>
        <w:t xml:space="preserve"> </w:t>
      </w:r>
      <w:r w:rsidR="00B344B6" w:rsidRPr="002B780F">
        <w:rPr>
          <w:i/>
          <w:iCs/>
          <w:lang w:val="en-CA"/>
        </w:rPr>
        <w:t>v</w:t>
      </w:r>
      <w:r w:rsidRPr="002B780F">
        <w:rPr>
          <w:i/>
          <w:iCs/>
          <w:lang w:val="en-CA"/>
        </w:rPr>
        <w:t>.</w:t>
      </w:r>
      <w:r w:rsidRPr="002B780F">
        <w:rPr>
          <w:lang w:val="en-CA"/>
        </w:rPr>
        <w:t xml:space="preserve"> </w:t>
      </w:r>
      <w:r w:rsidRPr="002B780F">
        <w:rPr>
          <w:i/>
          <w:lang w:val="en-CA"/>
        </w:rPr>
        <w:t xml:space="preserve">Canada </w:t>
      </w:r>
      <w:r w:rsidR="00F86545" w:rsidRPr="002B780F">
        <w:rPr>
          <w:i/>
          <w:lang w:val="en-CA"/>
        </w:rPr>
        <w:t>(Attorney General)</w:t>
      </w:r>
      <w:r w:rsidRPr="002B780F">
        <w:rPr>
          <w:lang w:val="en-CA"/>
        </w:rPr>
        <w:t xml:space="preserve">, [1994] 1 </w:t>
      </w:r>
      <w:r w:rsidR="00F86545" w:rsidRPr="002B780F">
        <w:rPr>
          <w:lang w:val="en-CA"/>
        </w:rPr>
        <w:t>S.C.R.</w:t>
      </w:r>
      <w:r w:rsidRPr="002B780F">
        <w:rPr>
          <w:lang w:val="en-CA"/>
        </w:rPr>
        <w:t xml:space="preserve"> 311</w:t>
      </w:r>
      <w:r w:rsidR="00B344B6" w:rsidRPr="002B780F">
        <w:rPr>
          <w:lang w:val="en-CA"/>
        </w:rPr>
        <w:t xml:space="preserve"> at</w:t>
      </w:r>
      <w:r w:rsidRPr="002B780F">
        <w:rPr>
          <w:lang w:val="en-CA"/>
        </w:rPr>
        <w:t xml:space="preserve"> 341; </w:t>
      </w:r>
      <w:r w:rsidRPr="002B780F">
        <w:rPr>
          <w:i/>
          <w:lang w:val="en-CA"/>
        </w:rPr>
        <w:t>Manitoba (</w:t>
      </w:r>
      <w:r w:rsidR="00B344B6" w:rsidRPr="002B780F">
        <w:rPr>
          <w:i/>
          <w:lang w:val="en-CA"/>
        </w:rPr>
        <w:t>A</w:t>
      </w:r>
      <w:r w:rsidRPr="002B780F">
        <w:rPr>
          <w:i/>
          <w:lang w:val="en-CA"/>
        </w:rPr>
        <w:t>.G.)</w:t>
      </w:r>
      <w:r w:rsidRPr="002B780F">
        <w:rPr>
          <w:lang w:val="en-CA"/>
        </w:rPr>
        <w:t xml:space="preserve"> </w:t>
      </w:r>
      <w:r w:rsidR="00B344B6" w:rsidRPr="002B780F">
        <w:rPr>
          <w:i/>
          <w:iCs/>
          <w:lang w:val="en-CA"/>
        </w:rPr>
        <w:t>v</w:t>
      </w:r>
      <w:r w:rsidRPr="002B780F">
        <w:rPr>
          <w:i/>
          <w:iCs/>
          <w:lang w:val="en-CA"/>
        </w:rPr>
        <w:t>.</w:t>
      </w:r>
      <w:r w:rsidRPr="002B780F">
        <w:rPr>
          <w:lang w:val="en-CA"/>
        </w:rPr>
        <w:t xml:space="preserve"> </w:t>
      </w:r>
      <w:r w:rsidRPr="002B780F">
        <w:rPr>
          <w:i/>
          <w:lang w:val="en-CA"/>
        </w:rPr>
        <w:t>Metropolitan Stores Ltd.</w:t>
      </w:r>
      <w:r w:rsidRPr="002B780F">
        <w:rPr>
          <w:lang w:val="en-CA"/>
        </w:rPr>
        <w:t xml:space="preserve">, [1987] 1 </w:t>
      </w:r>
      <w:r w:rsidR="00F86545" w:rsidRPr="002B780F">
        <w:rPr>
          <w:lang w:val="en-CA"/>
        </w:rPr>
        <w:t>S.C.R.</w:t>
      </w:r>
      <w:r w:rsidRPr="002B780F">
        <w:rPr>
          <w:lang w:val="en-CA"/>
        </w:rPr>
        <w:t xml:space="preserve"> 110</w:t>
      </w:r>
      <w:r w:rsidR="00B344B6" w:rsidRPr="002B780F">
        <w:rPr>
          <w:lang w:val="en-CA"/>
        </w:rPr>
        <w:t xml:space="preserve"> at</w:t>
      </w:r>
      <w:r w:rsidRPr="002B780F">
        <w:rPr>
          <w:lang w:val="en-CA"/>
        </w:rPr>
        <w:t xml:space="preserve"> 128.</w:t>
      </w:r>
    </w:p>
  </w:footnote>
  <w:footnote w:id="23">
    <w:p w14:paraId="284F9524" w14:textId="1D2039CA" w:rsidR="00B83D45" w:rsidRPr="002B780F" w:rsidRDefault="00B83D45" w:rsidP="001841B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Pr="002B780F">
        <w:rPr>
          <w:i/>
          <w:lang w:val="en-CA"/>
        </w:rPr>
        <w:t>English Montreal School Board</w:t>
      </w:r>
      <w:r w:rsidRPr="002B780F">
        <w:rPr>
          <w:lang w:val="en-CA"/>
        </w:rPr>
        <w:t xml:space="preserve"> </w:t>
      </w:r>
      <w:r w:rsidRPr="002B780F">
        <w:rPr>
          <w:i/>
          <w:iCs/>
          <w:lang w:val="en-CA"/>
        </w:rPr>
        <w:t>c.</w:t>
      </w:r>
      <w:r w:rsidRPr="002B780F">
        <w:rPr>
          <w:lang w:val="en-CA"/>
        </w:rPr>
        <w:t xml:space="preserve"> </w:t>
      </w:r>
      <w:r w:rsidRPr="002B780F">
        <w:rPr>
          <w:i/>
          <w:lang w:val="en-CA"/>
        </w:rPr>
        <w:t>Procureure générale du Québec</w:t>
      </w:r>
      <w:r w:rsidRPr="002B780F">
        <w:rPr>
          <w:lang w:val="en-CA"/>
        </w:rPr>
        <w:t>, 2019 QCCS 268</w:t>
      </w:r>
      <w:r w:rsidR="00F86545" w:rsidRPr="002B780F">
        <w:rPr>
          <w:lang w:val="en-CA"/>
        </w:rPr>
        <w:t xml:space="preserve">2 at para. </w:t>
      </w:r>
      <w:r w:rsidRPr="002B780F">
        <w:rPr>
          <w:lang w:val="en-CA"/>
        </w:rPr>
        <w:t>43.</w:t>
      </w:r>
    </w:p>
  </w:footnote>
  <w:footnote w:id="24">
    <w:p w14:paraId="10194745" w14:textId="31B6D2AB" w:rsidR="00B83D45" w:rsidRPr="002B780F" w:rsidRDefault="00B83D45" w:rsidP="001841B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0A5496" w:rsidRPr="002B780F">
        <w:rPr>
          <w:lang w:val="en-CA"/>
        </w:rPr>
        <w:t>Originating application</w:t>
      </w:r>
      <w:r w:rsidR="002E5024" w:rsidRPr="002B780F">
        <w:rPr>
          <w:lang w:val="en-CA"/>
        </w:rPr>
        <w:t xml:space="preserve"> </w:t>
      </w:r>
      <w:r w:rsidR="00F86545" w:rsidRPr="002B780F">
        <w:rPr>
          <w:lang w:val="en-CA"/>
        </w:rPr>
        <w:t xml:space="preserve">at para. </w:t>
      </w:r>
      <w:r w:rsidRPr="002B780F">
        <w:rPr>
          <w:lang w:val="en-CA"/>
        </w:rPr>
        <w:t>48.</w:t>
      </w:r>
    </w:p>
  </w:footnote>
  <w:footnote w:id="25">
    <w:p w14:paraId="47A86374" w14:textId="1E36D5F5" w:rsidR="00B83D45" w:rsidRPr="002B780F" w:rsidRDefault="00B83D45" w:rsidP="001841BC">
      <w:pPr>
        <w:pStyle w:val="Notedebasdepage"/>
      </w:pPr>
      <w:r w:rsidRPr="002B780F">
        <w:rPr>
          <w:vertAlign w:val="superscript"/>
          <w:lang w:val="en-CA"/>
        </w:rPr>
        <w:footnoteRef/>
      </w:r>
      <w:r w:rsidRPr="002B780F">
        <w:rPr>
          <w:lang w:val="en-CA"/>
        </w:rPr>
        <w:t xml:space="preserve"> </w:t>
      </w:r>
      <w:r w:rsidRPr="002B780F">
        <w:rPr>
          <w:lang w:val="en-CA"/>
        </w:rPr>
        <w:tab/>
      </w:r>
      <w:r w:rsidR="002E5024" w:rsidRPr="002B780F">
        <w:rPr>
          <w:lang w:val="en-CA"/>
        </w:rPr>
        <w:t xml:space="preserve">Respondent’s </w:t>
      </w:r>
      <w:r w:rsidR="002865CB" w:rsidRPr="002B780F">
        <w:rPr>
          <w:lang w:val="en-CA"/>
        </w:rPr>
        <w:t>argumentation plan</w:t>
      </w:r>
      <w:r w:rsidR="002E5024" w:rsidRPr="002B780F">
        <w:rPr>
          <w:lang w:val="en-CA"/>
        </w:rPr>
        <w:t xml:space="preserve"> </w:t>
      </w:r>
      <w:r w:rsidR="00F86545" w:rsidRPr="002B780F">
        <w:rPr>
          <w:lang w:val="en-CA"/>
        </w:rPr>
        <w:t xml:space="preserve">at para. </w:t>
      </w:r>
      <w:r w:rsidRPr="002B780F">
        <w:t>36.</w:t>
      </w:r>
    </w:p>
  </w:footnote>
  <w:footnote w:id="26">
    <w:p w14:paraId="7EC75BB5" w14:textId="6709AF91" w:rsidR="00B83D45" w:rsidRPr="002B780F" w:rsidRDefault="00B83D45" w:rsidP="00E7435F">
      <w:pPr>
        <w:pStyle w:val="Notedebasdepage"/>
        <w:rPr>
          <w:lang w:val="en-CA"/>
        </w:rPr>
      </w:pPr>
      <w:r w:rsidRPr="002B780F">
        <w:rPr>
          <w:rStyle w:val="Appelnotedebasdep"/>
          <w:lang w:val="en-CA"/>
        </w:rPr>
        <w:footnoteRef/>
      </w:r>
      <w:r w:rsidRPr="002B780F">
        <w:t xml:space="preserve"> </w:t>
      </w:r>
      <w:r w:rsidRPr="002B780F">
        <w:tab/>
      </w:r>
      <w:r w:rsidRPr="002B780F">
        <w:rPr>
          <w:i/>
        </w:rPr>
        <w:t>Hak</w:t>
      </w:r>
      <w:r w:rsidRPr="002B780F">
        <w:t xml:space="preserve"> </w:t>
      </w:r>
      <w:r w:rsidRPr="002B780F">
        <w:rPr>
          <w:i/>
          <w:iCs/>
        </w:rPr>
        <w:t>c.</w:t>
      </w:r>
      <w:r w:rsidRPr="002B780F">
        <w:t xml:space="preserve"> </w:t>
      </w:r>
      <w:r w:rsidRPr="002B780F">
        <w:rPr>
          <w:i/>
        </w:rPr>
        <w:t>Procureure générale du Québec</w:t>
      </w:r>
      <w:r w:rsidRPr="002B780F">
        <w:t>, 2019 QCCA 214</w:t>
      </w:r>
      <w:r w:rsidR="00F86545" w:rsidRPr="002B780F">
        <w:t>5 at para</w:t>
      </w:r>
      <w:r w:rsidR="002E5024" w:rsidRPr="002B780F">
        <w:t>s</w:t>
      </w:r>
      <w:r w:rsidR="00F86545" w:rsidRPr="002B780F">
        <w:t xml:space="preserve">. </w:t>
      </w:r>
      <w:r w:rsidRPr="002B780F">
        <w:rPr>
          <w:lang w:val="en-CA"/>
        </w:rPr>
        <w:t>109, 110</w:t>
      </w:r>
      <w:r w:rsidR="002E5024" w:rsidRPr="002B780F">
        <w:rPr>
          <w:lang w:val="en-CA"/>
        </w:rPr>
        <w:t xml:space="preserve"> and</w:t>
      </w:r>
      <w:r w:rsidRPr="002B780F">
        <w:rPr>
          <w:lang w:val="en-CA"/>
        </w:rPr>
        <w:t xml:space="preserve"> 115</w:t>
      </w:r>
      <w:r w:rsidR="009916C0" w:rsidRPr="002B780F">
        <w:rPr>
          <w:lang w:val="en-CA"/>
        </w:rPr>
        <w:t>,</w:t>
      </w:r>
      <w:r w:rsidRPr="002B780F">
        <w:rPr>
          <w:lang w:val="en-CA"/>
        </w:rPr>
        <w:t xml:space="preserve"> </w:t>
      </w:r>
      <w:r w:rsidR="002E5024" w:rsidRPr="002B780F">
        <w:rPr>
          <w:lang w:val="en-CA"/>
        </w:rPr>
        <w:t xml:space="preserve">leave to appeal to </w:t>
      </w:r>
      <w:r w:rsidR="009A36D5" w:rsidRPr="002B780F">
        <w:rPr>
          <w:lang w:val="en-CA"/>
        </w:rPr>
        <w:t xml:space="preserve">S.C.C. </w:t>
      </w:r>
      <w:r w:rsidR="002E5024" w:rsidRPr="002B780F">
        <w:rPr>
          <w:lang w:val="en-CA"/>
        </w:rPr>
        <w:t>refused,</w:t>
      </w:r>
      <w:r w:rsidRPr="002B780F">
        <w:rPr>
          <w:lang w:val="en-CA"/>
        </w:rPr>
        <w:t xml:space="preserve"> </w:t>
      </w:r>
      <w:r w:rsidR="009A36D5" w:rsidRPr="002B780F">
        <w:rPr>
          <w:lang w:val="en-CA"/>
        </w:rPr>
        <w:t>39016 (9 April 2020);</w:t>
      </w:r>
      <w:r w:rsidRPr="002B780F">
        <w:rPr>
          <w:lang w:val="en-CA"/>
        </w:rPr>
        <w:t xml:space="preserve"> </w:t>
      </w:r>
      <w:r w:rsidRPr="002B780F">
        <w:rPr>
          <w:i/>
          <w:lang w:val="en-CA"/>
        </w:rPr>
        <w:t>Karounis</w:t>
      </w:r>
      <w:r w:rsidRPr="002B780F">
        <w:rPr>
          <w:lang w:val="en-CA"/>
        </w:rPr>
        <w:t xml:space="preserve"> </w:t>
      </w:r>
      <w:r w:rsidRPr="002B780F">
        <w:rPr>
          <w:i/>
          <w:iCs/>
          <w:lang w:val="en-CA"/>
        </w:rPr>
        <w:t>c.</w:t>
      </w:r>
      <w:r w:rsidRPr="002B780F">
        <w:rPr>
          <w:lang w:val="en-CA"/>
        </w:rPr>
        <w:t xml:space="preserve"> </w:t>
      </w:r>
      <w:r w:rsidRPr="002B780F">
        <w:rPr>
          <w:i/>
          <w:lang w:val="en-CA"/>
        </w:rPr>
        <w:t>Procureur général du Québec</w:t>
      </w:r>
      <w:r w:rsidRPr="002B780F">
        <w:rPr>
          <w:lang w:val="en-CA"/>
        </w:rPr>
        <w:t>, 2020 QCCS 281</w:t>
      </w:r>
      <w:r w:rsidR="00F86545" w:rsidRPr="002B780F">
        <w:rPr>
          <w:lang w:val="en-CA"/>
        </w:rPr>
        <w:t xml:space="preserve">7 at para. </w:t>
      </w:r>
      <w:r w:rsidRPr="002B780F">
        <w:rPr>
          <w:lang w:val="en-CA"/>
        </w:rPr>
        <w:t>31</w:t>
      </w:r>
      <w:r w:rsidR="007413F2" w:rsidRPr="002B780F">
        <w:rPr>
          <w:lang w:val="en-CA"/>
        </w:rPr>
        <w:t>.</w:t>
      </w:r>
    </w:p>
  </w:footnote>
  <w:footnote w:id="27">
    <w:p w14:paraId="21FC34DB" w14:textId="6FA9E702" w:rsidR="00B83D45" w:rsidRPr="002B780F" w:rsidRDefault="00B83D45" w:rsidP="001841BC">
      <w:pPr>
        <w:pStyle w:val="Notedebasdepage"/>
        <w:rPr>
          <w:strike/>
        </w:rPr>
      </w:pPr>
      <w:r w:rsidRPr="002B780F">
        <w:rPr>
          <w:vertAlign w:val="superscript"/>
          <w:lang w:val="en-CA"/>
        </w:rPr>
        <w:footnoteRef/>
      </w:r>
      <w:r w:rsidRPr="002B780F">
        <w:rPr>
          <w:lang w:val="en-CA"/>
        </w:rPr>
        <w:t xml:space="preserve"> </w:t>
      </w:r>
      <w:r w:rsidRPr="002B780F">
        <w:rPr>
          <w:lang w:val="en-CA"/>
        </w:rPr>
        <w:tab/>
      </w:r>
      <w:r w:rsidR="002E5024" w:rsidRPr="002B780F">
        <w:rPr>
          <w:lang w:val="en-CA"/>
        </w:rPr>
        <w:t>See</w:t>
      </w:r>
      <w:r w:rsidRPr="002B780F">
        <w:rPr>
          <w:lang w:val="en-CA"/>
        </w:rPr>
        <w:t xml:space="preserve"> </w:t>
      </w:r>
      <w:r w:rsidRPr="002B780F">
        <w:rPr>
          <w:i/>
          <w:iCs/>
          <w:lang w:val="en-CA"/>
        </w:rPr>
        <w:t xml:space="preserve">Harper </w:t>
      </w:r>
      <w:r w:rsidR="002E5024" w:rsidRPr="002B780F">
        <w:rPr>
          <w:i/>
          <w:iCs/>
          <w:lang w:val="en-CA"/>
        </w:rPr>
        <w:t>v</w:t>
      </w:r>
      <w:r w:rsidRPr="002B780F">
        <w:rPr>
          <w:i/>
          <w:iCs/>
          <w:lang w:val="en-CA"/>
        </w:rPr>
        <w:t xml:space="preserve">. Canada </w:t>
      </w:r>
      <w:r w:rsidR="00F86545" w:rsidRPr="002B780F">
        <w:rPr>
          <w:i/>
          <w:iCs/>
          <w:lang w:val="en-CA"/>
        </w:rPr>
        <w:t>(Attorney General)</w:t>
      </w:r>
      <w:r w:rsidRPr="002B780F">
        <w:rPr>
          <w:i/>
          <w:iCs/>
          <w:lang w:val="en-CA"/>
        </w:rPr>
        <w:t>,</w:t>
      </w:r>
      <w:r w:rsidRPr="002B780F">
        <w:rPr>
          <w:lang w:val="en-CA"/>
        </w:rPr>
        <w:t xml:space="preserve"> 2000 S</w:t>
      </w:r>
      <w:r w:rsidR="002E5024" w:rsidRPr="002B780F">
        <w:rPr>
          <w:lang w:val="en-CA"/>
        </w:rPr>
        <w:t>C</w:t>
      </w:r>
      <w:r w:rsidRPr="002B780F">
        <w:rPr>
          <w:lang w:val="en-CA"/>
        </w:rPr>
        <w:t>C 5</w:t>
      </w:r>
      <w:r w:rsidR="00F86545" w:rsidRPr="002B780F">
        <w:rPr>
          <w:lang w:val="en-CA"/>
        </w:rPr>
        <w:t>7 at para</w:t>
      </w:r>
      <w:r w:rsidR="002E5024" w:rsidRPr="002B780F">
        <w:rPr>
          <w:lang w:val="en-CA"/>
        </w:rPr>
        <w:t>s</w:t>
      </w:r>
      <w:r w:rsidR="00F86545" w:rsidRPr="002B780F">
        <w:rPr>
          <w:lang w:val="en-CA"/>
        </w:rPr>
        <w:t xml:space="preserve">. </w:t>
      </w:r>
      <w:r w:rsidRPr="002B780F">
        <w:rPr>
          <w:lang w:val="en-CA"/>
        </w:rPr>
        <w:t>9</w:t>
      </w:r>
      <w:r w:rsidR="002E5024" w:rsidRPr="002B780F">
        <w:rPr>
          <w:lang w:val="en-CA"/>
        </w:rPr>
        <w:t xml:space="preserve"> and</w:t>
      </w:r>
      <w:r w:rsidRPr="002B780F">
        <w:rPr>
          <w:lang w:val="en-CA"/>
        </w:rPr>
        <w:t xml:space="preserve"> 11; </w:t>
      </w:r>
      <w:r w:rsidRPr="002B780F">
        <w:rPr>
          <w:i/>
          <w:iCs/>
          <w:lang w:val="en-CA"/>
        </w:rPr>
        <w:t>Karounis c. Procureur général du Québec</w:t>
      </w:r>
      <w:r w:rsidRPr="002B780F">
        <w:rPr>
          <w:lang w:val="en-CA"/>
        </w:rPr>
        <w:t>, 2020 QCCS 281</w:t>
      </w:r>
      <w:r w:rsidR="00F86545" w:rsidRPr="002B780F">
        <w:rPr>
          <w:lang w:val="en-CA"/>
        </w:rPr>
        <w:t xml:space="preserve">7 at para. </w:t>
      </w:r>
      <w:r w:rsidRPr="002B780F">
        <w:t>30.</w:t>
      </w:r>
    </w:p>
  </w:footnote>
  <w:footnote w:id="28">
    <w:p w14:paraId="6384759F" w14:textId="0F763CBC" w:rsidR="00B83D45" w:rsidRPr="002B780F" w:rsidRDefault="00B83D45" w:rsidP="001841BC">
      <w:pPr>
        <w:pStyle w:val="Notedebasdepage"/>
        <w:rPr>
          <w:lang w:val="en-CA"/>
        </w:rPr>
      </w:pPr>
      <w:r w:rsidRPr="002B780F">
        <w:rPr>
          <w:vertAlign w:val="superscript"/>
          <w:lang w:val="en-CA"/>
        </w:rPr>
        <w:footnoteRef/>
      </w:r>
      <w:r w:rsidRPr="002B780F">
        <w:t xml:space="preserve"> </w:t>
      </w:r>
      <w:r w:rsidRPr="002B780F">
        <w:tab/>
      </w:r>
      <w:r w:rsidR="002E5024" w:rsidRPr="002B780F">
        <w:t>See also</w:t>
      </w:r>
      <w:r w:rsidRPr="002B780F">
        <w:t xml:space="preserve"> </w:t>
      </w:r>
      <w:r w:rsidRPr="002B780F">
        <w:rPr>
          <w:i/>
          <w:iCs/>
        </w:rPr>
        <w:t>Hak c. Procureure générale du Québec</w:t>
      </w:r>
      <w:r w:rsidRPr="002B780F">
        <w:t>, 2019 QCCA 214</w:t>
      </w:r>
      <w:r w:rsidR="00F86545" w:rsidRPr="002B780F">
        <w:t xml:space="preserve">5 at para. </w:t>
      </w:r>
      <w:r w:rsidRPr="002B780F">
        <w:rPr>
          <w:lang w:val="en-CA"/>
        </w:rPr>
        <w:t xml:space="preserve">108, </w:t>
      </w:r>
      <w:r w:rsidRPr="002B780F">
        <w:rPr>
          <w:i/>
          <w:iCs/>
          <w:lang w:val="en-CA"/>
        </w:rPr>
        <w:t>Karounis c</w:t>
      </w:r>
      <w:r w:rsidR="002E5024" w:rsidRPr="002B780F">
        <w:rPr>
          <w:i/>
          <w:iCs/>
          <w:lang w:val="en-CA"/>
        </w:rPr>
        <w:t>.</w:t>
      </w:r>
      <w:r w:rsidRPr="002B780F">
        <w:rPr>
          <w:i/>
          <w:iCs/>
          <w:lang w:val="en-CA"/>
        </w:rPr>
        <w:t xml:space="preserve"> Procureur Général du Québec</w:t>
      </w:r>
      <w:r w:rsidR="002E5024" w:rsidRPr="002B780F">
        <w:rPr>
          <w:i/>
          <w:iCs/>
          <w:lang w:val="en-CA"/>
        </w:rPr>
        <w:t>,</w:t>
      </w:r>
      <w:r w:rsidRPr="002B780F">
        <w:rPr>
          <w:lang w:val="en-CA"/>
        </w:rPr>
        <w:t xml:space="preserve"> 2020 QCCS 281</w:t>
      </w:r>
      <w:r w:rsidR="00F86545" w:rsidRPr="002B780F">
        <w:rPr>
          <w:lang w:val="en-CA"/>
        </w:rPr>
        <w:t xml:space="preserve">7 at para. </w:t>
      </w:r>
      <w:r w:rsidRPr="002B780F">
        <w:rPr>
          <w:lang w:val="en-CA"/>
        </w:rPr>
        <w:t>29</w:t>
      </w:r>
      <w:r w:rsidR="00000C9A" w:rsidRPr="002B780F">
        <w:rPr>
          <w:lang w:val="en-CA"/>
        </w:rPr>
        <w:t>.</w:t>
      </w:r>
      <w:r w:rsidRPr="002B780F">
        <w:rPr>
          <w:strike/>
          <w:lang w:val="en-CA"/>
        </w:rPr>
        <w:t xml:space="preserve"> </w:t>
      </w:r>
    </w:p>
  </w:footnote>
  <w:footnote w:id="29">
    <w:p w14:paraId="40A86445" w14:textId="3B1689EC" w:rsidR="00B83D45" w:rsidRPr="002B780F" w:rsidRDefault="00B83D45" w:rsidP="001841B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8C7CCD" w:rsidRPr="002B780F">
        <w:rPr>
          <w:lang w:val="en-CA"/>
        </w:rPr>
        <w:t xml:space="preserve">Sworn statement of </w:t>
      </w:r>
      <w:r w:rsidRPr="002B780F">
        <w:rPr>
          <w:lang w:val="en-CA"/>
        </w:rPr>
        <w:t>Doug Mitchell</w:t>
      </w:r>
      <w:r w:rsidR="008C7CCD" w:rsidRPr="002B780F">
        <w:rPr>
          <w:lang w:val="en-CA"/>
        </w:rPr>
        <w:t xml:space="preserve"> </w:t>
      </w:r>
      <w:r w:rsidR="00F86545" w:rsidRPr="002B780F">
        <w:rPr>
          <w:lang w:val="en-CA"/>
        </w:rPr>
        <w:t>at para</w:t>
      </w:r>
      <w:r w:rsidR="008C7CCD" w:rsidRPr="002B780F">
        <w:rPr>
          <w:lang w:val="en-CA"/>
        </w:rPr>
        <w:t>s</w:t>
      </w:r>
      <w:r w:rsidR="00F86545" w:rsidRPr="002B780F">
        <w:rPr>
          <w:lang w:val="en-CA"/>
        </w:rPr>
        <w:t xml:space="preserve">. </w:t>
      </w:r>
      <w:r w:rsidRPr="002B780F">
        <w:rPr>
          <w:lang w:val="en-CA"/>
        </w:rPr>
        <w:t>9, 11</w:t>
      </w:r>
      <w:r w:rsidR="008C7CCD" w:rsidRPr="002B780F">
        <w:rPr>
          <w:lang w:val="en-CA"/>
        </w:rPr>
        <w:t xml:space="preserve"> and</w:t>
      </w:r>
      <w:r w:rsidRPr="002B780F">
        <w:rPr>
          <w:lang w:val="en-CA"/>
        </w:rPr>
        <w:t xml:space="preserve"> 12; </w:t>
      </w:r>
      <w:r w:rsidR="008C7CCD" w:rsidRPr="002B780F">
        <w:rPr>
          <w:lang w:val="en-CA"/>
        </w:rPr>
        <w:t>First</w:t>
      </w:r>
      <w:r w:rsidRPr="002B780F">
        <w:rPr>
          <w:lang w:val="en-CA"/>
        </w:rPr>
        <w:t xml:space="preserve"> </w:t>
      </w:r>
      <w:r w:rsidR="008C7CCD" w:rsidRPr="002B780F">
        <w:rPr>
          <w:lang w:val="en-CA"/>
        </w:rPr>
        <w:t xml:space="preserve">sworn statement of </w:t>
      </w:r>
      <w:r w:rsidRPr="002B780F">
        <w:rPr>
          <w:lang w:val="en-CA"/>
        </w:rPr>
        <w:t>Michael Shortt</w:t>
      </w:r>
      <w:r w:rsidR="008C7CCD" w:rsidRPr="002B780F">
        <w:rPr>
          <w:lang w:val="en-CA"/>
        </w:rPr>
        <w:t xml:space="preserve"> </w:t>
      </w:r>
      <w:r w:rsidR="00F86545" w:rsidRPr="002B780F">
        <w:rPr>
          <w:lang w:val="en-CA"/>
        </w:rPr>
        <w:t>at para</w:t>
      </w:r>
      <w:r w:rsidR="008C7CCD" w:rsidRPr="002B780F">
        <w:rPr>
          <w:lang w:val="en-CA"/>
        </w:rPr>
        <w:t>s</w:t>
      </w:r>
      <w:r w:rsidR="00F86545" w:rsidRPr="002B780F">
        <w:rPr>
          <w:lang w:val="en-CA"/>
        </w:rPr>
        <w:t xml:space="preserve">. </w:t>
      </w:r>
      <w:r w:rsidRPr="002B780F">
        <w:rPr>
          <w:lang w:val="en-CA"/>
        </w:rPr>
        <w:t>22</w:t>
      </w:r>
      <w:r w:rsidR="00000C9A" w:rsidRPr="002B780F">
        <w:rPr>
          <w:rFonts w:cs="Arial"/>
          <w:lang w:val="en-CA"/>
        </w:rPr>
        <w:t>–</w:t>
      </w:r>
      <w:r w:rsidRPr="002B780F">
        <w:rPr>
          <w:lang w:val="en-CA"/>
        </w:rPr>
        <w:t xml:space="preserve">23; </w:t>
      </w:r>
      <w:r w:rsidR="008C7CCD" w:rsidRPr="002B780F">
        <w:rPr>
          <w:lang w:val="en-CA"/>
        </w:rPr>
        <w:t xml:space="preserve">Sworn statement of </w:t>
      </w:r>
      <w:r w:rsidRPr="002B780F">
        <w:rPr>
          <w:lang w:val="en-CA"/>
        </w:rPr>
        <w:t>Tonya Perron</w:t>
      </w:r>
      <w:r w:rsidR="008C7CCD" w:rsidRPr="002B780F">
        <w:rPr>
          <w:lang w:val="en-CA"/>
        </w:rPr>
        <w:t xml:space="preserve"> </w:t>
      </w:r>
      <w:r w:rsidR="00F86545" w:rsidRPr="002B780F">
        <w:rPr>
          <w:lang w:val="en-CA"/>
        </w:rPr>
        <w:t xml:space="preserve">at para. </w:t>
      </w:r>
      <w:r w:rsidRPr="002B780F">
        <w:rPr>
          <w:lang w:val="en-CA"/>
        </w:rPr>
        <w:t>30.</w:t>
      </w:r>
    </w:p>
  </w:footnote>
  <w:footnote w:id="30">
    <w:p w14:paraId="171B7D57" w14:textId="3A9DC604" w:rsidR="00B83D45" w:rsidRPr="002B780F" w:rsidRDefault="00B83D45" w:rsidP="001841B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8C7CCD" w:rsidRPr="002B780F">
        <w:rPr>
          <w:lang w:val="en-CA"/>
        </w:rPr>
        <w:t>First</w:t>
      </w:r>
      <w:r w:rsidRPr="002B780F">
        <w:rPr>
          <w:lang w:val="en-CA"/>
        </w:rPr>
        <w:t xml:space="preserve"> </w:t>
      </w:r>
      <w:r w:rsidR="008C7CCD" w:rsidRPr="002B780F">
        <w:rPr>
          <w:lang w:val="en-CA"/>
        </w:rPr>
        <w:t xml:space="preserve">sworn statement of </w:t>
      </w:r>
      <w:r w:rsidRPr="002B780F">
        <w:rPr>
          <w:lang w:val="en-CA"/>
        </w:rPr>
        <w:t>Michael Shortt</w:t>
      </w:r>
      <w:r w:rsidR="008C7CCD" w:rsidRPr="002B780F">
        <w:rPr>
          <w:lang w:val="en-CA"/>
        </w:rPr>
        <w:t xml:space="preserve"> </w:t>
      </w:r>
      <w:r w:rsidR="00F86545" w:rsidRPr="002B780F">
        <w:rPr>
          <w:lang w:val="en-CA"/>
        </w:rPr>
        <w:t xml:space="preserve">at para. </w:t>
      </w:r>
      <w:r w:rsidRPr="002B780F">
        <w:rPr>
          <w:lang w:val="en-CA"/>
        </w:rPr>
        <w:t>23.</w:t>
      </w:r>
    </w:p>
  </w:footnote>
  <w:footnote w:id="31">
    <w:p w14:paraId="14A43705" w14:textId="5AF9864B" w:rsidR="00B83D45" w:rsidRPr="002B780F" w:rsidRDefault="00B83D45" w:rsidP="001841B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8C7CCD" w:rsidRPr="002B780F">
        <w:rPr>
          <w:lang w:val="en-CA"/>
        </w:rPr>
        <w:t xml:space="preserve">Sworn statement of </w:t>
      </w:r>
      <w:r w:rsidRPr="002B780F">
        <w:rPr>
          <w:lang w:val="en-CA"/>
        </w:rPr>
        <w:t>Doug Mitchell</w:t>
      </w:r>
      <w:r w:rsidR="008C7CCD" w:rsidRPr="002B780F">
        <w:rPr>
          <w:lang w:val="en-CA"/>
        </w:rPr>
        <w:t xml:space="preserve"> </w:t>
      </w:r>
      <w:r w:rsidR="00F86545" w:rsidRPr="002B780F">
        <w:rPr>
          <w:lang w:val="en-CA"/>
        </w:rPr>
        <w:t>at para</w:t>
      </w:r>
      <w:r w:rsidR="008C7CCD" w:rsidRPr="002B780F">
        <w:rPr>
          <w:lang w:val="en-CA"/>
        </w:rPr>
        <w:t>s</w:t>
      </w:r>
      <w:r w:rsidR="00F86545" w:rsidRPr="002B780F">
        <w:rPr>
          <w:lang w:val="en-CA"/>
        </w:rPr>
        <w:t xml:space="preserve">. </w:t>
      </w:r>
      <w:r w:rsidRPr="002B780F">
        <w:rPr>
          <w:lang w:val="en-CA"/>
        </w:rPr>
        <w:t>10</w:t>
      </w:r>
      <w:r w:rsidR="002343CE" w:rsidRPr="002B780F">
        <w:rPr>
          <w:lang w:val="en-CA"/>
        </w:rPr>
        <w:t>–</w:t>
      </w:r>
      <w:r w:rsidRPr="002B780F">
        <w:rPr>
          <w:lang w:val="en-CA"/>
        </w:rPr>
        <w:t xml:space="preserve">13; </w:t>
      </w:r>
      <w:r w:rsidR="008C7CCD" w:rsidRPr="002B780F">
        <w:rPr>
          <w:lang w:val="en-CA"/>
        </w:rPr>
        <w:t>First</w:t>
      </w:r>
      <w:r w:rsidR="00850934" w:rsidRPr="002B780F">
        <w:rPr>
          <w:lang w:val="en-CA"/>
        </w:rPr>
        <w:t xml:space="preserve"> </w:t>
      </w:r>
      <w:r w:rsidR="008C7CCD" w:rsidRPr="002B780F">
        <w:rPr>
          <w:lang w:val="en-CA"/>
        </w:rPr>
        <w:t xml:space="preserve">sworn statement of </w:t>
      </w:r>
      <w:r w:rsidRPr="002B780F">
        <w:rPr>
          <w:lang w:val="en-CA"/>
        </w:rPr>
        <w:t>Michael Shortt</w:t>
      </w:r>
      <w:r w:rsidR="008C7CCD" w:rsidRPr="002B780F">
        <w:rPr>
          <w:lang w:val="en-CA"/>
        </w:rPr>
        <w:t xml:space="preserve"> </w:t>
      </w:r>
      <w:r w:rsidR="00F86545" w:rsidRPr="002B780F">
        <w:rPr>
          <w:lang w:val="en-CA"/>
        </w:rPr>
        <w:t>at para</w:t>
      </w:r>
      <w:r w:rsidR="008C7CCD" w:rsidRPr="002B780F">
        <w:rPr>
          <w:lang w:val="en-CA"/>
        </w:rPr>
        <w:t>s</w:t>
      </w:r>
      <w:r w:rsidR="00F86545" w:rsidRPr="002B780F">
        <w:rPr>
          <w:lang w:val="en-CA"/>
        </w:rPr>
        <w:t>.</w:t>
      </w:r>
      <w:r w:rsidR="00917DA9" w:rsidRPr="002B780F">
        <w:rPr>
          <w:lang w:val="en-CA"/>
        </w:rPr>
        <w:t> </w:t>
      </w:r>
      <w:r w:rsidRPr="002B780F">
        <w:rPr>
          <w:lang w:val="en-CA"/>
        </w:rPr>
        <w:t>23, 31</w:t>
      </w:r>
      <w:r w:rsidR="008C7CCD" w:rsidRPr="002B780F">
        <w:rPr>
          <w:lang w:val="en-CA"/>
        </w:rPr>
        <w:t xml:space="preserve"> and</w:t>
      </w:r>
      <w:r w:rsidRPr="002B780F">
        <w:rPr>
          <w:lang w:val="en-CA"/>
        </w:rPr>
        <w:t xml:space="preserve"> 40</w:t>
      </w:r>
      <w:r w:rsidR="002343CE" w:rsidRPr="002B780F">
        <w:rPr>
          <w:lang w:val="en-CA"/>
        </w:rPr>
        <w:t>–</w:t>
      </w:r>
      <w:r w:rsidRPr="002B780F">
        <w:rPr>
          <w:lang w:val="en-CA"/>
        </w:rPr>
        <w:t xml:space="preserve">42; </w:t>
      </w:r>
      <w:r w:rsidR="008C7CCD" w:rsidRPr="002B780F">
        <w:rPr>
          <w:lang w:val="en-CA"/>
        </w:rPr>
        <w:t xml:space="preserve">Sworn statement of </w:t>
      </w:r>
      <w:r w:rsidRPr="002B780F">
        <w:rPr>
          <w:lang w:val="en-CA"/>
        </w:rPr>
        <w:t>Tonya Perron</w:t>
      </w:r>
      <w:r w:rsidR="008C7CCD" w:rsidRPr="002B780F">
        <w:rPr>
          <w:lang w:val="en-CA"/>
        </w:rPr>
        <w:t xml:space="preserve"> </w:t>
      </w:r>
      <w:r w:rsidR="00F86545" w:rsidRPr="002B780F">
        <w:rPr>
          <w:lang w:val="en-CA"/>
        </w:rPr>
        <w:t>at para</w:t>
      </w:r>
      <w:r w:rsidR="008C7CCD" w:rsidRPr="002B780F">
        <w:rPr>
          <w:lang w:val="en-CA"/>
        </w:rPr>
        <w:t>s</w:t>
      </w:r>
      <w:r w:rsidR="00F86545" w:rsidRPr="002B780F">
        <w:rPr>
          <w:lang w:val="en-CA"/>
        </w:rPr>
        <w:t xml:space="preserve">. </w:t>
      </w:r>
      <w:r w:rsidRPr="002B780F">
        <w:rPr>
          <w:lang w:val="en-CA"/>
        </w:rPr>
        <w:t>29</w:t>
      </w:r>
      <w:r w:rsidR="008C7CCD" w:rsidRPr="002B780F">
        <w:rPr>
          <w:lang w:val="en-CA"/>
        </w:rPr>
        <w:t xml:space="preserve"> and</w:t>
      </w:r>
      <w:r w:rsidRPr="002B780F">
        <w:rPr>
          <w:lang w:val="en-CA"/>
        </w:rPr>
        <w:t xml:space="preserve"> 76.</w:t>
      </w:r>
    </w:p>
  </w:footnote>
  <w:footnote w:id="32">
    <w:p w14:paraId="7ADF6812" w14:textId="738CDED8" w:rsidR="00B83D45" w:rsidRPr="002B780F" w:rsidRDefault="00B83D45" w:rsidP="001841B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8C7CCD" w:rsidRPr="002B780F">
        <w:rPr>
          <w:lang w:val="en-CA"/>
        </w:rPr>
        <w:t xml:space="preserve">Sworn statement of </w:t>
      </w:r>
      <w:r w:rsidRPr="002B780F">
        <w:rPr>
          <w:lang w:val="en-CA"/>
        </w:rPr>
        <w:t>Doug Mitchell</w:t>
      </w:r>
      <w:r w:rsidR="008C7CCD" w:rsidRPr="002B780F">
        <w:rPr>
          <w:lang w:val="en-CA"/>
        </w:rPr>
        <w:t xml:space="preserve"> </w:t>
      </w:r>
      <w:r w:rsidR="00F86545" w:rsidRPr="002B780F">
        <w:rPr>
          <w:lang w:val="en-CA"/>
        </w:rPr>
        <w:t>at para</w:t>
      </w:r>
      <w:r w:rsidR="008C7CCD" w:rsidRPr="002B780F">
        <w:rPr>
          <w:lang w:val="en-CA"/>
        </w:rPr>
        <w:t>s</w:t>
      </w:r>
      <w:r w:rsidR="00F86545" w:rsidRPr="002B780F">
        <w:rPr>
          <w:lang w:val="en-CA"/>
        </w:rPr>
        <w:t xml:space="preserve">. </w:t>
      </w:r>
      <w:r w:rsidRPr="002B780F">
        <w:rPr>
          <w:lang w:val="en-CA"/>
        </w:rPr>
        <w:t>13</w:t>
      </w:r>
      <w:r w:rsidR="008C7CCD" w:rsidRPr="002B780F">
        <w:rPr>
          <w:lang w:val="en-CA"/>
        </w:rPr>
        <w:t xml:space="preserve"> and</w:t>
      </w:r>
      <w:r w:rsidRPr="002B780F">
        <w:rPr>
          <w:lang w:val="en-CA"/>
        </w:rPr>
        <w:t xml:space="preserve"> 29</w:t>
      </w:r>
      <w:r w:rsidR="002343CE" w:rsidRPr="002B780F">
        <w:rPr>
          <w:lang w:val="en-CA"/>
        </w:rPr>
        <w:t>–</w:t>
      </w:r>
      <w:r w:rsidRPr="002B780F">
        <w:rPr>
          <w:lang w:val="en-CA"/>
        </w:rPr>
        <w:t>31.</w:t>
      </w:r>
    </w:p>
  </w:footnote>
  <w:footnote w:id="33">
    <w:p w14:paraId="67A86FA6" w14:textId="048226AE" w:rsidR="00B83D45" w:rsidRPr="002B780F" w:rsidRDefault="00B83D45" w:rsidP="001841B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8744F5" w:rsidRPr="002B780F">
        <w:rPr>
          <w:lang w:val="en-CA"/>
        </w:rPr>
        <w:t>First</w:t>
      </w:r>
      <w:r w:rsidRPr="002B780F">
        <w:rPr>
          <w:lang w:val="en-CA"/>
        </w:rPr>
        <w:t xml:space="preserve"> </w:t>
      </w:r>
      <w:r w:rsidR="008C7CCD" w:rsidRPr="002B780F">
        <w:rPr>
          <w:lang w:val="en-CA"/>
        </w:rPr>
        <w:t xml:space="preserve">sworn statement of </w:t>
      </w:r>
      <w:r w:rsidRPr="002B780F">
        <w:rPr>
          <w:lang w:val="en-CA"/>
        </w:rPr>
        <w:t>Michael Shortt</w:t>
      </w:r>
      <w:r w:rsidR="008C7CCD" w:rsidRPr="002B780F">
        <w:rPr>
          <w:lang w:val="en-CA"/>
        </w:rPr>
        <w:t xml:space="preserve"> </w:t>
      </w:r>
      <w:r w:rsidR="00F86545" w:rsidRPr="002B780F">
        <w:rPr>
          <w:lang w:val="en-CA"/>
        </w:rPr>
        <w:t>at para</w:t>
      </w:r>
      <w:r w:rsidR="008C7CCD" w:rsidRPr="002B780F">
        <w:rPr>
          <w:lang w:val="en-CA"/>
        </w:rPr>
        <w:t>s</w:t>
      </w:r>
      <w:r w:rsidR="00F86545" w:rsidRPr="002B780F">
        <w:rPr>
          <w:lang w:val="en-CA"/>
        </w:rPr>
        <w:t xml:space="preserve">. </w:t>
      </w:r>
      <w:r w:rsidRPr="002B780F">
        <w:rPr>
          <w:lang w:val="en-CA"/>
        </w:rPr>
        <w:t>31</w:t>
      </w:r>
      <w:r w:rsidR="008C7CCD" w:rsidRPr="002B780F">
        <w:rPr>
          <w:lang w:val="en-CA"/>
        </w:rPr>
        <w:t xml:space="preserve"> and</w:t>
      </w:r>
      <w:r w:rsidRPr="002B780F">
        <w:rPr>
          <w:lang w:val="en-CA"/>
        </w:rPr>
        <w:t xml:space="preserve"> 40.</w:t>
      </w:r>
    </w:p>
  </w:footnote>
  <w:footnote w:id="34">
    <w:p w14:paraId="43D02FE9" w14:textId="0FAEE7E9" w:rsidR="00B83D45" w:rsidRPr="002B780F" w:rsidRDefault="00B83D45" w:rsidP="001841B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8C7CCD" w:rsidRPr="002B780F">
        <w:rPr>
          <w:lang w:val="en-CA"/>
        </w:rPr>
        <w:t xml:space="preserve">Sworn statement of </w:t>
      </w:r>
      <w:r w:rsidRPr="002B780F">
        <w:rPr>
          <w:lang w:val="en-CA"/>
        </w:rPr>
        <w:t>Tonya Perron</w:t>
      </w:r>
      <w:r w:rsidR="008C7CCD" w:rsidRPr="002B780F">
        <w:rPr>
          <w:lang w:val="en-CA"/>
        </w:rPr>
        <w:t xml:space="preserve"> </w:t>
      </w:r>
      <w:r w:rsidR="00F86545" w:rsidRPr="002B780F">
        <w:rPr>
          <w:lang w:val="en-CA"/>
        </w:rPr>
        <w:t>at para</w:t>
      </w:r>
      <w:r w:rsidR="008C7CCD" w:rsidRPr="002B780F">
        <w:rPr>
          <w:lang w:val="en-CA"/>
        </w:rPr>
        <w:t>s</w:t>
      </w:r>
      <w:r w:rsidR="00F86545" w:rsidRPr="002B780F">
        <w:rPr>
          <w:lang w:val="en-CA"/>
        </w:rPr>
        <w:t xml:space="preserve">. </w:t>
      </w:r>
      <w:r w:rsidRPr="002B780F">
        <w:rPr>
          <w:lang w:val="en-CA"/>
        </w:rPr>
        <w:t>20</w:t>
      </w:r>
      <w:r w:rsidR="002343CE" w:rsidRPr="002B780F">
        <w:rPr>
          <w:lang w:val="en-CA"/>
        </w:rPr>
        <w:t>–</w:t>
      </w:r>
      <w:r w:rsidRPr="002B780F">
        <w:rPr>
          <w:lang w:val="en-CA"/>
        </w:rPr>
        <w:t>29.</w:t>
      </w:r>
    </w:p>
  </w:footnote>
  <w:footnote w:id="35">
    <w:p w14:paraId="47C694C2" w14:textId="48E54789" w:rsidR="00B83D45" w:rsidRPr="002B780F" w:rsidRDefault="00B83D45" w:rsidP="001841B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8C7CCD" w:rsidRPr="002B780F">
        <w:rPr>
          <w:lang w:val="en-CA"/>
        </w:rPr>
        <w:t>Second</w:t>
      </w:r>
      <w:r w:rsidRPr="002B780F">
        <w:rPr>
          <w:lang w:val="en-CA"/>
        </w:rPr>
        <w:t xml:space="preserve"> </w:t>
      </w:r>
      <w:r w:rsidR="008C7CCD" w:rsidRPr="002B780F">
        <w:rPr>
          <w:lang w:val="en-CA"/>
        </w:rPr>
        <w:t xml:space="preserve">sworn statement of </w:t>
      </w:r>
      <w:r w:rsidRPr="002B780F">
        <w:rPr>
          <w:lang w:val="en-CA"/>
        </w:rPr>
        <w:t>Michael Shortt</w:t>
      </w:r>
      <w:r w:rsidR="008C7CCD" w:rsidRPr="002B780F">
        <w:rPr>
          <w:lang w:val="en-CA"/>
        </w:rPr>
        <w:t xml:space="preserve"> </w:t>
      </w:r>
      <w:r w:rsidR="00F86545" w:rsidRPr="002B780F">
        <w:rPr>
          <w:lang w:val="en-CA"/>
        </w:rPr>
        <w:t xml:space="preserve">at para. </w:t>
      </w:r>
      <w:r w:rsidRPr="002B780F">
        <w:rPr>
          <w:lang w:val="en-CA"/>
        </w:rPr>
        <w:t>23.</w:t>
      </w:r>
    </w:p>
  </w:footnote>
  <w:footnote w:id="36">
    <w:p w14:paraId="2845BEB4" w14:textId="570D2C5E" w:rsidR="00B83D45" w:rsidRPr="002B780F" w:rsidRDefault="00B83D45" w:rsidP="001841B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Pr="002B780F">
        <w:rPr>
          <w:i/>
          <w:lang w:val="en-CA"/>
        </w:rPr>
        <w:t>I</w:t>
      </w:r>
      <w:r w:rsidR="008C7CCD" w:rsidRPr="002B780F">
        <w:rPr>
          <w:i/>
          <w:lang w:val="en-CA"/>
        </w:rPr>
        <w:t>bi</w:t>
      </w:r>
      <w:r w:rsidRPr="002B780F">
        <w:rPr>
          <w:i/>
          <w:lang w:val="en-CA"/>
        </w:rPr>
        <w:t>d</w:t>
      </w:r>
      <w:r w:rsidR="008C7CCD" w:rsidRPr="002B780F">
        <w:rPr>
          <w:i/>
          <w:lang w:val="en-CA"/>
        </w:rPr>
        <w:t>.</w:t>
      </w:r>
      <w:r w:rsidR="008B3EA3" w:rsidRPr="002B780F">
        <w:rPr>
          <w:i/>
          <w:lang w:val="en-CA"/>
        </w:rPr>
        <w:t xml:space="preserve"> </w:t>
      </w:r>
      <w:r w:rsidR="00F86545" w:rsidRPr="002B780F">
        <w:rPr>
          <w:lang w:val="en-CA"/>
        </w:rPr>
        <w:t>at para</w:t>
      </w:r>
      <w:r w:rsidR="008C7CCD" w:rsidRPr="002B780F">
        <w:rPr>
          <w:lang w:val="en-CA"/>
        </w:rPr>
        <w:t>s</w:t>
      </w:r>
      <w:r w:rsidR="00F86545" w:rsidRPr="002B780F">
        <w:rPr>
          <w:lang w:val="en-CA"/>
        </w:rPr>
        <w:t xml:space="preserve">. </w:t>
      </w:r>
      <w:r w:rsidRPr="002B780F">
        <w:rPr>
          <w:lang w:val="en-CA"/>
        </w:rPr>
        <w:t>29</w:t>
      </w:r>
      <w:r w:rsidR="002343CE" w:rsidRPr="002B780F">
        <w:rPr>
          <w:lang w:val="en-CA"/>
        </w:rPr>
        <w:t>–</w:t>
      </w:r>
      <w:r w:rsidRPr="002B780F">
        <w:rPr>
          <w:lang w:val="en-CA"/>
        </w:rPr>
        <w:t>37.</w:t>
      </w:r>
    </w:p>
  </w:footnote>
  <w:footnote w:id="37">
    <w:p w14:paraId="6E92D20D" w14:textId="25DFFDE9" w:rsidR="00B83D45" w:rsidRPr="002B780F" w:rsidRDefault="00B83D45" w:rsidP="004F610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8C7CCD" w:rsidRPr="002B780F">
        <w:rPr>
          <w:lang w:val="en-CA"/>
        </w:rPr>
        <w:t>First</w:t>
      </w:r>
      <w:r w:rsidRPr="002B780F">
        <w:rPr>
          <w:lang w:val="en-CA"/>
        </w:rPr>
        <w:t xml:space="preserve"> </w:t>
      </w:r>
      <w:r w:rsidR="008C7CCD" w:rsidRPr="002B780F">
        <w:rPr>
          <w:lang w:val="en-CA"/>
        </w:rPr>
        <w:t xml:space="preserve">sworn statement of </w:t>
      </w:r>
      <w:r w:rsidRPr="002B780F">
        <w:rPr>
          <w:lang w:val="en-CA"/>
        </w:rPr>
        <w:t>Michael Shortt</w:t>
      </w:r>
      <w:r w:rsidR="008C7CCD" w:rsidRPr="002B780F">
        <w:rPr>
          <w:lang w:val="en-CA"/>
        </w:rPr>
        <w:t xml:space="preserve"> </w:t>
      </w:r>
      <w:r w:rsidR="00F86545" w:rsidRPr="002B780F">
        <w:rPr>
          <w:lang w:val="en-CA"/>
        </w:rPr>
        <w:t xml:space="preserve">at para. </w:t>
      </w:r>
      <w:r w:rsidRPr="002B780F">
        <w:rPr>
          <w:lang w:val="en-CA"/>
        </w:rPr>
        <w:t>30.</w:t>
      </w:r>
    </w:p>
  </w:footnote>
  <w:footnote w:id="38">
    <w:p w14:paraId="11913E5A" w14:textId="55D089B8" w:rsidR="00B83D45" w:rsidRPr="002B780F" w:rsidRDefault="00B83D45" w:rsidP="004F610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8C7CCD" w:rsidRPr="002B780F">
        <w:rPr>
          <w:lang w:val="en-CA"/>
        </w:rPr>
        <w:t xml:space="preserve">Sworn statement of </w:t>
      </w:r>
      <w:r w:rsidRPr="002B780F">
        <w:rPr>
          <w:lang w:val="en-CA"/>
        </w:rPr>
        <w:t>Doug Mitchell</w:t>
      </w:r>
      <w:r w:rsidR="008C7CCD" w:rsidRPr="002B780F">
        <w:rPr>
          <w:lang w:val="en-CA"/>
        </w:rPr>
        <w:t xml:space="preserve"> </w:t>
      </w:r>
      <w:r w:rsidR="00F86545" w:rsidRPr="002B780F">
        <w:rPr>
          <w:lang w:val="en-CA"/>
        </w:rPr>
        <w:t xml:space="preserve">at para. </w:t>
      </w:r>
      <w:r w:rsidRPr="002B780F">
        <w:rPr>
          <w:lang w:val="en-CA"/>
        </w:rPr>
        <w:t>28.</w:t>
      </w:r>
    </w:p>
  </w:footnote>
  <w:footnote w:id="39">
    <w:p w14:paraId="0C11BF77" w14:textId="745DD1D4" w:rsidR="00B83D45" w:rsidRPr="002B780F" w:rsidRDefault="00B83D45" w:rsidP="004F610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Pr="002B780F">
        <w:rPr>
          <w:i/>
          <w:lang w:val="en-CA"/>
        </w:rPr>
        <w:t>I</w:t>
      </w:r>
      <w:r w:rsidR="008C7CCD" w:rsidRPr="002B780F">
        <w:rPr>
          <w:i/>
          <w:lang w:val="en-CA"/>
        </w:rPr>
        <w:t>bi</w:t>
      </w:r>
      <w:r w:rsidRPr="002B780F">
        <w:rPr>
          <w:i/>
          <w:lang w:val="en-CA"/>
        </w:rPr>
        <w:t>d.</w:t>
      </w:r>
      <w:r w:rsidR="008C7CCD" w:rsidRPr="002B780F">
        <w:rPr>
          <w:i/>
          <w:lang w:val="en-CA"/>
        </w:rPr>
        <w:t xml:space="preserve"> </w:t>
      </w:r>
      <w:r w:rsidR="00F86545" w:rsidRPr="002B780F">
        <w:rPr>
          <w:lang w:val="en-CA"/>
        </w:rPr>
        <w:t>at para</w:t>
      </w:r>
      <w:r w:rsidR="008C7CCD" w:rsidRPr="002B780F">
        <w:rPr>
          <w:lang w:val="en-CA"/>
        </w:rPr>
        <w:t>s</w:t>
      </w:r>
      <w:r w:rsidR="00F86545" w:rsidRPr="002B780F">
        <w:rPr>
          <w:lang w:val="en-CA"/>
        </w:rPr>
        <w:t xml:space="preserve">. </w:t>
      </w:r>
      <w:r w:rsidRPr="002B780F">
        <w:rPr>
          <w:lang w:val="en-CA"/>
        </w:rPr>
        <w:t>18</w:t>
      </w:r>
      <w:r w:rsidR="002343CE" w:rsidRPr="002B780F">
        <w:rPr>
          <w:lang w:val="en-CA"/>
        </w:rPr>
        <w:t>–</w:t>
      </w:r>
      <w:r w:rsidRPr="002B780F">
        <w:rPr>
          <w:lang w:val="en-CA"/>
        </w:rPr>
        <w:t xml:space="preserve">23; </w:t>
      </w:r>
      <w:r w:rsidR="008C7CCD" w:rsidRPr="002B780F">
        <w:rPr>
          <w:lang w:val="en-CA"/>
        </w:rPr>
        <w:t xml:space="preserve">First sworn statement of </w:t>
      </w:r>
      <w:r w:rsidRPr="002B780F">
        <w:rPr>
          <w:lang w:val="en-CA"/>
        </w:rPr>
        <w:t>Michael Shortt</w:t>
      </w:r>
      <w:r w:rsidR="008C7CCD" w:rsidRPr="002B780F">
        <w:rPr>
          <w:lang w:val="en-CA"/>
        </w:rPr>
        <w:t xml:space="preserve"> </w:t>
      </w:r>
      <w:r w:rsidR="00F86545" w:rsidRPr="002B780F">
        <w:rPr>
          <w:lang w:val="en-CA"/>
        </w:rPr>
        <w:t xml:space="preserve">at para. </w:t>
      </w:r>
      <w:r w:rsidRPr="002B780F">
        <w:rPr>
          <w:lang w:val="en-CA"/>
        </w:rPr>
        <w:t>32.</w:t>
      </w:r>
    </w:p>
  </w:footnote>
  <w:footnote w:id="40">
    <w:p w14:paraId="1FEAF79F" w14:textId="372F841D" w:rsidR="00B83D45" w:rsidRPr="002B780F" w:rsidRDefault="00B83D45" w:rsidP="004F610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8C7CCD" w:rsidRPr="002B780F">
        <w:rPr>
          <w:lang w:val="en-CA"/>
        </w:rPr>
        <w:t xml:space="preserve">Sworn statement of </w:t>
      </w:r>
      <w:r w:rsidRPr="002B780F">
        <w:rPr>
          <w:lang w:val="en-CA"/>
        </w:rPr>
        <w:t>Tonya Perron</w:t>
      </w:r>
      <w:r w:rsidR="008C7CCD" w:rsidRPr="002B780F">
        <w:rPr>
          <w:lang w:val="en-CA"/>
        </w:rPr>
        <w:t xml:space="preserve"> </w:t>
      </w:r>
      <w:r w:rsidR="00F86545" w:rsidRPr="002B780F">
        <w:rPr>
          <w:lang w:val="en-CA"/>
        </w:rPr>
        <w:t>at para</w:t>
      </w:r>
      <w:r w:rsidR="008C7CCD" w:rsidRPr="002B780F">
        <w:rPr>
          <w:lang w:val="en-CA"/>
        </w:rPr>
        <w:t>s</w:t>
      </w:r>
      <w:r w:rsidR="00F86545" w:rsidRPr="002B780F">
        <w:rPr>
          <w:lang w:val="en-CA"/>
        </w:rPr>
        <w:t xml:space="preserve">. </w:t>
      </w:r>
      <w:r w:rsidRPr="002B780F">
        <w:rPr>
          <w:lang w:val="en-CA"/>
        </w:rPr>
        <w:t>44</w:t>
      </w:r>
      <w:r w:rsidR="002343CE" w:rsidRPr="002B780F">
        <w:rPr>
          <w:lang w:val="en-CA"/>
        </w:rPr>
        <w:t>–</w:t>
      </w:r>
      <w:r w:rsidRPr="002B780F">
        <w:rPr>
          <w:lang w:val="en-CA"/>
        </w:rPr>
        <w:t>46, 48</w:t>
      </w:r>
      <w:r w:rsidR="002343CE" w:rsidRPr="002B780F">
        <w:rPr>
          <w:lang w:val="en-CA"/>
        </w:rPr>
        <w:t>–</w:t>
      </w:r>
      <w:r w:rsidRPr="002B780F">
        <w:rPr>
          <w:lang w:val="en-CA"/>
        </w:rPr>
        <w:t>51</w:t>
      </w:r>
      <w:r w:rsidR="008C7CCD" w:rsidRPr="002B780F">
        <w:rPr>
          <w:lang w:val="en-CA"/>
        </w:rPr>
        <w:t xml:space="preserve"> and</w:t>
      </w:r>
      <w:r w:rsidRPr="002B780F">
        <w:rPr>
          <w:lang w:val="en-CA"/>
        </w:rPr>
        <w:t xml:space="preserve"> 56</w:t>
      </w:r>
      <w:r w:rsidR="002343CE" w:rsidRPr="002B780F">
        <w:rPr>
          <w:lang w:val="en-CA"/>
        </w:rPr>
        <w:t>–</w:t>
      </w:r>
      <w:r w:rsidRPr="002B780F">
        <w:rPr>
          <w:lang w:val="en-CA"/>
        </w:rPr>
        <w:t>57</w:t>
      </w:r>
      <w:r w:rsidR="004711AB">
        <w:rPr>
          <w:lang w:val="en-CA"/>
        </w:rPr>
        <w:t>.</w:t>
      </w:r>
    </w:p>
  </w:footnote>
  <w:footnote w:id="41">
    <w:p w14:paraId="142A5BDE" w14:textId="276CFF08" w:rsidR="00B83D45" w:rsidRPr="002B780F" w:rsidRDefault="00B83D45" w:rsidP="004F610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8C7CCD" w:rsidRPr="002B780F">
        <w:rPr>
          <w:lang w:val="en-CA"/>
        </w:rPr>
        <w:t xml:space="preserve">Sworn statement of </w:t>
      </w:r>
      <w:r w:rsidRPr="002B780F">
        <w:rPr>
          <w:lang w:val="en-CA"/>
        </w:rPr>
        <w:t>Doug Mitchell</w:t>
      </w:r>
      <w:r w:rsidR="008C7CCD" w:rsidRPr="002B780F">
        <w:rPr>
          <w:lang w:val="en-CA"/>
        </w:rPr>
        <w:t xml:space="preserve"> </w:t>
      </w:r>
      <w:r w:rsidR="00F86545" w:rsidRPr="002B780F">
        <w:rPr>
          <w:lang w:val="en-CA"/>
        </w:rPr>
        <w:t>at para</w:t>
      </w:r>
      <w:r w:rsidR="008C7CCD" w:rsidRPr="002B780F">
        <w:rPr>
          <w:lang w:val="en-CA"/>
        </w:rPr>
        <w:t>s</w:t>
      </w:r>
      <w:r w:rsidR="00F86545" w:rsidRPr="002B780F">
        <w:rPr>
          <w:lang w:val="en-CA"/>
        </w:rPr>
        <w:t xml:space="preserve">. </w:t>
      </w:r>
      <w:r w:rsidRPr="002B780F">
        <w:rPr>
          <w:lang w:val="en-CA"/>
        </w:rPr>
        <w:t>18</w:t>
      </w:r>
      <w:r w:rsidR="008C7CCD" w:rsidRPr="002B780F">
        <w:rPr>
          <w:lang w:val="en-CA"/>
        </w:rPr>
        <w:t xml:space="preserve"> and</w:t>
      </w:r>
      <w:r w:rsidRPr="002B780F">
        <w:rPr>
          <w:lang w:val="en-CA"/>
        </w:rPr>
        <w:t xml:space="preserve"> 22; </w:t>
      </w:r>
      <w:r w:rsidR="008C7CCD" w:rsidRPr="002B780F">
        <w:rPr>
          <w:lang w:val="en-CA"/>
        </w:rPr>
        <w:t>First</w:t>
      </w:r>
      <w:r w:rsidRPr="002B780F">
        <w:rPr>
          <w:lang w:val="en-CA"/>
        </w:rPr>
        <w:t xml:space="preserve"> </w:t>
      </w:r>
      <w:r w:rsidR="008C7CCD" w:rsidRPr="002B780F">
        <w:rPr>
          <w:lang w:val="en-CA"/>
        </w:rPr>
        <w:t xml:space="preserve">sworn statement of </w:t>
      </w:r>
      <w:r w:rsidRPr="002B780F">
        <w:rPr>
          <w:lang w:val="en-CA"/>
        </w:rPr>
        <w:t>Michael Shortt</w:t>
      </w:r>
      <w:r w:rsidR="008C7CCD" w:rsidRPr="002B780F">
        <w:rPr>
          <w:lang w:val="en-CA"/>
        </w:rPr>
        <w:t xml:space="preserve"> </w:t>
      </w:r>
      <w:r w:rsidR="00F86545" w:rsidRPr="002B780F">
        <w:rPr>
          <w:lang w:val="en-CA"/>
        </w:rPr>
        <w:t>at para.</w:t>
      </w:r>
      <w:r w:rsidR="008C7CCD" w:rsidRPr="002B780F">
        <w:rPr>
          <w:lang w:val="en-CA"/>
        </w:rPr>
        <w:t> </w:t>
      </w:r>
      <w:r w:rsidRPr="002B780F">
        <w:rPr>
          <w:lang w:val="en-CA"/>
        </w:rPr>
        <w:t xml:space="preserve">32; </w:t>
      </w:r>
      <w:r w:rsidR="008C7CCD" w:rsidRPr="002B780F">
        <w:rPr>
          <w:lang w:val="en-CA"/>
        </w:rPr>
        <w:t xml:space="preserve">Sworn statement of </w:t>
      </w:r>
      <w:r w:rsidRPr="002B780F">
        <w:rPr>
          <w:lang w:val="en-CA"/>
        </w:rPr>
        <w:t>Tonya Perron</w:t>
      </w:r>
      <w:r w:rsidR="008C7CCD" w:rsidRPr="002B780F">
        <w:rPr>
          <w:lang w:val="en-CA"/>
        </w:rPr>
        <w:t xml:space="preserve"> </w:t>
      </w:r>
      <w:r w:rsidR="00F86545" w:rsidRPr="002B780F">
        <w:rPr>
          <w:lang w:val="en-CA"/>
        </w:rPr>
        <w:t>at para</w:t>
      </w:r>
      <w:r w:rsidR="008C7CCD" w:rsidRPr="002B780F">
        <w:rPr>
          <w:lang w:val="en-CA"/>
        </w:rPr>
        <w:t>s</w:t>
      </w:r>
      <w:r w:rsidR="00F86545" w:rsidRPr="002B780F">
        <w:rPr>
          <w:lang w:val="en-CA"/>
        </w:rPr>
        <w:t xml:space="preserve">. </w:t>
      </w:r>
      <w:r w:rsidRPr="002B780F">
        <w:rPr>
          <w:lang w:val="en-CA"/>
        </w:rPr>
        <w:t>47, 51</w:t>
      </w:r>
      <w:r w:rsidR="008C7CCD" w:rsidRPr="002B780F">
        <w:rPr>
          <w:lang w:val="en-CA"/>
        </w:rPr>
        <w:t xml:space="preserve"> and</w:t>
      </w:r>
      <w:r w:rsidRPr="002B780F">
        <w:rPr>
          <w:lang w:val="en-CA"/>
        </w:rPr>
        <w:t xml:space="preserve"> 58.</w:t>
      </w:r>
    </w:p>
  </w:footnote>
  <w:footnote w:id="42">
    <w:p w14:paraId="73BF6A19" w14:textId="4A372DDF" w:rsidR="00B83D45" w:rsidRPr="002B780F" w:rsidRDefault="00B83D45" w:rsidP="004F610C">
      <w:pPr>
        <w:pStyle w:val="Notedebasdepage"/>
        <w:rPr>
          <w:lang w:val="en-CA"/>
        </w:rPr>
      </w:pPr>
      <w:r w:rsidRPr="002B780F">
        <w:rPr>
          <w:rStyle w:val="Appelnotedebasdep"/>
        </w:rPr>
        <w:footnoteRef/>
      </w:r>
      <w:r w:rsidRPr="002B780F">
        <w:rPr>
          <w:lang w:val="en-CA"/>
        </w:rPr>
        <w:t xml:space="preserve"> </w:t>
      </w:r>
      <w:r w:rsidRPr="002B780F">
        <w:rPr>
          <w:lang w:val="en-CA"/>
        </w:rPr>
        <w:tab/>
      </w:r>
      <w:r w:rsidR="004554B8" w:rsidRPr="002B780F">
        <w:rPr>
          <w:lang w:val="en-CA"/>
        </w:rPr>
        <w:t xml:space="preserve">First </w:t>
      </w:r>
      <w:r w:rsidR="008305BA" w:rsidRPr="002B780F">
        <w:rPr>
          <w:lang w:val="en-CA"/>
        </w:rPr>
        <w:t>sworn statement</w:t>
      </w:r>
      <w:r w:rsidRPr="002B780F">
        <w:rPr>
          <w:lang w:val="en-CA"/>
        </w:rPr>
        <w:t xml:space="preserve"> </w:t>
      </w:r>
      <w:r w:rsidR="004554B8" w:rsidRPr="002B780F">
        <w:rPr>
          <w:lang w:val="en-CA"/>
        </w:rPr>
        <w:t>of</w:t>
      </w:r>
      <w:r w:rsidRPr="002B780F">
        <w:rPr>
          <w:lang w:val="en-CA"/>
        </w:rPr>
        <w:t xml:space="preserve"> Michael Shortt</w:t>
      </w:r>
      <w:r w:rsidR="004554B8" w:rsidRPr="002B780F">
        <w:rPr>
          <w:lang w:val="en-CA"/>
        </w:rPr>
        <w:t xml:space="preserve"> </w:t>
      </w:r>
      <w:r w:rsidR="00F86545" w:rsidRPr="002B780F">
        <w:rPr>
          <w:lang w:val="en-CA"/>
        </w:rPr>
        <w:t>at para</w:t>
      </w:r>
      <w:r w:rsidR="004554B8" w:rsidRPr="002B780F">
        <w:rPr>
          <w:lang w:val="en-CA"/>
        </w:rPr>
        <w:t>s</w:t>
      </w:r>
      <w:r w:rsidR="00F86545" w:rsidRPr="002B780F">
        <w:rPr>
          <w:lang w:val="en-CA"/>
        </w:rPr>
        <w:t xml:space="preserve">. </w:t>
      </w:r>
      <w:r w:rsidRPr="002B780F">
        <w:rPr>
          <w:lang w:val="en-CA"/>
        </w:rPr>
        <w:t>27</w:t>
      </w:r>
      <w:r w:rsidR="002343CE" w:rsidRPr="002B780F">
        <w:rPr>
          <w:lang w:val="en-CA"/>
        </w:rPr>
        <w:t>–</w:t>
      </w:r>
      <w:r w:rsidRPr="002B780F">
        <w:rPr>
          <w:lang w:val="en-CA"/>
        </w:rPr>
        <w:t>29.</w:t>
      </w:r>
    </w:p>
  </w:footnote>
  <w:footnote w:id="43">
    <w:p w14:paraId="37FB8F1D" w14:textId="6F5FF1B1" w:rsidR="00B83D45" w:rsidRPr="002B780F" w:rsidRDefault="00B83D45" w:rsidP="004F610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8305BA" w:rsidRPr="002B780F">
        <w:rPr>
          <w:lang w:val="en-CA"/>
        </w:rPr>
        <w:t>Sworn statement</w:t>
      </w:r>
      <w:r w:rsidR="004554B8" w:rsidRPr="002B780F">
        <w:rPr>
          <w:lang w:val="en-CA"/>
        </w:rPr>
        <w:t xml:space="preserve"> of</w:t>
      </w:r>
      <w:r w:rsidRPr="002B780F">
        <w:rPr>
          <w:lang w:val="en-CA"/>
        </w:rPr>
        <w:t xml:space="preserve"> Doug Mitchell</w:t>
      </w:r>
      <w:r w:rsidR="004554B8" w:rsidRPr="002B780F">
        <w:rPr>
          <w:lang w:val="en-CA"/>
        </w:rPr>
        <w:t xml:space="preserve"> </w:t>
      </w:r>
      <w:r w:rsidR="00F86545" w:rsidRPr="002B780F">
        <w:rPr>
          <w:lang w:val="en-CA"/>
        </w:rPr>
        <w:t>at para</w:t>
      </w:r>
      <w:r w:rsidR="004554B8" w:rsidRPr="002B780F">
        <w:rPr>
          <w:lang w:val="en-CA"/>
        </w:rPr>
        <w:t>s</w:t>
      </w:r>
      <w:r w:rsidR="00F86545" w:rsidRPr="002B780F">
        <w:rPr>
          <w:lang w:val="en-CA"/>
        </w:rPr>
        <w:t xml:space="preserve">. </w:t>
      </w:r>
      <w:r w:rsidRPr="002B780F">
        <w:rPr>
          <w:lang w:val="en-CA"/>
        </w:rPr>
        <w:t>24</w:t>
      </w:r>
      <w:r w:rsidR="002343CE" w:rsidRPr="002B780F">
        <w:rPr>
          <w:lang w:val="en-CA"/>
        </w:rPr>
        <w:t>–</w:t>
      </w:r>
      <w:r w:rsidRPr="002B780F">
        <w:rPr>
          <w:lang w:val="en-CA"/>
        </w:rPr>
        <w:t>25.</w:t>
      </w:r>
    </w:p>
  </w:footnote>
  <w:footnote w:id="44">
    <w:p w14:paraId="48AE18C8" w14:textId="0A42CF1A" w:rsidR="00B83D45" w:rsidRPr="002B780F" w:rsidRDefault="00B83D45" w:rsidP="004F610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Pr="002B780F">
        <w:rPr>
          <w:i/>
          <w:lang w:val="en-CA"/>
        </w:rPr>
        <w:t>I</w:t>
      </w:r>
      <w:r w:rsidR="004554B8" w:rsidRPr="002B780F">
        <w:rPr>
          <w:i/>
          <w:lang w:val="en-CA"/>
        </w:rPr>
        <w:t>bi</w:t>
      </w:r>
      <w:r w:rsidRPr="002B780F">
        <w:rPr>
          <w:i/>
          <w:lang w:val="en-CA"/>
        </w:rPr>
        <w:t>d.</w:t>
      </w:r>
      <w:r w:rsidR="004554B8" w:rsidRPr="002B780F">
        <w:rPr>
          <w:i/>
          <w:lang w:val="en-CA"/>
        </w:rPr>
        <w:t xml:space="preserve"> </w:t>
      </w:r>
      <w:r w:rsidR="00F86545" w:rsidRPr="002B780F">
        <w:rPr>
          <w:lang w:val="en-CA"/>
        </w:rPr>
        <w:t>at para</w:t>
      </w:r>
      <w:r w:rsidR="004554B8" w:rsidRPr="002B780F">
        <w:rPr>
          <w:lang w:val="en-CA"/>
        </w:rPr>
        <w:t>s</w:t>
      </w:r>
      <w:r w:rsidR="00F86545" w:rsidRPr="002B780F">
        <w:rPr>
          <w:lang w:val="en-CA"/>
        </w:rPr>
        <w:t xml:space="preserve">. </w:t>
      </w:r>
      <w:r w:rsidRPr="002B780F">
        <w:rPr>
          <w:lang w:val="en-CA"/>
        </w:rPr>
        <w:t>23</w:t>
      </w:r>
      <w:r w:rsidR="004554B8" w:rsidRPr="002B780F">
        <w:rPr>
          <w:lang w:val="en-CA"/>
        </w:rPr>
        <w:t xml:space="preserve"> and</w:t>
      </w:r>
      <w:r w:rsidRPr="002B780F">
        <w:rPr>
          <w:lang w:val="en-CA"/>
        </w:rPr>
        <w:t xml:space="preserve"> 27; </w:t>
      </w:r>
      <w:r w:rsidR="00FD6FCD" w:rsidRPr="002B780F">
        <w:rPr>
          <w:lang w:val="en-CA"/>
        </w:rPr>
        <w:t>S</w:t>
      </w:r>
      <w:r w:rsidR="008305BA" w:rsidRPr="002B780F">
        <w:rPr>
          <w:lang w:val="en-CA"/>
        </w:rPr>
        <w:t>worn statement</w:t>
      </w:r>
      <w:r w:rsidRPr="002B780F">
        <w:rPr>
          <w:lang w:val="en-CA"/>
        </w:rPr>
        <w:t xml:space="preserve"> </w:t>
      </w:r>
      <w:r w:rsidR="004554B8" w:rsidRPr="002B780F">
        <w:rPr>
          <w:lang w:val="en-CA"/>
        </w:rPr>
        <w:t>of</w:t>
      </w:r>
      <w:r w:rsidRPr="002B780F">
        <w:rPr>
          <w:lang w:val="en-CA"/>
        </w:rPr>
        <w:t xml:space="preserve"> Tonya Perron</w:t>
      </w:r>
      <w:r w:rsidR="004554B8" w:rsidRPr="002B780F">
        <w:rPr>
          <w:lang w:val="en-CA"/>
        </w:rPr>
        <w:t xml:space="preserve"> </w:t>
      </w:r>
      <w:r w:rsidR="00F86545" w:rsidRPr="002B780F">
        <w:rPr>
          <w:lang w:val="en-CA"/>
        </w:rPr>
        <w:t xml:space="preserve">at para. </w:t>
      </w:r>
      <w:r w:rsidRPr="002B780F">
        <w:rPr>
          <w:lang w:val="en-CA"/>
        </w:rPr>
        <w:t>60.</w:t>
      </w:r>
    </w:p>
  </w:footnote>
  <w:footnote w:id="45">
    <w:p w14:paraId="59F981CD" w14:textId="68348090" w:rsidR="00B83D45" w:rsidRPr="002B780F" w:rsidRDefault="00B83D45" w:rsidP="004F610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8305BA" w:rsidRPr="002B780F">
        <w:rPr>
          <w:lang w:val="en-CA"/>
        </w:rPr>
        <w:t>Sworn statement of</w:t>
      </w:r>
      <w:r w:rsidRPr="002B780F">
        <w:rPr>
          <w:lang w:val="en-CA"/>
        </w:rPr>
        <w:t xml:space="preserve"> Doug Mitchell</w:t>
      </w:r>
      <w:r w:rsidR="008305BA" w:rsidRPr="002B780F">
        <w:rPr>
          <w:lang w:val="en-CA"/>
        </w:rPr>
        <w:t xml:space="preserve"> </w:t>
      </w:r>
      <w:r w:rsidR="00F86545" w:rsidRPr="002B780F">
        <w:rPr>
          <w:lang w:val="en-CA"/>
        </w:rPr>
        <w:t xml:space="preserve">at para. </w:t>
      </w:r>
      <w:r w:rsidRPr="002B780F">
        <w:rPr>
          <w:lang w:val="en-CA"/>
        </w:rPr>
        <w:t xml:space="preserve">32; </w:t>
      </w:r>
      <w:r w:rsidR="008305BA" w:rsidRPr="002B780F">
        <w:rPr>
          <w:lang w:val="en-CA"/>
        </w:rPr>
        <w:t>First sworn statement of</w:t>
      </w:r>
      <w:r w:rsidRPr="002B780F">
        <w:rPr>
          <w:lang w:val="en-CA"/>
        </w:rPr>
        <w:t xml:space="preserve"> Michael Shortt</w:t>
      </w:r>
      <w:r w:rsidR="008305BA" w:rsidRPr="002B780F">
        <w:rPr>
          <w:lang w:val="en-CA"/>
        </w:rPr>
        <w:t xml:space="preserve"> </w:t>
      </w:r>
      <w:r w:rsidR="00F86545" w:rsidRPr="002B780F">
        <w:rPr>
          <w:lang w:val="en-CA"/>
        </w:rPr>
        <w:t>at para</w:t>
      </w:r>
      <w:r w:rsidR="008305BA" w:rsidRPr="002B780F">
        <w:rPr>
          <w:lang w:val="en-CA"/>
        </w:rPr>
        <w:t>s</w:t>
      </w:r>
      <w:r w:rsidR="00F86545" w:rsidRPr="002B780F">
        <w:rPr>
          <w:lang w:val="en-CA"/>
        </w:rPr>
        <w:t xml:space="preserve">. </w:t>
      </w:r>
      <w:r w:rsidRPr="002B780F">
        <w:rPr>
          <w:lang w:val="en-CA"/>
        </w:rPr>
        <w:t>34</w:t>
      </w:r>
      <w:r w:rsidR="002343CE" w:rsidRPr="002B780F">
        <w:rPr>
          <w:lang w:val="en-CA"/>
        </w:rPr>
        <w:t>–</w:t>
      </w:r>
      <w:r w:rsidRPr="002B780F">
        <w:rPr>
          <w:lang w:val="en-CA"/>
        </w:rPr>
        <w:t>39.</w:t>
      </w:r>
    </w:p>
  </w:footnote>
  <w:footnote w:id="46">
    <w:p w14:paraId="33198E74" w14:textId="38B129CA" w:rsidR="00B83D45" w:rsidRPr="002B780F" w:rsidRDefault="00B83D45" w:rsidP="004F610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8305BA" w:rsidRPr="002B780F">
        <w:rPr>
          <w:lang w:val="en-CA"/>
        </w:rPr>
        <w:t xml:space="preserve">Sworn statement of </w:t>
      </w:r>
      <w:r w:rsidRPr="002B780F">
        <w:rPr>
          <w:lang w:val="en-CA"/>
        </w:rPr>
        <w:t>Donald Barabé</w:t>
      </w:r>
      <w:r w:rsidR="009D1117" w:rsidRPr="002B780F">
        <w:rPr>
          <w:lang w:val="en-CA"/>
        </w:rPr>
        <w:t xml:space="preserve"> </w:t>
      </w:r>
      <w:r w:rsidR="00F86545" w:rsidRPr="002B780F">
        <w:rPr>
          <w:lang w:val="en-CA"/>
        </w:rPr>
        <w:t xml:space="preserve">at para. </w:t>
      </w:r>
      <w:r w:rsidRPr="002B780F">
        <w:rPr>
          <w:lang w:val="en-CA"/>
        </w:rPr>
        <w:t>5.</w:t>
      </w:r>
    </w:p>
  </w:footnote>
  <w:footnote w:id="47">
    <w:p w14:paraId="767AD2E0" w14:textId="2DF57E81" w:rsidR="00B83D45" w:rsidRPr="002B780F" w:rsidRDefault="00B83D45" w:rsidP="004F610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Pr="002B780F">
        <w:rPr>
          <w:i/>
          <w:lang w:val="en-CA"/>
        </w:rPr>
        <w:t>I</w:t>
      </w:r>
      <w:r w:rsidR="00DA1627" w:rsidRPr="002B780F">
        <w:rPr>
          <w:i/>
          <w:lang w:val="en-CA"/>
        </w:rPr>
        <w:t>bi</w:t>
      </w:r>
      <w:r w:rsidRPr="002B780F">
        <w:rPr>
          <w:i/>
          <w:lang w:val="en-CA"/>
        </w:rPr>
        <w:t>d.</w:t>
      </w:r>
      <w:r w:rsidR="001E7D2B" w:rsidRPr="002B780F">
        <w:rPr>
          <w:i/>
          <w:lang w:val="en-CA"/>
        </w:rPr>
        <w:t xml:space="preserve"> </w:t>
      </w:r>
      <w:r w:rsidR="00F86545" w:rsidRPr="002B780F">
        <w:rPr>
          <w:lang w:val="en-CA"/>
        </w:rPr>
        <w:t xml:space="preserve">at para. </w:t>
      </w:r>
      <w:r w:rsidRPr="002B780F">
        <w:rPr>
          <w:lang w:val="en-CA"/>
        </w:rPr>
        <w:t>7.</w:t>
      </w:r>
    </w:p>
  </w:footnote>
  <w:footnote w:id="48">
    <w:p w14:paraId="60F8DA4D" w14:textId="3E02E4D1" w:rsidR="00B83D45" w:rsidRPr="002B780F" w:rsidRDefault="00B83D45" w:rsidP="004F610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Pr="002B780F">
        <w:rPr>
          <w:i/>
          <w:lang w:val="en-CA"/>
        </w:rPr>
        <w:t>I</w:t>
      </w:r>
      <w:r w:rsidR="00DA1627" w:rsidRPr="002B780F">
        <w:rPr>
          <w:i/>
          <w:lang w:val="en-CA"/>
        </w:rPr>
        <w:t>bi</w:t>
      </w:r>
      <w:r w:rsidRPr="002B780F">
        <w:rPr>
          <w:i/>
          <w:lang w:val="en-CA"/>
        </w:rPr>
        <w:t>d.</w:t>
      </w:r>
      <w:r w:rsidR="001E7D2B" w:rsidRPr="002B780F">
        <w:rPr>
          <w:i/>
          <w:lang w:val="en-CA"/>
        </w:rPr>
        <w:t xml:space="preserve"> </w:t>
      </w:r>
      <w:r w:rsidR="00F86545" w:rsidRPr="002B780F">
        <w:rPr>
          <w:lang w:val="en-CA"/>
        </w:rPr>
        <w:t xml:space="preserve">at para. </w:t>
      </w:r>
      <w:r w:rsidRPr="002B780F">
        <w:rPr>
          <w:lang w:val="en-CA"/>
        </w:rPr>
        <w:t>9.</w:t>
      </w:r>
    </w:p>
  </w:footnote>
  <w:footnote w:id="49">
    <w:p w14:paraId="45DBB0C9" w14:textId="10110A7C" w:rsidR="00B83D45" w:rsidRPr="002B780F" w:rsidRDefault="00B83D45" w:rsidP="004F610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Pr="002B780F">
        <w:rPr>
          <w:i/>
          <w:lang w:val="en-CA"/>
        </w:rPr>
        <w:t>I</w:t>
      </w:r>
      <w:r w:rsidR="00DA1627" w:rsidRPr="002B780F">
        <w:rPr>
          <w:i/>
          <w:lang w:val="en-CA"/>
        </w:rPr>
        <w:t>bi</w:t>
      </w:r>
      <w:r w:rsidRPr="002B780F">
        <w:rPr>
          <w:i/>
          <w:lang w:val="en-CA"/>
        </w:rPr>
        <w:t>d.</w:t>
      </w:r>
      <w:r w:rsidR="001E7D2B" w:rsidRPr="002B780F">
        <w:rPr>
          <w:i/>
          <w:lang w:val="en-CA"/>
        </w:rPr>
        <w:t xml:space="preserve"> </w:t>
      </w:r>
      <w:r w:rsidR="00F86545" w:rsidRPr="002B780F">
        <w:rPr>
          <w:lang w:val="en-CA"/>
        </w:rPr>
        <w:t xml:space="preserve">at para. </w:t>
      </w:r>
      <w:r w:rsidRPr="002B780F">
        <w:rPr>
          <w:lang w:val="en-CA"/>
        </w:rPr>
        <w:t>10.</w:t>
      </w:r>
    </w:p>
  </w:footnote>
  <w:footnote w:id="50">
    <w:p w14:paraId="1819EFAE" w14:textId="78CBE161" w:rsidR="00B83D45" w:rsidRPr="002B780F" w:rsidRDefault="00B83D45" w:rsidP="004F610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Pr="002B780F">
        <w:rPr>
          <w:i/>
          <w:lang w:val="en-CA"/>
        </w:rPr>
        <w:t>I</w:t>
      </w:r>
      <w:r w:rsidR="00DA1627" w:rsidRPr="002B780F">
        <w:rPr>
          <w:i/>
          <w:lang w:val="en-CA"/>
        </w:rPr>
        <w:t>bi</w:t>
      </w:r>
      <w:r w:rsidRPr="002B780F">
        <w:rPr>
          <w:i/>
          <w:lang w:val="en-CA"/>
        </w:rPr>
        <w:t>d.</w:t>
      </w:r>
      <w:r w:rsidR="001E7D2B" w:rsidRPr="002B780F">
        <w:rPr>
          <w:i/>
          <w:lang w:val="en-CA"/>
        </w:rPr>
        <w:t xml:space="preserve"> </w:t>
      </w:r>
      <w:r w:rsidR="00F86545" w:rsidRPr="002B780F">
        <w:rPr>
          <w:lang w:val="en-CA"/>
        </w:rPr>
        <w:t xml:space="preserve">at para. </w:t>
      </w:r>
      <w:r w:rsidRPr="002B780F">
        <w:rPr>
          <w:lang w:val="en-CA"/>
        </w:rPr>
        <w:t>12.</w:t>
      </w:r>
    </w:p>
  </w:footnote>
  <w:footnote w:id="51">
    <w:p w14:paraId="360CA5D3" w14:textId="40923821" w:rsidR="00B83D45" w:rsidRPr="002B780F" w:rsidRDefault="00B83D45" w:rsidP="004F610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Pr="002B780F">
        <w:rPr>
          <w:i/>
          <w:lang w:val="en-CA"/>
        </w:rPr>
        <w:t>I</w:t>
      </w:r>
      <w:r w:rsidR="00DA1627" w:rsidRPr="002B780F">
        <w:rPr>
          <w:i/>
          <w:lang w:val="en-CA"/>
        </w:rPr>
        <w:t>bi</w:t>
      </w:r>
      <w:r w:rsidRPr="002B780F">
        <w:rPr>
          <w:i/>
          <w:lang w:val="en-CA"/>
        </w:rPr>
        <w:t>d.</w:t>
      </w:r>
      <w:r w:rsidR="001E7D2B" w:rsidRPr="002B780F">
        <w:rPr>
          <w:i/>
          <w:lang w:val="en-CA"/>
        </w:rPr>
        <w:t xml:space="preserve"> </w:t>
      </w:r>
      <w:r w:rsidR="00F86545" w:rsidRPr="002B780F">
        <w:rPr>
          <w:lang w:val="en-CA"/>
        </w:rPr>
        <w:t>at para</w:t>
      </w:r>
      <w:r w:rsidR="00DA1627" w:rsidRPr="002B780F">
        <w:rPr>
          <w:lang w:val="en-CA"/>
        </w:rPr>
        <w:t>s</w:t>
      </w:r>
      <w:r w:rsidR="00F86545" w:rsidRPr="002B780F">
        <w:rPr>
          <w:lang w:val="en-CA"/>
        </w:rPr>
        <w:t xml:space="preserve">. </w:t>
      </w:r>
      <w:r w:rsidRPr="002B780F">
        <w:rPr>
          <w:lang w:val="en-CA"/>
        </w:rPr>
        <w:t>12</w:t>
      </w:r>
      <w:r w:rsidR="002343CE" w:rsidRPr="002B780F">
        <w:rPr>
          <w:lang w:val="en-CA"/>
        </w:rPr>
        <w:t>–</w:t>
      </w:r>
      <w:r w:rsidRPr="002B780F">
        <w:rPr>
          <w:lang w:val="en-CA"/>
        </w:rPr>
        <w:t>14.</w:t>
      </w:r>
    </w:p>
  </w:footnote>
  <w:footnote w:id="52">
    <w:p w14:paraId="1E4271A9" w14:textId="4480276D" w:rsidR="00B83D45" w:rsidRPr="002B780F" w:rsidRDefault="00B83D45" w:rsidP="004F610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Pr="002B780F">
        <w:rPr>
          <w:i/>
          <w:lang w:val="en-CA"/>
        </w:rPr>
        <w:t>I</w:t>
      </w:r>
      <w:r w:rsidR="00DA1627" w:rsidRPr="002B780F">
        <w:rPr>
          <w:i/>
          <w:lang w:val="en-CA"/>
        </w:rPr>
        <w:t>bi</w:t>
      </w:r>
      <w:r w:rsidRPr="002B780F">
        <w:rPr>
          <w:i/>
          <w:lang w:val="en-CA"/>
        </w:rPr>
        <w:t>d.</w:t>
      </w:r>
      <w:r w:rsidR="001E7D2B" w:rsidRPr="002B780F">
        <w:rPr>
          <w:i/>
          <w:lang w:val="en-CA"/>
        </w:rPr>
        <w:t xml:space="preserve"> </w:t>
      </w:r>
      <w:r w:rsidR="00F86545" w:rsidRPr="002B780F">
        <w:rPr>
          <w:lang w:val="en-CA"/>
        </w:rPr>
        <w:t>at para</w:t>
      </w:r>
      <w:r w:rsidR="00DA1627" w:rsidRPr="002B780F">
        <w:rPr>
          <w:lang w:val="en-CA"/>
        </w:rPr>
        <w:t>s</w:t>
      </w:r>
      <w:r w:rsidR="00F86545" w:rsidRPr="002B780F">
        <w:rPr>
          <w:lang w:val="en-CA"/>
        </w:rPr>
        <w:t xml:space="preserve">. </w:t>
      </w:r>
      <w:r w:rsidRPr="002B780F">
        <w:rPr>
          <w:lang w:val="en-CA"/>
        </w:rPr>
        <w:t>15</w:t>
      </w:r>
      <w:r w:rsidR="002343CE" w:rsidRPr="002B780F">
        <w:rPr>
          <w:lang w:val="en-CA"/>
        </w:rPr>
        <w:t>–</w:t>
      </w:r>
      <w:r w:rsidRPr="002B780F">
        <w:rPr>
          <w:lang w:val="en-CA"/>
        </w:rPr>
        <w:t>16.</w:t>
      </w:r>
    </w:p>
  </w:footnote>
  <w:footnote w:id="53">
    <w:p w14:paraId="760F2A59" w14:textId="5EB69879" w:rsidR="00B83D45" w:rsidRPr="002B780F" w:rsidRDefault="00B83D45" w:rsidP="004F610C">
      <w:pPr>
        <w:pStyle w:val="Notedebasdepage"/>
        <w:rPr>
          <w:lang w:val="en-CA"/>
        </w:rPr>
      </w:pPr>
      <w:r w:rsidRPr="002B780F">
        <w:rPr>
          <w:rStyle w:val="Appelnotedebasdep"/>
        </w:rPr>
        <w:footnoteRef/>
      </w:r>
      <w:r w:rsidRPr="002B780F">
        <w:rPr>
          <w:lang w:val="en-CA"/>
        </w:rPr>
        <w:t xml:space="preserve"> </w:t>
      </w:r>
      <w:r w:rsidRPr="002B780F">
        <w:rPr>
          <w:lang w:val="en-CA"/>
        </w:rPr>
        <w:tab/>
      </w:r>
      <w:r w:rsidRPr="002B780F">
        <w:rPr>
          <w:i/>
          <w:lang w:val="en-CA"/>
        </w:rPr>
        <w:t>I</w:t>
      </w:r>
      <w:r w:rsidR="001E7D2B" w:rsidRPr="002B780F">
        <w:rPr>
          <w:i/>
          <w:lang w:val="en-CA"/>
        </w:rPr>
        <w:t>bi</w:t>
      </w:r>
      <w:r w:rsidRPr="002B780F">
        <w:rPr>
          <w:i/>
          <w:lang w:val="en-CA"/>
        </w:rPr>
        <w:t>d.</w:t>
      </w:r>
      <w:r w:rsidR="001E7D2B" w:rsidRPr="002B780F">
        <w:rPr>
          <w:i/>
          <w:lang w:val="en-CA"/>
        </w:rPr>
        <w:t xml:space="preserve"> </w:t>
      </w:r>
      <w:r w:rsidR="00F86545" w:rsidRPr="002B780F">
        <w:rPr>
          <w:lang w:val="en-CA"/>
        </w:rPr>
        <w:t xml:space="preserve">at para. </w:t>
      </w:r>
      <w:r w:rsidRPr="002B780F">
        <w:rPr>
          <w:lang w:val="en-CA"/>
        </w:rPr>
        <w:t>17.</w:t>
      </w:r>
    </w:p>
  </w:footnote>
  <w:footnote w:id="54">
    <w:p w14:paraId="3ED87CE3" w14:textId="739842C6" w:rsidR="00B83D45" w:rsidRPr="002B780F" w:rsidRDefault="00B83D45" w:rsidP="004F610C">
      <w:pPr>
        <w:pStyle w:val="Notedebasdepage"/>
        <w:rPr>
          <w:lang w:val="en-CA"/>
        </w:rPr>
      </w:pPr>
      <w:r w:rsidRPr="002B780F">
        <w:rPr>
          <w:vertAlign w:val="superscript"/>
        </w:rPr>
        <w:footnoteRef/>
      </w:r>
      <w:r w:rsidRPr="002B780F">
        <w:rPr>
          <w:lang w:val="en-CA"/>
        </w:rPr>
        <w:t xml:space="preserve"> </w:t>
      </w:r>
      <w:r w:rsidRPr="002B780F">
        <w:rPr>
          <w:lang w:val="en-CA"/>
        </w:rPr>
        <w:tab/>
      </w:r>
      <w:r w:rsidR="009A0EE3" w:rsidRPr="002B780F">
        <w:rPr>
          <w:lang w:val="en-CA"/>
        </w:rPr>
        <w:t xml:space="preserve">Applicant’s </w:t>
      </w:r>
      <w:r w:rsidR="002865CB" w:rsidRPr="002B780F">
        <w:rPr>
          <w:lang w:val="en-CA"/>
        </w:rPr>
        <w:t>argumentation plan</w:t>
      </w:r>
      <w:r w:rsidR="009A0EE3" w:rsidRPr="002B780F">
        <w:rPr>
          <w:lang w:val="en-CA"/>
        </w:rPr>
        <w:t xml:space="preserve"> </w:t>
      </w:r>
      <w:r w:rsidR="00F86545" w:rsidRPr="002B780F">
        <w:rPr>
          <w:lang w:val="en-CA"/>
        </w:rPr>
        <w:t xml:space="preserve">at para. </w:t>
      </w:r>
      <w:r w:rsidRPr="002B780F">
        <w:rPr>
          <w:lang w:val="en-CA"/>
        </w:rPr>
        <w:t>44.</w:t>
      </w:r>
    </w:p>
  </w:footnote>
  <w:footnote w:id="55">
    <w:p w14:paraId="123BE151" w14:textId="645C5B07" w:rsidR="00B83D45" w:rsidRPr="002B780F" w:rsidRDefault="00B83D45" w:rsidP="004F610C">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8C7CCD" w:rsidRPr="002B780F">
        <w:rPr>
          <w:lang w:val="en-CA"/>
        </w:rPr>
        <w:t xml:space="preserve">Sworn statement of </w:t>
      </w:r>
      <w:r w:rsidRPr="002B780F">
        <w:rPr>
          <w:lang w:val="en-CA"/>
        </w:rPr>
        <w:t>Donald Barabé</w:t>
      </w:r>
      <w:r w:rsidR="00B16F05" w:rsidRPr="002B780F">
        <w:rPr>
          <w:lang w:val="en-CA"/>
        </w:rPr>
        <w:t xml:space="preserve"> </w:t>
      </w:r>
      <w:r w:rsidR="00F86545" w:rsidRPr="002B780F">
        <w:rPr>
          <w:lang w:val="en-CA"/>
        </w:rPr>
        <w:t xml:space="preserve">at para. </w:t>
      </w:r>
      <w:r w:rsidRPr="002B780F">
        <w:rPr>
          <w:lang w:val="en-CA"/>
        </w:rPr>
        <w:t>18.</w:t>
      </w:r>
    </w:p>
  </w:footnote>
  <w:footnote w:id="56">
    <w:p w14:paraId="4DFE2D9A" w14:textId="125F8CBC" w:rsidR="00B83D45" w:rsidRPr="002B780F" w:rsidRDefault="00B83D45" w:rsidP="005249A3">
      <w:pPr>
        <w:pStyle w:val="Notedebasdepage"/>
        <w:rPr>
          <w:lang w:val="en-CA"/>
        </w:rPr>
      </w:pPr>
      <w:r w:rsidRPr="002B780F">
        <w:rPr>
          <w:vertAlign w:val="superscript"/>
          <w:lang w:val="en-CA"/>
        </w:rPr>
        <w:footnoteRef/>
      </w:r>
      <w:r w:rsidRPr="002B780F">
        <w:rPr>
          <w:lang w:val="en-CA"/>
        </w:rPr>
        <w:t xml:space="preserve"> </w:t>
      </w:r>
      <w:r w:rsidRPr="002B780F">
        <w:rPr>
          <w:lang w:val="en-CA"/>
        </w:rPr>
        <w:tab/>
      </w:r>
      <w:r w:rsidR="00B16F05" w:rsidRPr="002B780F">
        <w:rPr>
          <w:lang w:val="en-CA"/>
        </w:rPr>
        <w:t>R.S.C.</w:t>
      </w:r>
      <w:r w:rsidRPr="002B780F">
        <w:rPr>
          <w:lang w:val="en-CA"/>
        </w:rPr>
        <w:t xml:space="preserve"> 1985, c. 1 (5</w:t>
      </w:r>
      <w:r w:rsidR="00B16F05" w:rsidRPr="002B780F">
        <w:rPr>
          <w:lang w:val="en-CA"/>
        </w:rPr>
        <w:t>th</w:t>
      </w:r>
      <w:r w:rsidRPr="002B780F">
        <w:rPr>
          <w:lang w:val="en-CA"/>
        </w:rPr>
        <w:t xml:space="preserve"> </w:t>
      </w:r>
      <w:r w:rsidR="00B16F05" w:rsidRPr="002B780F">
        <w:rPr>
          <w:lang w:val="en-CA"/>
        </w:rPr>
        <w:t>Supp</w:t>
      </w:r>
      <w:r w:rsidRPr="002B780F">
        <w:rPr>
          <w:lang w:val="en-CA"/>
        </w:rPr>
        <w:t>.).</w:t>
      </w:r>
    </w:p>
  </w:footnote>
  <w:footnote w:id="57">
    <w:p w14:paraId="2B2841B1" w14:textId="6CD33270" w:rsidR="00B83D45" w:rsidRPr="002B780F" w:rsidRDefault="00B83D45" w:rsidP="005249A3">
      <w:pPr>
        <w:pStyle w:val="Notedebasdepage"/>
        <w:rPr>
          <w:lang w:val="en-CA"/>
        </w:rPr>
      </w:pPr>
      <w:r w:rsidRPr="002B780F">
        <w:rPr>
          <w:vertAlign w:val="superscript"/>
          <w:lang w:val="en-CA"/>
        </w:rPr>
        <w:footnoteRef/>
      </w:r>
      <w:r w:rsidRPr="002B780F">
        <w:rPr>
          <w:lang w:val="en-CA"/>
        </w:rPr>
        <w:t xml:space="preserve"> </w:t>
      </w:r>
      <w:r w:rsidRPr="002B780F">
        <w:rPr>
          <w:lang w:val="en-CA"/>
        </w:rPr>
        <w:tab/>
        <w:t>Canada</w:t>
      </w:r>
      <w:r w:rsidR="00B16F05" w:rsidRPr="002B780F">
        <w:rPr>
          <w:lang w:val="en-CA"/>
        </w:rPr>
        <w:t xml:space="preserve"> Revenue Agency</w:t>
      </w:r>
      <w:r w:rsidRPr="002B780F">
        <w:rPr>
          <w:lang w:val="en-CA"/>
        </w:rPr>
        <w:t xml:space="preserve">, </w:t>
      </w:r>
      <w:r w:rsidR="00B16F05" w:rsidRPr="002B780F">
        <w:rPr>
          <w:lang w:val="en-CA"/>
        </w:rPr>
        <w:t>Interpretation</w:t>
      </w:r>
      <w:r w:rsidRPr="002B780F">
        <w:rPr>
          <w:lang w:val="en-CA"/>
        </w:rPr>
        <w:t> </w:t>
      </w:r>
      <w:r w:rsidR="00B16F05" w:rsidRPr="002B780F">
        <w:rPr>
          <w:lang w:val="en-CA"/>
        </w:rPr>
        <w:t xml:space="preserve">Bulletin </w:t>
      </w:r>
      <w:r w:rsidRPr="002B780F">
        <w:rPr>
          <w:lang w:val="en-CA"/>
        </w:rPr>
        <w:t>IT</w:t>
      </w:r>
      <w:r w:rsidR="002343CE" w:rsidRPr="002B780F">
        <w:rPr>
          <w:lang w:val="en-CA"/>
        </w:rPr>
        <w:t>–</w:t>
      </w:r>
      <w:r w:rsidRPr="002B780F">
        <w:rPr>
          <w:lang w:val="en-CA"/>
        </w:rPr>
        <w:t xml:space="preserve">99R5, </w:t>
      </w:r>
      <w:r w:rsidR="00B16F05" w:rsidRPr="002B780F">
        <w:rPr>
          <w:lang w:val="en-CA"/>
        </w:rPr>
        <w:t xml:space="preserve">“Legal and Accounting Fees” </w:t>
      </w:r>
      <w:r w:rsidRPr="002B780F">
        <w:rPr>
          <w:lang w:val="en-CA"/>
        </w:rPr>
        <w:t>(</w:t>
      </w:r>
      <w:r w:rsidR="00B16F05" w:rsidRPr="002B780F">
        <w:rPr>
          <w:lang w:val="en-CA"/>
        </w:rPr>
        <w:t xml:space="preserve">December </w:t>
      </w:r>
      <w:r w:rsidRPr="002B780F">
        <w:rPr>
          <w:lang w:val="en-CA"/>
        </w:rPr>
        <w:t>5</w:t>
      </w:r>
      <w:r w:rsidR="00B16F05" w:rsidRPr="002B780F">
        <w:rPr>
          <w:lang w:val="en-CA"/>
        </w:rPr>
        <w:t>,</w:t>
      </w:r>
      <w:r w:rsidRPr="002B780F">
        <w:rPr>
          <w:lang w:val="en-CA"/>
        </w:rPr>
        <w:t xml:space="preserve"> 2000)</w:t>
      </w:r>
      <w:r w:rsidR="00B16F05" w:rsidRPr="002B780F">
        <w:rPr>
          <w:lang w:val="en-CA"/>
        </w:rPr>
        <w:t xml:space="preserve"> </w:t>
      </w:r>
      <w:r w:rsidR="00F86545" w:rsidRPr="002B780F">
        <w:rPr>
          <w:lang w:val="en-CA"/>
        </w:rPr>
        <w:t xml:space="preserve">at para. </w:t>
      </w:r>
      <w:r w:rsidRPr="002B780F">
        <w:rPr>
          <w:lang w:val="en-CA"/>
        </w:rPr>
        <w:t>28 (</w:t>
      </w:r>
      <w:r w:rsidR="00B16F05" w:rsidRPr="002B780F">
        <w:rPr>
          <w:lang w:val="en-CA"/>
        </w:rPr>
        <w:t>tab</w:t>
      </w:r>
      <w:r w:rsidRPr="002B780F">
        <w:rPr>
          <w:lang w:val="en-CA"/>
        </w:rPr>
        <w:t xml:space="preserve"> 24 </w:t>
      </w:r>
      <w:r w:rsidR="00B16F05" w:rsidRPr="002B780F">
        <w:rPr>
          <w:lang w:val="en-CA"/>
        </w:rPr>
        <w:t>of the respondent’s book of authorities</w:t>
      </w:r>
      <w:r w:rsidRPr="002B780F">
        <w:rPr>
          <w:lang w:val="en-CA"/>
        </w:rPr>
        <w:t>).</w:t>
      </w:r>
    </w:p>
  </w:footnote>
  <w:footnote w:id="58">
    <w:p w14:paraId="426CE77C" w14:textId="340D89F7" w:rsidR="00B83D45" w:rsidRPr="002B780F" w:rsidRDefault="00B83D45" w:rsidP="005249A3">
      <w:pPr>
        <w:pStyle w:val="Notedebasdepage"/>
        <w:rPr>
          <w:lang w:val="en-CA"/>
        </w:rPr>
      </w:pPr>
      <w:r w:rsidRPr="002B780F">
        <w:rPr>
          <w:vertAlign w:val="superscript"/>
          <w:lang w:val="en-CA"/>
        </w:rPr>
        <w:footnoteRef/>
      </w:r>
      <w:r w:rsidRPr="002B780F">
        <w:rPr>
          <w:lang w:val="en-CA"/>
        </w:rPr>
        <w:t xml:space="preserve"> </w:t>
      </w:r>
      <w:r w:rsidRPr="002B780F">
        <w:rPr>
          <w:lang w:val="en-CA"/>
        </w:rPr>
        <w:tab/>
      </w:r>
      <w:r w:rsidR="00B16F05" w:rsidRPr="002B780F">
        <w:rPr>
          <w:lang w:val="en-CA"/>
        </w:rPr>
        <w:t xml:space="preserve">Respondent’s </w:t>
      </w:r>
      <w:r w:rsidR="002865CB" w:rsidRPr="002B780F">
        <w:rPr>
          <w:lang w:val="en-CA"/>
        </w:rPr>
        <w:t>argumentation plan</w:t>
      </w:r>
      <w:r w:rsidR="00B16F05" w:rsidRPr="002B780F">
        <w:rPr>
          <w:lang w:val="en-CA"/>
        </w:rPr>
        <w:t xml:space="preserve"> </w:t>
      </w:r>
      <w:r w:rsidR="00F86545" w:rsidRPr="002B780F">
        <w:rPr>
          <w:lang w:val="en-CA"/>
        </w:rPr>
        <w:t xml:space="preserve">at para. </w:t>
      </w:r>
      <w:r w:rsidRPr="002B780F">
        <w:rPr>
          <w:lang w:val="en-CA"/>
        </w:rPr>
        <w:t>44.</w:t>
      </w:r>
    </w:p>
  </w:footnote>
  <w:footnote w:id="59">
    <w:p w14:paraId="08A957BE" w14:textId="400FD789" w:rsidR="00B83D45" w:rsidRPr="002B780F" w:rsidRDefault="00B83D45" w:rsidP="005249A3">
      <w:pPr>
        <w:pStyle w:val="Notedebasdepage"/>
        <w:rPr>
          <w:lang w:val="en-CA"/>
        </w:rPr>
      </w:pPr>
      <w:r w:rsidRPr="002B780F">
        <w:rPr>
          <w:vertAlign w:val="superscript"/>
          <w:lang w:val="en-CA"/>
        </w:rPr>
        <w:footnoteRef/>
      </w:r>
      <w:r w:rsidRPr="002B780F">
        <w:rPr>
          <w:lang w:val="en-CA"/>
        </w:rPr>
        <w:t xml:space="preserve"> </w:t>
      </w:r>
      <w:r w:rsidRPr="002B780F">
        <w:rPr>
          <w:lang w:val="en-CA"/>
        </w:rPr>
        <w:tab/>
        <w:t>Art</w:t>
      </w:r>
      <w:r w:rsidR="00BB2440" w:rsidRPr="002B780F">
        <w:rPr>
          <w:lang w:val="en-CA"/>
        </w:rPr>
        <w:t>icle</w:t>
      </w:r>
      <w:r w:rsidRPr="002B780F">
        <w:rPr>
          <w:lang w:val="en-CA"/>
        </w:rPr>
        <w:t> 87(3) </w:t>
      </w:r>
      <w:r w:rsidR="00B16F05" w:rsidRPr="002B780F">
        <w:rPr>
          <w:lang w:val="en-CA"/>
        </w:rPr>
        <w:t>C.C.P.</w:t>
      </w:r>
    </w:p>
  </w:footnote>
  <w:footnote w:id="60">
    <w:p w14:paraId="6397C2B4" w14:textId="3ACC7A5D" w:rsidR="00B83D45" w:rsidRPr="002B780F" w:rsidRDefault="00B83D45" w:rsidP="005249A3">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0E37A7" w:rsidRPr="002B780F">
        <w:rPr>
          <w:lang w:val="en-CA"/>
        </w:rPr>
        <w:t xml:space="preserve">Respondent’s </w:t>
      </w:r>
      <w:r w:rsidR="00DF2314" w:rsidRPr="002B780F">
        <w:rPr>
          <w:lang w:val="en-CA"/>
        </w:rPr>
        <w:t xml:space="preserve">submissions </w:t>
      </w:r>
      <w:r w:rsidR="000E37A7" w:rsidRPr="002B780F">
        <w:rPr>
          <w:lang w:val="en-CA"/>
        </w:rPr>
        <w:t>plan</w:t>
      </w:r>
      <w:r w:rsidRPr="002B780F">
        <w:rPr>
          <w:lang w:val="en-CA"/>
        </w:rPr>
        <w:t xml:space="preserve"> </w:t>
      </w:r>
      <w:r w:rsidR="00F86545" w:rsidRPr="002B780F">
        <w:rPr>
          <w:lang w:val="en-CA"/>
        </w:rPr>
        <w:t xml:space="preserve">at para. </w:t>
      </w:r>
      <w:r w:rsidRPr="002B780F">
        <w:rPr>
          <w:lang w:val="en-CA"/>
        </w:rPr>
        <w:t>47.</w:t>
      </w:r>
    </w:p>
  </w:footnote>
  <w:footnote w:id="61">
    <w:p w14:paraId="50155373" w14:textId="45325F91" w:rsidR="00B83D45" w:rsidRPr="002B780F" w:rsidRDefault="00B83D45" w:rsidP="005249A3">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E3510F" w:rsidRPr="002B780F">
        <w:rPr>
          <w:lang w:val="en-CA"/>
        </w:rPr>
        <w:t xml:space="preserve">For example, legal persons can be represented by individuals other than lawyers in small claims cases </w:t>
      </w:r>
      <w:r w:rsidRPr="002B780F">
        <w:rPr>
          <w:lang w:val="en-CA"/>
        </w:rPr>
        <w:t>(art. 88</w:t>
      </w:r>
      <w:r w:rsidR="00E3510F" w:rsidRPr="002B780F">
        <w:rPr>
          <w:lang w:val="en-CA"/>
        </w:rPr>
        <w:t>, para.</w:t>
      </w:r>
      <w:r w:rsidRPr="002B780F">
        <w:rPr>
          <w:lang w:val="en-CA"/>
        </w:rPr>
        <w:t> 1</w:t>
      </w:r>
      <w:r w:rsidR="00E3510F" w:rsidRPr="002B780F">
        <w:rPr>
          <w:lang w:val="en-CA"/>
        </w:rPr>
        <w:t xml:space="preserve"> and art.</w:t>
      </w:r>
      <w:r w:rsidRPr="002B780F">
        <w:rPr>
          <w:lang w:val="en-CA"/>
        </w:rPr>
        <w:t xml:space="preserve"> 542</w:t>
      </w:r>
      <w:r w:rsidR="00E3510F" w:rsidRPr="002B780F">
        <w:rPr>
          <w:lang w:val="en-CA"/>
        </w:rPr>
        <w:t xml:space="preserve">, para. </w:t>
      </w:r>
      <w:r w:rsidRPr="002B780F">
        <w:rPr>
          <w:lang w:val="en-CA"/>
        </w:rPr>
        <w:t>2 </w:t>
      </w:r>
      <w:r w:rsidR="00E3510F" w:rsidRPr="002B780F">
        <w:rPr>
          <w:lang w:val="en-CA"/>
        </w:rPr>
        <w:t>C.C.P.</w:t>
      </w:r>
      <w:r w:rsidRPr="002B780F">
        <w:rPr>
          <w:lang w:val="en-CA"/>
        </w:rPr>
        <w:t xml:space="preserve">) </w:t>
      </w:r>
      <w:r w:rsidR="00E3510F" w:rsidRPr="002B780F">
        <w:rPr>
          <w:lang w:val="en-CA"/>
        </w:rPr>
        <w:t>and before certain administrative tribunals</w:t>
      </w:r>
      <w:r w:rsidRPr="002B780F">
        <w:rPr>
          <w:lang w:val="en-CA"/>
        </w:rPr>
        <w:t xml:space="preserve"> (</w:t>
      </w:r>
      <w:r w:rsidR="00E3510F" w:rsidRPr="002B780F">
        <w:rPr>
          <w:i/>
          <w:lang w:val="en-CA"/>
        </w:rPr>
        <w:t>Act respecting the B</w:t>
      </w:r>
      <w:r w:rsidRPr="002B780F">
        <w:rPr>
          <w:i/>
          <w:lang w:val="en-CA"/>
        </w:rPr>
        <w:t>arreau</w:t>
      </w:r>
      <w:r w:rsidR="00E3510F" w:rsidRPr="002B780F">
        <w:rPr>
          <w:i/>
          <w:lang w:val="en-CA"/>
        </w:rPr>
        <w:t xml:space="preserve"> du Québec</w:t>
      </w:r>
      <w:r w:rsidRPr="002B780F">
        <w:rPr>
          <w:lang w:val="en-CA"/>
        </w:rPr>
        <w:t xml:space="preserve">, </w:t>
      </w:r>
      <w:r w:rsidR="00E3510F" w:rsidRPr="002B780F">
        <w:rPr>
          <w:lang w:val="en-CA"/>
        </w:rPr>
        <w:t>C</w:t>
      </w:r>
      <w:r w:rsidRPr="002B780F">
        <w:rPr>
          <w:lang w:val="en-CA"/>
        </w:rPr>
        <w:t>Q</w:t>
      </w:r>
      <w:r w:rsidR="00E3510F" w:rsidRPr="002B780F">
        <w:rPr>
          <w:lang w:val="en-CA"/>
        </w:rPr>
        <w:t>LR</w:t>
      </w:r>
      <w:r w:rsidRPr="002B780F">
        <w:rPr>
          <w:lang w:val="en-CA"/>
        </w:rPr>
        <w:t xml:space="preserve">, c. B-1, </w:t>
      </w:r>
      <w:r w:rsidR="00E3510F" w:rsidRPr="002B780F">
        <w:rPr>
          <w:lang w:val="en-CA"/>
        </w:rPr>
        <w:t>s</w:t>
      </w:r>
      <w:r w:rsidRPr="002B780F">
        <w:rPr>
          <w:lang w:val="en-CA"/>
        </w:rPr>
        <w:t xml:space="preserve">. 129(c); </w:t>
      </w:r>
      <w:r w:rsidRPr="002B780F">
        <w:rPr>
          <w:i/>
          <w:lang w:val="en-CA"/>
        </w:rPr>
        <w:t>Ville de Sherbrooke</w:t>
      </w:r>
      <w:r w:rsidRPr="002B780F">
        <w:rPr>
          <w:lang w:val="en-CA"/>
        </w:rPr>
        <w:t xml:space="preserve"> c. </w:t>
      </w:r>
      <w:r w:rsidRPr="002B780F">
        <w:rPr>
          <w:i/>
          <w:lang w:val="en-CA"/>
        </w:rPr>
        <w:t>Laboratoires Charles River Services précliniques Montréal</w:t>
      </w:r>
      <w:r w:rsidRPr="002B780F">
        <w:rPr>
          <w:lang w:val="en-CA"/>
        </w:rPr>
        <w:t xml:space="preserve">, 2022 QCCA 263). </w:t>
      </w:r>
      <w:r w:rsidR="004625C8" w:rsidRPr="002B780F">
        <w:rPr>
          <w:lang w:val="en-CA"/>
        </w:rPr>
        <w:t xml:space="preserve">This is also possible in provincial penal cases </w:t>
      </w:r>
      <w:r w:rsidRPr="002B780F">
        <w:rPr>
          <w:lang w:val="en-CA"/>
        </w:rPr>
        <w:t>(</w:t>
      </w:r>
      <w:r w:rsidRPr="002B780F">
        <w:rPr>
          <w:i/>
          <w:lang w:val="en-CA"/>
        </w:rPr>
        <w:t>Code</w:t>
      </w:r>
      <w:r w:rsidR="00D32AFF" w:rsidRPr="002B780F">
        <w:rPr>
          <w:i/>
          <w:lang w:val="en-CA"/>
        </w:rPr>
        <w:t> </w:t>
      </w:r>
      <w:r w:rsidR="004625C8" w:rsidRPr="002B780F">
        <w:rPr>
          <w:i/>
          <w:lang w:val="en-CA"/>
        </w:rPr>
        <w:t>of Pe</w:t>
      </w:r>
      <w:r w:rsidRPr="002B780F">
        <w:rPr>
          <w:i/>
          <w:lang w:val="en-CA"/>
        </w:rPr>
        <w:t>nal</w:t>
      </w:r>
      <w:r w:rsidR="004625C8" w:rsidRPr="002B780F">
        <w:rPr>
          <w:i/>
          <w:lang w:val="en-CA"/>
        </w:rPr>
        <w:t xml:space="preserve"> Procedure</w:t>
      </w:r>
      <w:r w:rsidR="004625C8" w:rsidRPr="002B780F">
        <w:rPr>
          <w:iCs/>
          <w:lang w:val="en-CA"/>
        </w:rPr>
        <w:t>,</w:t>
      </w:r>
      <w:r w:rsidRPr="002B780F">
        <w:rPr>
          <w:lang w:val="en-CA"/>
        </w:rPr>
        <w:t xml:space="preserve"> </w:t>
      </w:r>
      <w:r w:rsidR="004625C8" w:rsidRPr="002B780F">
        <w:rPr>
          <w:lang w:val="en-CA"/>
        </w:rPr>
        <w:t>CQL</w:t>
      </w:r>
      <w:r w:rsidRPr="002B780F">
        <w:rPr>
          <w:lang w:val="en-CA"/>
        </w:rPr>
        <w:t>R, c. C-25.1, art. 192).</w:t>
      </w:r>
    </w:p>
  </w:footnote>
  <w:footnote w:id="62">
    <w:p w14:paraId="5D2F375F" w14:textId="45544682" w:rsidR="00B83D45" w:rsidRPr="00DB7419" w:rsidRDefault="00B83D45" w:rsidP="005249A3">
      <w:pPr>
        <w:pStyle w:val="Notedebasdepage"/>
      </w:pPr>
      <w:r w:rsidRPr="002B780F">
        <w:rPr>
          <w:rStyle w:val="Appelnotedebasdep"/>
          <w:lang w:val="en-CA"/>
        </w:rPr>
        <w:footnoteRef/>
      </w:r>
      <w:r w:rsidRPr="00DB7419">
        <w:t xml:space="preserve"> </w:t>
      </w:r>
      <w:r w:rsidRPr="00DB7419">
        <w:tab/>
        <w:t>Art</w:t>
      </w:r>
      <w:r w:rsidR="00BB2440" w:rsidRPr="00DB7419">
        <w:t>icle</w:t>
      </w:r>
      <w:r w:rsidRPr="00DB7419">
        <w:t> 84 C.</w:t>
      </w:r>
      <w:r w:rsidR="004625C8" w:rsidRPr="00DB7419">
        <w:t>C.P.</w:t>
      </w:r>
    </w:p>
  </w:footnote>
  <w:footnote w:id="63">
    <w:p w14:paraId="0B16033B" w14:textId="4EFFA261" w:rsidR="00B83D45" w:rsidRPr="002B780F" w:rsidRDefault="00B83D45" w:rsidP="005249A3">
      <w:pPr>
        <w:pStyle w:val="Notedebasdepage"/>
      </w:pPr>
      <w:r w:rsidRPr="002B780F">
        <w:rPr>
          <w:rStyle w:val="Appelnotedebasdep"/>
          <w:lang w:val="en-CA"/>
        </w:rPr>
        <w:footnoteRef/>
      </w:r>
      <w:r w:rsidRPr="002B780F">
        <w:t xml:space="preserve"> </w:t>
      </w:r>
      <w:r w:rsidRPr="002B780F">
        <w:tab/>
      </w:r>
      <w:r w:rsidRPr="002B780F">
        <w:rPr>
          <w:i/>
        </w:rPr>
        <w:t xml:space="preserve">Conseil </w:t>
      </w:r>
      <w:r w:rsidR="001707D5" w:rsidRPr="002B780F">
        <w:rPr>
          <w:i/>
        </w:rPr>
        <w:t>s</w:t>
      </w:r>
      <w:r w:rsidRPr="002B780F">
        <w:rPr>
          <w:i/>
        </w:rPr>
        <w:t xml:space="preserve">colaire </w:t>
      </w:r>
      <w:r w:rsidR="001707D5" w:rsidRPr="002B780F">
        <w:rPr>
          <w:i/>
        </w:rPr>
        <w:t>f</w:t>
      </w:r>
      <w:r w:rsidRPr="002B780F">
        <w:rPr>
          <w:i/>
        </w:rPr>
        <w:t>rancophone de la Colombie-Britannique</w:t>
      </w:r>
      <w:r w:rsidRPr="002B780F">
        <w:t xml:space="preserve"> </w:t>
      </w:r>
      <w:r w:rsidRPr="002B780F">
        <w:rPr>
          <w:i/>
          <w:iCs/>
        </w:rPr>
        <w:t>v.</w:t>
      </w:r>
      <w:r w:rsidRPr="002B780F">
        <w:t xml:space="preserve"> </w:t>
      </w:r>
      <w:r w:rsidRPr="002B780F">
        <w:rPr>
          <w:i/>
        </w:rPr>
        <w:t>British Columbia</w:t>
      </w:r>
      <w:r w:rsidRPr="002B780F">
        <w:t>, 2012 BCCA 28</w:t>
      </w:r>
      <w:r w:rsidR="00F86545" w:rsidRPr="002B780F">
        <w:t>2 at para</w:t>
      </w:r>
      <w:r w:rsidR="001707D5" w:rsidRPr="002B780F">
        <w:t>s</w:t>
      </w:r>
      <w:r w:rsidR="00F86545" w:rsidRPr="002B780F">
        <w:t>.</w:t>
      </w:r>
      <w:r w:rsidR="00E3510F" w:rsidRPr="002B780F">
        <w:t> </w:t>
      </w:r>
      <w:r w:rsidRPr="002B780F">
        <w:t>46</w:t>
      </w:r>
      <w:r w:rsidR="002343CE" w:rsidRPr="002B780F">
        <w:t>–</w:t>
      </w:r>
      <w:r w:rsidRPr="002B780F">
        <w:t>52</w:t>
      </w:r>
      <w:r w:rsidR="00D63524" w:rsidRPr="002B780F">
        <w:t>,</w:t>
      </w:r>
      <w:r w:rsidRPr="002B780F">
        <w:t xml:space="preserve"> </w:t>
      </w:r>
      <w:r w:rsidR="003A5546" w:rsidRPr="002B780F">
        <w:t xml:space="preserve">aff’d </w:t>
      </w:r>
      <w:r w:rsidRPr="002B780F">
        <w:t>2013 SC</w:t>
      </w:r>
      <w:r w:rsidR="001707D5" w:rsidRPr="002B780F">
        <w:t>C</w:t>
      </w:r>
      <w:r w:rsidRPr="002B780F">
        <w:t> 42.</w:t>
      </w:r>
    </w:p>
  </w:footnote>
  <w:footnote w:id="64">
    <w:p w14:paraId="66869F6F" w14:textId="46890225" w:rsidR="00B83D45" w:rsidRPr="002B780F" w:rsidRDefault="00B83D45" w:rsidP="005249A3">
      <w:pPr>
        <w:pStyle w:val="Notedebasdepage"/>
      </w:pPr>
      <w:r w:rsidRPr="002B780F">
        <w:rPr>
          <w:rStyle w:val="Appelnotedebasdep"/>
          <w:lang w:val="en-CA"/>
        </w:rPr>
        <w:footnoteRef/>
      </w:r>
      <w:r w:rsidRPr="002B780F">
        <w:t xml:space="preserve"> </w:t>
      </w:r>
      <w:r w:rsidRPr="002B780F">
        <w:tab/>
      </w:r>
      <w:r w:rsidRPr="002B780F">
        <w:rPr>
          <w:i/>
        </w:rPr>
        <w:t>Conseil scolaire francophone de la Colombie‑Britannique</w:t>
      </w:r>
      <w:r w:rsidRPr="002B780F">
        <w:t xml:space="preserve"> </w:t>
      </w:r>
      <w:r w:rsidR="00FD6FCD" w:rsidRPr="002B780F">
        <w:rPr>
          <w:i/>
          <w:iCs/>
        </w:rPr>
        <w:t>v</w:t>
      </w:r>
      <w:r w:rsidRPr="002B780F">
        <w:t xml:space="preserve">. </w:t>
      </w:r>
      <w:r w:rsidR="00FD6FCD" w:rsidRPr="002B780F">
        <w:rPr>
          <w:i/>
        </w:rPr>
        <w:t>British Columbia</w:t>
      </w:r>
      <w:r w:rsidRPr="002B780F">
        <w:t xml:space="preserve">, 2013 </w:t>
      </w:r>
      <w:r w:rsidR="00FD6FCD" w:rsidRPr="002B780F">
        <w:t xml:space="preserve">SCC </w:t>
      </w:r>
      <w:r w:rsidRPr="002B780F">
        <w:t>42.</w:t>
      </w:r>
    </w:p>
  </w:footnote>
  <w:footnote w:id="65">
    <w:p w14:paraId="559F5D95" w14:textId="75273FFA" w:rsidR="00B83D45" w:rsidRPr="002B780F" w:rsidRDefault="00B83D45" w:rsidP="005249A3">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F149FB" w:rsidRPr="002B780F">
        <w:rPr>
          <w:lang w:val="en-CA"/>
        </w:rPr>
        <w:t xml:space="preserve">Respondent’s </w:t>
      </w:r>
      <w:r w:rsidR="002865CB" w:rsidRPr="002B780F">
        <w:rPr>
          <w:lang w:val="en-CA"/>
        </w:rPr>
        <w:t>argumentation plan</w:t>
      </w:r>
      <w:r w:rsidR="00B16F05" w:rsidRPr="002B780F">
        <w:rPr>
          <w:lang w:val="en-CA"/>
        </w:rPr>
        <w:t xml:space="preserve"> </w:t>
      </w:r>
      <w:r w:rsidR="00F86545" w:rsidRPr="002B780F">
        <w:rPr>
          <w:lang w:val="en-CA"/>
        </w:rPr>
        <w:t xml:space="preserve">at para. </w:t>
      </w:r>
      <w:r w:rsidRPr="002B780F">
        <w:rPr>
          <w:lang w:val="en-CA"/>
        </w:rPr>
        <w:t>55.</w:t>
      </w:r>
    </w:p>
  </w:footnote>
  <w:footnote w:id="66">
    <w:p w14:paraId="5DD60B6C" w14:textId="6C824BD1" w:rsidR="00B83D45" w:rsidRPr="002B780F" w:rsidRDefault="00B83D45" w:rsidP="005249A3">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853EF0" w:rsidRPr="002B780F">
        <w:rPr>
          <w:lang w:val="en-CA"/>
        </w:rPr>
        <w:t>Nor are they bound by s. </w:t>
      </w:r>
      <w:r w:rsidRPr="002B780F">
        <w:rPr>
          <w:lang w:val="en-CA"/>
        </w:rPr>
        <w:t xml:space="preserve">19 </w:t>
      </w:r>
      <w:r w:rsidR="00853EF0" w:rsidRPr="002B780F">
        <w:rPr>
          <w:lang w:val="en-CA"/>
        </w:rPr>
        <w:t>of the</w:t>
      </w:r>
      <w:r w:rsidRPr="002B780F">
        <w:rPr>
          <w:lang w:val="en-CA"/>
        </w:rPr>
        <w:t xml:space="preserve"> </w:t>
      </w:r>
      <w:r w:rsidR="00853EF0" w:rsidRPr="002B780F">
        <w:rPr>
          <w:i/>
          <w:iCs/>
          <w:lang w:val="en-CA"/>
        </w:rPr>
        <w:t>C</w:t>
      </w:r>
      <w:r w:rsidRPr="002B780F">
        <w:rPr>
          <w:i/>
          <w:lang w:val="en-CA"/>
        </w:rPr>
        <w:t>anadi</w:t>
      </w:r>
      <w:r w:rsidR="00853EF0" w:rsidRPr="002B780F">
        <w:rPr>
          <w:i/>
          <w:lang w:val="en-CA"/>
        </w:rPr>
        <w:t>an Charter of Rights and Freedoms.</w:t>
      </w:r>
      <w:r w:rsidRPr="002B780F">
        <w:rPr>
          <w:lang w:val="en-CA"/>
        </w:rPr>
        <w:t xml:space="preserve"> </w:t>
      </w:r>
      <w:r w:rsidR="00E3510F" w:rsidRPr="002B780F">
        <w:t>See</w:t>
      </w:r>
      <w:r w:rsidRPr="002B780F">
        <w:t xml:space="preserve"> </w:t>
      </w:r>
      <w:r w:rsidRPr="002B780F">
        <w:rPr>
          <w:i/>
        </w:rPr>
        <w:t>Conseil scolaire francophone de la Colombie‑Britannique</w:t>
      </w:r>
      <w:r w:rsidR="00E3510F" w:rsidRPr="002B780F">
        <w:rPr>
          <w:i/>
        </w:rPr>
        <w:t> </w:t>
      </w:r>
      <w:r w:rsidR="00E3510F" w:rsidRPr="002B780F">
        <w:rPr>
          <w:i/>
          <w:iCs/>
        </w:rPr>
        <w:t>v</w:t>
      </w:r>
      <w:r w:rsidRPr="002B780F">
        <w:rPr>
          <w:i/>
          <w:iCs/>
        </w:rPr>
        <w:t>.</w:t>
      </w:r>
      <w:r w:rsidRPr="002B780F">
        <w:t xml:space="preserve"> </w:t>
      </w:r>
      <w:r w:rsidR="00E3510F" w:rsidRPr="002B780F">
        <w:rPr>
          <w:i/>
        </w:rPr>
        <w:t>British Columbia</w:t>
      </w:r>
      <w:r w:rsidRPr="002B780F">
        <w:t>, 2013 S</w:t>
      </w:r>
      <w:r w:rsidR="005C6875" w:rsidRPr="002B780F">
        <w:t>C</w:t>
      </w:r>
      <w:r w:rsidRPr="002B780F">
        <w:t>C 4</w:t>
      </w:r>
      <w:r w:rsidR="00F86545" w:rsidRPr="002B780F">
        <w:t>2 at para</w:t>
      </w:r>
      <w:r w:rsidR="00E3510F" w:rsidRPr="002B780F">
        <w:t>s</w:t>
      </w:r>
      <w:r w:rsidR="00F86545" w:rsidRPr="002B780F">
        <w:t xml:space="preserve">. </w:t>
      </w:r>
      <w:r w:rsidRPr="002B780F">
        <w:rPr>
          <w:lang w:val="en-CA"/>
        </w:rPr>
        <w:t>55</w:t>
      </w:r>
      <w:r w:rsidR="002343CE" w:rsidRPr="002B780F">
        <w:rPr>
          <w:lang w:val="en-CA"/>
        </w:rPr>
        <w:t>–</w:t>
      </w:r>
      <w:r w:rsidRPr="002B780F">
        <w:rPr>
          <w:lang w:val="en-CA"/>
        </w:rPr>
        <w:t>57.</w:t>
      </w:r>
    </w:p>
  </w:footnote>
  <w:footnote w:id="67">
    <w:p w14:paraId="0A635C2F" w14:textId="28A264DC" w:rsidR="00B83D45" w:rsidRPr="002B780F" w:rsidRDefault="00B83D45" w:rsidP="005249A3">
      <w:pPr>
        <w:pStyle w:val="Notedebasdepage"/>
        <w:rPr>
          <w:lang w:val="en-CA"/>
        </w:rPr>
      </w:pPr>
      <w:r w:rsidRPr="002B780F">
        <w:rPr>
          <w:rStyle w:val="Appelnotedebasdep"/>
        </w:rPr>
        <w:footnoteRef/>
      </w:r>
      <w:r w:rsidRPr="002B780F">
        <w:rPr>
          <w:lang w:val="en-CA"/>
        </w:rPr>
        <w:t xml:space="preserve"> </w:t>
      </w:r>
      <w:r w:rsidRPr="002B780F">
        <w:rPr>
          <w:lang w:val="en-CA"/>
        </w:rPr>
        <w:tab/>
      </w:r>
      <w:r w:rsidRPr="002B780F">
        <w:rPr>
          <w:i/>
          <w:lang w:val="en-CA"/>
        </w:rPr>
        <w:t>RJR–Macdonald Inc.</w:t>
      </w:r>
      <w:r w:rsidRPr="002B780F">
        <w:rPr>
          <w:lang w:val="en-CA"/>
        </w:rPr>
        <w:t xml:space="preserve"> </w:t>
      </w:r>
      <w:r w:rsidR="0057497C" w:rsidRPr="002B780F">
        <w:rPr>
          <w:i/>
          <w:iCs/>
          <w:lang w:val="en-CA"/>
        </w:rPr>
        <w:t>v</w:t>
      </w:r>
      <w:r w:rsidRPr="002B780F">
        <w:rPr>
          <w:i/>
          <w:iCs/>
          <w:lang w:val="en-CA"/>
        </w:rPr>
        <w:t>.</w:t>
      </w:r>
      <w:r w:rsidRPr="002B780F">
        <w:rPr>
          <w:lang w:val="en-CA"/>
        </w:rPr>
        <w:t xml:space="preserve"> </w:t>
      </w:r>
      <w:r w:rsidRPr="002B780F">
        <w:rPr>
          <w:i/>
          <w:lang w:val="en-CA"/>
        </w:rPr>
        <w:t xml:space="preserve">Canada </w:t>
      </w:r>
      <w:r w:rsidR="00F86545" w:rsidRPr="002B780F">
        <w:rPr>
          <w:i/>
          <w:lang w:val="en-CA"/>
        </w:rPr>
        <w:t>(Attorney General)</w:t>
      </w:r>
      <w:r w:rsidRPr="002B780F">
        <w:rPr>
          <w:lang w:val="en-CA"/>
        </w:rPr>
        <w:t xml:space="preserve">, [1994] 1 </w:t>
      </w:r>
      <w:r w:rsidR="00F86545" w:rsidRPr="002B780F">
        <w:rPr>
          <w:lang w:val="en-CA"/>
        </w:rPr>
        <w:t>S.C.R.</w:t>
      </w:r>
      <w:r w:rsidRPr="002B780F">
        <w:rPr>
          <w:lang w:val="en-CA"/>
        </w:rPr>
        <w:t xml:space="preserve"> 311</w:t>
      </w:r>
      <w:r w:rsidR="0057497C" w:rsidRPr="002B780F">
        <w:rPr>
          <w:lang w:val="en-CA"/>
        </w:rPr>
        <w:t xml:space="preserve"> at</w:t>
      </w:r>
      <w:r w:rsidRPr="002B780F">
        <w:rPr>
          <w:lang w:val="en-CA"/>
        </w:rPr>
        <w:t xml:space="preserve"> 342.</w:t>
      </w:r>
    </w:p>
  </w:footnote>
  <w:footnote w:id="68">
    <w:p w14:paraId="000FEED6" w14:textId="429BD6F9" w:rsidR="00B83D45" w:rsidRPr="002B780F" w:rsidRDefault="00B83D45" w:rsidP="005249A3">
      <w:pPr>
        <w:pStyle w:val="Notedebasdepage"/>
        <w:rPr>
          <w:lang w:val="en-CA"/>
        </w:rPr>
      </w:pPr>
      <w:r w:rsidRPr="002B780F">
        <w:rPr>
          <w:rStyle w:val="Appelnotedebasdep"/>
        </w:rPr>
        <w:footnoteRef/>
      </w:r>
      <w:r w:rsidRPr="002B780F">
        <w:rPr>
          <w:lang w:val="en-CA"/>
        </w:rPr>
        <w:t xml:space="preserve"> </w:t>
      </w:r>
      <w:r w:rsidRPr="002B780F">
        <w:rPr>
          <w:lang w:val="en-CA"/>
        </w:rPr>
        <w:tab/>
      </w:r>
      <w:r w:rsidRPr="002B780F">
        <w:rPr>
          <w:i/>
          <w:lang w:val="en-CA"/>
        </w:rPr>
        <w:t>Harper</w:t>
      </w:r>
      <w:r w:rsidRPr="002B780F">
        <w:rPr>
          <w:lang w:val="en-CA"/>
        </w:rPr>
        <w:t xml:space="preserve"> </w:t>
      </w:r>
      <w:r w:rsidR="0057497C" w:rsidRPr="002B780F">
        <w:rPr>
          <w:i/>
          <w:iCs/>
          <w:lang w:val="en-CA"/>
        </w:rPr>
        <w:t>v</w:t>
      </w:r>
      <w:r w:rsidRPr="002B780F">
        <w:rPr>
          <w:i/>
          <w:iCs/>
          <w:lang w:val="en-CA"/>
        </w:rPr>
        <w:t>.</w:t>
      </w:r>
      <w:r w:rsidRPr="002B780F">
        <w:rPr>
          <w:lang w:val="en-CA"/>
        </w:rPr>
        <w:t xml:space="preserve"> </w:t>
      </w:r>
      <w:r w:rsidRPr="002B780F">
        <w:rPr>
          <w:i/>
          <w:lang w:val="en-CA"/>
        </w:rPr>
        <w:t xml:space="preserve">Canada </w:t>
      </w:r>
      <w:r w:rsidR="00F86545" w:rsidRPr="002B780F">
        <w:rPr>
          <w:i/>
          <w:lang w:val="en-CA"/>
        </w:rPr>
        <w:t>(Attorney General)</w:t>
      </w:r>
      <w:r w:rsidRPr="002B780F">
        <w:rPr>
          <w:lang w:val="en-CA"/>
        </w:rPr>
        <w:t xml:space="preserve">, [2000] 2 </w:t>
      </w:r>
      <w:r w:rsidR="00F86545" w:rsidRPr="002B780F">
        <w:rPr>
          <w:lang w:val="en-CA"/>
        </w:rPr>
        <w:t>S.C.R.</w:t>
      </w:r>
      <w:r w:rsidRPr="002B780F">
        <w:rPr>
          <w:lang w:val="en-CA"/>
        </w:rPr>
        <w:t xml:space="preserve"> 76</w:t>
      </w:r>
      <w:r w:rsidR="00F86545" w:rsidRPr="002B780F">
        <w:rPr>
          <w:lang w:val="en-CA"/>
        </w:rPr>
        <w:t xml:space="preserve">4 at para. </w:t>
      </w:r>
      <w:r w:rsidRPr="002B780F">
        <w:rPr>
          <w:lang w:val="en-CA"/>
        </w:rPr>
        <w:t>5.</w:t>
      </w:r>
    </w:p>
  </w:footnote>
  <w:footnote w:id="69">
    <w:p w14:paraId="298790EB" w14:textId="1010D9CC" w:rsidR="00B83D45" w:rsidRPr="002B780F" w:rsidRDefault="00B83D45" w:rsidP="005249A3">
      <w:pPr>
        <w:pStyle w:val="Notedebasdepage"/>
        <w:rPr>
          <w:lang w:val="en-CA"/>
        </w:rPr>
      </w:pPr>
      <w:r w:rsidRPr="002B780F">
        <w:rPr>
          <w:rStyle w:val="Appelnotedebasdep"/>
        </w:rPr>
        <w:footnoteRef/>
      </w:r>
      <w:r w:rsidRPr="002B780F">
        <w:rPr>
          <w:lang w:val="en-CA"/>
        </w:rPr>
        <w:t xml:space="preserve"> </w:t>
      </w:r>
      <w:r w:rsidRPr="002B780F">
        <w:rPr>
          <w:lang w:val="en-CA"/>
        </w:rPr>
        <w:tab/>
      </w:r>
      <w:r w:rsidRPr="002B780F">
        <w:rPr>
          <w:i/>
          <w:lang w:val="en-CA"/>
        </w:rPr>
        <w:t>RJR–Macdonald Inc.</w:t>
      </w:r>
      <w:r w:rsidRPr="002B780F">
        <w:rPr>
          <w:lang w:val="en-CA"/>
        </w:rPr>
        <w:t xml:space="preserve"> </w:t>
      </w:r>
      <w:r w:rsidR="002242E4" w:rsidRPr="002B780F">
        <w:rPr>
          <w:i/>
          <w:iCs/>
          <w:lang w:val="en-CA"/>
        </w:rPr>
        <w:t>v</w:t>
      </w:r>
      <w:r w:rsidRPr="002B780F">
        <w:rPr>
          <w:i/>
          <w:iCs/>
          <w:lang w:val="en-CA"/>
        </w:rPr>
        <w:t>.</w:t>
      </w:r>
      <w:r w:rsidRPr="002B780F">
        <w:rPr>
          <w:lang w:val="en-CA"/>
        </w:rPr>
        <w:t xml:space="preserve"> </w:t>
      </w:r>
      <w:r w:rsidRPr="002B780F">
        <w:rPr>
          <w:i/>
          <w:lang w:val="en-CA"/>
        </w:rPr>
        <w:t xml:space="preserve">Canada </w:t>
      </w:r>
      <w:r w:rsidR="00F86545" w:rsidRPr="002B780F">
        <w:rPr>
          <w:i/>
          <w:lang w:val="en-CA"/>
        </w:rPr>
        <w:t>(Attorney General)</w:t>
      </w:r>
      <w:r w:rsidRPr="002B780F">
        <w:rPr>
          <w:lang w:val="en-CA"/>
        </w:rPr>
        <w:t xml:space="preserve">, [1994] 1 </w:t>
      </w:r>
      <w:r w:rsidR="00F86545" w:rsidRPr="002B780F">
        <w:rPr>
          <w:lang w:val="en-CA"/>
        </w:rPr>
        <w:t>S.C.R.</w:t>
      </w:r>
      <w:r w:rsidRPr="002B780F">
        <w:rPr>
          <w:lang w:val="en-CA"/>
        </w:rPr>
        <w:t xml:space="preserve"> 311</w:t>
      </w:r>
      <w:r w:rsidR="002242E4" w:rsidRPr="002B780F">
        <w:rPr>
          <w:lang w:val="en-CA"/>
        </w:rPr>
        <w:t xml:space="preserve"> at</w:t>
      </w:r>
      <w:r w:rsidRPr="002B780F">
        <w:rPr>
          <w:lang w:val="en-CA"/>
        </w:rPr>
        <w:t xml:space="preserve"> 343; </w:t>
      </w:r>
      <w:r w:rsidRPr="002B780F">
        <w:rPr>
          <w:i/>
          <w:lang w:val="en-CA"/>
        </w:rPr>
        <w:t>Manitoba (</w:t>
      </w:r>
      <w:r w:rsidR="002242E4" w:rsidRPr="002B780F">
        <w:rPr>
          <w:i/>
          <w:lang w:val="en-CA"/>
        </w:rPr>
        <w:t>A</w:t>
      </w:r>
      <w:r w:rsidRPr="002B780F">
        <w:rPr>
          <w:i/>
          <w:lang w:val="en-CA"/>
        </w:rPr>
        <w:t>.G.)</w:t>
      </w:r>
      <w:r w:rsidRPr="002B780F">
        <w:rPr>
          <w:lang w:val="en-CA"/>
        </w:rPr>
        <w:t xml:space="preserve"> </w:t>
      </w:r>
      <w:r w:rsidR="002242E4" w:rsidRPr="002B780F">
        <w:rPr>
          <w:i/>
          <w:iCs/>
          <w:lang w:val="en-CA"/>
        </w:rPr>
        <w:t>v</w:t>
      </w:r>
      <w:r w:rsidRPr="002B780F">
        <w:rPr>
          <w:i/>
          <w:iCs/>
          <w:lang w:val="en-CA"/>
        </w:rPr>
        <w:t>.</w:t>
      </w:r>
      <w:r w:rsidRPr="002B780F">
        <w:rPr>
          <w:lang w:val="en-CA"/>
        </w:rPr>
        <w:t xml:space="preserve"> </w:t>
      </w:r>
      <w:r w:rsidRPr="002B780F">
        <w:rPr>
          <w:i/>
          <w:lang w:val="en-CA"/>
        </w:rPr>
        <w:t>Metropolitan Stores Ltd.</w:t>
      </w:r>
      <w:r w:rsidRPr="002B780F">
        <w:rPr>
          <w:lang w:val="en-CA"/>
        </w:rPr>
        <w:t xml:space="preserve">, [1987] 1 </w:t>
      </w:r>
      <w:r w:rsidR="00F86545" w:rsidRPr="002B780F">
        <w:rPr>
          <w:lang w:val="en-CA"/>
        </w:rPr>
        <w:t>S.C.R.</w:t>
      </w:r>
      <w:r w:rsidRPr="002B780F">
        <w:rPr>
          <w:lang w:val="en-CA"/>
        </w:rPr>
        <w:t xml:space="preserve"> 110</w:t>
      </w:r>
      <w:r w:rsidR="002242E4" w:rsidRPr="002B780F">
        <w:rPr>
          <w:lang w:val="en-CA"/>
        </w:rPr>
        <w:t xml:space="preserve"> at</w:t>
      </w:r>
      <w:r w:rsidRPr="002B780F">
        <w:rPr>
          <w:lang w:val="en-CA"/>
        </w:rPr>
        <w:t xml:space="preserve"> 135</w:t>
      </w:r>
      <w:r w:rsidR="002242E4" w:rsidRPr="002B780F">
        <w:rPr>
          <w:lang w:val="en-CA"/>
        </w:rPr>
        <w:t xml:space="preserve"> and</w:t>
      </w:r>
      <w:r w:rsidRPr="002B780F">
        <w:rPr>
          <w:lang w:val="en-CA"/>
        </w:rPr>
        <w:t xml:space="preserve"> 149.</w:t>
      </w:r>
    </w:p>
  </w:footnote>
  <w:footnote w:id="70">
    <w:p w14:paraId="50CF4FFA" w14:textId="630F73DB" w:rsidR="00B83D45" w:rsidRPr="002B780F" w:rsidRDefault="00B83D45" w:rsidP="005249A3">
      <w:pPr>
        <w:pStyle w:val="Notedebasdepage"/>
        <w:rPr>
          <w:lang w:val="en-CA"/>
        </w:rPr>
      </w:pPr>
      <w:r w:rsidRPr="002B780F">
        <w:rPr>
          <w:rStyle w:val="Appelnotedebasdep"/>
        </w:rPr>
        <w:footnoteRef/>
      </w:r>
      <w:r w:rsidRPr="002B780F">
        <w:t xml:space="preserve"> </w:t>
      </w:r>
      <w:r w:rsidRPr="002B780F">
        <w:tab/>
      </w:r>
      <w:r w:rsidRPr="002B780F">
        <w:rPr>
          <w:i/>
        </w:rPr>
        <w:t>Hak</w:t>
      </w:r>
      <w:r w:rsidRPr="002B780F">
        <w:t xml:space="preserve"> </w:t>
      </w:r>
      <w:r w:rsidR="002242E4" w:rsidRPr="002B780F">
        <w:rPr>
          <w:i/>
          <w:iCs/>
        </w:rPr>
        <w:t>c</w:t>
      </w:r>
      <w:r w:rsidRPr="002B780F">
        <w:rPr>
          <w:i/>
          <w:iCs/>
        </w:rPr>
        <w:t>.</w:t>
      </w:r>
      <w:r w:rsidRPr="002B780F">
        <w:t xml:space="preserve"> </w:t>
      </w:r>
      <w:r w:rsidRPr="002B780F">
        <w:rPr>
          <w:i/>
        </w:rPr>
        <w:t>Procureure générale du Québec</w:t>
      </w:r>
      <w:r w:rsidRPr="002B780F">
        <w:t>, 2019 QCCA 214</w:t>
      </w:r>
      <w:r w:rsidR="00F86545" w:rsidRPr="002B780F">
        <w:t xml:space="preserve">5 at para. </w:t>
      </w:r>
      <w:r w:rsidRPr="002B780F">
        <w:rPr>
          <w:lang w:val="en-CA"/>
        </w:rPr>
        <w:t>154</w:t>
      </w:r>
      <w:r w:rsidR="00454CA6" w:rsidRPr="002B780F">
        <w:rPr>
          <w:lang w:val="en-CA"/>
        </w:rPr>
        <w:t>,</w:t>
      </w:r>
      <w:r w:rsidRPr="002B780F">
        <w:rPr>
          <w:lang w:val="en-CA"/>
        </w:rPr>
        <w:t xml:space="preserve"> </w:t>
      </w:r>
      <w:r w:rsidR="002242E4" w:rsidRPr="002B780F">
        <w:rPr>
          <w:lang w:val="en-CA"/>
        </w:rPr>
        <w:t xml:space="preserve">leave to appeal </w:t>
      </w:r>
      <w:r w:rsidR="009A36D5" w:rsidRPr="002B780F">
        <w:rPr>
          <w:lang w:val="en-CA"/>
        </w:rPr>
        <w:t xml:space="preserve">to S.C.C. </w:t>
      </w:r>
      <w:r w:rsidR="002242E4" w:rsidRPr="002B780F">
        <w:rPr>
          <w:lang w:val="en-CA"/>
        </w:rPr>
        <w:t>refused</w:t>
      </w:r>
      <w:r w:rsidRPr="002B780F">
        <w:rPr>
          <w:lang w:val="en-CA"/>
        </w:rPr>
        <w:t xml:space="preserve">, </w:t>
      </w:r>
      <w:r w:rsidR="009A36D5" w:rsidRPr="002B780F">
        <w:rPr>
          <w:lang w:val="en-CA"/>
        </w:rPr>
        <w:t>39016 (9 April 2020</w:t>
      </w:r>
      <w:r w:rsidRPr="002B780F">
        <w:rPr>
          <w:lang w:val="en-CA"/>
        </w:rPr>
        <w:t>).</w:t>
      </w:r>
    </w:p>
  </w:footnote>
  <w:footnote w:id="71">
    <w:p w14:paraId="3C3C0409" w14:textId="6E381248" w:rsidR="00B83D45" w:rsidRPr="002B780F" w:rsidRDefault="00B83D45" w:rsidP="005249A3">
      <w:pPr>
        <w:pStyle w:val="Notedebasdepage"/>
        <w:rPr>
          <w:lang w:val="en-CA"/>
        </w:rPr>
      </w:pPr>
      <w:r w:rsidRPr="002B780F">
        <w:rPr>
          <w:rStyle w:val="Appelnotedebasdep"/>
        </w:rPr>
        <w:footnoteRef/>
      </w:r>
      <w:r w:rsidRPr="002B780F">
        <w:rPr>
          <w:lang w:val="en-CA"/>
        </w:rPr>
        <w:t xml:space="preserve"> </w:t>
      </w:r>
      <w:r w:rsidRPr="002B780F">
        <w:rPr>
          <w:lang w:val="en-CA"/>
        </w:rPr>
        <w:tab/>
      </w:r>
      <w:r w:rsidRPr="002B780F">
        <w:rPr>
          <w:i/>
          <w:lang w:val="en-CA"/>
        </w:rPr>
        <w:t>Harper</w:t>
      </w:r>
      <w:r w:rsidRPr="002B780F">
        <w:rPr>
          <w:lang w:val="en-CA"/>
        </w:rPr>
        <w:t xml:space="preserve"> </w:t>
      </w:r>
      <w:r w:rsidR="002242E4" w:rsidRPr="002B780F">
        <w:rPr>
          <w:i/>
          <w:iCs/>
          <w:lang w:val="en-CA"/>
        </w:rPr>
        <w:t>v</w:t>
      </w:r>
      <w:r w:rsidRPr="002B780F">
        <w:rPr>
          <w:i/>
          <w:iCs/>
          <w:lang w:val="en-CA"/>
        </w:rPr>
        <w:t>.</w:t>
      </w:r>
      <w:r w:rsidRPr="002B780F">
        <w:rPr>
          <w:lang w:val="en-CA"/>
        </w:rPr>
        <w:t xml:space="preserve"> </w:t>
      </w:r>
      <w:r w:rsidRPr="002B780F">
        <w:rPr>
          <w:i/>
          <w:lang w:val="en-CA"/>
        </w:rPr>
        <w:t xml:space="preserve">Canada </w:t>
      </w:r>
      <w:r w:rsidR="00F86545" w:rsidRPr="002B780F">
        <w:rPr>
          <w:i/>
          <w:lang w:val="en-CA"/>
        </w:rPr>
        <w:t>(Attorney General)</w:t>
      </w:r>
      <w:r w:rsidRPr="002B780F">
        <w:rPr>
          <w:lang w:val="en-CA"/>
        </w:rPr>
        <w:t xml:space="preserve">, [2000] 2 </w:t>
      </w:r>
      <w:r w:rsidR="00F86545" w:rsidRPr="002B780F">
        <w:rPr>
          <w:lang w:val="en-CA"/>
        </w:rPr>
        <w:t>S.C.R.</w:t>
      </w:r>
      <w:r w:rsidRPr="002B780F">
        <w:rPr>
          <w:lang w:val="en-CA"/>
        </w:rPr>
        <w:t xml:space="preserve"> 76</w:t>
      </w:r>
      <w:r w:rsidR="00F86545" w:rsidRPr="002B780F">
        <w:rPr>
          <w:lang w:val="en-CA"/>
        </w:rPr>
        <w:t xml:space="preserve">4 at para. </w:t>
      </w:r>
      <w:r w:rsidRPr="002B780F">
        <w:t xml:space="preserve">9. </w:t>
      </w:r>
      <w:r w:rsidR="002242E4" w:rsidRPr="002B780F">
        <w:t>In addition, see</w:t>
      </w:r>
      <w:r w:rsidRPr="002B780F">
        <w:t xml:space="preserve"> </w:t>
      </w:r>
      <w:r w:rsidRPr="002B780F">
        <w:rPr>
          <w:i/>
        </w:rPr>
        <w:t>Hak</w:t>
      </w:r>
      <w:r w:rsidRPr="002B780F">
        <w:t xml:space="preserve"> </w:t>
      </w:r>
      <w:r w:rsidRPr="002B780F">
        <w:rPr>
          <w:i/>
          <w:iCs/>
        </w:rPr>
        <w:t>c</w:t>
      </w:r>
      <w:r w:rsidRPr="002B780F">
        <w:t xml:space="preserve">. </w:t>
      </w:r>
      <w:r w:rsidRPr="002B780F">
        <w:rPr>
          <w:i/>
        </w:rPr>
        <w:t>Procureure générale du Québec</w:t>
      </w:r>
      <w:r w:rsidRPr="002B780F">
        <w:t>, 2019 QCCA 214</w:t>
      </w:r>
      <w:r w:rsidR="00F86545" w:rsidRPr="002B780F">
        <w:t xml:space="preserve">5 at para. </w:t>
      </w:r>
      <w:r w:rsidRPr="002B780F">
        <w:rPr>
          <w:lang w:val="en-CA"/>
        </w:rPr>
        <w:t>91</w:t>
      </w:r>
      <w:r w:rsidR="00471A6A" w:rsidRPr="002B780F">
        <w:rPr>
          <w:lang w:val="en-CA"/>
        </w:rPr>
        <w:t>,</w:t>
      </w:r>
      <w:r w:rsidRPr="002B780F">
        <w:rPr>
          <w:lang w:val="en-CA"/>
        </w:rPr>
        <w:t xml:space="preserve"> </w:t>
      </w:r>
      <w:r w:rsidR="002242E4" w:rsidRPr="002B780F">
        <w:rPr>
          <w:lang w:val="en-CA"/>
        </w:rPr>
        <w:t xml:space="preserve">leave to appeal </w:t>
      </w:r>
      <w:r w:rsidR="00D47EC7" w:rsidRPr="002B780F">
        <w:rPr>
          <w:lang w:val="en-CA"/>
        </w:rPr>
        <w:t xml:space="preserve">to S.C.C. </w:t>
      </w:r>
      <w:r w:rsidR="002242E4" w:rsidRPr="002B780F">
        <w:rPr>
          <w:lang w:val="en-CA"/>
        </w:rPr>
        <w:t>refused</w:t>
      </w:r>
      <w:r w:rsidRPr="002B780F">
        <w:rPr>
          <w:lang w:val="en-CA"/>
        </w:rPr>
        <w:t>, 39016</w:t>
      </w:r>
      <w:r w:rsidR="00D47EC7" w:rsidRPr="002B780F">
        <w:rPr>
          <w:lang w:val="en-CA"/>
        </w:rPr>
        <w:t xml:space="preserve"> (9 April 2020</w:t>
      </w:r>
      <w:r w:rsidRPr="002B780F">
        <w:rPr>
          <w:lang w:val="en-CA"/>
        </w:rPr>
        <w:t xml:space="preserve">); </w:t>
      </w:r>
      <w:r w:rsidRPr="002B780F">
        <w:rPr>
          <w:i/>
          <w:lang w:val="en-CA"/>
        </w:rPr>
        <w:t xml:space="preserve">Montréal (Ville de) </w:t>
      </w:r>
      <w:r w:rsidRPr="002B780F">
        <w:rPr>
          <w:i/>
          <w:iCs/>
          <w:lang w:val="en-CA"/>
        </w:rPr>
        <w:t>c.</w:t>
      </w:r>
      <w:r w:rsidRPr="002B780F">
        <w:rPr>
          <w:lang w:val="en-CA"/>
        </w:rPr>
        <w:t xml:space="preserve"> </w:t>
      </w:r>
      <w:r w:rsidRPr="002B780F">
        <w:rPr>
          <w:i/>
          <w:lang w:val="en-CA"/>
        </w:rPr>
        <w:t>Lours</w:t>
      </w:r>
      <w:r w:rsidRPr="002B780F">
        <w:rPr>
          <w:lang w:val="en-CA"/>
        </w:rPr>
        <w:t>, 2016 QCCA 193</w:t>
      </w:r>
      <w:r w:rsidR="00F86545" w:rsidRPr="002B780F">
        <w:rPr>
          <w:lang w:val="en-CA"/>
        </w:rPr>
        <w:t xml:space="preserve">1 at para. </w:t>
      </w:r>
      <w:r w:rsidRPr="002B780F">
        <w:rPr>
          <w:lang w:val="en-CA"/>
        </w:rPr>
        <w:t>21.</w:t>
      </w:r>
    </w:p>
  </w:footnote>
  <w:footnote w:id="72">
    <w:p w14:paraId="65739B6B" w14:textId="2D9D9499" w:rsidR="00B83D45" w:rsidRPr="002B780F" w:rsidRDefault="00B83D45" w:rsidP="005249A3">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Pr="002B780F">
        <w:rPr>
          <w:i/>
          <w:lang w:val="en-CA"/>
        </w:rPr>
        <w:t>Québec (Procureure générale)</w:t>
      </w:r>
      <w:r w:rsidRPr="002B780F">
        <w:rPr>
          <w:lang w:val="en-CA"/>
        </w:rPr>
        <w:t xml:space="preserve"> </w:t>
      </w:r>
      <w:r w:rsidRPr="002B780F">
        <w:rPr>
          <w:i/>
          <w:iCs/>
          <w:lang w:val="en-CA"/>
        </w:rPr>
        <w:t>c</w:t>
      </w:r>
      <w:r w:rsidRPr="002B780F">
        <w:rPr>
          <w:lang w:val="en-CA"/>
        </w:rPr>
        <w:t xml:space="preserve">. </w:t>
      </w:r>
      <w:r w:rsidRPr="002B780F">
        <w:rPr>
          <w:i/>
          <w:lang w:val="en-CA"/>
        </w:rPr>
        <w:t>D’Amico</w:t>
      </w:r>
      <w:r w:rsidRPr="002B780F">
        <w:rPr>
          <w:lang w:val="en-CA"/>
        </w:rPr>
        <w:t>, 2015 QCCA 213</w:t>
      </w:r>
      <w:r w:rsidR="00F86545" w:rsidRPr="002B780F">
        <w:rPr>
          <w:lang w:val="en-CA"/>
        </w:rPr>
        <w:t xml:space="preserve">8 at para. </w:t>
      </w:r>
      <w:r w:rsidRPr="002B780F">
        <w:rPr>
          <w:lang w:val="en-CA"/>
        </w:rPr>
        <w:t>28.</w:t>
      </w:r>
    </w:p>
  </w:footnote>
  <w:footnote w:id="73">
    <w:p w14:paraId="1F1E4305" w14:textId="4F740870" w:rsidR="00B83D45" w:rsidRPr="002B780F" w:rsidRDefault="00B83D45" w:rsidP="005249A3">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Pr="002B780F">
        <w:rPr>
          <w:i/>
          <w:lang w:val="en-CA"/>
        </w:rPr>
        <w:t>I</w:t>
      </w:r>
      <w:r w:rsidR="0037089C" w:rsidRPr="002B780F">
        <w:rPr>
          <w:i/>
          <w:lang w:val="en-CA"/>
        </w:rPr>
        <w:t>bi</w:t>
      </w:r>
      <w:r w:rsidRPr="002B780F">
        <w:rPr>
          <w:i/>
          <w:lang w:val="en-CA"/>
        </w:rPr>
        <w:t>d.</w:t>
      </w:r>
      <w:r w:rsidRPr="002B780F">
        <w:rPr>
          <w:lang w:val="en-CA"/>
        </w:rPr>
        <w:t xml:space="preserve">, </w:t>
      </w:r>
      <w:r w:rsidR="0037089C" w:rsidRPr="002B780F">
        <w:rPr>
          <w:lang w:val="en-CA"/>
        </w:rPr>
        <w:t>citing</w:t>
      </w:r>
      <w:r w:rsidRPr="002B780F">
        <w:rPr>
          <w:lang w:val="en-CA"/>
        </w:rPr>
        <w:t xml:space="preserve"> </w:t>
      </w:r>
      <w:r w:rsidRPr="002B780F">
        <w:rPr>
          <w:i/>
          <w:lang w:val="en-CA"/>
        </w:rPr>
        <w:t>Manitoba (</w:t>
      </w:r>
      <w:r w:rsidR="0037089C" w:rsidRPr="002B780F">
        <w:rPr>
          <w:i/>
          <w:lang w:val="en-CA"/>
        </w:rPr>
        <w:t>A</w:t>
      </w:r>
      <w:r w:rsidRPr="002B780F">
        <w:rPr>
          <w:i/>
          <w:lang w:val="en-CA"/>
        </w:rPr>
        <w:t>.G.)</w:t>
      </w:r>
      <w:r w:rsidRPr="002B780F">
        <w:rPr>
          <w:lang w:val="en-CA"/>
        </w:rPr>
        <w:t xml:space="preserve"> </w:t>
      </w:r>
      <w:r w:rsidR="0037089C" w:rsidRPr="002B780F">
        <w:rPr>
          <w:i/>
          <w:iCs/>
          <w:lang w:val="en-CA"/>
        </w:rPr>
        <w:t>v</w:t>
      </w:r>
      <w:r w:rsidRPr="002B780F">
        <w:rPr>
          <w:i/>
          <w:iCs/>
          <w:lang w:val="en-CA"/>
        </w:rPr>
        <w:t>.</w:t>
      </w:r>
      <w:r w:rsidRPr="002B780F">
        <w:rPr>
          <w:lang w:val="en-CA"/>
        </w:rPr>
        <w:t xml:space="preserve"> </w:t>
      </w:r>
      <w:r w:rsidRPr="002B780F">
        <w:rPr>
          <w:i/>
          <w:lang w:val="en-CA"/>
        </w:rPr>
        <w:t>Metropolitan Stores Ltd.</w:t>
      </w:r>
      <w:r w:rsidRPr="002B780F">
        <w:rPr>
          <w:lang w:val="en-CA"/>
        </w:rPr>
        <w:t xml:space="preserve">, [1987] 1 </w:t>
      </w:r>
      <w:r w:rsidR="00F86545" w:rsidRPr="002B780F">
        <w:rPr>
          <w:lang w:val="en-CA"/>
        </w:rPr>
        <w:t>S.C.R.</w:t>
      </w:r>
      <w:r w:rsidRPr="002B780F">
        <w:rPr>
          <w:lang w:val="en-CA"/>
        </w:rPr>
        <w:t xml:space="preserve"> 110</w:t>
      </w:r>
      <w:r w:rsidR="0037089C" w:rsidRPr="002B780F">
        <w:rPr>
          <w:lang w:val="en-CA"/>
        </w:rPr>
        <w:t xml:space="preserve"> at</w:t>
      </w:r>
      <w:r w:rsidRPr="002B780F">
        <w:rPr>
          <w:lang w:val="en-CA"/>
        </w:rPr>
        <w:t xml:space="preserve"> 124</w:t>
      </w:r>
      <w:r w:rsidR="002343CE" w:rsidRPr="002B780F">
        <w:rPr>
          <w:lang w:val="en-CA"/>
        </w:rPr>
        <w:t>–</w:t>
      </w:r>
      <w:r w:rsidRPr="002B780F">
        <w:rPr>
          <w:lang w:val="en-CA"/>
        </w:rPr>
        <w:t>125</w:t>
      </w:r>
      <w:r w:rsidR="003A5546" w:rsidRPr="002B780F">
        <w:rPr>
          <w:lang w:val="en-CA"/>
        </w:rPr>
        <w:t>,</w:t>
      </w:r>
      <w:r w:rsidRPr="002B780F">
        <w:rPr>
          <w:lang w:val="en-CA"/>
        </w:rPr>
        <w:t xml:space="preserve"> </w:t>
      </w:r>
      <w:r w:rsidR="0037089C" w:rsidRPr="002B780F">
        <w:rPr>
          <w:lang w:val="en-CA"/>
        </w:rPr>
        <w:t>and</w:t>
      </w:r>
      <w:r w:rsidRPr="002B780F">
        <w:rPr>
          <w:lang w:val="en-CA"/>
        </w:rPr>
        <w:t xml:space="preserve"> </w:t>
      </w:r>
      <w:r w:rsidRPr="002B780F">
        <w:rPr>
          <w:i/>
          <w:lang w:val="en-CA"/>
        </w:rPr>
        <w:t>Harper</w:t>
      </w:r>
      <w:r w:rsidR="00165D6A" w:rsidRPr="002B780F">
        <w:rPr>
          <w:i/>
          <w:lang w:val="en-CA"/>
        </w:rPr>
        <w:t> </w:t>
      </w:r>
      <w:r w:rsidR="0037089C" w:rsidRPr="002B780F">
        <w:rPr>
          <w:i/>
          <w:iCs/>
          <w:lang w:val="en-CA"/>
        </w:rPr>
        <w:t>v</w:t>
      </w:r>
      <w:r w:rsidRPr="002B780F">
        <w:rPr>
          <w:i/>
          <w:iCs/>
          <w:lang w:val="en-CA"/>
        </w:rPr>
        <w:t>.</w:t>
      </w:r>
      <w:r w:rsidRPr="002B780F">
        <w:rPr>
          <w:lang w:val="en-CA"/>
        </w:rPr>
        <w:t xml:space="preserve"> </w:t>
      </w:r>
      <w:r w:rsidRPr="002B780F">
        <w:rPr>
          <w:i/>
          <w:lang w:val="en-CA"/>
        </w:rPr>
        <w:t xml:space="preserve">Canada </w:t>
      </w:r>
      <w:r w:rsidR="00F86545" w:rsidRPr="002B780F">
        <w:rPr>
          <w:i/>
          <w:lang w:val="en-CA"/>
        </w:rPr>
        <w:t>(Attorney General)</w:t>
      </w:r>
      <w:r w:rsidRPr="002B780F">
        <w:rPr>
          <w:lang w:val="en-CA"/>
        </w:rPr>
        <w:t xml:space="preserve">, [2000] 2 </w:t>
      </w:r>
      <w:r w:rsidR="00F86545" w:rsidRPr="002B780F">
        <w:rPr>
          <w:lang w:val="en-CA"/>
        </w:rPr>
        <w:t>S.C.R.</w:t>
      </w:r>
      <w:r w:rsidRPr="002B780F">
        <w:rPr>
          <w:lang w:val="en-CA"/>
        </w:rPr>
        <w:t xml:space="preserve"> 76</w:t>
      </w:r>
      <w:r w:rsidR="00F86545" w:rsidRPr="002B780F">
        <w:rPr>
          <w:lang w:val="en-CA"/>
        </w:rPr>
        <w:t xml:space="preserve">4 at para. </w:t>
      </w:r>
      <w:r w:rsidRPr="002B780F">
        <w:rPr>
          <w:lang w:val="en-CA"/>
        </w:rPr>
        <w:t>9.</w:t>
      </w:r>
    </w:p>
  </w:footnote>
  <w:footnote w:id="74">
    <w:p w14:paraId="7A85FC48" w14:textId="0251CD75" w:rsidR="00B83D45" w:rsidRPr="002B780F" w:rsidRDefault="00B83D45" w:rsidP="005249A3">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Pr="002B780F">
        <w:rPr>
          <w:i/>
          <w:lang w:val="en-CA"/>
        </w:rPr>
        <w:t>Harper</w:t>
      </w:r>
      <w:r w:rsidRPr="002B780F">
        <w:rPr>
          <w:lang w:val="en-CA"/>
        </w:rPr>
        <w:t xml:space="preserve"> </w:t>
      </w:r>
      <w:r w:rsidR="0037089C" w:rsidRPr="002B780F">
        <w:rPr>
          <w:i/>
          <w:iCs/>
          <w:lang w:val="en-CA"/>
        </w:rPr>
        <w:t>v</w:t>
      </w:r>
      <w:r w:rsidRPr="002B780F">
        <w:rPr>
          <w:i/>
          <w:iCs/>
          <w:lang w:val="en-CA"/>
        </w:rPr>
        <w:t>.</w:t>
      </w:r>
      <w:r w:rsidRPr="002B780F">
        <w:rPr>
          <w:lang w:val="en-CA"/>
        </w:rPr>
        <w:t xml:space="preserve"> </w:t>
      </w:r>
      <w:r w:rsidRPr="002B780F">
        <w:rPr>
          <w:i/>
          <w:lang w:val="en-CA"/>
        </w:rPr>
        <w:t xml:space="preserve">Canada </w:t>
      </w:r>
      <w:r w:rsidR="00F86545" w:rsidRPr="002B780F">
        <w:rPr>
          <w:i/>
          <w:lang w:val="en-CA"/>
        </w:rPr>
        <w:t>(Attorney General)</w:t>
      </w:r>
      <w:r w:rsidRPr="002B780F">
        <w:rPr>
          <w:lang w:val="en-CA"/>
        </w:rPr>
        <w:t xml:space="preserve">, [2000] 2 </w:t>
      </w:r>
      <w:r w:rsidR="00F86545" w:rsidRPr="002B780F">
        <w:rPr>
          <w:lang w:val="en-CA"/>
        </w:rPr>
        <w:t>S.C.R.</w:t>
      </w:r>
      <w:r w:rsidRPr="002B780F">
        <w:rPr>
          <w:lang w:val="en-CA"/>
        </w:rPr>
        <w:t xml:space="preserve"> 76</w:t>
      </w:r>
      <w:r w:rsidR="00F86545" w:rsidRPr="002B780F">
        <w:rPr>
          <w:lang w:val="en-CA"/>
        </w:rPr>
        <w:t xml:space="preserve">4 at para. </w:t>
      </w:r>
      <w:r w:rsidRPr="002B780F">
        <w:t>9</w:t>
      </w:r>
      <w:r w:rsidR="0037089C" w:rsidRPr="002B780F">
        <w:t>,</w:t>
      </w:r>
      <w:r w:rsidRPr="002B780F">
        <w:t xml:space="preserve"> cit</w:t>
      </w:r>
      <w:r w:rsidR="0037089C" w:rsidRPr="002B780F">
        <w:t>ed</w:t>
      </w:r>
      <w:r w:rsidRPr="002B780F">
        <w:t xml:space="preserve"> </w:t>
      </w:r>
      <w:r w:rsidR="0037089C" w:rsidRPr="002B780F">
        <w:t>in</w:t>
      </w:r>
      <w:r w:rsidRPr="002B780F">
        <w:t xml:space="preserve"> </w:t>
      </w:r>
      <w:r w:rsidRPr="002B780F">
        <w:rPr>
          <w:i/>
        </w:rPr>
        <w:t>Hak</w:t>
      </w:r>
      <w:r w:rsidRPr="002B780F">
        <w:t xml:space="preserve"> </w:t>
      </w:r>
      <w:r w:rsidR="0037089C" w:rsidRPr="002B780F">
        <w:rPr>
          <w:i/>
          <w:iCs/>
        </w:rPr>
        <w:t>c</w:t>
      </w:r>
      <w:r w:rsidRPr="002B780F">
        <w:rPr>
          <w:i/>
          <w:iCs/>
        </w:rPr>
        <w:t>.</w:t>
      </w:r>
      <w:r w:rsidRPr="002B780F">
        <w:t xml:space="preserve"> </w:t>
      </w:r>
      <w:r w:rsidRPr="002B780F">
        <w:rPr>
          <w:i/>
        </w:rPr>
        <w:t>Procureure générale du Québec</w:t>
      </w:r>
      <w:r w:rsidRPr="002B780F">
        <w:t>, 2019 QCCA 214</w:t>
      </w:r>
      <w:r w:rsidR="00F86545" w:rsidRPr="002B780F">
        <w:t xml:space="preserve">5 at para. </w:t>
      </w:r>
      <w:r w:rsidRPr="002B780F">
        <w:rPr>
          <w:lang w:val="en-CA"/>
        </w:rPr>
        <w:t>92</w:t>
      </w:r>
      <w:r w:rsidR="00FB4FBD" w:rsidRPr="002B780F">
        <w:rPr>
          <w:lang w:val="en-CA"/>
        </w:rPr>
        <w:t>,</w:t>
      </w:r>
      <w:r w:rsidRPr="002B780F">
        <w:rPr>
          <w:lang w:val="en-CA"/>
        </w:rPr>
        <w:t xml:space="preserve"> </w:t>
      </w:r>
      <w:r w:rsidR="0037089C" w:rsidRPr="002B780F">
        <w:rPr>
          <w:lang w:val="en-CA"/>
        </w:rPr>
        <w:t>leave to appeal to S.C.C. refused</w:t>
      </w:r>
      <w:r w:rsidRPr="002B780F">
        <w:rPr>
          <w:lang w:val="en-CA"/>
        </w:rPr>
        <w:t xml:space="preserve">, </w:t>
      </w:r>
      <w:r w:rsidR="0037089C" w:rsidRPr="002B780F">
        <w:rPr>
          <w:lang w:val="en-CA"/>
        </w:rPr>
        <w:t>39016 (9</w:t>
      </w:r>
      <w:r w:rsidR="0085013B" w:rsidRPr="002B780F">
        <w:rPr>
          <w:lang w:val="en-CA"/>
        </w:rPr>
        <w:t> </w:t>
      </w:r>
      <w:r w:rsidR="0037089C" w:rsidRPr="002B780F">
        <w:rPr>
          <w:lang w:val="en-CA"/>
        </w:rPr>
        <w:t>April</w:t>
      </w:r>
      <w:r w:rsidR="0085013B" w:rsidRPr="002B780F">
        <w:rPr>
          <w:lang w:val="en-CA"/>
        </w:rPr>
        <w:t> </w:t>
      </w:r>
      <w:r w:rsidR="0037089C" w:rsidRPr="002B780F">
        <w:rPr>
          <w:lang w:val="en-CA"/>
        </w:rPr>
        <w:t>2020).</w:t>
      </w:r>
    </w:p>
  </w:footnote>
  <w:footnote w:id="75">
    <w:p w14:paraId="012C3CBD" w14:textId="4C3C86F0" w:rsidR="00B83D45" w:rsidRPr="002B780F" w:rsidRDefault="00B83D45" w:rsidP="005249A3">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Pr="002B780F">
        <w:rPr>
          <w:i/>
          <w:lang w:val="en-CA"/>
        </w:rPr>
        <w:t xml:space="preserve">RJR–Macdonald Inc. </w:t>
      </w:r>
      <w:r w:rsidR="0037089C" w:rsidRPr="002B780F">
        <w:rPr>
          <w:i/>
          <w:iCs/>
          <w:lang w:val="en-CA"/>
        </w:rPr>
        <w:t>v</w:t>
      </w:r>
      <w:r w:rsidRPr="002B780F">
        <w:rPr>
          <w:i/>
          <w:iCs/>
          <w:lang w:val="en-CA"/>
        </w:rPr>
        <w:t>.</w:t>
      </w:r>
      <w:r w:rsidRPr="002B780F">
        <w:rPr>
          <w:lang w:val="en-CA"/>
        </w:rPr>
        <w:t xml:space="preserve"> </w:t>
      </w:r>
      <w:r w:rsidRPr="002B780F">
        <w:rPr>
          <w:i/>
          <w:lang w:val="en-CA"/>
        </w:rPr>
        <w:t xml:space="preserve">Canada </w:t>
      </w:r>
      <w:r w:rsidR="00F86545" w:rsidRPr="002B780F">
        <w:rPr>
          <w:i/>
          <w:lang w:val="en-CA"/>
        </w:rPr>
        <w:t>(Attorney General)</w:t>
      </w:r>
      <w:r w:rsidRPr="002B780F">
        <w:rPr>
          <w:lang w:val="en-CA"/>
        </w:rPr>
        <w:t xml:space="preserve">, [1994] 1 </w:t>
      </w:r>
      <w:r w:rsidR="00F86545" w:rsidRPr="002B780F">
        <w:rPr>
          <w:lang w:val="en-CA"/>
        </w:rPr>
        <w:t>S.C.R.</w:t>
      </w:r>
      <w:r w:rsidRPr="002B780F">
        <w:rPr>
          <w:lang w:val="en-CA"/>
        </w:rPr>
        <w:t xml:space="preserve"> 311</w:t>
      </w:r>
      <w:r w:rsidR="0037089C" w:rsidRPr="002B780F">
        <w:rPr>
          <w:lang w:val="en-CA"/>
        </w:rPr>
        <w:t xml:space="preserve"> at</w:t>
      </w:r>
      <w:r w:rsidRPr="002B780F">
        <w:rPr>
          <w:lang w:val="en-CA"/>
        </w:rPr>
        <w:t xml:space="preserve"> 343.</w:t>
      </w:r>
    </w:p>
  </w:footnote>
  <w:footnote w:id="76">
    <w:p w14:paraId="1922C567" w14:textId="22332483" w:rsidR="00B83D45" w:rsidRPr="002B780F" w:rsidRDefault="00B83D45" w:rsidP="005249A3">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Pr="002B780F">
        <w:rPr>
          <w:i/>
          <w:lang w:val="en-CA"/>
        </w:rPr>
        <w:t>I</w:t>
      </w:r>
      <w:r w:rsidR="0037089C" w:rsidRPr="002B780F">
        <w:rPr>
          <w:i/>
          <w:lang w:val="en-CA"/>
        </w:rPr>
        <w:t>bi</w:t>
      </w:r>
      <w:r w:rsidRPr="002B780F">
        <w:rPr>
          <w:i/>
          <w:lang w:val="en-CA"/>
        </w:rPr>
        <w:t>d.</w:t>
      </w:r>
      <w:r w:rsidRPr="002B780F">
        <w:rPr>
          <w:lang w:val="en-CA"/>
        </w:rPr>
        <w:t xml:space="preserve"> </w:t>
      </w:r>
      <w:r w:rsidR="0037089C" w:rsidRPr="002B780F">
        <w:rPr>
          <w:lang w:val="en-CA"/>
        </w:rPr>
        <w:t>at</w:t>
      </w:r>
      <w:r w:rsidRPr="002B780F">
        <w:rPr>
          <w:lang w:val="en-CA"/>
        </w:rPr>
        <w:t> 348</w:t>
      </w:r>
      <w:r w:rsidR="002343CE" w:rsidRPr="002B780F">
        <w:rPr>
          <w:lang w:val="en-CA"/>
        </w:rPr>
        <w:t>–</w:t>
      </w:r>
      <w:r w:rsidRPr="002B780F">
        <w:rPr>
          <w:lang w:val="en-CA"/>
        </w:rPr>
        <w:t xml:space="preserve">349, </w:t>
      </w:r>
      <w:r w:rsidR="0037089C" w:rsidRPr="002B780F">
        <w:rPr>
          <w:lang w:val="en-CA"/>
        </w:rPr>
        <w:t xml:space="preserve">cited in </w:t>
      </w:r>
      <w:r w:rsidRPr="002B780F">
        <w:rPr>
          <w:i/>
          <w:lang w:val="en-CA"/>
        </w:rPr>
        <w:t>Harper</w:t>
      </w:r>
      <w:r w:rsidRPr="002B780F">
        <w:rPr>
          <w:lang w:val="en-CA"/>
        </w:rPr>
        <w:t xml:space="preserve"> </w:t>
      </w:r>
      <w:r w:rsidR="0037089C" w:rsidRPr="002B780F">
        <w:rPr>
          <w:i/>
          <w:iCs/>
          <w:lang w:val="en-CA"/>
        </w:rPr>
        <w:t>v</w:t>
      </w:r>
      <w:r w:rsidRPr="002B780F">
        <w:rPr>
          <w:i/>
          <w:iCs/>
          <w:lang w:val="en-CA"/>
        </w:rPr>
        <w:t>.</w:t>
      </w:r>
      <w:r w:rsidRPr="002B780F">
        <w:rPr>
          <w:lang w:val="en-CA"/>
        </w:rPr>
        <w:t xml:space="preserve"> </w:t>
      </w:r>
      <w:r w:rsidRPr="002B780F">
        <w:rPr>
          <w:i/>
          <w:lang w:val="en-CA"/>
        </w:rPr>
        <w:t xml:space="preserve">Canada </w:t>
      </w:r>
      <w:r w:rsidR="00F86545" w:rsidRPr="002B780F">
        <w:rPr>
          <w:i/>
          <w:lang w:val="en-CA"/>
        </w:rPr>
        <w:t>(Attorney General)</w:t>
      </w:r>
      <w:r w:rsidRPr="002B780F">
        <w:rPr>
          <w:lang w:val="en-CA"/>
        </w:rPr>
        <w:t xml:space="preserve">, [2000] 2 </w:t>
      </w:r>
      <w:r w:rsidR="00F86545" w:rsidRPr="002B780F">
        <w:rPr>
          <w:lang w:val="en-CA"/>
        </w:rPr>
        <w:t>S.C.R.</w:t>
      </w:r>
      <w:r w:rsidRPr="002B780F">
        <w:rPr>
          <w:lang w:val="en-CA"/>
        </w:rPr>
        <w:t xml:space="preserve"> 76</w:t>
      </w:r>
      <w:r w:rsidR="00F86545" w:rsidRPr="002B780F">
        <w:rPr>
          <w:lang w:val="en-CA"/>
        </w:rPr>
        <w:t xml:space="preserve">4 at para. </w:t>
      </w:r>
      <w:r w:rsidRPr="002B780F">
        <w:rPr>
          <w:lang w:val="en-CA"/>
        </w:rPr>
        <w:t>9.</w:t>
      </w:r>
    </w:p>
  </w:footnote>
  <w:footnote w:id="77">
    <w:p w14:paraId="65FBB05F" w14:textId="6331CBF7" w:rsidR="00B83D45" w:rsidRPr="002B780F" w:rsidRDefault="00B83D45" w:rsidP="005249A3">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Pr="002B780F">
        <w:rPr>
          <w:i/>
          <w:lang w:val="en-CA"/>
        </w:rPr>
        <w:t>Procureur général du Québec</w:t>
      </w:r>
      <w:r w:rsidRPr="002B780F">
        <w:rPr>
          <w:lang w:val="en-CA"/>
        </w:rPr>
        <w:t xml:space="preserve"> </w:t>
      </w:r>
      <w:r w:rsidRPr="002B780F">
        <w:rPr>
          <w:i/>
          <w:iCs/>
          <w:lang w:val="en-CA"/>
        </w:rPr>
        <w:t>c</w:t>
      </w:r>
      <w:r w:rsidRPr="002B780F">
        <w:rPr>
          <w:lang w:val="en-CA"/>
        </w:rPr>
        <w:t xml:space="preserve">. </w:t>
      </w:r>
      <w:r w:rsidRPr="002B780F">
        <w:rPr>
          <w:i/>
          <w:lang w:val="en-CA"/>
        </w:rPr>
        <w:t>Quebec English School Board Association</w:t>
      </w:r>
      <w:r w:rsidRPr="002B780F">
        <w:rPr>
          <w:lang w:val="en-CA"/>
        </w:rPr>
        <w:t>, 2020 QCCA 117</w:t>
      </w:r>
      <w:r w:rsidR="00F86545" w:rsidRPr="002B780F">
        <w:rPr>
          <w:lang w:val="en-CA"/>
        </w:rPr>
        <w:t>1 at para.</w:t>
      </w:r>
      <w:r w:rsidR="0085013B" w:rsidRPr="002B780F">
        <w:rPr>
          <w:lang w:val="en-CA"/>
        </w:rPr>
        <w:t> </w:t>
      </w:r>
      <w:r w:rsidRPr="002B780F">
        <w:rPr>
          <w:lang w:val="en-CA"/>
        </w:rPr>
        <w:t>59.</w:t>
      </w:r>
    </w:p>
  </w:footnote>
  <w:footnote w:id="78">
    <w:p w14:paraId="10D18570" w14:textId="3E82391D" w:rsidR="00B83D45" w:rsidRPr="002B780F" w:rsidRDefault="00B83D45" w:rsidP="005249A3">
      <w:pPr>
        <w:pStyle w:val="Notedebasdepage"/>
        <w:rPr>
          <w:lang w:val="en-CA"/>
        </w:rPr>
      </w:pPr>
      <w:r w:rsidRPr="002B780F">
        <w:rPr>
          <w:rStyle w:val="Appelnotedebasdep"/>
        </w:rPr>
        <w:footnoteRef/>
      </w:r>
      <w:r w:rsidRPr="002B780F">
        <w:rPr>
          <w:lang w:val="en-CA"/>
        </w:rPr>
        <w:t xml:space="preserve"> </w:t>
      </w:r>
      <w:r w:rsidRPr="002B780F">
        <w:rPr>
          <w:lang w:val="en-CA"/>
        </w:rPr>
        <w:tab/>
      </w:r>
      <w:r w:rsidR="00870A03" w:rsidRPr="002B780F">
        <w:rPr>
          <w:lang w:val="en-CA"/>
        </w:rPr>
        <w:t>Originating application</w:t>
      </w:r>
      <w:r w:rsidR="00A55416" w:rsidRPr="002B780F">
        <w:rPr>
          <w:lang w:val="en-CA"/>
        </w:rPr>
        <w:t xml:space="preserve"> </w:t>
      </w:r>
      <w:r w:rsidR="00F86545" w:rsidRPr="002B780F">
        <w:rPr>
          <w:lang w:val="en-CA"/>
        </w:rPr>
        <w:t xml:space="preserve">at para. </w:t>
      </w:r>
      <w:r w:rsidRPr="002B780F">
        <w:rPr>
          <w:lang w:val="en-CA"/>
        </w:rPr>
        <w:t>67.</w:t>
      </w:r>
    </w:p>
  </w:footnote>
  <w:footnote w:id="79">
    <w:p w14:paraId="50F8C392" w14:textId="198CDA4C" w:rsidR="00B83D45" w:rsidRPr="002B780F" w:rsidRDefault="00B83D45" w:rsidP="005249A3">
      <w:pPr>
        <w:pStyle w:val="Notedebasdepage"/>
        <w:rPr>
          <w:lang w:val="en-CA"/>
        </w:rPr>
      </w:pPr>
      <w:r w:rsidRPr="002B780F">
        <w:rPr>
          <w:rStyle w:val="Appelnotedebasdep"/>
          <w:lang w:val="en-CA"/>
        </w:rPr>
        <w:footnoteRef/>
      </w:r>
      <w:r w:rsidRPr="002B780F">
        <w:rPr>
          <w:lang w:val="en-CA"/>
        </w:rPr>
        <w:t xml:space="preserve"> </w:t>
      </w:r>
      <w:r w:rsidRPr="002B780F">
        <w:rPr>
          <w:lang w:val="en-CA"/>
        </w:rPr>
        <w:tab/>
        <w:t>2014 S</w:t>
      </w:r>
      <w:r w:rsidR="000A5496" w:rsidRPr="002B780F">
        <w:rPr>
          <w:lang w:val="en-CA"/>
        </w:rPr>
        <w:t>C</w:t>
      </w:r>
      <w:r w:rsidRPr="002B780F">
        <w:rPr>
          <w:lang w:val="en-CA"/>
        </w:rPr>
        <w:t xml:space="preserve">C 7. </w:t>
      </w:r>
    </w:p>
  </w:footnote>
  <w:footnote w:id="80">
    <w:p w14:paraId="00A9CE9B" w14:textId="181E7D06" w:rsidR="00B83D45" w:rsidRPr="002B780F" w:rsidRDefault="00B83D45" w:rsidP="00DD6B48">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0A5496" w:rsidRPr="002B780F">
        <w:rPr>
          <w:lang w:val="en-CA"/>
        </w:rPr>
        <w:t>See</w:t>
      </w:r>
      <w:r w:rsidRPr="002B780F">
        <w:rPr>
          <w:lang w:val="en-CA"/>
        </w:rPr>
        <w:t xml:space="preserve"> </w:t>
      </w:r>
      <w:r w:rsidRPr="002B780F">
        <w:rPr>
          <w:i/>
          <w:lang w:val="en-CA"/>
        </w:rPr>
        <w:t>Procureur général du Québec</w:t>
      </w:r>
      <w:r w:rsidRPr="002B780F">
        <w:rPr>
          <w:lang w:val="en-CA"/>
        </w:rPr>
        <w:t xml:space="preserve"> </w:t>
      </w:r>
      <w:r w:rsidRPr="002B780F">
        <w:rPr>
          <w:i/>
          <w:iCs/>
          <w:lang w:val="en-CA"/>
        </w:rPr>
        <w:t>c</w:t>
      </w:r>
      <w:r w:rsidRPr="002B780F">
        <w:rPr>
          <w:lang w:val="en-CA"/>
        </w:rPr>
        <w:t xml:space="preserve">. </w:t>
      </w:r>
      <w:r w:rsidRPr="002B780F">
        <w:rPr>
          <w:i/>
          <w:lang w:val="en-CA"/>
        </w:rPr>
        <w:t>Quebec English School Board Association</w:t>
      </w:r>
      <w:r w:rsidRPr="002B780F">
        <w:rPr>
          <w:lang w:val="en-CA"/>
        </w:rPr>
        <w:t>, 2020 QCCA 117</w:t>
      </w:r>
      <w:r w:rsidR="00F86545" w:rsidRPr="002B780F">
        <w:rPr>
          <w:lang w:val="en-CA"/>
        </w:rPr>
        <w:t xml:space="preserve">1 at para. </w:t>
      </w:r>
      <w:r w:rsidRPr="002B780F">
        <w:rPr>
          <w:lang w:val="en-CA"/>
        </w:rPr>
        <w:t xml:space="preserve">59 </w:t>
      </w:r>
      <w:r w:rsidRPr="002B780F">
        <w:rPr>
          <w:i/>
          <w:lang w:val="en-CA"/>
        </w:rPr>
        <w:t>in fine</w:t>
      </w:r>
      <w:r w:rsidRPr="002B780F">
        <w:rPr>
          <w:lang w:val="en-CA"/>
        </w:rPr>
        <w:t>.</w:t>
      </w:r>
    </w:p>
  </w:footnote>
  <w:footnote w:id="81">
    <w:p w14:paraId="01F47EE6" w14:textId="7364E1B3" w:rsidR="00B83D45" w:rsidRPr="002B780F" w:rsidRDefault="00B83D45" w:rsidP="00DD6B48">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Pr="002B780F">
        <w:rPr>
          <w:i/>
          <w:lang w:val="en-CA"/>
        </w:rPr>
        <w:t>Solski (Tut</w:t>
      </w:r>
      <w:r w:rsidR="000A5496" w:rsidRPr="002B780F">
        <w:rPr>
          <w:i/>
          <w:lang w:val="en-CA"/>
        </w:rPr>
        <w:t>or of</w:t>
      </w:r>
      <w:r w:rsidRPr="002B780F">
        <w:rPr>
          <w:i/>
          <w:lang w:val="en-CA"/>
        </w:rPr>
        <w:t xml:space="preserve">) </w:t>
      </w:r>
      <w:r w:rsidR="000A5496" w:rsidRPr="002B780F">
        <w:rPr>
          <w:i/>
          <w:lang w:val="en-CA"/>
        </w:rPr>
        <w:t>v</w:t>
      </w:r>
      <w:r w:rsidRPr="002B780F">
        <w:rPr>
          <w:lang w:val="en-CA"/>
        </w:rPr>
        <w:t xml:space="preserve">. </w:t>
      </w:r>
      <w:r w:rsidRPr="002B780F">
        <w:rPr>
          <w:i/>
          <w:lang w:val="en-CA"/>
        </w:rPr>
        <w:t>Qu</w:t>
      </w:r>
      <w:r w:rsidR="000A5496" w:rsidRPr="002B780F">
        <w:rPr>
          <w:i/>
          <w:lang w:val="en-CA"/>
        </w:rPr>
        <w:t>e</w:t>
      </w:r>
      <w:r w:rsidRPr="002B780F">
        <w:rPr>
          <w:i/>
          <w:lang w:val="en-CA"/>
        </w:rPr>
        <w:t xml:space="preserve">bec </w:t>
      </w:r>
      <w:r w:rsidR="00F86545" w:rsidRPr="002B780F">
        <w:rPr>
          <w:i/>
          <w:lang w:val="en-CA"/>
        </w:rPr>
        <w:t>(Attorney General)</w:t>
      </w:r>
      <w:r w:rsidRPr="002B780F">
        <w:rPr>
          <w:lang w:val="en-CA"/>
        </w:rPr>
        <w:t xml:space="preserve">, 2005 </w:t>
      </w:r>
      <w:r w:rsidR="000A5496" w:rsidRPr="002B780F">
        <w:rPr>
          <w:lang w:val="en-CA"/>
        </w:rPr>
        <w:t>SC</w:t>
      </w:r>
      <w:r w:rsidRPr="002B780F">
        <w:rPr>
          <w:lang w:val="en-CA"/>
        </w:rPr>
        <w:t>C 14 (concern</w:t>
      </w:r>
      <w:r w:rsidR="000A5496" w:rsidRPr="002B780F">
        <w:rPr>
          <w:lang w:val="en-CA"/>
        </w:rPr>
        <w:t xml:space="preserve">ing s. 23 of the </w:t>
      </w:r>
      <w:r w:rsidR="000A5496" w:rsidRPr="002B780F">
        <w:rPr>
          <w:i/>
          <w:iCs/>
          <w:lang w:val="en-CA"/>
        </w:rPr>
        <w:t>Canadian</w:t>
      </w:r>
      <w:r w:rsidR="000A5496" w:rsidRPr="002B780F">
        <w:rPr>
          <w:lang w:val="en-CA"/>
        </w:rPr>
        <w:t xml:space="preserve"> </w:t>
      </w:r>
      <w:r w:rsidRPr="002B780F">
        <w:rPr>
          <w:i/>
          <w:lang w:val="en-CA"/>
        </w:rPr>
        <w:t>Charte</w:t>
      </w:r>
      <w:r w:rsidR="000A5496" w:rsidRPr="002B780F">
        <w:rPr>
          <w:i/>
          <w:lang w:val="en-CA"/>
        </w:rPr>
        <w:t>r of Rights and Freedoms</w:t>
      </w:r>
      <w:r w:rsidRPr="002B780F">
        <w:rPr>
          <w:lang w:val="en-CA"/>
        </w:rPr>
        <w:t xml:space="preserve">); </w:t>
      </w:r>
      <w:r w:rsidRPr="002B780F">
        <w:rPr>
          <w:i/>
          <w:lang w:val="en-CA"/>
        </w:rPr>
        <w:t xml:space="preserve">Entreprises W.F.H. ltée </w:t>
      </w:r>
      <w:r w:rsidRPr="002B780F">
        <w:rPr>
          <w:i/>
          <w:iCs/>
          <w:lang w:val="en-CA"/>
        </w:rPr>
        <w:t>c.</w:t>
      </w:r>
      <w:r w:rsidRPr="002B780F">
        <w:rPr>
          <w:lang w:val="en-CA"/>
        </w:rPr>
        <w:t xml:space="preserve"> </w:t>
      </w:r>
      <w:r w:rsidRPr="002B780F">
        <w:rPr>
          <w:i/>
          <w:lang w:val="en-CA"/>
        </w:rPr>
        <w:t>Québec (Procureure générale)</w:t>
      </w:r>
      <w:r w:rsidRPr="002B780F">
        <w:rPr>
          <w:lang w:val="en-CA"/>
        </w:rPr>
        <w:t>, [2001] R.J.Q. 2557 (C.A.)</w:t>
      </w:r>
      <w:r w:rsidR="003202F4" w:rsidRPr="002B780F">
        <w:rPr>
          <w:lang w:val="en-CA"/>
        </w:rPr>
        <w:t>,</w:t>
      </w:r>
      <w:r w:rsidRPr="002B780F">
        <w:rPr>
          <w:lang w:val="en-CA"/>
        </w:rPr>
        <w:t xml:space="preserve"> </w:t>
      </w:r>
      <w:r w:rsidR="00D47EC7" w:rsidRPr="002B780F">
        <w:rPr>
          <w:lang w:val="en-CA"/>
        </w:rPr>
        <w:t>leave to appeal to S.C.C. refused, 28978 (12 December 2002);</w:t>
      </w:r>
      <w:r w:rsidRPr="002B780F">
        <w:rPr>
          <w:lang w:val="en-CA"/>
        </w:rPr>
        <w:t xml:space="preserve"> </w:t>
      </w:r>
      <w:r w:rsidRPr="002B780F">
        <w:rPr>
          <w:i/>
          <w:lang w:val="en-CA"/>
        </w:rPr>
        <w:t xml:space="preserve">156158 Canada </w:t>
      </w:r>
      <w:r w:rsidR="00D47EC7" w:rsidRPr="002B780F">
        <w:rPr>
          <w:i/>
          <w:lang w:val="en-CA"/>
        </w:rPr>
        <w:t>I</w:t>
      </w:r>
      <w:r w:rsidRPr="002B780F">
        <w:rPr>
          <w:i/>
          <w:lang w:val="en-CA"/>
        </w:rPr>
        <w:t>nc.</w:t>
      </w:r>
      <w:r w:rsidRPr="002B780F">
        <w:rPr>
          <w:lang w:val="en-CA"/>
        </w:rPr>
        <w:t xml:space="preserve"> </w:t>
      </w:r>
      <w:r w:rsidR="00D47EC7" w:rsidRPr="002B780F">
        <w:rPr>
          <w:i/>
          <w:iCs/>
          <w:lang w:val="en-CA"/>
        </w:rPr>
        <w:t>v</w:t>
      </w:r>
      <w:r w:rsidRPr="002B780F">
        <w:rPr>
          <w:i/>
          <w:iCs/>
          <w:lang w:val="en-CA"/>
        </w:rPr>
        <w:t>.</w:t>
      </w:r>
      <w:r w:rsidRPr="002B780F">
        <w:rPr>
          <w:lang w:val="en-CA"/>
        </w:rPr>
        <w:t xml:space="preserve"> </w:t>
      </w:r>
      <w:r w:rsidRPr="002B780F">
        <w:rPr>
          <w:i/>
          <w:lang w:val="en-CA"/>
        </w:rPr>
        <w:t>Attorney General of Quebec</w:t>
      </w:r>
      <w:r w:rsidRPr="002B780F">
        <w:rPr>
          <w:lang w:val="en-CA"/>
        </w:rPr>
        <w:t>, 2017 QCCA 2055</w:t>
      </w:r>
      <w:r w:rsidR="003202F4" w:rsidRPr="002B780F">
        <w:rPr>
          <w:lang w:val="en-CA"/>
        </w:rPr>
        <w:t>,</w:t>
      </w:r>
      <w:r w:rsidRPr="002B780F">
        <w:rPr>
          <w:lang w:val="en-CA"/>
        </w:rPr>
        <w:t xml:space="preserve"> </w:t>
      </w:r>
      <w:r w:rsidR="00D47EC7" w:rsidRPr="002B780F">
        <w:rPr>
          <w:lang w:val="en-CA"/>
        </w:rPr>
        <w:t>leave to appeal to S.C.C. refused</w:t>
      </w:r>
      <w:r w:rsidRPr="002B780F">
        <w:rPr>
          <w:lang w:val="en-CA"/>
        </w:rPr>
        <w:t xml:space="preserve">, </w:t>
      </w:r>
      <w:r w:rsidR="00D47EC7" w:rsidRPr="002B780F">
        <w:rPr>
          <w:lang w:val="en-CA"/>
        </w:rPr>
        <w:t xml:space="preserve">37967 (4 October </w:t>
      </w:r>
      <w:r w:rsidRPr="002B780F">
        <w:rPr>
          <w:lang w:val="en-CA"/>
        </w:rPr>
        <w:t>2018</w:t>
      </w:r>
      <w:r w:rsidR="00D47EC7" w:rsidRPr="002B780F">
        <w:rPr>
          <w:lang w:val="en-CA"/>
        </w:rPr>
        <w:t xml:space="preserve">) </w:t>
      </w:r>
      <w:r w:rsidRPr="002B780F">
        <w:rPr>
          <w:lang w:val="en-CA"/>
        </w:rPr>
        <w:t xml:space="preserve"> (</w:t>
      </w:r>
      <w:r w:rsidR="00D47EC7" w:rsidRPr="002B780F">
        <w:rPr>
          <w:lang w:val="en-CA"/>
        </w:rPr>
        <w:t xml:space="preserve">with respect to s. 1 of the </w:t>
      </w:r>
      <w:r w:rsidR="00D47EC7" w:rsidRPr="002B780F">
        <w:rPr>
          <w:i/>
          <w:iCs/>
          <w:lang w:val="en-CA"/>
        </w:rPr>
        <w:t>Canadian Charter of Rights and Freedoms</w:t>
      </w:r>
      <w:r w:rsidR="00D47EC7" w:rsidRPr="002B780F">
        <w:rPr>
          <w:lang w:val="en-CA"/>
        </w:rPr>
        <w:t>).</w:t>
      </w:r>
    </w:p>
  </w:footnote>
  <w:footnote w:id="82">
    <w:p w14:paraId="1BB4FA2D" w14:textId="604B724D" w:rsidR="00B83D45" w:rsidRPr="002B780F" w:rsidRDefault="00B83D45" w:rsidP="00DD6B48">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A55416" w:rsidRPr="002B780F">
        <w:rPr>
          <w:lang w:val="en-CA"/>
        </w:rPr>
        <w:t>Respondent’s a</w:t>
      </w:r>
      <w:r w:rsidRPr="002B780F">
        <w:rPr>
          <w:lang w:val="en-CA"/>
        </w:rPr>
        <w:t xml:space="preserve">rgumentation </w:t>
      </w:r>
      <w:r w:rsidR="00A55416" w:rsidRPr="002B780F">
        <w:rPr>
          <w:lang w:val="en-CA"/>
        </w:rPr>
        <w:t xml:space="preserve">plan at </w:t>
      </w:r>
      <w:r w:rsidR="00870A03" w:rsidRPr="002B780F">
        <w:rPr>
          <w:lang w:val="en-CA"/>
        </w:rPr>
        <w:t xml:space="preserve">para. </w:t>
      </w:r>
      <w:r w:rsidRPr="002B780F">
        <w:rPr>
          <w:lang w:val="en-CA"/>
        </w:rPr>
        <w:t>68.</w:t>
      </w:r>
    </w:p>
  </w:footnote>
  <w:footnote w:id="83">
    <w:p w14:paraId="2CAD76ED" w14:textId="6F6430B2" w:rsidR="00B83D45" w:rsidRPr="002B780F" w:rsidRDefault="00B83D45" w:rsidP="00DD6B48">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0855B6" w:rsidRPr="002B780F">
        <w:rPr>
          <w:lang w:val="en-CA"/>
        </w:rPr>
        <w:t>C</w:t>
      </w:r>
      <w:r w:rsidRPr="002B780F">
        <w:rPr>
          <w:lang w:val="en-CA"/>
        </w:rPr>
        <w:t>Q</w:t>
      </w:r>
      <w:r w:rsidR="000855B6" w:rsidRPr="002B780F">
        <w:rPr>
          <w:lang w:val="en-CA"/>
        </w:rPr>
        <w:t>LR</w:t>
      </w:r>
      <w:r w:rsidRPr="002B780F">
        <w:rPr>
          <w:lang w:val="en-CA"/>
        </w:rPr>
        <w:t>, c. C-12.</w:t>
      </w:r>
    </w:p>
  </w:footnote>
  <w:footnote w:id="84">
    <w:p w14:paraId="15B81D5E" w14:textId="0E28703E" w:rsidR="00B83D45" w:rsidRPr="002B780F" w:rsidRDefault="00B83D45" w:rsidP="00DD6B48">
      <w:pPr>
        <w:pStyle w:val="Notedebasdepage"/>
        <w:rPr>
          <w:highlight w:val="lightGray"/>
          <w:lang w:val="en-CA"/>
        </w:rPr>
      </w:pPr>
      <w:r w:rsidRPr="002B780F">
        <w:rPr>
          <w:rStyle w:val="Appelnotedebasdep"/>
        </w:rPr>
        <w:footnoteRef/>
      </w:r>
      <w:r w:rsidRPr="002B780F">
        <w:rPr>
          <w:lang w:val="en-CA"/>
        </w:rPr>
        <w:t xml:space="preserve"> </w:t>
      </w:r>
      <w:r w:rsidRPr="002B780F">
        <w:rPr>
          <w:lang w:val="en-CA"/>
        </w:rPr>
        <w:tab/>
      </w:r>
      <w:r w:rsidR="008A4DF2" w:rsidRPr="002B780F">
        <w:rPr>
          <w:lang w:val="en-CA"/>
        </w:rPr>
        <w:t>Sections</w:t>
      </w:r>
      <w:r w:rsidRPr="002B780F">
        <w:rPr>
          <w:lang w:val="en-CA"/>
        </w:rPr>
        <w:t xml:space="preserve"> 4 </w:t>
      </w:r>
      <w:r w:rsidR="008A4DF2" w:rsidRPr="002B780F">
        <w:rPr>
          <w:lang w:val="en-CA"/>
        </w:rPr>
        <w:t>and</w:t>
      </w:r>
      <w:r w:rsidRPr="002B780F">
        <w:rPr>
          <w:lang w:val="en-CA"/>
        </w:rPr>
        <w:t xml:space="preserve"> 218 </w:t>
      </w:r>
      <w:r w:rsidR="008A4DF2" w:rsidRPr="002B780F">
        <w:rPr>
          <w:lang w:val="en-CA"/>
        </w:rPr>
        <w:t>of Bill</w:t>
      </w:r>
      <w:r w:rsidRPr="002B780F">
        <w:rPr>
          <w:lang w:val="en-CA"/>
        </w:rPr>
        <w:t> 96.</w:t>
      </w:r>
    </w:p>
  </w:footnote>
  <w:footnote w:id="85">
    <w:p w14:paraId="534B6CA0" w14:textId="7AC88CD0" w:rsidR="00B83D45" w:rsidRPr="002B780F" w:rsidRDefault="00B83D45" w:rsidP="00DD6B48">
      <w:pPr>
        <w:pStyle w:val="Notedebasdepage"/>
        <w:rPr>
          <w:lang w:val="en-CA"/>
        </w:rPr>
      </w:pPr>
      <w:r w:rsidRPr="002B780F">
        <w:rPr>
          <w:rStyle w:val="Appelnotedebasdep"/>
        </w:rPr>
        <w:footnoteRef/>
      </w:r>
      <w:r w:rsidRPr="002B780F">
        <w:rPr>
          <w:lang w:val="en-CA"/>
        </w:rPr>
        <w:t xml:space="preserve"> </w:t>
      </w:r>
      <w:r w:rsidRPr="002B780F">
        <w:rPr>
          <w:lang w:val="en-CA"/>
        </w:rPr>
        <w:tab/>
      </w:r>
      <w:r w:rsidR="008A4DF2" w:rsidRPr="002B780F">
        <w:rPr>
          <w:lang w:val="en-CA"/>
        </w:rPr>
        <w:t>Sections</w:t>
      </w:r>
      <w:r w:rsidRPr="002B780F">
        <w:rPr>
          <w:lang w:val="en-CA"/>
        </w:rPr>
        <w:t xml:space="preserve"> 138 </w:t>
      </w:r>
      <w:r w:rsidR="008A4DF2" w:rsidRPr="002B780F">
        <w:rPr>
          <w:lang w:val="en-CA"/>
        </w:rPr>
        <w:t>and</w:t>
      </w:r>
      <w:r w:rsidRPr="002B780F">
        <w:rPr>
          <w:lang w:val="en-CA"/>
        </w:rPr>
        <w:t xml:space="preserve"> 218 </w:t>
      </w:r>
      <w:r w:rsidR="008A4DF2" w:rsidRPr="002B780F">
        <w:rPr>
          <w:lang w:val="en-CA"/>
        </w:rPr>
        <w:t>of Bill</w:t>
      </w:r>
      <w:r w:rsidRPr="002B780F">
        <w:rPr>
          <w:lang w:val="en-CA"/>
        </w:rPr>
        <w:t> 96.</w:t>
      </w:r>
    </w:p>
  </w:footnote>
  <w:footnote w:id="86">
    <w:p w14:paraId="16CA1490" w14:textId="1F79069A" w:rsidR="00B83D45" w:rsidRPr="002B780F" w:rsidRDefault="00B83D45" w:rsidP="00DD6B48">
      <w:pPr>
        <w:pStyle w:val="Notedebasdepage"/>
        <w:rPr>
          <w:lang w:val="en-CA"/>
        </w:rPr>
      </w:pPr>
      <w:r w:rsidRPr="002B780F">
        <w:rPr>
          <w:rStyle w:val="Appelnotedebasdep"/>
        </w:rPr>
        <w:footnoteRef/>
      </w:r>
      <w:r w:rsidRPr="002B780F">
        <w:rPr>
          <w:lang w:val="en-CA"/>
        </w:rPr>
        <w:t xml:space="preserve"> </w:t>
      </w:r>
      <w:r w:rsidRPr="002B780F">
        <w:rPr>
          <w:lang w:val="en-CA"/>
        </w:rPr>
        <w:tab/>
      </w:r>
      <w:r w:rsidRPr="002B780F">
        <w:rPr>
          <w:i/>
          <w:lang w:val="en-CA"/>
        </w:rPr>
        <w:t>Harper</w:t>
      </w:r>
      <w:r w:rsidRPr="002B780F">
        <w:rPr>
          <w:lang w:val="en-CA"/>
        </w:rPr>
        <w:t xml:space="preserve"> </w:t>
      </w:r>
      <w:r w:rsidR="008A4DF2" w:rsidRPr="002B780F">
        <w:rPr>
          <w:i/>
          <w:iCs/>
          <w:lang w:val="en-CA"/>
        </w:rPr>
        <w:t>v</w:t>
      </w:r>
      <w:r w:rsidRPr="002B780F">
        <w:rPr>
          <w:i/>
          <w:iCs/>
          <w:lang w:val="en-CA"/>
        </w:rPr>
        <w:t>.</w:t>
      </w:r>
      <w:r w:rsidRPr="002B780F">
        <w:rPr>
          <w:lang w:val="en-CA"/>
        </w:rPr>
        <w:t xml:space="preserve"> </w:t>
      </w:r>
      <w:r w:rsidRPr="002B780F">
        <w:rPr>
          <w:i/>
          <w:lang w:val="en-CA"/>
        </w:rPr>
        <w:t xml:space="preserve">Canada </w:t>
      </w:r>
      <w:r w:rsidR="00F86545" w:rsidRPr="002B780F">
        <w:rPr>
          <w:i/>
          <w:lang w:val="en-CA"/>
        </w:rPr>
        <w:t>(Attorney General)</w:t>
      </w:r>
      <w:r w:rsidRPr="002B780F">
        <w:rPr>
          <w:lang w:val="en-CA"/>
        </w:rPr>
        <w:t xml:space="preserve">, 2000 </w:t>
      </w:r>
      <w:r w:rsidR="008A4DF2" w:rsidRPr="002B780F">
        <w:rPr>
          <w:lang w:val="en-CA"/>
        </w:rPr>
        <w:t>SCC</w:t>
      </w:r>
      <w:r w:rsidRPr="002B780F">
        <w:rPr>
          <w:lang w:val="en-CA"/>
        </w:rPr>
        <w:t xml:space="preserve"> 5</w:t>
      </w:r>
      <w:r w:rsidR="00F86545" w:rsidRPr="002B780F">
        <w:rPr>
          <w:lang w:val="en-CA"/>
        </w:rPr>
        <w:t xml:space="preserve">7 at para. </w:t>
      </w:r>
      <w:r w:rsidRPr="002B780F">
        <w:rPr>
          <w:lang w:val="en-CA"/>
        </w:rPr>
        <w:t>9.</w:t>
      </w:r>
    </w:p>
  </w:footnote>
  <w:footnote w:id="87">
    <w:p w14:paraId="03A25626" w14:textId="33A13F13" w:rsidR="00B83D45" w:rsidRPr="002B780F" w:rsidRDefault="00B83D45">
      <w:pPr>
        <w:pStyle w:val="Notedebasdepage"/>
        <w:rPr>
          <w:lang w:val="en-CA"/>
        </w:rPr>
      </w:pPr>
      <w:r w:rsidRPr="002B780F">
        <w:rPr>
          <w:rStyle w:val="Appelnotedebasdep"/>
        </w:rPr>
        <w:footnoteRef/>
      </w:r>
      <w:r w:rsidRPr="002B780F">
        <w:rPr>
          <w:lang w:val="en-CA"/>
        </w:rPr>
        <w:t xml:space="preserve"> </w:t>
      </w:r>
      <w:r w:rsidR="00B65F7A" w:rsidRPr="002B780F">
        <w:rPr>
          <w:lang w:val="en-CA"/>
        </w:rPr>
        <w:tab/>
      </w:r>
      <w:r w:rsidR="00E641C1" w:rsidRPr="002B780F">
        <w:rPr>
          <w:lang w:val="en-CA"/>
        </w:rPr>
        <w:t xml:space="preserve">See </w:t>
      </w:r>
      <w:r w:rsidR="00BB2440" w:rsidRPr="002B780F">
        <w:rPr>
          <w:lang w:val="en-CA"/>
        </w:rPr>
        <w:t xml:space="preserve">ss. </w:t>
      </w:r>
      <w:r w:rsidR="00B65F7A" w:rsidRPr="002B780F">
        <w:rPr>
          <w:lang w:val="en-CA"/>
        </w:rPr>
        <w:t xml:space="preserve">216 </w:t>
      </w:r>
      <w:r w:rsidR="00E641C1" w:rsidRPr="002B780F">
        <w:rPr>
          <w:lang w:val="en-CA"/>
        </w:rPr>
        <w:t>and</w:t>
      </w:r>
      <w:r w:rsidR="00B65F7A" w:rsidRPr="002B780F">
        <w:rPr>
          <w:lang w:val="en-CA"/>
        </w:rPr>
        <w:t xml:space="preserve"> 217 </w:t>
      </w:r>
      <w:r w:rsidR="00E641C1" w:rsidRPr="002B780F">
        <w:rPr>
          <w:lang w:val="en-CA"/>
        </w:rPr>
        <w:t>of Bill 96</w:t>
      </w:r>
      <w:r w:rsidR="00B65F7A" w:rsidRPr="002B780F">
        <w:rPr>
          <w:lang w:val="en-CA"/>
        </w:rPr>
        <w:t>.</w:t>
      </w:r>
    </w:p>
  </w:footnote>
  <w:footnote w:id="88">
    <w:p w14:paraId="21269150" w14:textId="2846F005" w:rsidR="00B83D45" w:rsidRPr="002B780F" w:rsidRDefault="00B83D45">
      <w:pPr>
        <w:pStyle w:val="Notedebasdepage"/>
        <w:rPr>
          <w:lang w:val="en-CA"/>
        </w:rPr>
      </w:pPr>
      <w:r w:rsidRPr="002B780F">
        <w:rPr>
          <w:rStyle w:val="Appelnotedebasdep"/>
          <w:lang w:val="en-CA"/>
        </w:rPr>
        <w:footnoteRef/>
      </w:r>
      <w:r w:rsidRPr="002B780F">
        <w:rPr>
          <w:lang w:val="en-CA"/>
        </w:rPr>
        <w:t xml:space="preserve"> </w:t>
      </w:r>
      <w:r w:rsidR="00B65F7A" w:rsidRPr="002B780F">
        <w:rPr>
          <w:lang w:val="en-CA"/>
        </w:rPr>
        <w:tab/>
      </w:r>
      <w:r w:rsidR="00E641C1" w:rsidRPr="002B780F">
        <w:rPr>
          <w:lang w:val="en-CA"/>
        </w:rPr>
        <w:t xml:space="preserve">See </w:t>
      </w:r>
      <w:r w:rsidR="00BB2440" w:rsidRPr="002B780F">
        <w:rPr>
          <w:lang w:val="en-CA"/>
        </w:rPr>
        <w:t xml:space="preserve">s. </w:t>
      </w:r>
      <w:r w:rsidRPr="002B780F">
        <w:rPr>
          <w:lang w:val="en-CA"/>
        </w:rPr>
        <w:t>218</w:t>
      </w:r>
      <w:r w:rsidR="00E641C1" w:rsidRPr="002B780F">
        <w:rPr>
          <w:lang w:val="en-CA"/>
        </w:rPr>
        <w:t>,</w:t>
      </w:r>
      <w:r w:rsidRPr="002B780F">
        <w:rPr>
          <w:lang w:val="en-CA"/>
        </w:rPr>
        <w:t xml:space="preserve"> </w:t>
      </w:r>
      <w:r w:rsidR="00E641C1" w:rsidRPr="002B780F">
        <w:rPr>
          <w:lang w:val="en-CA"/>
        </w:rPr>
        <w:t>para</w:t>
      </w:r>
      <w:r w:rsidRPr="002B780F">
        <w:rPr>
          <w:lang w:val="en-CA"/>
        </w:rPr>
        <w:t>.</w:t>
      </w:r>
      <w:r w:rsidR="00814819" w:rsidRPr="002B780F">
        <w:rPr>
          <w:lang w:val="en-CA"/>
        </w:rPr>
        <w:t xml:space="preserve"> </w:t>
      </w:r>
      <w:r w:rsidRPr="002B780F">
        <w:rPr>
          <w:lang w:val="en-CA"/>
        </w:rPr>
        <w:t xml:space="preserve">1 </w:t>
      </w:r>
      <w:r w:rsidR="00E641C1" w:rsidRPr="002B780F">
        <w:rPr>
          <w:lang w:val="en-CA"/>
        </w:rPr>
        <w:t>of Bill 96</w:t>
      </w:r>
      <w:r w:rsidR="00F21DE2" w:rsidRPr="002B780F">
        <w:rPr>
          <w:lang w:val="en-CA"/>
        </w:rPr>
        <w:t xml:space="preserve">, which sets out the </w:t>
      </w:r>
      <w:r w:rsidR="000F6D3D" w:rsidRPr="002B780F">
        <w:rPr>
          <w:lang w:val="en-CA"/>
        </w:rPr>
        <w:t>subject matter that</w:t>
      </w:r>
      <w:r w:rsidR="00F21DE2" w:rsidRPr="002B780F">
        <w:rPr>
          <w:lang w:val="en-CA"/>
        </w:rPr>
        <w:t xml:space="preserve"> came into force on May</w:t>
      </w:r>
      <w:r w:rsidR="000F6D3D" w:rsidRPr="002B780F">
        <w:rPr>
          <w:lang w:val="en-CA"/>
        </w:rPr>
        <w:t> </w:t>
      </w:r>
      <w:r w:rsidR="00F21DE2" w:rsidRPr="002B780F">
        <w:rPr>
          <w:lang w:val="en-CA"/>
        </w:rPr>
        <w:t>1,</w:t>
      </w:r>
      <w:r w:rsidR="000F6D3D" w:rsidRPr="002B780F">
        <w:rPr>
          <w:lang w:val="en-CA"/>
        </w:rPr>
        <w:t> </w:t>
      </w:r>
      <w:r w:rsidRPr="002B780F">
        <w:rPr>
          <w:lang w:val="en-CA"/>
        </w:rPr>
        <w:t>2022.</w:t>
      </w:r>
    </w:p>
  </w:footnote>
  <w:footnote w:id="89">
    <w:p w14:paraId="0CE70D19" w14:textId="144AA758" w:rsidR="00B83D45" w:rsidRPr="002B780F" w:rsidRDefault="00B83D45">
      <w:pPr>
        <w:pStyle w:val="Notedebasdepage"/>
        <w:rPr>
          <w:lang w:val="en-CA"/>
        </w:rPr>
      </w:pPr>
      <w:r w:rsidRPr="002B780F">
        <w:rPr>
          <w:rStyle w:val="Appelnotedebasdep"/>
          <w:lang w:val="en-CA"/>
        </w:rPr>
        <w:footnoteRef/>
      </w:r>
      <w:r w:rsidRPr="002B780F">
        <w:rPr>
          <w:lang w:val="en-CA"/>
        </w:rPr>
        <w:t xml:space="preserve"> </w:t>
      </w:r>
      <w:r w:rsidR="00B65F7A" w:rsidRPr="002B780F">
        <w:rPr>
          <w:lang w:val="en-CA"/>
        </w:rPr>
        <w:tab/>
      </w:r>
      <w:r w:rsidR="00E641C1" w:rsidRPr="002B780F">
        <w:rPr>
          <w:lang w:val="en-CA"/>
        </w:rPr>
        <w:t xml:space="preserve">See </w:t>
      </w:r>
      <w:r w:rsidR="00BB2440" w:rsidRPr="002B780F">
        <w:rPr>
          <w:lang w:val="en-CA"/>
        </w:rPr>
        <w:t xml:space="preserve">s. </w:t>
      </w:r>
      <w:r w:rsidRPr="002B780F">
        <w:rPr>
          <w:lang w:val="en-CA"/>
        </w:rPr>
        <w:t>218</w:t>
      </w:r>
      <w:r w:rsidR="00E641C1" w:rsidRPr="002B780F">
        <w:rPr>
          <w:lang w:val="en-CA"/>
        </w:rPr>
        <w:t xml:space="preserve">, para. </w:t>
      </w:r>
      <w:r w:rsidRPr="002B780F">
        <w:rPr>
          <w:lang w:val="en-CA"/>
        </w:rPr>
        <w:t xml:space="preserve">2 </w:t>
      </w:r>
      <w:r w:rsidR="00E641C1" w:rsidRPr="002B780F">
        <w:rPr>
          <w:lang w:val="en-CA"/>
        </w:rPr>
        <w:t>of Bill 96</w:t>
      </w:r>
      <w:r w:rsidRPr="002B780F">
        <w:rPr>
          <w:lang w:val="en-CA"/>
        </w:rPr>
        <w:t>.</w:t>
      </w:r>
    </w:p>
  </w:footnote>
  <w:footnote w:id="90">
    <w:p w14:paraId="5C149900" w14:textId="53318952" w:rsidR="00B83D45" w:rsidRPr="002B780F" w:rsidRDefault="00B83D45">
      <w:pPr>
        <w:pStyle w:val="Notedebasdepage"/>
        <w:rPr>
          <w:lang w:val="en-CA"/>
        </w:rPr>
      </w:pPr>
      <w:r w:rsidRPr="002B780F">
        <w:rPr>
          <w:rStyle w:val="Appelnotedebasdep"/>
          <w:lang w:val="en-CA"/>
        </w:rPr>
        <w:footnoteRef/>
      </w:r>
      <w:r w:rsidRPr="002B780F">
        <w:rPr>
          <w:lang w:val="en-CA"/>
        </w:rPr>
        <w:t xml:space="preserve"> </w:t>
      </w:r>
      <w:r w:rsidR="00B65F7A" w:rsidRPr="002B780F">
        <w:rPr>
          <w:lang w:val="en-CA"/>
        </w:rPr>
        <w:tab/>
      </w:r>
      <w:r w:rsidR="00E641C1" w:rsidRPr="002B780F">
        <w:rPr>
          <w:lang w:val="en-CA"/>
        </w:rPr>
        <w:t xml:space="preserve">See </w:t>
      </w:r>
      <w:r w:rsidR="00BB2440" w:rsidRPr="002B780F">
        <w:rPr>
          <w:lang w:val="en-CA"/>
        </w:rPr>
        <w:t xml:space="preserve">ss. </w:t>
      </w:r>
      <w:r w:rsidRPr="002B780F">
        <w:rPr>
          <w:lang w:val="en-CA"/>
        </w:rPr>
        <w:t xml:space="preserve">218.3 </w:t>
      </w:r>
      <w:r w:rsidR="00E641C1" w:rsidRPr="002B780F">
        <w:rPr>
          <w:lang w:val="en-CA"/>
        </w:rPr>
        <w:t>to</w:t>
      </w:r>
      <w:r w:rsidRPr="002B780F">
        <w:rPr>
          <w:lang w:val="en-CA"/>
        </w:rPr>
        <w:t xml:space="preserve"> 218.9 </w:t>
      </w:r>
      <w:r w:rsidR="00E641C1" w:rsidRPr="002B780F">
        <w:rPr>
          <w:lang w:val="en-CA"/>
        </w:rPr>
        <w:t>of Bill 96</w:t>
      </w:r>
      <w:r w:rsidRPr="002B780F">
        <w:rPr>
          <w:lang w:val="en-CA"/>
        </w:rPr>
        <w:t>.</w:t>
      </w:r>
    </w:p>
  </w:footnote>
  <w:footnote w:id="91">
    <w:p w14:paraId="5322E58E" w14:textId="42EFD7D5" w:rsidR="00B83D45" w:rsidRPr="002B780F" w:rsidRDefault="00B83D45" w:rsidP="00DD6B48">
      <w:pPr>
        <w:pStyle w:val="Notedebasdepage"/>
        <w:rPr>
          <w:lang w:val="en-CA"/>
        </w:rPr>
      </w:pPr>
      <w:r w:rsidRPr="002B780F">
        <w:rPr>
          <w:rStyle w:val="Appelnotedebasdep"/>
          <w:lang w:val="en-CA"/>
        </w:rPr>
        <w:footnoteRef/>
      </w:r>
      <w:r w:rsidRPr="002B780F">
        <w:rPr>
          <w:lang w:val="en-CA"/>
        </w:rPr>
        <w:t xml:space="preserve"> </w:t>
      </w:r>
      <w:r w:rsidRPr="002B780F">
        <w:rPr>
          <w:lang w:val="en-CA"/>
        </w:rPr>
        <w:tab/>
      </w:r>
      <w:r w:rsidR="00E10355" w:rsidRPr="002B780F">
        <w:rPr>
          <w:lang w:val="en-CA"/>
        </w:rPr>
        <w:t xml:space="preserve">The actual </w:t>
      </w:r>
      <w:r w:rsidR="00BB2440" w:rsidRPr="002B780F">
        <w:rPr>
          <w:lang w:val="en-CA"/>
        </w:rPr>
        <w:t>s. </w:t>
      </w:r>
      <w:r w:rsidRPr="002B780F">
        <w:rPr>
          <w:lang w:val="en-CA"/>
        </w:rPr>
        <w:t xml:space="preserve">9 </w:t>
      </w:r>
      <w:r w:rsidR="00E10355" w:rsidRPr="002B780F">
        <w:rPr>
          <w:lang w:val="en-CA"/>
        </w:rPr>
        <w:t xml:space="preserve">of Bill 96 amends </w:t>
      </w:r>
      <w:r w:rsidR="00BB2440" w:rsidRPr="002B780F">
        <w:rPr>
          <w:lang w:val="en-CA"/>
        </w:rPr>
        <w:t xml:space="preserve">s. </w:t>
      </w:r>
      <w:r w:rsidR="00E10355" w:rsidRPr="002B780F">
        <w:rPr>
          <w:lang w:val="en-CA"/>
        </w:rPr>
        <w:t xml:space="preserve">18 of the </w:t>
      </w:r>
      <w:r w:rsidR="00F55EE4" w:rsidRPr="002B780F">
        <w:rPr>
          <w:i/>
          <w:iCs/>
          <w:lang w:val="en-CA"/>
        </w:rPr>
        <w:t>Charter of the French language</w:t>
      </w:r>
      <w:r w:rsidRPr="002B780F">
        <w:rPr>
          <w:lang w:val="en-CA"/>
        </w:rPr>
        <w:t xml:space="preserve"> </w:t>
      </w:r>
      <w:r w:rsidR="00E10355" w:rsidRPr="002B780F">
        <w:rPr>
          <w:lang w:val="en-CA"/>
        </w:rPr>
        <w:t xml:space="preserve">and pertains to the language of communication within the government, government departments, and other agencies of the civil administration. There is no </w:t>
      </w:r>
      <w:r w:rsidR="00BB2440" w:rsidRPr="002B780F">
        <w:rPr>
          <w:lang w:val="en-CA"/>
        </w:rPr>
        <w:t xml:space="preserve">s. </w:t>
      </w:r>
      <w:r w:rsidRPr="002B780F">
        <w:rPr>
          <w:lang w:val="en-CA"/>
        </w:rPr>
        <w:t xml:space="preserve">208.6 </w:t>
      </w:r>
      <w:r w:rsidR="00E10355" w:rsidRPr="002B780F">
        <w:rPr>
          <w:lang w:val="en-CA"/>
        </w:rPr>
        <w:t>of Bill 96</w:t>
      </w:r>
      <w:r w:rsidRPr="002B780F">
        <w:rPr>
          <w:lang w:val="en-CA"/>
        </w:rPr>
        <w:t>.</w:t>
      </w:r>
    </w:p>
  </w:footnote>
  <w:footnote w:id="92">
    <w:p w14:paraId="7CCD562B" w14:textId="13CB5F9C" w:rsidR="00B83D45" w:rsidRPr="002B780F" w:rsidRDefault="00B83D45" w:rsidP="00DD6B48">
      <w:pPr>
        <w:pStyle w:val="Notedebasdepage"/>
        <w:rPr>
          <w:lang w:val="en-CA"/>
        </w:rPr>
      </w:pPr>
      <w:r w:rsidRPr="002B780F">
        <w:rPr>
          <w:rStyle w:val="Appelnotedebasdep"/>
          <w:lang w:val="en-CA"/>
        </w:rPr>
        <w:footnoteRef/>
      </w:r>
      <w:r w:rsidRPr="002B780F">
        <w:rPr>
          <w:lang w:val="en-CA"/>
        </w:rPr>
        <w:t xml:space="preserve"> </w:t>
      </w:r>
      <w:r w:rsidRPr="002B780F">
        <w:rPr>
          <w:lang w:val="en-CA"/>
        </w:rPr>
        <w:tab/>
        <w:t>Art</w:t>
      </w:r>
      <w:r w:rsidR="00BB2440" w:rsidRPr="002B780F">
        <w:rPr>
          <w:lang w:val="en-CA"/>
        </w:rPr>
        <w:t>icle</w:t>
      </w:r>
      <w:r w:rsidRPr="002B780F">
        <w:rPr>
          <w:lang w:val="en-CA"/>
        </w:rPr>
        <w:t> 661</w:t>
      </w:r>
      <w:r w:rsidR="00E10355" w:rsidRPr="002B780F">
        <w:rPr>
          <w:lang w:val="en-CA"/>
        </w:rPr>
        <w:t>, para</w:t>
      </w:r>
      <w:r w:rsidRPr="002B780F">
        <w:rPr>
          <w:lang w:val="en-CA"/>
        </w:rPr>
        <w:t>. 1 C.</w:t>
      </w:r>
      <w:r w:rsidR="00E10355" w:rsidRPr="002B780F">
        <w:rPr>
          <w:lang w:val="en-CA"/>
        </w:rPr>
        <w:t>C.P</w:t>
      </w:r>
      <w:r w:rsidRPr="002B780F">
        <w:rPr>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605" w14:textId="273E8396" w:rsidR="00BF0485" w:rsidRDefault="003548EF">
    <w:pPr>
      <w:pStyle w:val="En-tte"/>
    </w:pPr>
    <w:r>
      <w:rPr>
        <w:noProof/>
      </w:rPr>
      <w:pict w14:anchorId="209FA3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45782" o:spid="_x0000_s1026" type="#_x0000_t136" style="position:absolute;margin-left:0;margin-top:0;width:594pt;height:66pt;rotation:315;z-index:-251655168;mso-position-horizontal:center;mso-position-horizontal-relative:margin;mso-position-vertical:center;mso-position-vertical-relative:margin" o:allowincell="f" fillcolor="#bfbfbf [2412]" stroked="f">
          <v:fill opacity=".5"/>
          <v:textpath style="font-family:&quot;Arial&quot;;font-size:1pt" string="Courtesy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42B9" w14:textId="68F3332A" w:rsidR="00B83D45" w:rsidRDefault="003548EF">
    <w:pPr>
      <w:tabs>
        <w:tab w:val="center" w:pos="4709"/>
        <w:tab w:val="right" w:pos="9360"/>
      </w:tabs>
      <w:ind w:right="524"/>
    </w:pPr>
    <w:r>
      <w:rPr>
        <w:noProof/>
      </w:rPr>
      <w:pict w14:anchorId="0F9F2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45783" o:spid="_x0000_s1027" type="#_x0000_t136" style="position:absolute;margin-left:0;margin-top:0;width:594pt;height:66pt;rotation:315;z-index:-251653120;mso-position-horizontal:center;mso-position-horizontal-relative:margin;mso-position-vertical:center;mso-position-vertical-relative:margin" o:allowincell="f" fillcolor="#bfbfbf [2412]" stroked="f">
          <v:fill opacity=".5"/>
          <v:textpath style="font-family:&quot;Arial&quot;;font-size:1pt" string="Courtesy Translation"/>
          <w10:wrap anchorx="margin" anchory="margin"/>
        </v:shape>
      </w:pict>
    </w:r>
    <w:r w:rsidR="00B83D45">
      <w:t>500-17-121419-223</w:t>
    </w:r>
    <w:r w:rsidR="00B83D45">
      <w:tab/>
    </w:r>
    <w:r w:rsidR="00B83D45">
      <w:tab/>
      <w:t xml:space="preserve">PAGE: </w:t>
    </w:r>
    <w:r w:rsidR="00B83D45">
      <w:fldChar w:fldCharType="begin"/>
    </w:r>
    <w:r w:rsidR="00B83D45">
      <w:instrText xml:space="preserve"> PAGE </w:instrText>
    </w:r>
    <w:r w:rsidR="00B83D45">
      <w:fldChar w:fldCharType="separate"/>
    </w:r>
    <w:r w:rsidR="002B074A">
      <w:rPr>
        <w:noProof/>
      </w:rPr>
      <w:t>19</w:t>
    </w:r>
    <w:r w:rsidR="00B83D45">
      <w:fldChar w:fldCharType="end"/>
    </w:r>
  </w:p>
  <w:p w14:paraId="2C5E42BA" w14:textId="77777777" w:rsidR="00B83D45" w:rsidRDefault="00B83D45">
    <w:pPr>
      <w:tabs>
        <w:tab w:val="center" w:pos="4709"/>
        <w:tab w:val="right" w:pos="9090"/>
      </w:tabs>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685B" w14:textId="61B404BC" w:rsidR="00BF0485" w:rsidRDefault="003548EF">
    <w:pPr>
      <w:pStyle w:val="En-tte"/>
    </w:pPr>
    <w:r>
      <w:rPr>
        <w:noProof/>
      </w:rPr>
      <w:pict w14:anchorId="035B5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45781" o:spid="_x0000_s1025" type="#_x0000_t136" style="position:absolute;margin-left:0;margin-top:0;width:594pt;height:66pt;rotation:315;z-index:-251657216;mso-position-horizontal:center;mso-position-horizontal-relative:margin;mso-position-vertical:center;mso-position-vertical-relative:margin" o:allowincell="f" fillcolor="#bfbfbf [2412]" stroked="f">
          <v:fill opacity=".5"/>
          <v:textpath style="font-family:&quot;Arial&quot;;font-size:1pt" string="Courtesy Trans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814CF"/>
    <w:multiLevelType w:val="multilevel"/>
    <w:tmpl w:val="ED7411D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9B11B71"/>
    <w:multiLevelType w:val="multilevel"/>
    <w:tmpl w:val="78E43A60"/>
    <w:name w:val="Style1"/>
    <w:styleLink w:val="Style1"/>
    <w:lvl w:ilvl="0">
      <w:start w:val="1"/>
      <w:numFmt w:val="decimal"/>
      <w:lvlText w:val="%1."/>
      <w:lvlJc w:val="left"/>
      <w:pPr>
        <w:ind w:left="431" w:hanging="431"/>
      </w:pPr>
      <w:rPr>
        <w:rFonts w:hint="default"/>
      </w:rPr>
    </w:lvl>
    <w:lvl w:ilvl="1">
      <w:start w:val="1"/>
      <w:numFmt w:val="decimal"/>
      <w:lvlText w:val="%1.%2"/>
      <w:lvlJc w:val="left"/>
      <w:pPr>
        <w:ind w:left="1708"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 w15:restartNumberingAfterBreak="0">
    <w:nsid w:val="2ABB00AC"/>
    <w:multiLevelType w:val="multilevel"/>
    <w:tmpl w:val="B8565C9A"/>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pStyle w:val="Titre7"/>
      <w:lvlText w:val="%1.%2.%3.%4.%5.%6.%7"/>
      <w:lvlJc w:val="left"/>
      <w:pPr>
        <w:ind w:left="431" w:hanging="431"/>
      </w:pPr>
      <w:rPr>
        <w:rFonts w:hint="default"/>
      </w:rPr>
    </w:lvl>
    <w:lvl w:ilvl="7">
      <w:start w:val="1"/>
      <w:numFmt w:val="decimal"/>
      <w:pStyle w:val="Titre8"/>
      <w:lvlText w:val="%1.%2.%3.%4.%5.%6.%7.%8"/>
      <w:lvlJc w:val="left"/>
      <w:pPr>
        <w:ind w:left="431" w:hanging="431"/>
      </w:pPr>
      <w:rPr>
        <w:rFonts w:hint="default"/>
      </w:rPr>
    </w:lvl>
    <w:lvl w:ilvl="8">
      <w:start w:val="1"/>
      <w:numFmt w:val="decimal"/>
      <w:pStyle w:val="Titre9"/>
      <w:lvlText w:val="%1.%2.%3.%4.%5.%6.%7.%8.%9"/>
      <w:lvlJc w:val="left"/>
      <w:pPr>
        <w:ind w:left="431" w:hanging="431"/>
      </w:pPr>
      <w:rPr>
        <w:rFonts w:hint="default"/>
      </w:rPr>
    </w:lvl>
  </w:abstractNum>
  <w:abstractNum w:abstractNumId="3" w15:restartNumberingAfterBreak="0">
    <w:nsid w:val="42DD6580"/>
    <w:multiLevelType w:val="multilevel"/>
    <w:tmpl w:val="30688E04"/>
    <w:lvl w:ilvl="0">
      <w:start w:val="1"/>
      <w:numFmt w:val="decimal"/>
      <w:lvlText w:val="%1."/>
      <w:lvlJc w:val="left"/>
      <w:pPr>
        <w:ind w:left="431" w:hanging="431"/>
      </w:pPr>
      <w:rPr>
        <w:rFonts w:hint="default"/>
      </w:rPr>
    </w:lvl>
    <w:lvl w:ilvl="1">
      <w:start w:val="1"/>
      <w:numFmt w:val="decimal"/>
      <w:lvlText w:val="%2."/>
      <w:lvlJc w:val="left"/>
      <w:pPr>
        <w:ind w:left="1708"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 w15:restartNumberingAfterBreak="0">
    <w:nsid w:val="49B44017"/>
    <w:multiLevelType w:val="hybridMultilevel"/>
    <w:tmpl w:val="05F2811C"/>
    <w:lvl w:ilvl="0" w:tplc="3EBC437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BF423AA"/>
    <w:multiLevelType w:val="multilevel"/>
    <w:tmpl w:val="78E43A60"/>
    <w:name w:val="Style12"/>
    <w:numStyleLink w:val="Style1"/>
  </w:abstractNum>
  <w:abstractNum w:abstractNumId="6" w15:restartNumberingAfterBreak="0">
    <w:nsid w:val="587C61B4"/>
    <w:multiLevelType w:val="hybridMultilevel"/>
    <w:tmpl w:val="6DB08B48"/>
    <w:lvl w:ilvl="0" w:tplc="E76A4BF4">
      <w:start w:val="1"/>
      <w:numFmt w:val="bullet"/>
      <w:pStyle w:val="Puces"/>
      <w:lvlText w:val=""/>
      <w:lvlJc w:val="left"/>
      <w:pPr>
        <w:ind w:left="720" w:hanging="360"/>
      </w:pPr>
      <w:rPr>
        <w:rFonts w:ascii="Symbol" w:hAnsi="Symbol" w:hint="default"/>
      </w:rPr>
    </w:lvl>
    <w:lvl w:ilvl="1" w:tplc="0C0C0019">
      <w:start w:val="1"/>
      <w:numFmt w:val="lowerLetter"/>
      <w:lvlText w:val="%2."/>
      <w:lvlJc w:val="left"/>
      <w:pPr>
        <w:ind w:left="1440" w:hanging="360"/>
      </w:pPr>
      <w:rPr>
        <w:rFont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A0C4719"/>
    <w:multiLevelType w:val="multilevel"/>
    <w:tmpl w:val="78E43A60"/>
    <w:name w:val="Style13"/>
    <w:numStyleLink w:val="Style1"/>
  </w:abstractNum>
  <w:abstractNum w:abstractNumId="8" w15:restartNumberingAfterBreak="0">
    <w:nsid w:val="609C0DCC"/>
    <w:multiLevelType w:val="multilevel"/>
    <w:tmpl w:val="18003C48"/>
    <w:lvl w:ilvl="0">
      <w:start w:val="1"/>
      <w:numFmt w:val="decimal"/>
      <w:pStyle w:val="Paragrdouble"/>
      <w:lvlText w:val="[%1]"/>
      <w:lvlJc w:val="left"/>
      <w:pPr>
        <w:tabs>
          <w:tab w:val="num" w:pos="3053"/>
        </w:tabs>
        <w:ind w:left="2693" w:firstLine="0"/>
      </w:pPr>
      <w:rPr>
        <w:rFonts w:ascii="Arial" w:hAnsi="Arial" w:hint="default"/>
        <w:b w:val="0"/>
        <w:i w:val="0"/>
        <w:sz w:val="24"/>
      </w:rPr>
    </w:lvl>
    <w:lvl w:ilvl="1">
      <w:start w:val="1"/>
      <w:numFmt w:val="decimal"/>
      <w:pStyle w:val="Sous-paragraphe"/>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62F465E6"/>
    <w:multiLevelType w:val="multilevel"/>
    <w:tmpl w:val="8878FE14"/>
    <w:lvl w:ilvl="0">
      <w:start w:val="1"/>
      <w:numFmt w:val="decimal"/>
      <w:lvlText w:val="%1."/>
      <w:lvlJc w:val="left"/>
      <w:pPr>
        <w:ind w:left="720" w:hanging="360"/>
      </w:pPr>
      <w:rPr>
        <w:b/>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num w:numId="1" w16cid:durableId="697780369">
    <w:abstractNumId w:val="8"/>
  </w:num>
  <w:num w:numId="2" w16cid:durableId="2054570326">
    <w:abstractNumId w:val="2"/>
  </w:num>
  <w:num w:numId="3" w16cid:durableId="597522051">
    <w:abstractNumId w:val="1"/>
  </w:num>
  <w:num w:numId="4" w16cid:durableId="30805345">
    <w:abstractNumId w:val="6"/>
  </w:num>
  <w:num w:numId="5" w16cid:durableId="431634862">
    <w:abstractNumId w:val="4"/>
  </w:num>
  <w:num w:numId="6" w16cid:durableId="1168057260">
    <w:abstractNumId w:val="9"/>
  </w:num>
  <w:num w:numId="7" w16cid:durableId="1203207838">
    <w:abstractNumId w:val="3"/>
  </w:num>
  <w:num w:numId="8" w16cid:durableId="1933049960">
    <w:abstractNumId w:val="0"/>
  </w:num>
  <w:num w:numId="9" w16cid:durableId="1946762984">
    <w:abstractNumId w:val="8"/>
  </w:num>
  <w:num w:numId="10" w16cid:durableId="1541163977">
    <w:abstractNumId w:val="8"/>
  </w:num>
  <w:num w:numId="11" w16cid:durableId="1651013736">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4136029">
    <w:abstractNumId w:val="8"/>
  </w:num>
  <w:num w:numId="13" w16cid:durableId="83862119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31"/>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78F"/>
    <w:rsid w:val="00000C9A"/>
    <w:rsid w:val="000071B6"/>
    <w:rsid w:val="0000759C"/>
    <w:rsid w:val="00007687"/>
    <w:rsid w:val="00010654"/>
    <w:rsid w:val="00010C29"/>
    <w:rsid w:val="00012D06"/>
    <w:rsid w:val="00013A4D"/>
    <w:rsid w:val="00020EAA"/>
    <w:rsid w:val="00021FF3"/>
    <w:rsid w:val="00026C30"/>
    <w:rsid w:val="00030416"/>
    <w:rsid w:val="0003197C"/>
    <w:rsid w:val="0003302B"/>
    <w:rsid w:val="000354F3"/>
    <w:rsid w:val="00036885"/>
    <w:rsid w:val="0004367B"/>
    <w:rsid w:val="000451E0"/>
    <w:rsid w:val="00055421"/>
    <w:rsid w:val="00056E0C"/>
    <w:rsid w:val="0006137D"/>
    <w:rsid w:val="000627C4"/>
    <w:rsid w:val="000726DC"/>
    <w:rsid w:val="00073CF1"/>
    <w:rsid w:val="00074685"/>
    <w:rsid w:val="000756C8"/>
    <w:rsid w:val="000771FB"/>
    <w:rsid w:val="00080007"/>
    <w:rsid w:val="000838F1"/>
    <w:rsid w:val="000855B6"/>
    <w:rsid w:val="000857D9"/>
    <w:rsid w:val="00086A04"/>
    <w:rsid w:val="00087D12"/>
    <w:rsid w:val="0009196D"/>
    <w:rsid w:val="00091C1D"/>
    <w:rsid w:val="00096BF8"/>
    <w:rsid w:val="000A0338"/>
    <w:rsid w:val="000A3312"/>
    <w:rsid w:val="000A33FC"/>
    <w:rsid w:val="000A5496"/>
    <w:rsid w:val="000B26A5"/>
    <w:rsid w:val="000B2AD7"/>
    <w:rsid w:val="000C0B3E"/>
    <w:rsid w:val="000C170D"/>
    <w:rsid w:val="000C226D"/>
    <w:rsid w:val="000C4599"/>
    <w:rsid w:val="000C6195"/>
    <w:rsid w:val="000D0075"/>
    <w:rsid w:val="000D1A74"/>
    <w:rsid w:val="000D24ED"/>
    <w:rsid w:val="000D6D91"/>
    <w:rsid w:val="000D6F68"/>
    <w:rsid w:val="000D781B"/>
    <w:rsid w:val="000E0F22"/>
    <w:rsid w:val="000E297B"/>
    <w:rsid w:val="000E2BE4"/>
    <w:rsid w:val="000E37A7"/>
    <w:rsid w:val="000E69DE"/>
    <w:rsid w:val="000E7632"/>
    <w:rsid w:val="000F00E2"/>
    <w:rsid w:val="000F378F"/>
    <w:rsid w:val="000F6D3D"/>
    <w:rsid w:val="00100381"/>
    <w:rsid w:val="001017E9"/>
    <w:rsid w:val="001031E4"/>
    <w:rsid w:val="001057BD"/>
    <w:rsid w:val="00107C75"/>
    <w:rsid w:val="00115429"/>
    <w:rsid w:val="0012116C"/>
    <w:rsid w:val="00121840"/>
    <w:rsid w:val="00121A72"/>
    <w:rsid w:val="001238DE"/>
    <w:rsid w:val="0012594D"/>
    <w:rsid w:val="00131E7B"/>
    <w:rsid w:val="001326BB"/>
    <w:rsid w:val="001376AB"/>
    <w:rsid w:val="00137E00"/>
    <w:rsid w:val="00143300"/>
    <w:rsid w:val="00145153"/>
    <w:rsid w:val="00145802"/>
    <w:rsid w:val="00146114"/>
    <w:rsid w:val="0015063C"/>
    <w:rsid w:val="001641F3"/>
    <w:rsid w:val="00165B7B"/>
    <w:rsid w:val="00165D6A"/>
    <w:rsid w:val="00165EAB"/>
    <w:rsid w:val="00170139"/>
    <w:rsid w:val="001707D5"/>
    <w:rsid w:val="00170ACD"/>
    <w:rsid w:val="00171F8B"/>
    <w:rsid w:val="00176128"/>
    <w:rsid w:val="00176A21"/>
    <w:rsid w:val="001773E3"/>
    <w:rsid w:val="0018249A"/>
    <w:rsid w:val="001841BC"/>
    <w:rsid w:val="00184263"/>
    <w:rsid w:val="001845D4"/>
    <w:rsid w:val="00191372"/>
    <w:rsid w:val="00193600"/>
    <w:rsid w:val="00196BA3"/>
    <w:rsid w:val="0019721A"/>
    <w:rsid w:val="001A33B9"/>
    <w:rsid w:val="001A4F6B"/>
    <w:rsid w:val="001A6F2F"/>
    <w:rsid w:val="001B0DA6"/>
    <w:rsid w:val="001B6602"/>
    <w:rsid w:val="001C0AB3"/>
    <w:rsid w:val="001C181F"/>
    <w:rsid w:val="001C30BE"/>
    <w:rsid w:val="001D01C0"/>
    <w:rsid w:val="001D1616"/>
    <w:rsid w:val="001D1E67"/>
    <w:rsid w:val="001D35BE"/>
    <w:rsid w:val="001D5345"/>
    <w:rsid w:val="001D5F69"/>
    <w:rsid w:val="001E1502"/>
    <w:rsid w:val="001E1898"/>
    <w:rsid w:val="001E1F56"/>
    <w:rsid w:val="001E2B7B"/>
    <w:rsid w:val="001E4CDE"/>
    <w:rsid w:val="001E74C7"/>
    <w:rsid w:val="001E7BE7"/>
    <w:rsid w:val="001E7D2B"/>
    <w:rsid w:val="001F17D9"/>
    <w:rsid w:val="001F2383"/>
    <w:rsid w:val="001F5FB6"/>
    <w:rsid w:val="001F73B8"/>
    <w:rsid w:val="001F78E6"/>
    <w:rsid w:val="001F7FCD"/>
    <w:rsid w:val="00200F87"/>
    <w:rsid w:val="002070ED"/>
    <w:rsid w:val="00207495"/>
    <w:rsid w:val="0021169E"/>
    <w:rsid w:val="002146C7"/>
    <w:rsid w:val="00214732"/>
    <w:rsid w:val="00223EF4"/>
    <w:rsid w:val="002242E4"/>
    <w:rsid w:val="00224603"/>
    <w:rsid w:val="00225912"/>
    <w:rsid w:val="002265C5"/>
    <w:rsid w:val="00227965"/>
    <w:rsid w:val="0023165B"/>
    <w:rsid w:val="002343CE"/>
    <w:rsid w:val="00235A9B"/>
    <w:rsid w:val="00236FAE"/>
    <w:rsid w:val="002370A5"/>
    <w:rsid w:val="002371F7"/>
    <w:rsid w:val="00237207"/>
    <w:rsid w:val="00237FE6"/>
    <w:rsid w:val="0024362B"/>
    <w:rsid w:val="002456E0"/>
    <w:rsid w:val="00247B43"/>
    <w:rsid w:val="0025238A"/>
    <w:rsid w:val="002528CF"/>
    <w:rsid w:val="0025772E"/>
    <w:rsid w:val="00260A17"/>
    <w:rsid w:val="00261A20"/>
    <w:rsid w:val="00262DB2"/>
    <w:rsid w:val="0026509C"/>
    <w:rsid w:val="00271E26"/>
    <w:rsid w:val="00272F3E"/>
    <w:rsid w:val="00273F1D"/>
    <w:rsid w:val="00276041"/>
    <w:rsid w:val="00281336"/>
    <w:rsid w:val="002813DF"/>
    <w:rsid w:val="00284233"/>
    <w:rsid w:val="0028638B"/>
    <w:rsid w:val="002865CB"/>
    <w:rsid w:val="00287F91"/>
    <w:rsid w:val="002915EB"/>
    <w:rsid w:val="00291E8B"/>
    <w:rsid w:val="00293C31"/>
    <w:rsid w:val="0029575E"/>
    <w:rsid w:val="00295CCC"/>
    <w:rsid w:val="002A0BD7"/>
    <w:rsid w:val="002A7B92"/>
    <w:rsid w:val="002B074A"/>
    <w:rsid w:val="002B0EA4"/>
    <w:rsid w:val="002B1043"/>
    <w:rsid w:val="002B3C8B"/>
    <w:rsid w:val="002B4809"/>
    <w:rsid w:val="002B5F73"/>
    <w:rsid w:val="002B780F"/>
    <w:rsid w:val="002B78CB"/>
    <w:rsid w:val="002C037C"/>
    <w:rsid w:val="002C09F4"/>
    <w:rsid w:val="002C2820"/>
    <w:rsid w:val="002D2C3D"/>
    <w:rsid w:val="002D32AE"/>
    <w:rsid w:val="002D4675"/>
    <w:rsid w:val="002E5024"/>
    <w:rsid w:val="002E5E91"/>
    <w:rsid w:val="002E6A90"/>
    <w:rsid w:val="002F1A85"/>
    <w:rsid w:val="002F351B"/>
    <w:rsid w:val="002F36C0"/>
    <w:rsid w:val="002F7479"/>
    <w:rsid w:val="002F75B1"/>
    <w:rsid w:val="00302650"/>
    <w:rsid w:val="00305B3F"/>
    <w:rsid w:val="003202F4"/>
    <w:rsid w:val="00320B74"/>
    <w:rsid w:val="003214E6"/>
    <w:rsid w:val="00322158"/>
    <w:rsid w:val="00324E0F"/>
    <w:rsid w:val="0032627C"/>
    <w:rsid w:val="003267A0"/>
    <w:rsid w:val="00331085"/>
    <w:rsid w:val="0033110A"/>
    <w:rsid w:val="0033120C"/>
    <w:rsid w:val="00331ADB"/>
    <w:rsid w:val="00331F38"/>
    <w:rsid w:val="003349BE"/>
    <w:rsid w:val="00337CF5"/>
    <w:rsid w:val="003464C5"/>
    <w:rsid w:val="00346CA6"/>
    <w:rsid w:val="0034785A"/>
    <w:rsid w:val="003548EF"/>
    <w:rsid w:val="003558A2"/>
    <w:rsid w:val="003606CC"/>
    <w:rsid w:val="003623F7"/>
    <w:rsid w:val="00363B29"/>
    <w:rsid w:val="0036616C"/>
    <w:rsid w:val="0037089C"/>
    <w:rsid w:val="0037655A"/>
    <w:rsid w:val="003778AD"/>
    <w:rsid w:val="00381D12"/>
    <w:rsid w:val="0038313E"/>
    <w:rsid w:val="0039169A"/>
    <w:rsid w:val="0039453E"/>
    <w:rsid w:val="00396F46"/>
    <w:rsid w:val="0039779B"/>
    <w:rsid w:val="00397949"/>
    <w:rsid w:val="00397FD0"/>
    <w:rsid w:val="003A0F1D"/>
    <w:rsid w:val="003A2566"/>
    <w:rsid w:val="003A2773"/>
    <w:rsid w:val="003A4A27"/>
    <w:rsid w:val="003A5546"/>
    <w:rsid w:val="003A5A25"/>
    <w:rsid w:val="003A7DE8"/>
    <w:rsid w:val="003C09B5"/>
    <w:rsid w:val="003C1F0F"/>
    <w:rsid w:val="003C4A9A"/>
    <w:rsid w:val="003C6407"/>
    <w:rsid w:val="003E1DB6"/>
    <w:rsid w:val="003E2C21"/>
    <w:rsid w:val="003E4EF4"/>
    <w:rsid w:val="003E5A44"/>
    <w:rsid w:val="003E6E04"/>
    <w:rsid w:val="004042A7"/>
    <w:rsid w:val="00404506"/>
    <w:rsid w:val="00405CC4"/>
    <w:rsid w:val="004060E0"/>
    <w:rsid w:val="00406789"/>
    <w:rsid w:val="00414A3C"/>
    <w:rsid w:val="00415BEE"/>
    <w:rsid w:val="00416FC3"/>
    <w:rsid w:val="00420E81"/>
    <w:rsid w:val="004221EC"/>
    <w:rsid w:val="0042308F"/>
    <w:rsid w:val="00423CA8"/>
    <w:rsid w:val="00424013"/>
    <w:rsid w:val="0043154E"/>
    <w:rsid w:val="00433FBC"/>
    <w:rsid w:val="0043654A"/>
    <w:rsid w:val="0043751C"/>
    <w:rsid w:val="004375F4"/>
    <w:rsid w:val="00440F79"/>
    <w:rsid w:val="00441BCD"/>
    <w:rsid w:val="00442264"/>
    <w:rsid w:val="004435B2"/>
    <w:rsid w:val="00444E94"/>
    <w:rsid w:val="004463C6"/>
    <w:rsid w:val="00446EC3"/>
    <w:rsid w:val="00447492"/>
    <w:rsid w:val="0045421F"/>
    <w:rsid w:val="00454CA6"/>
    <w:rsid w:val="004554B8"/>
    <w:rsid w:val="00456D43"/>
    <w:rsid w:val="0045786C"/>
    <w:rsid w:val="00460AC6"/>
    <w:rsid w:val="00461025"/>
    <w:rsid w:val="00461B86"/>
    <w:rsid w:val="00461C96"/>
    <w:rsid w:val="004625C8"/>
    <w:rsid w:val="004711AB"/>
    <w:rsid w:val="00471A6A"/>
    <w:rsid w:val="004721D6"/>
    <w:rsid w:val="004730B3"/>
    <w:rsid w:val="00473A42"/>
    <w:rsid w:val="00480EB7"/>
    <w:rsid w:val="00482DE8"/>
    <w:rsid w:val="004857A9"/>
    <w:rsid w:val="00486857"/>
    <w:rsid w:val="004A056C"/>
    <w:rsid w:val="004A19B5"/>
    <w:rsid w:val="004A760B"/>
    <w:rsid w:val="004B0C8D"/>
    <w:rsid w:val="004C110E"/>
    <w:rsid w:val="004C2A79"/>
    <w:rsid w:val="004C433C"/>
    <w:rsid w:val="004C4A9A"/>
    <w:rsid w:val="004C74A3"/>
    <w:rsid w:val="004C7A3D"/>
    <w:rsid w:val="004D061F"/>
    <w:rsid w:val="004D08AE"/>
    <w:rsid w:val="004D118D"/>
    <w:rsid w:val="004D3E35"/>
    <w:rsid w:val="004D736F"/>
    <w:rsid w:val="004E0B59"/>
    <w:rsid w:val="004E38E4"/>
    <w:rsid w:val="004F0054"/>
    <w:rsid w:val="004F5A6C"/>
    <w:rsid w:val="004F610C"/>
    <w:rsid w:val="00501EF8"/>
    <w:rsid w:val="0050277E"/>
    <w:rsid w:val="00507015"/>
    <w:rsid w:val="005120F6"/>
    <w:rsid w:val="00514B14"/>
    <w:rsid w:val="00515A53"/>
    <w:rsid w:val="00516513"/>
    <w:rsid w:val="00521C97"/>
    <w:rsid w:val="00522204"/>
    <w:rsid w:val="0052377E"/>
    <w:rsid w:val="005249A3"/>
    <w:rsid w:val="0052541E"/>
    <w:rsid w:val="00527C0D"/>
    <w:rsid w:val="005317E3"/>
    <w:rsid w:val="005365D8"/>
    <w:rsid w:val="00542EFC"/>
    <w:rsid w:val="005464C6"/>
    <w:rsid w:val="00547D5D"/>
    <w:rsid w:val="005545DB"/>
    <w:rsid w:val="0056041F"/>
    <w:rsid w:val="00563C9C"/>
    <w:rsid w:val="0056689A"/>
    <w:rsid w:val="0056717B"/>
    <w:rsid w:val="00571F84"/>
    <w:rsid w:val="0057209B"/>
    <w:rsid w:val="0057425F"/>
    <w:rsid w:val="0057497C"/>
    <w:rsid w:val="005820BA"/>
    <w:rsid w:val="00583209"/>
    <w:rsid w:val="00585250"/>
    <w:rsid w:val="00591572"/>
    <w:rsid w:val="00591D24"/>
    <w:rsid w:val="00592497"/>
    <w:rsid w:val="005964D6"/>
    <w:rsid w:val="00596AD4"/>
    <w:rsid w:val="005A5B5B"/>
    <w:rsid w:val="005A6029"/>
    <w:rsid w:val="005A74F5"/>
    <w:rsid w:val="005B2D7E"/>
    <w:rsid w:val="005B2DBD"/>
    <w:rsid w:val="005C0A27"/>
    <w:rsid w:val="005C15BC"/>
    <w:rsid w:val="005C1674"/>
    <w:rsid w:val="005C183E"/>
    <w:rsid w:val="005C24FC"/>
    <w:rsid w:val="005C38F5"/>
    <w:rsid w:val="005C3B6E"/>
    <w:rsid w:val="005C6064"/>
    <w:rsid w:val="005C6601"/>
    <w:rsid w:val="005C6875"/>
    <w:rsid w:val="005D0950"/>
    <w:rsid w:val="005D122D"/>
    <w:rsid w:val="005D24DF"/>
    <w:rsid w:val="005D25AF"/>
    <w:rsid w:val="005E1C6B"/>
    <w:rsid w:val="005E5334"/>
    <w:rsid w:val="005E6858"/>
    <w:rsid w:val="005E6D0F"/>
    <w:rsid w:val="005F06B9"/>
    <w:rsid w:val="005F42A4"/>
    <w:rsid w:val="005F719F"/>
    <w:rsid w:val="00600AD8"/>
    <w:rsid w:val="00600E06"/>
    <w:rsid w:val="00601425"/>
    <w:rsid w:val="00601DDC"/>
    <w:rsid w:val="00605CF9"/>
    <w:rsid w:val="0060777B"/>
    <w:rsid w:val="00610B86"/>
    <w:rsid w:val="00610F27"/>
    <w:rsid w:val="006121D9"/>
    <w:rsid w:val="00616BA4"/>
    <w:rsid w:val="006174BA"/>
    <w:rsid w:val="00617A62"/>
    <w:rsid w:val="00620BB6"/>
    <w:rsid w:val="00621B55"/>
    <w:rsid w:val="00621DDE"/>
    <w:rsid w:val="006248F2"/>
    <w:rsid w:val="00627CFF"/>
    <w:rsid w:val="00631B61"/>
    <w:rsid w:val="00631DA6"/>
    <w:rsid w:val="00633B6C"/>
    <w:rsid w:val="00636AA8"/>
    <w:rsid w:val="00636CAB"/>
    <w:rsid w:val="0064291F"/>
    <w:rsid w:val="00643371"/>
    <w:rsid w:val="006435C2"/>
    <w:rsid w:val="00643FDD"/>
    <w:rsid w:val="0064421D"/>
    <w:rsid w:val="00644A34"/>
    <w:rsid w:val="00644DEB"/>
    <w:rsid w:val="00645105"/>
    <w:rsid w:val="00647C8D"/>
    <w:rsid w:val="00657137"/>
    <w:rsid w:val="0066117D"/>
    <w:rsid w:val="00661E48"/>
    <w:rsid w:val="00663D89"/>
    <w:rsid w:val="00666F6B"/>
    <w:rsid w:val="00667DFE"/>
    <w:rsid w:val="00675FC1"/>
    <w:rsid w:val="0068100F"/>
    <w:rsid w:val="00684BA4"/>
    <w:rsid w:val="006867F4"/>
    <w:rsid w:val="00691167"/>
    <w:rsid w:val="00691A03"/>
    <w:rsid w:val="00692459"/>
    <w:rsid w:val="00692F96"/>
    <w:rsid w:val="0069617B"/>
    <w:rsid w:val="006A1297"/>
    <w:rsid w:val="006A1364"/>
    <w:rsid w:val="006A3DB5"/>
    <w:rsid w:val="006A42F4"/>
    <w:rsid w:val="006B4150"/>
    <w:rsid w:val="006B5768"/>
    <w:rsid w:val="006B5B1F"/>
    <w:rsid w:val="006C038C"/>
    <w:rsid w:val="006C1D4C"/>
    <w:rsid w:val="006C1E75"/>
    <w:rsid w:val="006C38BD"/>
    <w:rsid w:val="006C4A62"/>
    <w:rsid w:val="006C59CB"/>
    <w:rsid w:val="006C59E7"/>
    <w:rsid w:val="006C6CD9"/>
    <w:rsid w:val="006D0AC2"/>
    <w:rsid w:val="006D240D"/>
    <w:rsid w:val="006D4F4A"/>
    <w:rsid w:val="006D5398"/>
    <w:rsid w:val="006E54FA"/>
    <w:rsid w:val="006F45A6"/>
    <w:rsid w:val="006F7C52"/>
    <w:rsid w:val="007076C1"/>
    <w:rsid w:val="00712433"/>
    <w:rsid w:val="0071263F"/>
    <w:rsid w:val="007131DE"/>
    <w:rsid w:val="007150E1"/>
    <w:rsid w:val="007164C2"/>
    <w:rsid w:val="0072016F"/>
    <w:rsid w:val="007233A4"/>
    <w:rsid w:val="007246CF"/>
    <w:rsid w:val="00734588"/>
    <w:rsid w:val="00734BAB"/>
    <w:rsid w:val="0073520B"/>
    <w:rsid w:val="007353B4"/>
    <w:rsid w:val="00736EE0"/>
    <w:rsid w:val="0073711A"/>
    <w:rsid w:val="007413F2"/>
    <w:rsid w:val="00741D9D"/>
    <w:rsid w:val="00742299"/>
    <w:rsid w:val="0074638F"/>
    <w:rsid w:val="00752EDE"/>
    <w:rsid w:val="00753EB5"/>
    <w:rsid w:val="007612DB"/>
    <w:rsid w:val="007656B4"/>
    <w:rsid w:val="00767E02"/>
    <w:rsid w:val="007702C8"/>
    <w:rsid w:val="00771576"/>
    <w:rsid w:val="00772542"/>
    <w:rsid w:val="00773128"/>
    <w:rsid w:val="00780716"/>
    <w:rsid w:val="00783581"/>
    <w:rsid w:val="0079080A"/>
    <w:rsid w:val="00794C84"/>
    <w:rsid w:val="00797743"/>
    <w:rsid w:val="007A3835"/>
    <w:rsid w:val="007A4E30"/>
    <w:rsid w:val="007A7764"/>
    <w:rsid w:val="007B11F1"/>
    <w:rsid w:val="007B18BD"/>
    <w:rsid w:val="007B40ED"/>
    <w:rsid w:val="007B71AE"/>
    <w:rsid w:val="007C1E87"/>
    <w:rsid w:val="007C4095"/>
    <w:rsid w:val="007D0C22"/>
    <w:rsid w:val="007D19AF"/>
    <w:rsid w:val="007D32A9"/>
    <w:rsid w:val="007E3EB0"/>
    <w:rsid w:val="007F04B5"/>
    <w:rsid w:val="007F14CD"/>
    <w:rsid w:val="007F1750"/>
    <w:rsid w:val="007F1A1D"/>
    <w:rsid w:val="007F2C8A"/>
    <w:rsid w:val="007F6D7F"/>
    <w:rsid w:val="007F7A96"/>
    <w:rsid w:val="00800EFC"/>
    <w:rsid w:val="008034D9"/>
    <w:rsid w:val="00807BBD"/>
    <w:rsid w:val="008103DC"/>
    <w:rsid w:val="00814819"/>
    <w:rsid w:val="00814949"/>
    <w:rsid w:val="00814F42"/>
    <w:rsid w:val="008276E6"/>
    <w:rsid w:val="00827CF5"/>
    <w:rsid w:val="008305BA"/>
    <w:rsid w:val="0083104F"/>
    <w:rsid w:val="00831E19"/>
    <w:rsid w:val="0083493D"/>
    <w:rsid w:val="00834EA0"/>
    <w:rsid w:val="0083783B"/>
    <w:rsid w:val="00842448"/>
    <w:rsid w:val="00843BF7"/>
    <w:rsid w:val="008443AB"/>
    <w:rsid w:val="008451A9"/>
    <w:rsid w:val="0084675E"/>
    <w:rsid w:val="0084684E"/>
    <w:rsid w:val="0085013B"/>
    <w:rsid w:val="00850628"/>
    <w:rsid w:val="0085062A"/>
    <w:rsid w:val="00850934"/>
    <w:rsid w:val="00850A8A"/>
    <w:rsid w:val="008537CB"/>
    <w:rsid w:val="00853EF0"/>
    <w:rsid w:val="00860019"/>
    <w:rsid w:val="00860222"/>
    <w:rsid w:val="00860D49"/>
    <w:rsid w:val="00865852"/>
    <w:rsid w:val="00866445"/>
    <w:rsid w:val="00867E1A"/>
    <w:rsid w:val="00870A03"/>
    <w:rsid w:val="00870F2A"/>
    <w:rsid w:val="008744F5"/>
    <w:rsid w:val="00874536"/>
    <w:rsid w:val="00874E01"/>
    <w:rsid w:val="008813C6"/>
    <w:rsid w:val="00882945"/>
    <w:rsid w:val="00883C4C"/>
    <w:rsid w:val="00885A5D"/>
    <w:rsid w:val="008913C2"/>
    <w:rsid w:val="00894276"/>
    <w:rsid w:val="008A2BC2"/>
    <w:rsid w:val="008A2E84"/>
    <w:rsid w:val="008A3F1A"/>
    <w:rsid w:val="008A4532"/>
    <w:rsid w:val="008A4AC2"/>
    <w:rsid w:val="008A4DF2"/>
    <w:rsid w:val="008A4F64"/>
    <w:rsid w:val="008A5221"/>
    <w:rsid w:val="008A59FB"/>
    <w:rsid w:val="008A7DDE"/>
    <w:rsid w:val="008B133B"/>
    <w:rsid w:val="008B2C6D"/>
    <w:rsid w:val="008B3EA3"/>
    <w:rsid w:val="008B4323"/>
    <w:rsid w:val="008B5CF2"/>
    <w:rsid w:val="008C0E89"/>
    <w:rsid w:val="008C7CCD"/>
    <w:rsid w:val="008C7DE9"/>
    <w:rsid w:val="008D118F"/>
    <w:rsid w:val="008D2145"/>
    <w:rsid w:val="008D611B"/>
    <w:rsid w:val="008D766F"/>
    <w:rsid w:val="008E1DBE"/>
    <w:rsid w:val="008F05AF"/>
    <w:rsid w:val="008F2EAE"/>
    <w:rsid w:val="008F489A"/>
    <w:rsid w:val="008F4947"/>
    <w:rsid w:val="008F693C"/>
    <w:rsid w:val="008F7C65"/>
    <w:rsid w:val="00905F8C"/>
    <w:rsid w:val="00906478"/>
    <w:rsid w:val="00906996"/>
    <w:rsid w:val="0090722B"/>
    <w:rsid w:val="0091199F"/>
    <w:rsid w:val="00913944"/>
    <w:rsid w:val="00913A3B"/>
    <w:rsid w:val="009169D3"/>
    <w:rsid w:val="00917DA9"/>
    <w:rsid w:val="00923677"/>
    <w:rsid w:val="009273DC"/>
    <w:rsid w:val="00930793"/>
    <w:rsid w:val="00934D9A"/>
    <w:rsid w:val="00936931"/>
    <w:rsid w:val="00955BDA"/>
    <w:rsid w:val="00957935"/>
    <w:rsid w:val="00962B3A"/>
    <w:rsid w:val="009718CB"/>
    <w:rsid w:val="00975824"/>
    <w:rsid w:val="0097681C"/>
    <w:rsid w:val="0097700D"/>
    <w:rsid w:val="00986BB2"/>
    <w:rsid w:val="00990054"/>
    <w:rsid w:val="009916C0"/>
    <w:rsid w:val="009917BC"/>
    <w:rsid w:val="00992577"/>
    <w:rsid w:val="00992D23"/>
    <w:rsid w:val="009A0231"/>
    <w:rsid w:val="009A0EE3"/>
    <w:rsid w:val="009A3011"/>
    <w:rsid w:val="009A307A"/>
    <w:rsid w:val="009A30B5"/>
    <w:rsid w:val="009A36D5"/>
    <w:rsid w:val="009A4B6D"/>
    <w:rsid w:val="009A60AE"/>
    <w:rsid w:val="009A76B2"/>
    <w:rsid w:val="009C30E2"/>
    <w:rsid w:val="009D058C"/>
    <w:rsid w:val="009D1117"/>
    <w:rsid w:val="009D4A70"/>
    <w:rsid w:val="009D7CE7"/>
    <w:rsid w:val="009E0C72"/>
    <w:rsid w:val="009E339A"/>
    <w:rsid w:val="009E35FF"/>
    <w:rsid w:val="009E4839"/>
    <w:rsid w:val="009E52C5"/>
    <w:rsid w:val="009E7E11"/>
    <w:rsid w:val="009F04C9"/>
    <w:rsid w:val="009F1F61"/>
    <w:rsid w:val="009F2A28"/>
    <w:rsid w:val="009F4DEC"/>
    <w:rsid w:val="009F57BE"/>
    <w:rsid w:val="009F68E7"/>
    <w:rsid w:val="009F7CE7"/>
    <w:rsid w:val="00A07440"/>
    <w:rsid w:val="00A10338"/>
    <w:rsid w:val="00A16E06"/>
    <w:rsid w:val="00A1707B"/>
    <w:rsid w:val="00A31F77"/>
    <w:rsid w:val="00A3455B"/>
    <w:rsid w:val="00A34972"/>
    <w:rsid w:val="00A35C6A"/>
    <w:rsid w:val="00A37B52"/>
    <w:rsid w:val="00A401A0"/>
    <w:rsid w:val="00A402B2"/>
    <w:rsid w:val="00A41ED8"/>
    <w:rsid w:val="00A45C4E"/>
    <w:rsid w:val="00A46FA3"/>
    <w:rsid w:val="00A55416"/>
    <w:rsid w:val="00A576F7"/>
    <w:rsid w:val="00A608FF"/>
    <w:rsid w:val="00A61B44"/>
    <w:rsid w:val="00A65626"/>
    <w:rsid w:val="00A65901"/>
    <w:rsid w:val="00A67176"/>
    <w:rsid w:val="00A67B71"/>
    <w:rsid w:val="00A67BAA"/>
    <w:rsid w:val="00A77EF6"/>
    <w:rsid w:val="00A8193A"/>
    <w:rsid w:val="00A83B5D"/>
    <w:rsid w:val="00A86044"/>
    <w:rsid w:val="00A86FDD"/>
    <w:rsid w:val="00A952C6"/>
    <w:rsid w:val="00A9592A"/>
    <w:rsid w:val="00A964AD"/>
    <w:rsid w:val="00A96BDD"/>
    <w:rsid w:val="00AA1073"/>
    <w:rsid w:val="00AA32BB"/>
    <w:rsid w:val="00AA5534"/>
    <w:rsid w:val="00AA5FC8"/>
    <w:rsid w:val="00AA6924"/>
    <w:rsid w:val="00AA750D"/>
    <w:rsid w:val="00AB08B2"/>
    <w:rsid w:val="00AB1425"/>
    <w:rsid w:val="00AB20F6"/>
    <w:rsid w:val="00AB2417"/>
    <w:rsid w:val="00AB5C7F"/>
    <w:rsid w:val="00AB5EB8"/>
    <w:rsid w:val="00AB74C6"/>
    <w:rsid w:val="00AB7C1E"/>
    <w:rsid w:val="00AC02E1"/>
    <w:rsid w:val="00AC3FAA"/>
    <w:rsid w:val="00AD224E"/>
    <w:rsid w:val="00AD299E"/>
    <w:rsid w:val="00AD2B22"/>
    <w:rsid w:val="00AD2BD7"/>
    <w:rsid w:val="00AE653E"/>
    <w:rsid w:val="00AE79EC"/>
    <w:rsid w:val="00AF0675"/>
    <w:rsid w:val="00AF1575"/>
    <w:rsid w:val="00AF1616"/>
    <w:rsid w:val="00AF3BAF"/>
    <w:rsid w:val="00AF4AD4"/>
    <w:rsid w:val="00AF5FDC"/>
    <w:rsid w:val="00AF6EC4"/>
    <w:rsid w:val="00AF7E02"/>
    <w:rsid w:val="00B003F8"/>
    <w:rsid w:val="00B01AAC"/>
    <w:rsid w:val="00B03E5B"/>
    <w:rsid w:val="00B06706"/>
    <w:rsid w:val="00B141C3"/>
    <w:rsid w:val="00B16F05"/>
    <w:rsid w:val="00B206DD"/>
    <w:rsid w:val="00B20793"/>
    <w:rsid w:val="00B20E11"/>
    <w:rsid w:val="00B2189A"/>
    <w:rsid w:val="00B21BF7"/>
    <w:rsid w:val="00B223DE"/>
    <w:rsid w:val="00B30A96"/>
    <w:rsid w:val="00B329FF"/>
    <w:rsid w:val="00B34392"/>
    <w:rsid w:val="00B344B6"/>
    <w:rsid w:val="00B36688"/>
    <w:rsid w:val="00B4405B"/>
    <w:rsid w:val="00B471BC"/>
    <w:rsid w:val="00B5450B"/>
    <w:rsid w:val="00B56803"/>
    <w:rsid w:val="00B604FA"/>
    <w:rsid w:val="00B618AB"/>
    <w:rsid w:val="00B62F92"/>
    <w:rsid w:val="00B65F7A"/>
    <w:rsid w:val="00B66C40"/>
    <w:rsid w:val="00B675BF"/>
    <w:rsid w:val="00B701FE"/>
    <w:rsid w:val="00B70DAB"/>
    <w:rsid w:val="00B72FB6"/>
    <w:rsid w:val="00B83D45"/>
    <w:rsid w:val="00B854EF"/>
    <w:rsid w:val="00B8573B"/>
    <w:rsid w:val="00B91150"/>
    <w:rsid w:val="00B91C8D"/>
    <w:rsid w:val="00B94FF4"/>
    <w:rsid w:val="00BA153A"/>
    <w:rsid w:val="00BA2382"/>
    <w:rsid w:val="00BA54F6"/>
    <w:rsid w:val="00BA56BE"/>
    <w:rsid w:val="00BA5C91"/>
    <w:rsid w:val="00BB2440"/>
    <w:rsid w:val="00BB35D3"/>
    <w:rsid w:val="00BB6C21"/>
    <w:rsid w:val="00BB7402"/>
    <w:rsid w:val="00BB7A80"/>
    <w:rsid w:val="00BC01C5"/>
    <w:rsid w:val="00BC2521"/>
    <w:rsid w:val="00BC2F38"/>
    <w:rsid w:val="00BC5A24"/>
    <w:rsid w:val="00BC5EC4"/>
    <w:rsid w:val="00BC7C12"/>
    <w:rsid w:val="00BD2253"/>
    <w:rsid w:val="00BD3BF2"/>
    <w:rsid w:val="00BD46D7"/>
    <w:rsid w:val="00BD5231"/>
    <w:rsid w:val="00BD5C5E"/>
    <w:rsid w:val="00BE3611"/>
    <w:rsid w:val="00BE56EE"/>
    <w:rsid w:val="00BF0485"/>
    <w:rsid w:val="00BF1440"/>
    <w:rsid w:val="00BF314E"/>
    <w:rsid w:val="00BF31E4"/>
    <w:rsid w:val="00BF4806"/>
    <w:rsid w:val="00BF765D"/>
    <w:rsid w:val="00BF7BE9"/>
    <w:rsid w:val="00C025FC"/>
    <w:rsid w:val="00C02AD8"/>
    <w:rsid w:val="00C0396C"/>
    <w:rsid w:val="00C03D48"/>
    <w:rsid w:val="00C04EAC"/>
    <w:rsid w:val="00C05BB4"/>
    <w:rsid w:val="00C0798D"/>
    <w:rsid w:val="00C11A11"/>
    <w:rsid w:val="00C15E89"/>
    <w:rsid w:val="00C24B28"/>
    <w:rsid w:val="00C31625"/>
    <w:rsid w:val="00C3198F"/>
    <w:rsid w:val="00C3256F"/>
    <w:rsid w:val="00C32B26"/>
    <w:rsid w:val="00C3764D"/>
    <w:rsid w:val="00C37F90"/>
    <w:rsid w:val="00C43790"/>
    <w:rsid w:val="00C5603C"/>
    <w:rsid w:val="00C56ADB"/>
    <w:rsid w:val="00C57501"/>
    <w:rsid w:val="00C57605"/>
    <w:rsid w:val="00C57724"/>
    <w:rsid w:val="00C6048F"/>
    <w:rsid w:val="00C700E3"/>
    <w:rsid w:val="00C766B4"/>
    <w:rsid w:val="00C80BAF"/>
    <w:rsid w:val="00C85E73"/>
    <w:rsid w:val="00C85F34"/>
    <w:rsid w:val="00C914B0"/>
    <w:rsid w:val="00C9198E"/>
    <w:rsid w:val="00CA04CD"/>
    <w:rsid w:val="00CB2111"/>
    <w:rsid w:val="00CB37E4"/>
    <w:rsid w:val="00CB4385"/>
    <w:rsid w:val="00CB69C7"/>
    <w:rsid w:val="00CB7453"/>
    <w:rsid w:val="00CC176A"/>
    <w:rsid w:val="00CC2AB2"/>
    <w:rsid w:val="00CC37AA"/>
    <w:rsid w:val="00CC5FA9"/>
    <w:rsid w:val="00CD09D8"/>
    <w:rsid w:val="00CD4164"/>
    <w:rsid w:val="00CD440B"/>
    <w:rsid w:val="00CD4D44"/>
    <w:rsid w:val="00CE1CAF"/>
    <w:rsid w:val="00CE4299"/>
    <w:rsid w:val="00CE5A4C"/>
    <w:rsid w:val="00CE625D"/>
    <w:rsid w:val="00CF37C5"/>
    <w:rsid w:val="00CF3C34"/>
    <w:rsid w:val="00CF51ED"/>
    <w:rsid w:val="00CF6160"/>
    <w:rsid w:val="00D01F67"/>
    <w:rsid w:val="00D03C08"/>
    <w:rsid w:val="00D06E77"/>
    <w:rsid w:val="00D06F73"/>
    <w:rsid w:val="00D12D92"/>
    <w:rsid w:val="00D21691"/>
    <w:rsid w:val="00D243DD"/>
    <w:rsid w:val="00D25B52"/>
    <w:rsid w:val="00D26929"/>
    <w:rsid w:val="00D3002B"/>
    <w:rsid w:val="00D30115"/>
    <w:rsid w:val="00D326D4"/>
    <w:rsid w:val="00D32A74"/>
    <w:rsid w:val="00D32AFF"/>
    <w:rsid w:val="00D417D4"/>
    <w:rsid w:val="00D43D60"/>
    <w:rsid w:val="00D4443A"/>
    <w:rsid w:val="00D45CB6"/>
    <w:rsid w:val="00D466F4"/>
    <w:rsid w:val="00D47A26"/>
    <w:rsid w:val="00D47EC7"/>
    <w:rsid w:val="00D51A11"/>
    <w:rsid w:val="00D51B43"/>
    <w:rsid w:val="00D5279E"/>
    <w:rsid w:val="00D61DEE"/>
    <w:rsid w:val="00D63524"/>
    <w:rsid w:val="00D63C26"/>
    <w:rsid w:val="00D65815"/>
    <w:rsid w:val="00D674EC"/>
    <w:rsid w:val="00D679C2"/>
    <w:rsid w:val="00D67AEE"/>
    <w:rsid w:val="00D713AF"/>
    <w:rsid w:val="00D71B28"/>
    <w:rsid w:val="00D71DD3"/>
    <w:rsid w:val="00D74FE1"/>
    <w:rsid w:val="00D76F16"/>
    <w:rsid w:val="00D81D9A"/>
    <w:rsid w:val="00D91136"/>
    <w:rsid w:val="00D91DDE"/>
    <w:rsid w:val="00D93CD3"/>
    <w:rsid w:val="00D95625"/>
    <w:rsid w:val="00D9773E"/>
    <w:rsid w:val="00DA0896"/>
    <w:rsid w:val="00DA0C4A"/>
    <w:rsid w:val="00DA1627"/>
    <w:rsid w:val="00DA6519"/>
    <w:rsid w:val="00DA7AE2"/>
    <w:rsid w:val="00DB0548"/>
    <w:rsid w:val="00DB2F79"/>
    <w:rsid w:val="00DB7055"/>
    <w:rsid w:val="00DB7419"/>
    <w:rsid w:val="00DC298C"/>
    <w:rsid w:val="00DC4D77"/>
    <w:rsid w:val="00DC5762"/>
    <w:rsid w:val="00DC61AD"/>
    <w:rsid w:val="00DD04DA"/>
    <w:rsid w:val="00DD52B4"/>
    <w:rsid w:val="00DD6B48"/>
    <w:rsid w:val="00DD7A59"/>
    <w:rsid w:val="00DE634F"/>
    <w:rsid w:val="00DF00C3"/>
    <w:rsid w:val="00DF0CEA"/>
    <w:rsid w:val="00DF2314"/>
    <w:rsid w:val="00DF720F"/>
    <w:rsid w:val="00E10355"/>
    <w:rsid w:val="00E10D87"/>
    <w:rsid w:val="00E12AAA"/>
    <w:rsid w:val="00E153D1"/>
    <w:rsid w:val="00E16F44"/>
    <w:rsid w:val="00E17357"/>
    <w:rsid w:val="00E21114"/>
    <w:rsid w:val="00E21B0D"/>
    <w:rsid w:val="00E26649"/>
    <w:rsid w:val="00E268D3"/>
    <w:rsid w:val="00E27DF0"/>
    <w:rsid w:val="00E31017"/>
    <w:rsid w:val="00E32BDD"/>
    <w:rsid w:val="00E33CAD"/>
    <w:rsid w:val="00E3510F"/>
    <w:rsid w:val="00E4785D"/>
    <w:rsid w:val="00E5051B"/>
    <w:rsid w:val="00E520E0"/>
    <w:rsid w:val="00E52672"/>
    <w:rsid w:val="00E541CF"/>
    <w:rsid w:val="00E6121F"/>
    <w:rsid w:val="00E63E98"/>
    <w:rsid w:val="00E641C1"/>
    <w:rsid w:val="00E67700"/>
    <w:rsid w:val="00E73B64"/>
    <w:rsid w:val="00E74250"/>
    <w:rsid w:val="00E7435F"/>
    <w:rsid w:val="00E7527F"/>
    <w:rsid w:val="00E75750"/>
    <w:rsid w:val="00E75BA4"/>
    <w:rsid w:val="00E77F3F"/>
    <w:rsid w:val="00E80DE8"/>
    <w:rsid w:val="00E81A2C"/>
    <w:rsid w:val="00E82DCA"/>
    <w:rsid w:val="00E84F8F"/>
    <w:rsid w:val="00E8595D"/>
    <w:rsid w:val="00EA30A4"/>
    <w:rsid w:val="00EA3964"/>
    <w:rsid w:val="00EA627C"/>
    <w:rsid w:val="00EB057B"/>
    <w:rsid w:val="00EB6FF1"/>
    <w:rsid w:val="00EC1246"/>
    <w:rsid w:val="00EC2D3A"/>
    <w:rsid w:val="00EC480E"/>
    <w:rsid w:val="00EC4868"/>
    <w:rsid w:val="00EC48C1"/>
    <w:rsid w:val="00EC705F"/>
    <w:rsid w:val="00ED537D"/>
    <w:rsid w:val="00ED5D5D"/>
    <w:rsid w:val="00ED7745"/>
    <w:rsid w:val="00EE4746"/>
    <w:rsid w:val="00EF1C35"/>
    <w:rsid w:val="00EF32A0"/>
    <w:rsid w:val="00F01667"/>
    <w:rsid w:val="00F044EF"/>
    <w:rsid w:val="00F04B6C"/>
    <w:rsid w:val="00F10342"/>
    <w:rsid w:val="00F1055D"/>
    <w:rsid w:val="00F10685"/>
    <w:rsid w:val="00F12A13"/>
    <w:rsid w:val="00F149FB"/>
    <w:rsid w:val="00F14E15"/>
    <w:rsid w:val="00F20BFF"/>
    <w:rsid w:val="00F21DE2"/>
    <w:rsid w:val="00F23102"/>
    <w:rsid w:val="00F32FC8"/>
    <w:rsid w:val="00F32FD6"/>
    <w:rsid w:val="00F33DD9"/>
    <w:rsid w:val="00F34174"/>
    <w:rsid w:val="00F379DC"/>
    <w:rsid w:val="00F414EB"/>
    <w:rsid w:val="00F415FD"/>
    <w:rsid w:val="00F47324"/>
    <w:rsid w:val="00F4770B"/>
    <w:rsid w:val="00F47A06"/>
    <w:rsid w:val="00F52913"/>
    <w:rsid w:val="00F54EAD"/>
    <w:rsid w:val="00F55575"/>
    <w:rsid w:val="00F55C44"/>
    <w:rsid w:val="00F55EE4"/>
    <w:rsid w:val="00F621BF"/>
    <w:rsid w:val="00F62705"/>
    <w:rsid w:val="00F63C18"/>
    <w:rsid w:val="00F6730D"/>
    <w:rsid w:val="00F71D2F"/>
    <w:rsid w:val="00F72970"/>
    <w:rsid w:val="00F72C6E"/>
    <w:rsid w:val="00F744D3"/>
    <w:rsid w:val="00F77514"/>
    <w:rsid w:val="00F80DCD"/>
    <w:rsid w:val="00F81CB9"/>
    <w:rsid w:val="00F820A6"/>
    <w:rsid w:val="00F85074"/>
    <w:rsid w:val="00F85F77"/>
    <w:rsid w:val="00F86545"/>
    <w:rsid w:val="00F903BF"/>
    <w:rsid w:val="00F907BC"/>
    <w:rsid w:val="00F90834"/>
    <w:rsid w:val="00F951AC"/>
    <w:rsid w:val="00F95E3B"/>
    <w:rsid w:val="00F95F05"/>
    <w:rsid w:val="00F9621D"/>
    <w:rsid w:val="00FB36D8"/>
    <w:rsid w:val="00FB4FBD"/>
    <w:rsid w:val="00FB7886"/>
    <w:rsid w:val="00FC30B2"/>
    <w:rsid w:val="00FC5062"/>
    <w:rsid w:val="00FD6FCD"/>
    <w:rsid w:val="00FE1478"/>
    <w:rsid w:val="00FE246A"/>
    <w:rsid w:val="00FE549B"/>
    <w:rsid w:val="00FF5CF4"/>
    <w:rsid w:val="00FF68A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E422A"/>
  <w15:chartTrackingRefBased/>
  <w15:docId w15:val="{7E8895A2-D6AE-4566-B82F-6E95692A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fr-FR"/>
    </w:rPr>
  </w:style>
  <w:style w:type="paragraph" w:styleId="Titre1">
    <w:name w:val="heading 1"/>
    <w:basedOn w:val="Normal"/>
    <w:next w:val="Paragrdouble"/>
    <w:qFormat/>
    <w:rsid w:val="00D12D92"/>
    <w:pPr>
      <w:keepNext/>
      <w:spacing w:before="240" w:after="60"/>
      <w:ind w:left="432" w:hanging="432"/>
      <w:outlineLvl w:val="0"/>
    </w:pPr>
    <w:rPr>
      <w:b/>
      <w:kern w:val="28"/>
      <w:u w:val="single"/>
    </w:rPr>
  </w:style>
  <w:style w:type="paragraph" w:styleId="Titre2">
    <w:name w:val="heading 2"/>
    <w:basedOn w:val="Normal"/>
    <w:next w:val="Paragrdouble"/>
    <w:qFormat/>
    <w:rsid w:val="00BA153A"/>
    <w:pPr>
      <w:keepNext/>
      <w:spacing w:before="240" w:after="60"/>
      <w:outlineLvl w:val="1"/>
    </w:pPr>
    <w:rPr>
      <w:b/>
      <w:caps/>
      <w:u w:val="single"/>
    </w:rPr>
  </w:style>
  <w:style w:type="paragraph" w:styleId="Titre3">
    <w:name w:val="heading 3"/>
    <w:basedOn w:val="Normal"/>
    <w:next w:val="Paragrdouble"/>
    <w:qFormat/>
    <w:rsid w:val="00AF1575"/>
    <w:pPr>
      <w:keepNext/>
      <w:spacing w:before="240" w:after="60"/>
      <w:outlineLvl w:val="2"/>
    </w:pPr>
    <w:rPr>
      <w:b/>
    </w:rPr>
  </w:style>
  <w:style w:type="paragraph" w:styleId="Titre4">
    <w:name w:val="heading 4"/>
    <w:basedOn w:val="Normal"/>
    <w:next w:val="Paragrdouble"/>
    <w:qFormat/>
    <w:rsid w:val="00AF1575"/>
    <w:pPr>
      <w:keepNext/>
      <w:spacing w:before="240" w:after="60"/>
      <w:outlineLvl w:val="3"/>
    </w:pPr>
    <w:rPr>
      <w:b/>
    </w:rPr>
  </w:style>
  <w:style w:type="paragraph" w:styleId="Titre5">
    <w:name w:val="heading 5"/>
    <w:basedOn w:val="Titre4"/>
    <w:next w:val="Paragrdouble"/>
    <w:qFormat/>
    <w:rsid w:val="001B0DA6"/>
    <w:pPr>
      <w:outlineLvl w:val="4"/>
    </w:pPr>
  </w:style>
  <w:style w:type="paragraph" w:styleId="Titre6">
    <w:name w:val="heading 6"/>
    <w:basedOn w:val="Titre5"/>
    <w:next w:val="Paragrdouble"/>
    <w:qFormat/>
    <w:rsid w:val="00C025FC"/>
    <w:pPr>
      <w:outlineLvl w:val="5"/>
    </w:pPr>
  </w:style>
  <w:style w:type="paragraph" w:styleId="Titre7">
    <w:name w:val="heading 7"/>
    <w:basedOn w:val="Normal"/>
    <w:next w:val="Normal"/>
    <w:qFormat/>
    <w:pPr>
      <w:numPr>
        <w:ilvl w:val="6"/>
        <w:numId w:val="2"/>
      </w:numPr>
      <w:spacing w:before="240" w:after="60"/>
      <w:outlineLvl w:val="6"/>
    </w:pPr>
    <w:rPr>
      <w:sz w:val="20"/>
    </w:rPr>
  </w:style>
  <w:style w:type="paragraph" w:styleId="Titre8">
    <w:name w:val="heading 8"/>
    <w:basedOn w:val="Normal"/>
    <w:next w:val="Normal"/>
    <w:qFormat/>
    <w:pPr>
      <w:numPr>
        <w:ilvl w:val="7"/>
        <w:numId w:val="2"/>
      </w:numPr>
      <w:spacing w:before="240" w:after="60"/>
      <w:outlineLvl w:val="7"/>
    </w:pPr>
    <w:rPr>
      <w:i/>
      <w:sz w:val="20"/>
    </w:rPr>
  </w:style>
  <w:style w:type="paragraph" w:styleId="Titre9">
    <w:name w:val="heading 9"/>
    <w:basedOn w:val="Normal"/>
    <w:next w:val="Normal"/>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double">
    <w:name w:val="Paragr. double"/>
    <w:basedOn w:val="Normal"/>
    <w:rsid w:val="00AF1575"/>
    <w:pPr>
      <w:numPr>
        <w:numId w:val="1"/>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uiPriority w:val="99"/>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rsid w:val="00C025FC"/>
    <w:rPr>
      <w:caps/>
    </w:rPr>
  </w:style>
  <w:style w:type="paragraph" w:customStyle="1" w:styleId="zSoquijlblProvince">
    <w:name w:val="zSoquij_lblProvince"/>
    <w:basedOn w:val="Normal"/>
    <w:rsid w:val="00C025FC"/>
    <w:rPr>
      <w:caps/>
    </w:rPr>
  </w:style>
  <w:style w:type="paragraph" w:customStyle="1" w:styleId="zSoquijlblGreffe">
    <w:name w:val="zSoquij_lblGreffe"/>
    <w:basedOn w:val="Normal"/>
    <w:rsid w:val="00C025FC"/>
    <w:pPr>
      <w:ind w:left="70"/>
    </w:pPr>
    <w:rPr>
      <w:caps/>
    </w:rPr>
  </w:style>
  <w:style w:type="paragraph" w:customStyle="1" w:styleId="zSoquijdatGreffe">
    <w:name w:val="zSoquij_datGreffe"/>
    <w:basedOn w:val="Normal"/>
    <w:rsid w:val="00C025FC"/>
    <w:pPr>
      <w:ind w:left="29"/>
    </w:pPr>
    <w:rPr>
      <w:caps/>
    </w:r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sid w:val="00C025FC"/>
    <w:pPr>
      <w:ind w:left="70"/>
    </w:pPr>
    <w:rPr>
      <w:b/>
      <w:caps/>
    </w:rPr>
  </w:style>
  <w:style w:type="paragraph" w:customStyle="1" w:styleId="zSoquijdatQteJuge">
    <w:name w:val="zSoquij_datQteJuge"/>
    <w:basedOn w:val="Normal"/>
    <w:rsid w:val="00C025FC"/>
    <w:pPr>
      <w:ind w:left="29"/>
    </w:pPr>
    <w:rPr>
      <w:b/>
      <w:caps/>
    </w:rPr>
  </w:style>
  <w:style w:type="paragraph" w:customStyle="1" w:styleId="zSoquijdatJuge">
    <w:name w:val="zSoquij_datJuge"/>
    <w:basedOn w:val="Normal"/>
    <w:rsid w:val="00BA153A"/>
    <w:pPr>
      <w:ind w:left="52"/>
    </w:pPr>
    <w:rPr>
      <w:b/>
      <w:caps/>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rsid w:val="00C025FC"/>
    <w:pPr>
      <w:jc w:val="center"/>
    </w:pPr>
    <w:rPr>
      <w:caps/>
    </w:r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doubl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rsid w:val="00CF51ED"/>
    <w:pPr>
      <w:widowControl w:val="0"/>
      <w:numPr>
        <w:ilvl w:val="1"/>
        <w:numId w:val="1"/>
      </w:numPr>
      <w:spacing w:before="120"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next w:val="Paragrdouble"/>
    <w:rsid w:val="00CF51ED"/>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numbering" w:customStyle="1" w:styleId="Style1">
    <w:name w:val="Style1"/>
    <w:uiPriority w:val="99"/>
    <w:rsid w:val="00CE1CAF"/>
    <w:pPr>
      <w:numPr>
        <w:numId w:val="3"/>
      </w:numPr>
    </w:pPr>
  </w:style>
  <w:style w:type="paragraph" w:customStyle="1" w:styleId="Paragrsimple">
    <w:name w:val="Paragr. simple"/>
    <w:basedOn w:val="Paragrdouble"/>
    <w:next w:val="Paragrdouble"/>
    <w:qFormat/>
    <w:rsid w:val="00BA153A"/>
    <w:pPr>
      <w:spacing w:line="240" w:lineRule="auto"/>
    </w:pPr>
  </w:style>
  <w:style w:type="paragraph" w:styleId="En-ttedetabledesmatires">
    <w:name w:val="TOC Heading"/>
    <w:basedOn w:val="Titre1"/>
    <w:next w:val="Normal"/>
    <w:uiPriority w:val="39"/>
    <w:qFormat/>
    <w:rsid w:val="00BA153A"/>
    <w:pPr>
      <w:keepLines/>
      <w:spacing w:before="480" w:after="0" w:line="276" w:lineRule="auto"/>
      <w:ind w:left="0" w:firstLine="0"/>
      <w:outlineLvl w:val="9"/>
    </w:pPr>
    <w:rPr>
      <w:rFonts w:ascii="Cambria" w:hAnsi="Cambria"/>
      <w:bCs/>
      <w:color w:val="365F91"/>
      <w:kern w:val="0"/>
      <w:sz w:val="28"/>
      <w:szCs w:val="28"/>
      <w:u w:val="none"/>
      <w:lang w:eastAsia="fr-CA"/>
    </w:rPr>
  </w:style>
  <w:style w:type="paragraph" w:styleId="TM1">
    <w:name w:val="toc 1"/>
    <w:basedOn w:val="Normal"/>
    <w:next w:val="Normal"/>
    <w:autoRedefine/>
    <w:uiPriority w:val="39"/>
    <w:unhideWhenUsed/>
    <w:rsid w:val="00BA153A"/>
  </w:style>
  <w:style w:type="paragraph" w:styleId="TM2">
    <w:name w:val="toc 2"/>
    <w:basedOn w:val="Normal"/>
    <w:next w:val="Normal"/>
    <w:autoRedefine/>
    <w:uiPriority w:val="39"/>
    <w:unhideWhenUsed/>
    <w:rsid w:val="00BA153A"/>
    <w:pPr>
      <w:ind w:left="240"/>
    </w:pPr>
  </w:style>
  <w:style w:type="paragraph" w:styleId="TM3">
    <w:name w:val="toc 3"/>
    <w:basedOn w:val="Normal"/>
    <w:next w:val="Normal"/>
    <w:autoRedefine/>
    <w:uiPriority w:val="39"/>
    <w:unhideWhenUsed/>
    <w:rsid w:val="00BA153A"/>
    <w:pPr>
      <w:ind w:left="480"/>
    </w:pPr>
  </w:style>
  <w:style w:type="character" w:styleId="Hyperlien">
    <w:name w:val="Hyperlink"/>
    <w:uiPriority w:val="99"/>
    <w:unhideWhenUsed/>
    <w:rsid w:val="00BA153A"/>
    <w:rPr>
      <w:color w:val="0000FF"/>
      <w:u w:val="single"/>
      <w:lang w:val="fr-CA"/>
    </w:rPr>
  </w:style>
  <w:style w:type="paragraph" w:styleId="Explorateurdedocuments">
    <w:name w:val="Document Map"/>
    <w:basedOn w:val="Normal"/>
    <w:semiHidden/>
    <w:rsid w:val="00007687"/>
    <w:pPr>
      <w:shd w:val="clear" w:color="auto" w:fill="000080"/>
    </w:pPr>
    <w:rPr>
      <w:rFonts w:ascii="Tahoma" w:hAnsi="Tahoma" w:cs="Tahoma"/>
      <w:sz w:val="20"/>
    </w:rPr>
  </w:style>
  <w:style w:type="paragraph" w:styleId="Titre">
    <w:name w:val="Title"/>
    <w:basedOn w:val="Normal"/>
    <w:qFormat/>
    <w:rsid w:val="008A4532"/>
    <w:pPr>
      <w:spacing w:before="240" w:after="60"/>
      <w:jc w:val="center"/>
      <w:outlineLvl w:val="0"/>
    </w:pPr>
    <w:rPr>
      <w:rFonts w:cs="Arial"/>
      <w:b/>
      <w:bCs/>
      <w:kern w:val="28"/>
      <w:sz w:val="32"/>
      <w:szCs w:val="32"/>
    </w:rPr>
  </w:style>
  <w:style w:type="paragraph" w:styleId="En-tte">
    <w:name w:val="header"/>
    <w:basedOn w:val="Normal"/>
    <w:link w:val="En-tteCar"/>
    <w:uiPriority w:val="99"/>
    <w:unhideWhenUsed/>
    <w:rsid w:val="00BA5C91"/>
    <w:pPr>
      <w:tabs>
        <w:tab w:val="center" w:pos="4320"/>
        <w:tab w:val="right" w:pos="8640"/>
      </w:tabs>
    </w:pPr>
  </w:style>
  <w:style w:type="character" w:customStyle="1" w:styleId="En-tteCar">
    <w:name w:val="En-tête Car"/>
    <w:basedOn w:val="Policepardfaut"/>
    <w:link w:val="En-tte"/>
    <w:uiPriority w:val="99"/>
    <w:rsid w:val="00BA5C91"/>
    <w:rPr>
      <w:rFonts w:ascii="Arial" w:hAnsi="Arial"/>
      <w:sz w:val="24"/>
      <w:lang w:eastAsia="fr-FR"/>
    </w:rPr>
  </w:style>
  <w:style w:type="paragraph" w:styleId="Pieddepage">
    <w:name w:val="footer"/>
    <w:basedOn w:val="Normal"/>
    <w:link w:val="PieddepageCar"/>
    <w:uiPriority w:val="99"/>
    <w:unhideWhenUsed/>
    <w:rsid w:val="00BA5C91"/>
    <w:pPr>
      <w:tabs>
        <w:tab w:val="center" w:pos="4320"/>
        <w:tab w:val="right" w:pos="8640"/>
      </w:tabs>
    </w:pPr>
  </w:style>
  <w:style w:type="character" w:customStyle="1" w:styleId="PieddepageCar">
    <w:name w:val="Pied de page Car"/>
    <w:basedOn w:val="Policepardfaut"/>
    <w:link w:val="Pieddepage"/>
    <w:uiPriority w:val="99"/>
    <w:rsid w:val="00BA5C91"/>
    <w:rPr>
      <w:rFonts w:ascii="Arial" w:hAnsi="Arial"/>
      <w:sz w:val="24"/>
      <w:lang w:eastAsia="fr-FR"/>
    </w:rPr>
  </w:style>
  <w:style w:type="character" w:customStyle="1" w:styleId="apple-converted-space">
    <w:name w:val="apple-converted-space"/>
    <w:basedOn w:val="Policepardfaut"/>
    <w:rsid w:val="00BA5C91"/>
  </w:style>
  <w:style w:type="character" w:customStyle="1" w:styleId="NotedebasdepageCar">
    <w:name w:val="Note de bas de page Car"/>
    <w:basedOn w:val="Policepardfaut"/>
    <w:link w:val="Notedebasdepage"/>
    <w:uiPriority w:val="99"/>
    <w:rsid w:val="00FF68A9"/>
    <w:rPr>
      <w:rFonts w:ascii="Arial" w:hAnsi="Arial"/>
      <w:lang w:eastAsia="fr-FR"/>
    </w:rPr>
  </w:style>
  <w:style w:type="character" w:styleId="Appelnotedebasdep">
    <w:name w:val="footnote reference"/>
    <w:uiPriority w:val="99"/>
    <w:unhideWhenUsed/>
    <w:rsid w:val="00FF68A9"/>
    <w:rPr>
      <w:vertAlign w:val="superscript"/>
    </w:rPr>
  </w:style>
  <w:style w:type="paragraph" w:customStyle="1" w:styleId="Texte">
    <w:name w:val="Texte"/>
    <w:basedOn w:val="Normal"/>
    <w:link w:val="TexteCar"/>
    <w:qFormat/>
    <w:rsid w:val="00FF68A9"/>
    <w:pPr>
      <w:spacing w:after="240" w:line="360" w:lineRule="auto"/>
      <w:jc w:val="both"/>
    </w:pPr>
    <w:rPr>
      <w:rFonts w:ascii="Times New Roman" w:hAnsi="Times New Roman"/>
    </w:rPr>
  </w:style>
  <w:style w:type="character" w:customStyle="1" w:styleId="TexteCar">
    <w:name w:val="Texte Car"/>
    <w:link w:val="Texte"/>
    <w:rsid w:val="00FF68A9"/>
    <w:rPr>
      <w:sz w:val="24"/>
      <w:lang w:eastAsia="fr-FR"/>
    </w:rPr>
  </w:style>
  <w:style w:type="paragraph" w:customStyle="1" w:styleId="Titre21">
    <w:name w:val="Titre 2.1"/>
    <w:basedOn w:val="Normal"/>
    <w:next w:val="Texte"/>
    <w:qFormat/>
    <w:rsid w:val="006B4150"/>
    <w:pPr>
      <w:keepNext/>
      <w:spacing w:after="240" w:line="360" w:lineRule="auto"/>
      <w:ind w:left="1134" w:hanging="567"/>
      <w:jc w:val="both"/>
      <w:outlineLvl w:val="2"/>
    </w:pPr>
    <w:rPr>
      <w:rFonts w:ascii="Times New Roman" w:hAnsi="Times New Roman"/>
      <w:b/>
    </w:rPr>
  </w:style>
  <w:style w:type="paragraph" w:customStyle="1" w:styleId="Titre22">
    <w:name w:val="Titre 2.2"/>
    <w:basedOn w:val="Titre21"/>
    <w:next w:val="Texte"/>
    <w:qFormat/>
    <w:rsid w:val="006B4150"/>
    <w:pPr>
      <w:ind w:left="1843" w:hanging="720"/>
      <w:outlineLvl w:val="3"/>
    </w:pPr>
    <w:rPr>
      <w:b w:val="0"/>
      <w:u w:val="single"/>
    </w:rPr>
  </w:style>
  <w:style w:type="paragraph" w:customStyle="1" w:styleId="Puces">
    <w:name w:val="Puces"/>
    <w:basedOn w:val="Texte"/>
    <w:link w:val="PucesCar"/>
    <w:uiPriority w:val="1"/>
    <w:qFormat/>
    <w:rsid w:val="006B4150"/>
    <w:pPr>
      <w:numPr>
        <w:numId w:val="4"/>
      </w:numPr>
    </w:pPr>
  </w:style>
  <w:style w:type="character" w:customStyle="1" w:styleId="PucesCar">
    <w:name w:val="Puces Car"/>
    <w:link w:val="Puces"/>
    <w:uiPriority w:val="1"/>
    <w:rsid w:val="006B4150"/>
    <w:rPr>
      <w:sz w:val="24"/>
      <w:lang w:eastAsia="fr-FR"/>
    </w:rPr>
  </w:style>
  <w:style w:type="paragraph" w:customStyle="1" w:styleId="Citation2">
    <w:name w:val="Citation 2"/>
    <w:basedOn w:val="Citation"/>
    <w:next w:val="Normal"/>
    <w:uiPriority w:val="29"/>
    <w:qFormat/>
    <w:rsid w:val="006B4150"/>
    <w:pPr>
      <w:spacing w:before="0" w:after="360"/>
      <w:ind w:left="567" w:right="590"/>
      <w:jc w:val="both"/>
    </w:pPr>
    <w:rPr>
      <w:rFonts w:ascii="Times New Roman" w:hAnsi="Times New Roman"/>
      <w:i w:val="0"/>
      <w:iCs w:val="0"/>
      <w:color w:val="auto"/>
      <w:sz w:val="22"/>
    </w:rPr>
  </w:style>
  <w:style w:type="table" w:styleId="Grilledutableau">
    <w:name w:val="Table Grid"/>
    <w:basedOn w:val="TableauNormal"/>
    <w:rsid w:val="006B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
    <w:name w:val="Quote"/>
    <w:basedOn w:val="Normal"/>
    <w:next w:val="Normal"/>
    <w:link w:val="CitationCar"/>
    <w:uiPriority w:val="29"/>
    <w:qFormat/>
    <w:rsid w:val="006B4150"/>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6B4150"/>
    <w:rPr>
      <w:rFonts w:ascii="Arial" w:hAnsi="Arial"/>
      <w:i/>
      <w:iCs/>
      <w:color w:val="404040" w:themeColor="text1" w:themeTint="BF"/>
      <w:sz w:val="24"/>
      <w:lang w:eastAsia="fr-FR"/>
    </w:rPr>
  </w:style>
  <w:style w:type="paragraph" w:styleId="Textedebulles">
    <w:name w:val="Balloon Text"/>
    <w:basedOn w:val="Normal"/>
    <w:link w:val="TextedebullesCar"/>
    <w:uiPriority w:val="99"/>
    <w:semiHidden/>
    <w:unhideWhenUsed/>
    <w:rsid w:val="009D4A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4A70"/>
    <w:rPr>
      <w:rFonts w:ascii="Segoe UI" w:hAnsi="Segoe UI" w:cs="Segoe UI"/>
      <w:sz w:val="18"/>
      <w:szCs w:val="18"/>
      <w:lang w:eastAsia="fr-FR"/>
    </w:rPr>
  </w:style>
  <w:style w:type="character" w:styleId="Marquedecommentaire">
    <w:name w:val="annotation reference"/>
    <w:basedOn w:val="Policepardfaut"/>
    <w:uiPriority w:val="99"/>
    <w:semiHidden/>
    <w:unhideWhenUsed/>
    <w:rsid w:val="009E0C72"/>
    <w:rPr>
      <w:sz w:val="16"/>
      <w:szCs w:val="16"/>
    </w:rPr>
  </w:style>
  <w:style w:type="paragraph" w:styleId="Commentaire">
    <w:name w:val="annotation text"/>
    <w:basedOn w:val="Normal"/>
    <w:link w:val="CommentaireCar"/>
    <w:uiPriority w:val="99"/>
    <w:unhideWhenUsed/>
    <w:rsid w:val="009E0C72"/>
    <w:rPr>
      <w:sz w:val="20"/>
    </w:rPr>
  </w:style>
  <w:style w:type="character" w:customStyle="1" w:styleId="CommentaireCar">
    <w:name w:val="Commentaire Car"/>
    <w:basedOn w:val="Policepardfaut"/>
    <w:link w:val="Commentaire"/>
    <w:uiPriority w:val="99"/>
    <w:rsid w:val="009E0C72"/>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9E0C72"/>
    <w:rPr>
      <w:b/>
      <w:bCs/>
    </w:rPr>
  </w:style>
  <w:style w:type="character" w:customStyle="1" w:styleId="ObjetducommentaireCar">
    <w:name w:val="Objet du commentaire Car"/>
    <w:basedOn w:val="CommentaireCar"/>
    <w:link w:val="Objetducommentaire"/>
    <w:uiPriority w:val="99"/>
    <w:semiHidden/>
    <w:rsid w:val="009E0C72"/>
    <w:rPr>
      <w:rFonts w:ascii="Arial" w:hAnsi="Arial"/>
      <w:b/>
      <w:bCs/>
      <w:lang w:eastAsia="fr-FR"/>
    </w:rPr>
  </w:style>
  <w:style w:type="paragraph" w:customStyle="1" w:styleId="Default">
    <w:name w:val="Default"/>
    <w:rsid w:val="00AD299E"/>
    <w:pPr>
      <w:autoSpaceDE w:val="0"/>
      <w:autoSpaceDN w:val="0"/>
      <w:adjustRightInd w:val="0"/>
    </w:pPr>
    <w:rPr>
      <w:rFonts w:ascii="Arial" w:hAnsi="Arial" w:cs="Arial"/>
      <w:color w:val="000000"/>
      <w:sz w:val="24"/>
      <w:szCs w:val="24"/>
    </w:rPr>
  </w:style>
  <w:style w:type="character" w:styleId="Appeldenotedefin">
    <w:name w:val="endnote reference"/>
    <w:basedOn w:val="Policepardfaut"/>
    <w:uiPriority w:val="99"/>
    <w:semiHidden/>
    <w:unhideWhenUsed/>
    <w:rsid w:val="007F1A1D"/>
    <w:rPr>
      <w:vertAlign w:val="superscript"/>
    </w:rPr>
  </w:style>
  <w:style w:type="character" w:styleId="Mentionnonrsolue">
    <w:name w:val="Unresolved Mention"/>
    <w:basedOn w:val="Policepardfaut"/>
    <w:uiPriority w:val="99"/>
    <w:semiHidden/>
    <w:unhideWhenUsed/>
    <w:rsid w:val="0036616C"/>
    <w:rPr>
      <w:color w:val="605E5C"/>
      <w:shd w:val="clear" w:color="auto" w:fill="E1DFDD"/>
    </w:rPr>
  </w:style>
  <w:style w:type="paragraph" w:styleId="Rvision">
    <w:name w:val="Revision"/>
    <w:hidden/>
    <w:uiPriority w:val="99"/>
    <w:semiHidden/>
    <w:rsid w:val="006867F4"/>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089771">
      <w:bodyDiv w:val="1"/>
      <w:marLeft w:val="0"/>
      <w:marRight w:val="0"/>
      <w:marTop w:val="0"/>
      <w:marBottom w:val="0"/>
      <w:divBdr>
        <w:top w:val="none" w:sz="0" w:space="0" w:color="auto"/>
        <w:left w:val="none" w:sz="0" w:space="0" w:color="auto"/>
        <w:bottom w:val="none" w:sz="0" w:space="0" w:color="auto"/>
        <w:right w:val="none" w:sz="0" w:space="0" w:color="auto"/>
      </w:divBdr>
    </w:div>
    <w:div w:id="825509653">
      <w:bodyDiv w:val="1"/>
      <w:marLeft w:val="0"/>
      <w:marRight w:val="0"/>
      <w:marTop w:val="0"/>
      <w:marBottom w:val="0"/>
      <w:divBdr>
        <w:top w:val="none" w:sz="0" w:space="0" w:color="auto"/>
        <w:left w:val="none" w:sz="0" w:space="0" w:color="auto"/>
        <w:bottom w:val="none" w:sz="0" w:space="0" w:color="auto"/>
        <w:right w:val="none" w:sz="0" w:space="0" w:color="auto"/>
      </w:divBdr>
    </w:div>
    <w:div w:id="13627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rrandon\Desktop\gabarits%20v12\Gabarit%20de%20jugement-Fran&#231;ais%20(%202020-09-15)%20EDJ%20c1.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7318432890B74C8D8BC34B5353B372" ma:contentTypeVersion="2" ma:contentTypeDescription="Crée un document." ma:contentTypeScope="" ma:versionID="6e0052a9091211f73c24cc39bc861b60">
  <xsd:schema xmlns:xsd="http://www.w3.org/2001/XMLSchema" xmlns:xs="http://www.w3.org/2001/XMLSchema" xmlns:p="http://schemas.microsoft.com/office/2006/metadata/properties" xmlns:ns1="http://schemas.microsoft.com/sharepoint/v3" xmlns:ns2="ddd9db8a-241d-4149-a0d3-7618663a9260" targetNamespace="http://schemas.microsoft.com/office/2006/metadata/properties" ma:root="true" ma:fieldsID="52b8b4e4f19fd2fbc811c37b64dbca3c" ns1:_="" ns2:_="">
    <xsd:import namespace="http://schemas.microsoft.com/sharepoint/v3"/>
    <xsd:import namespace="ddd9db8a-241d-4149-a0d3-7618663a9260"/>
    <xsd:element name="properties">
      <xsd:complexType>
        <xsd:sequence>
          <xsd:element name="documentManagement">
            <xsd:complexType>
              <xsd:all>
                <xsd:element ref="ns1:PublishingStartDate" minOccurs="0"/>
                <xsd:element ref="ns1:PublishingExpirationDate" minOccurs="0"/>
                <xsd:element ref="ns2:Auteur_x0020_du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internalName="PublishingStartDate">
      <xsd:simpleType>
        <xsd:restriction base="dms:Unknown"/>
      </xsd:simpleType>
    </xsd:element>
    <xsd:element name="PublishingExpirationDate" ma:index="9" nillable="true" ma:displayName="Date de fin de planifica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d9db8a-241d-4149-a0d3-7618663a9260" elementFormDefault="qualified">
    <xsd:import namespace="http://schemas.microsoft.com/office/2006/documentManagement/types"/>
    <xsd:import namespace="http://schemas.microsoft.com/office/infopath/2007/PartnerControls"/>
    <xsd:element name="Auteur_x0020_du_x0020_document" ma:index="10" nillable="true" ma:displayName="Auteur du document" ma:description="Auteur principal" ma:internalName="Auteur_x0020_du_x0020_docu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teur_x0020_du_x0020_document xmlns="ddd9db8a-241d-4149-a0d3-7618663a9260"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66FCA-678B-4DA3-8B73-8BA63D1853E7}">
  <ds:schemaRefs>
    <ds:schemaRef ds:uri="http://schemas.openxmlformats.org/officeDocument/2006/bibliography"/>
  </ds:schemaRefs>
</ds:datastoreItem>
</file>

<file path=customXml/itemProps2.xml><?xml version="1.0" encoding="utf-8"?>
<ds:datastoreItem xmlns:ds="http://schemas.openxmlformats.org/officeDocument/2006/customXml" ds:itemID="{C6E4090F-B11E-4E97-9004-FCF62FAC5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d9db8a-241d-4149-a0d3-7618663a9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B1385-B317-4A73-AB5B-447180BDB870}">
  <ds:schemaRefs>
    <ds:schemaRef ds:uri="http://schemas.microsoft.com/office/2006/metadata/properties"/>
    <ds:schemaRef ds:uri="http://schemas.microsoft.com/office/infopath/2007/PartnerControls"/>
    <ds:schemaRef ds:uri="ddd9db8a-241d-4149-a0d3-7618663a9260"/>
    <ds:schemaRef ds:uri="http://schemas.microsoft.com/sharepoint/v3"/>
  </ds:schemaRefs>
</ds:datastoreItem>
</file>

<file path=customXml/itemProps4.xml><?xml version="1.0" encoding="utf-8"?>
<ds:datastoreItem xmlns:ds="http://schemas.openxmlformats.org/officeDocument/2006/customXml" ds:itemID="{C36D3F2B-15EA-492A-8B48-2CF10FE3B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Gabarit de jugement-Français ( 2020-09-15) EDJ c1</Template>
  <TotalTime>1</TotalTime>
  <Pages>18</Pages>
  <Words>5382</Words>
  <Characters>29605</Characters>
  <Application>Microsoft Office Word</Application>
  <DocSecurity>4</DocSecurity>
  <Lines>246</Lines>
  <Paragraphs>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Gabarit test Cour supérieure V12 - FR (2020-12-07)</vt:lpstr>
      <vt:lpstr>Gabarit test Cour supérieure V12 - FR (2020-12-07)</vt:lpstr>
    </vt:vector>
  </TitlesOfParts>
  <Manager>Stéphane Renauld</Manager>
  <Company>SOQUIJ</Company>
  <LinksUpToDate>false</LinksUpToDate>
  <CharactersWithSpaces>34918</CharactersWithSpaces>
  <SharedDoc>false</SharedDoc>
  <HLinks>
    <vt:vector size="42" baseType="variant">
      <vt:variant>
        <vt:i4>1835061</vt:i4>
      </vt:variant>
      <vt:variant>
        <vt:i4>89</vt:i4>
      </vt:variant>
      <vt:variant>
        <vt:i4>0</vt:i4>
      </vt:variant>
      <vt:variant>
        <vt:i4>5</vt:i4>
      </vt:variant>
      <vt:variant>
        <vt:lpwstr/>
      </vt:variant>
      <vt:variant>
        <vt:lpwstr>_Toc430945549</vt:lpwstr>
      </vt:variant>
      <vt:variant>
        <vt:i4>1835061</vt:i4>
      </vt:variant>
      <vt:variant>
        <vt:i4>83</vt:i4>
      </vt:variant>
      <vt:variant>
        <vt:i4>0</vt:i4>
      </vt:variant>
      <vt:variant>
        <vt:i4>5</vt:i4>
      </vt:variant>
      <vt:variant>
        <vt:lpwstr/>
      </vt:variant>
      <vt:variant>
        <vt:lpwstr>_Toc430945548</vt:lpwstr>
      </vt:variant>
      <vt:variant>
        <vt:i4>1835061</vt:i4>
      </vt:variant>
      <vt:variant>
        <vt:i4>77</vt:i4>
      </vt:variant>
      <vt:variant>
        <vt:i4>0</vt:i4>
      </vt:variant>
      <vt:variant>
        <vt:i4>5</vt:i4>
      </vt:variant>
      <vt:variant>
        <vt:lpwstr/>
      </vt:variant>
      <vt:variant>
        <vt:lpwstr>_Toc430945547</vt:lpwstr>
      </vt:variant>
      <vt:variant>
        <vt:i4>1835061</vt:i4>
      </vt:variant>
      <vt:variant>
        <vt:i4>71</vt:i4>
      </vt:variant>
      <vt:variant>
        <vt:i4>0</vt:i4>
      </vt:variant>
      <vt:variant>
        <vt:i4>5</vt:i4>
      </vt:variant>
      <vt:variant>
        <vt:lpwstr/>
      </vt:variant>
      <vt:variant>
        <vt:lpwstr>_Toc430945546</vt:lpwstr>
      </vt:variant>
      <vt:variant>
        <vt:i4>1835061</vt:i4>
      </vt:variant>
      <vt:variant>
        <vt:i4>65</vt:i4>
      </vt:variant>
      <vt:variant>
        <vt:i4>0</vt:i4>
      </vt:variant>
      <vt:variant>
        <vt:i4>5</vt:i4>
      </vt:variant>
      <vt:variant>
        <vt:lpwstr/>
      </vt:variant>
      <vt:variant>
        <vt:lpwstr>_Toc430945545</vt:lpwstr>
      </vt:variant>
      <vt:variant>
        <vt:i4>1835061</vt:i4>
      </vt:variant>
      <vt:variant>
        <vt:i4>59</vt:i4>
      </vt:variant>
      <vt:variant>
        <vt:i4>0</vt:i4>
      </vt:variant>
      <vt:variant>
        <vt:i4>5</vt:i4>
      </vt:variant>
      <vt:variant>
        <vt:lpwstr/>
      </vt:variant>
      <vt:variant>
        <vt:lpwstr>_Toc430945544</vt:lpwstr>
      </vt:variant>
      <vt:variant>
        <vt:i4>1835061</vt:i4>
      </vt:variant>
      <vt:variant>
        <vt:i4>53</vt:i4>
      </vt:variant>
      <vt:variant>
        <vt:i4>0</vt:i4>
      </vt:variant>
      <vt:variant>
        <vt:i4>5</vt:i4>
      </vt:variant>
      <vt:variant>
        <vt:lpwstr/>
      </vt:variant>
      <vt:variant>
        <vt:lpwstr>_Toc430945543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test Cour supérieure V12 - FR (2020-12-07)</dc:title>
  <dc:subject/>
  <dc:creator>Ferrandon, Alice</dc:creator>
  <cp:keywords/>
  <dc:description/>
  <cp:lastModifiedBy>trad-rev</cp:lastModifiedBy>
  <cp:revision>2</cp:revision>
  <cp:lastPrinted>2022-08-12T15:32:00Z</cp:lastPrinted>
  <dcterms:created xsi:type="dcterms:W3CDTF">2023-10-13T21:22:00Z</dcterms:created>
  <dcterms:modified xsi:type="dcterms:W3CDTF">2023-10-13T21:22:00Z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DateModification">
    <vt:lpwstr>12/06/2014</vt:lpwstr>
  </property>
  <property fmtid="{D5CDD505-2E9C-101B-9397-08002B2CF9AE}" pid="3" name="Soquij_Version">
    <vt:lpwstr>1.7</vt:lpwstr>
  </property>
  <property fmtid="{D5CDD505-2E9C-101B-9397-08002B2CF9AE}" pid="4" name="Soquij_ModifiePar">
    <vt:lpwstr>carjoh</vt:lpwstr>
  </property>
  <property fmtid="{D5CDD505-2E9C-101B-9397-08002B2CF9AE}" pid="5" name="Soquij_Modele">
    <vt:lpwstr>edj</vt:lpwstr>
  </property>
  <property fmtid="{D5CDD505-2E9C-101B-9397-08002B2CF9AE}" pid="6" name="Soquij_Cour">
    <vt:lpwstr>CS</vt:lpwstr>
  </property>
  <property fmtid="{D5CDD505-2E9C-101B-9397-08002B2CF9AE}" pid="7" name="Soquij_Langue">
    <vt:lpwstr>Fra</vt:lpwstr>
  </property>
  <property fmtid="{D5CDD505-2E9C-101B-9397-08002B2CF9AE}" pid="8" name="ContentTypeId">
    <vt:lpwstr>0x010100777318432890B74C8D8BC34B5353B372</vt:lpwstr>
  </property>
</Properties>
</file>