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A6AD" w14:textId="2CAAEABC" w:rsidR="00B25BA1" w:rsidRPr="00B25BA1" w:rsidRDefault="00B25BA1">
      <w:pPr>
        <w:rPr>
          <w:lang w:val="en-CA"/>
        </w:rPr>
      </w:pPr>
      <w:r w:rsidRPr="00B25BA1">
        <w:rPr>
          <w:lang w:val="en-CA"/>
        </w:rPr>
        <w:t>Unofficial English translation of the Judgment of the Court</w:t>
      </w:r>
    </w:p>
    <w:tbl>
      <w:tblPr>
        <w:tblStyle w:val="Grilledutableau"/>
        <w:tblW w:w="0" w:type="auto"/>
        <w:tblInd w:w="-90" w:type="dxa"/>
        <w:tblLook w:val="04A0" w:firstRow="1" w:lastRow="0" w:firstColumn="1" w:lastColumn="0" w:noHBand="0" w:noVBand="1"/>
      </w:tblPr>
      <w:tblGrid>
        <w:gridCol w:w="549"/>
        <w:gridCol w:w="1242"/>
        <w:gridCol w:w="5466"/>
        <w:gridCol w:w="2193"/>
      </w:tblGrid>
      <w:tr w:rsidR="006A3CA6" w14:paraId="7E4140ED" w14:textId="77777777" w:rsidTr="00C260E8">
        <w:tc>
          <w:tcPr>
            <w:tcW w:w="7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BC3A3" w14:textId="16E7A454" w:rsidR="00DF7D37" w:rsidRPr="00C260E8" w:rsidRDefault="006951A4" w:rsidP="006D473F">
            <w:pPr>
              <w:pStyle w:val="zSoquijdatRepertorie"/>
            </w:pPr>
            <w:r w:rsidRPr="00C260E8">
              <w:t>Moniz c. Procureur général du Canada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A1D39DA" w14:textId="127C504F" w:rsidR="00DF7D37" w:rsidRPr="00C260E8" w:rsidRDefault="006951A4" w:rsidP="009F4E60">
            <w:pPr>
              <w:pStyle w:val="zSoquijdatRefNeutre"/>
              <w:jc w:val="right"/>
            </w:pPr>
            <w:r w:rsidRPr="00C260E8">
              <w:t>2023 QCCA 1109</w:t>
            </w:r>
          </w:p>
        </w:tc>
      </w:tr>
      <w:tr w:rsidR="006A3CA6" w14:paraId="6CD3F722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888C6" w14:textId="11558B56" w:rsidR="00DF7D37" w:rsidRPr="00C260E8" w:rsidRDefault="006951A4" w:rsidP="00864D19">
            <w:pPr>
              <w:pStyle w:val="zSoquijlblCour"/>
            </w:pPr>
            <w:r w:rsidRPr="00C260E8">
              <w:t>COURT OF APPEAL</w:t>
            </w:r>
          </w:p>
        </w:tc>
      </w:tr>
      <w:tr w:rsidR="006A3CA6" w14:paraId="3E4CBBE4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3428B" w14:textId="36E8D7E1" w:rsidR="00DF7D37" w:rsidRPr="00C260E8" w:rsidRDefault="006951A4" w:rsidP="00864D19">
            <w:pPr>
              <w:pStyle w:val="zSoquijlblPays"/>
              <w:ind w:left="-108"/>
            </w:pPr>
            <w:r w:rsidRPr="00C260E8">
              <w:t>CANADA</w:t>
            </w:r>
          </w:p>
        </w:tc>
      </w:tr>
      <w:tr w:rsidR="006A3CA6" w14:paraId="66A92B33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FEA37" w14:textId="5283EB66" w:rsidR="00DF7D37" w:rsidRPr="00C260E8" w:rsidRDefault="006951A4" w:rsidP="00864D19">
            <w:pPr>
              <w:pStyle w:val="zSoquijlblProvince"/>
            </w:pPr>
            <w:r w:rsidRPr="00C260E8">
              <w:t>PROVINCE OF QUEBEC</w:t>
            </w:r>
          </w:p>
        </w:tc>
      </w:tr>
      <w:tr w:rsidR="006A3CA6" w14:paraId="6F8C8BBF" w14:textId="77777777" w:rsidTr="00D86710"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642DE" w14:textId="285D13A3" w:rsidR="00B65CE4" w:rsidRPr="00C260E8" w:rsidRDefault="006951A4" w:rsidP="0057662E">
            <w:pPr>
              <w:pStyle w:val="zSoquijdatGreffe"/>
              <w:rPr>
                <w:sz w:val="23"/>
                <w:szCs w:val="23"/>
              </w:rPr>
            </w:pPr>
            <w:r w:rsidRPr="00C260E8">
              <w:rPr>
                <w:sz w:val="23"/>
                <w:szCs w:val="23"/>
              </w:rPr>
              <w:t>REGISTRY OF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387C7" w14:textId="10EED26C" w:rsidR="00B65CE4" w:rsidRPr="00C260E8" w:rsidRDefault="006951A4" w:rsidP="0088670F">
            <w:pPr>
              <w:pStyle w:val="zSoquijdatGreffe"/>
              <w:ind w:left="-108"/>
            </w:pPr>
            <w:r w:rsidRPr="00C260E8">
              <w:t>MONTREAL</w:t>
            </w:r>
          </w:p>
        </w:tc>
      </w:tr>
      <w:tr w:rsidR="006A3CA6" w14:paraId="1343B8B2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E2CA6" w14:textId="77777777" w:rsidR="00F55CD4" w:rsidRDefault="00F55CD4" w:rsidP="002C7179">
            <w:pPr>
              <w:ind w:left="-108"/>
            </w:pPr>
          </w:p>
        </w:tc>
      </w:tr>
      <w:tr w:rsidR="006A3CA6" w14:paraId="578DE713" w14:textId="77777777" w:rsidTr="00C260E8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8FE7D5C" w14:textId="0A1DC404" w:rsidR="0088670F" w:rsidRPr="00C260E8" w:rsidRDefault="006951A4" w:rsidP="00E1376E">
            <w:pPr>
              <w:pStyle w:val="zSoquijlblNoDossier"/>
              <w:ind w:left="-108"/>
            </w:pPr>
            <w:r w:rsidRPr="00C260E8">
              <w:t>No.:</w:t>
            </w: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1C1A1" w14:textId="16081641" w:rsidR="0088670F" w:rsidRDefault="006951A4" w:rsidP="0088670F">
            <w:pPr>
              <w:pStyle w:val="zSoquijdatNoDossier"/>
              <w:ind w:left="0"/>
            </w:pPr>
            <w:r>
              <w:t>500-09-700167-232</w:t>
            </w:r>
          </w:p>
        </w:tc>
      </w:tr>
      <w:tr w:rsidR="006A3CA6" w14:paraId="4FF41692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1E53C" w14:textId="7D0D9660" w:rsidR="00EC57E1" w:rsidRDefault="00A22AEF" w:rsidP="00E1376E">
            <w:pPr>
              <w:pStyle w:val="zSoquijdatNoDossierAnt"/>
              <w:ind w:left="72"/>
            </w:pPr>
            <w:r>
              <w:t xml:space="preserve">      </w:t>
            </w:r>
            <w:r w:rsidR="006951A4">
              <w:t>(550-17-012284-210)</w:t>
            </w:r>
          </w:p>
        </w:tc>
      </w:tr>
      <w:tr w:rsidR="006A3CA6" w14:paraId="7B571BDF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1BB9C" w14:textId="77777777" w:rsidR="00EC57E1" w:rsidRDefault="00EC57E1"/>
        </w:tc>
      </w:tr>
      <w:tr w:rsidR="006A3CA6" w14:paraId="538FCB70" w14:textId="77777777" w:rsidTr="00B65CE4"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9F099" w14:textId="77777777" w:rsidR="00EC57E1" w:rsidRDefault="00EC57E1"/>
        </w:tc>
      </w:tr>
      <w:tr w:rsidR="006A3CA6" w14:paraId="5F5189AF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7BEDB" w14:textId="26570B6E" w:rsidR="00EC57E1" w:rsidRPr="00C260E8" w:rsidRDefault="006951A4" w:rsidP="00AF563B">
            <w:pPr>
              <w:pStyle w:val="zSoquijlblTypePV"/>
            </w:pPr>
            <w:r w:rsidRPr="00C260E8">
              <w:t>MINUTES OF HEARING</w:t>
            </w:r>
          </w:p>
        </w:tc>
      </w:tr>
      <w:tr w:rsidR="006A3CA6" w14:paraId="7BF86957" w14:textId="77777777" w:rsidTr="00B65CE4">
        <w:tc>
          <w:tcPr>
            <w:tcW w:w="9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9406" w14:textId="77777777" w:rsidR="00EC57E1" w:rsidRDefault="00EC57E1"/>
        </w:tc>
      </w:tr>
    </w:tbl>
    <w:p w14:paraId="552D7472" w14:textId="1E6AAE17" w:rsidR="001B3898" w:rsidRPr="005764E8" w:rsidRDefault="001B3898" w:rsidP="00934255">
      <w:pPr>
        <w:tabs>
          <w:tab w:val="left" w:pos="630"/>
        </w:tabs>
        <w:spacing w:line="240" w:lineRule="auto"/>
        <w:ind w:left="-90"/>
        <w:jc w:val="both"/>
        <w:rPr>
          <w:rFonts w:cs="Arial"/>
          <w:szCs w:val="24"/>
        </w:rPr>
      </w:pPr>
    </w:p>
    <w:tbl>
      <w:tblPr>
        <w:tblStyle w:val="Grilledutableau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5431"/>
      </w:tblGrid>
      <w:tr w:rsidR="006A3CA6" w14:paraId="285F7756" w14:textId="77777777" w:rsidTr="003513C7">
        <w:tc>
          <w:tcPr>
            <w:tcW w:w="4024" w:type="dxa"/>
          </w:tcPr>
          <w:p w14:paraId="1F1E6F5E" w14:textId="3BB29D79" w:rsidR="001B3898" w:rsidRDefault="006951A4" w:rsidP="00864D19">
            <w:pPr>
              <w:pStyle w:val="zSoquijdatDateJugement"/>
            </w:pPr>
            <w:r w:rsidRPr="00C260E8">
              <w:t>DATE:</w:t>
            </w:r>
            <w:r w:rsidR="00A22AEF">
              <w:t xml:space="preserve"> </w:t>
            </w:r>
            <w:r w:rsidR="00C969F7" w:rsidRPr="00D86710">
              <w:rPr>
                <w:lang w:val="en-CA"/>
              </w:rPr>
              <w:t>September</w:t>
            </w:r>
            <w:r w:rsidR="00C969F7">
              <w:t xml:space="preserve"> 1, 2023</w:t>
            </w:r>
          </w:p>
        </w:tc>
        <w:tc>
          <w:tcPr>
            <w:tcW w:w="5431" w:type="dxa"/>
          </w:tcPr>
          <w:p w14:paraId="6DA32F6E" w14:textId="77777777" w:rsidR="001B3898" w:rsidRDefault="001B3898" w:rsidP="00887EEB">
            <w:pPr>
              <w:tabs>
                <w:tab w:val="left" w:pos="630"/>
              </w:tabs>
              <w:spacing w:line="240" w:lineRule="auto"/>
              <w:jc w:val="both"/>
            </w:pPr>
          </w:p>
        </w:tc>
      </w:tr>
      <w:tr w:rsidR="006A3CA6" w14:paraId="14FCA0D6" w14:textId="77777777" w:rsidTr="00864D19">
        <w:tc>
          <w:tcPr>
            <w:tcW w:w="4024" w:type="dxa"/>
          </w:tcPr>
          <w:p w14:paraId="7171F921" w14:textId="77777777" w:rsidR="001B3898" w:rsidRDefault="001B3898" w:rsidP="00887EEB">
            <w:pPr>
              <w:tabs>
                <w:tab w:val="left" w:pos="630"/>
              </w:tabs>
              <w:spacing w:line="240" w:lineRule="auto"/>
              <w:jc w:val="both"/>
            </w:pPr>
          </w:p>
        </w:tc>
        <w:tc>
          <w:tcPr>
            <w:tcW w:w="5431" w:type="dxa"/>
          </w:tcPr>
          <w:p w14:paraId="3C6F4D7E" w14:textId="77777777" w:rsidR="001B3898" w:rsidRDefault="001B3898" w:rsidP="00887EEB">
            <w:pPr>
              <w:tabs>
                <w:tab w:val="left" w:pos="630"/>
              </w:tabs>
              <w:spacing w:line="240" w:lineRule="auto"/>
              <w:jc w:val="both"/>
            </w:pPr>
          </w:p>
        </w:tc>
      </w:tr>
      <w:tr w:rsidR="006A3CA6" w14:paraId="7EEBB522" w14:textId="77777777" w:rsidTr="00864D19">
        <w:tc>
          <w:tcPr>
            <w:tcW w:w="4024" w:type="dxa"/>
          </w:tcPr>
          <w:p w14:paraId="3AB2DEDA" w14:textId="5AE5F5E3" w:rsidR="001B3898" w:rsidRPr="00C260E8" w:rsidRDefault="006951A4" w:rsidP="00864D19">
            <w:pPr>
              <w:pStyle w:val="zSoquijdatQteJuge"/>
            </w:pPr>
            <w:r w:rsidRPr="00C260E8">
              <w:t>CORAM: THE HONOURABLE</w:t>
            </w:r>
          </w:p>
        </w:tc>
        <w:tc>
          <w:tcPr>
            <w:tcW w:w="5431" w:type="dxa"/>
          </w:tcPr>
          <w:p w14:paraId="7B1C1201" w14:textId="627862DD" w:rsidR="001B3898" w:rsidRPr="00C260E8" w:rsidRDefault="006951A4" w:rsidP="008E13C7">
            <w:pPr>
              <w:pStyle w:val="zSoquijdatJuge1"/>
              <w:ind w:left="-77"/>
            </w:pPr>
            <w:r w:rsidRPr="00C260E8">
              <w:t>MARTIN VAUCLAIR, J.A.</w:t>
            </w:r>
          </w:p>
        </w:tc>
      </w:tr>
      <w:tr w:rsidR="006A3CA6" w:rsidRPr="00CB7269" w14:paraId="0F6DF2AD" w14:textId="77777777" w:rsidTr="00864D19">
        <w:tc>
          <w:tcPr>
            <w:tcW w:w="4024" w:type="dxa"/>
          </w:tcPr>
          <w:p w14:paraId="3390D476" w14:textId="77777777" w:rsidR="001B3898" w:rsidRDefault="001B3898" w:rsidP="00887EEB">
            <w:pPr>
              <w:tabs>
                <w:tab w:val="left" w:pos="630"/>
              </w:tabs>
              <w:spacing w:line="240" w:lineRule="auto"/>
              <w:jc w:val="both"/>
            </w:pPr>
          </w:p>
        </w:tc>
        <w:tc>
          <w:tcPr>
            <w:tcW w:w="5431" w:type="dxa"/>
          </w:tcPr>
          <w:p w14:paraId="56337720" w14:textId="03FEF785" w:rsidR="001B3898" w:rsidRPr="00C260E8" w:rsidRDefault="006951A4" w:rsidP="008E13C7">
            <w:pPr>
              <w:pStyle w:val="zSoquijdatJuge2"/>
              <w:rPr>
                <w:lang w:val="en-CA"/>
              </w:rPr>
            </w:pPr>
            <w:r w:rsidRPr="00C260E8">
              <w:rPr>
                <w:lang w:val="en-CA"/>
              </w:rPr>
              <w:t>STEPHEN W. HAMILTON, J.A.</w:t>
            </w:r>
          </w:p>
        </w:tc>
      </w:tr>
      <w:tr w:rsidR="006A3CA6" w:rsidRPr="006951A4" w14:paraId="533438A6" w14:textId="77777777" w:rsidTr="00864D19">
        <w:tc>
          <w:tcPr>
            <w:tcW w:w="4024" w:type="dxa"/>
          </w:tcPr>
          <w:p w14:paraId="7A2E20B7" w14:textId="77777777" w:rsidR="001B3898" w:rsidRPr="005F70D1" w:rsidRDefault="001B3898" w:rsidP="00887EEB">
            <w:pPr>
              <w:tabs>
                <w:tab w:val="left" w:pos="630"/>
              </w:tabs>
              <w:spacing w:line="240" w:lineRule="auto"/>
              <w:jc w:val="both"/>
              <w:rPr>
                <w:lang w:val="en-CA"/>
              </w:rPr>
            </w:pPr>
          </w:p>
        </w:tc>
        <w:tc>
          <w:tcPr>
            <w:tcW w:w="5431" w:type="dxa"/>
          </w:tcPr>
          <w:p w14:paraId="56AA02A4" w14:textId="70648B58" w:rsidR="001B3898" w:rsidRPr="00C260E8" w:rsidRDefault="006951A4" w:rsidP="008E13C7">
            <w:pPr>
              <w:pStyle w:val="zSoquijdatJuge3"/>
              <w:rPr>
                <w:lang w:val="en-CA"/>
              </w:rPr>
            </w:pPr>
            <w:r w:rsidRPr="00C260E8">
              <w:rPr>
                <w:lang w:val="en-CA"/>
              </w:rPr>
              <w:t>PETER KALICHMAN, J.A.</w:t>
            </w:r>
          </w:p>
        </w:tc>
      </w:tr>
    </w:tbl>
    <w:p w14:paraId="36F4F876" w14:textId="77777777" w:rsidR="00887EEB" w:rsidRPr="005764E8" w:rsidRDefault="00887EEB" w:rsidP="00887EEB">
      <w:pPr>
        <w:spacing w:line="240" w:lineRule="auto"/>
        <w:jc w:val="both"/>
        <w:rPr>
          <w:rFonts w:cs="Arial"/>
          <w:szCs w:val="24"/>
          <w:lang w:val="en-CA"/>
        </w:rPr>
      </w:pPr>
      <w:bookmarkStart w:id="0" w:name="Faillite"/>
      <w:bookmarkEnd w:id="0"/>
    </w:p>
    <w:tbl>
      <w:tblPr>
        <w:tblStyle w:val="Grilledutableau1"/>
        <w:tblW w:w="0" w:type="auto"/>
        <w:tblInd w:w="-9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899"/>
      </w:tblGrid>
      <w:tr w:rsidR="006A3CA6" w14:paraId="6521827B" w14:textId="77777777" w:rsidTr="005F70D1">
        <w:tc>
          <w:tcPr>
            <w:tcW w:w="4546" w:type="dxa"/>
          </w:tcPr>
          <w:p w14:paraId="6EEC9AEF" w14:textId="184DC54A" w:rsidR="00887EEB" w:rsidRPr="00C260E8" w:rsidRDefault="006951A4" w:rsidP="00670ADD">
            <w:pPr>
              <w:pStyle w:val="zSoquijdatQtePartieDem"/>
            </w:pPr>
            <w:r w:rsidRPr="00C260E8">
              <w:t>APPELLANTS</w:t>
            </w:r>
          </w:p>
        </w:tc>
        <w:tc>
          <w:tcPr>
            <w:tcW w:w="4899" w:type="dxa"/>
            <w:vAlign w:val="center"/>
          </w:tcPr>
          <w:p w14:paraId="0600BB63" w14:textId="7C9C5DCD" w:rsidR="00887EEB" w:rsidRPr="00670ADD" w:rsidRDefault="00887EEB" w:rsidP="00670ADD">
            <w:pPr>
              <w:pStyle w:val="zSoquijlblProcureurDem"/>
            </w:pPr>
          </w:p>
        </w:tc>
      </w:tr>
      <w:tr w:rsidR="006A3CA6" w14:paraId="158E7160" w14:textId="77777777" w:rsidTr="005F70D1">
        <w:tc>
          <w:tcPr>
            <w:tcW w:w="4546" w:type="dxa"/>
          </w:tcPr>
          <w:p w14:paraId="143D446F" w14:textId="77777777" w:rsidR="00887EEB" w:rsidRDefault="00887EEB" w:rsidP="00033ACA">
            <w:pPr>
              <w:tabs>
                <w:tab w:val="center" w:pos="2162"/>
              </w:tabs>
              <w:spacing w:line="240" w:lineRule="auto"/>
              <w:jc w:val="center"/>
              <w:rPr>
                <w:b/>
              </w:rPr>
            </w:pPr>
          </w:p>
          <w:p w14:paraId="05595D51" w14:textId="78D380B5" w:rsidR="005F70D1" w:rsidRDefault="006951A4" w:rsidP="005F70D1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>
              <w:rPr>
                <w:caps/>
              </w:rPr>
              <w:t>SILVIA MONIZ</w:t>
            </w:r>
          </w:p>
          <w:p w14:paraId="4ADB4B42" w14:textId="6EBAE519" w:rsidR="001E7314" w:rsidRDefault="006951A4" w:rsidP="001E7314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>
              <w:rPr>
                <w:caps/>
              </w:rPr>
              <w:t>MAGALIE cHARLESBOIS-CHAURET</w:t>
            </w:r>
          </w:p>
          <w:p w14:paraId="5F0EBCC1" w14:textId="2EE0C5AF" w:rsidR="001E7314" w:rsidRPr="00C260E8" w:rsidRDefault="006951A4" w:rsidP="001E7314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 w:rsidRPr="00C260E8">
              <w:rPr>
                <w:caps/>
              </w:rPr>
              <w:t>KARINE LAVOIE</w:t>
            </w:r>
          </w:p>
          <w:p w14:paraId="785E1078" w14:textId="146F2C42" w:rsidR="001E7314" w:rsidRPr="00C260E8" w:rsidRDefault="006951A4" w:rsidP="001E7314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 w:rsidRPr="00C260E8">
              <w:rPr>
                <w:caps/>
              </w:rPr>
              <w:t>NICOLE JOLLY</w:t>
            </w:r>
          </w:p>
          <w:p w14:paraId="4BAAC534" w14:textId="2EF0FF20" w:rsidR="001E7314" w:rsidRPr="00C260E8" w:rsidRDefault="006951A4" w:rsidP="001E7314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 w:rsidRPr="00C260E8">
              <w:rPr>
                <w:caps/>
              </w:rPr>
              <w:t>NADINE VILLENEUVE</w:t>
            </w:r>
          </w:p>
          <w:p w14:paraId="787A3B73" w14:textId="3EB3A420" w:rsidR="001E7314" w:rsidRPr="00C260E8" w:rsidRDefault="006951A4" w:rsidP="001E7314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  <w:r w:rsidRPr="00C260E8">
              <w:rPr>
                <w:caps/>
              </w:rPr>
              <w:t>JULIE POIRIER</w:t>
            </w:r>
          </w:p>
          <w:p w14:paraId="51978764" w14:textId="3128CD51" w:rsidR="005F70D1" w:rsidRPr="005F70D1" w:rsidRDefault="005F70D1" w:rsidP="005F70D1">
            <w:pPr>
              <w:pStyle w:val="zSoquijdatNomPartieDem"/>
              <w:tabs>
                <w:tab w:val="center" w:pos="2412"/>
              </w:tabs>
              <w:rPr>
                <w:caps/>
              </w:rPr>
            </w:pPr>
          </w:p>
        </w:tc>
        <w:tc>
          <w:tcPr>
            <w:tcW w:w="4899" w:type="dxa"/>
          </w:tcPr>
          <w:p w14:paraId="3D31F7F2" w14:textId="77777777" w:rsidR="00887EEB" w:rsidRPr="00887EEB" w:rsidRDefault="00887EEB" w:rsidP="00887EE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  <w:p w14:paraId="4101D8FA" w14:textId="448D2E44" w:rsidR="00887EEB" w:rsidRPr="00C260E8" w:rsidRDefault="006951A4" w:rsidP="00670ADD">
            <w:pPr>
              <w:pStyle w:val="zSoquijdatNomProcureurDem"/>
            </w:pPr>
            <w:r w:rsidRPr="00C260E8">
              <w:rPr>
                <w:caps/>
              </w:rPr>
              <w:t>ABSENT AND UNREPRESENTED</w:t>
            </w:r>
          </w:p>
          <w:p w14:paraId="49852FFA" w14:textId="77777777" w:rsidR="00887EEB" w:rsidRPr="00887EEB" w:rsidRDefault="00887EEB" w:rsidP="006A6304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A3CA6" w14:paraId="6BA98B01" w14:textId="77777777" w:rsidTr="005F70D1">
        <w:tc>
          <w:tcPr>
            <w:tcW w:w="4546" w:type="dxa"/>
          </w:tcPr>
          <w:p w14:paraId="14A02467" w14:textId="3F2FD622" w:rsidR="00887EEB" w:rsidRPr="00C260E8" w:rsidRDefault="006951A4" w:rsidP="00670ADD">
            <w:pPr>
              <w:pStyle w:val="zSoquijdatQtePartieDef"/>
            </w:pPr>
            <w:r w:rsidRPr="00C260E8">
              <w:t>RESPONDENT</w:t>
            </w:r>
          </w:p>
        </w:tc>
        <w:tc>
          <w:tcPr>
            <w:tcW w:w="4899" w:type="dxa"/>
            <w:vAlign w:val="center"/>
          </w:tcPr>
          <w:p w14:paraId="5EA1438E" w14:textId="302F2F33" w:rsidR="00887EEB" w:rsidRPr="00C260E8" w:rsidRDefault="006951A4" w:rsidP="00670ADD">
            <w:pPr>
              <w:pStyle w:val="zSoquijlblProcureurDef"/>
            </w:pPr>
            <w:r w:rsidRPr="00C260E8">
              <w:t>COUNSEL</w:t>
            </w:r>
          </w:p>
        </w:tc>
      </w:tr>
      <w:tr w:rsidR="006A3CA6" w:rsidRPr="001B7692" w14:paraId="6E7CBC16" w14:textId="77777777" w:rsidTr="005F70D1">
        <w:tc>
          <w:tcPr>
            <w:tcW w:w="4546" w:type="dxa"/>
          </w:tcPr>
          <w:p w14:paraId="1AA695C1" w14:textId="77777777" w:rsidR="00887EEB" w:rsidRDefault="00887EEB" w:rsidP="00887EEB">
            <w:pPr>
              <w:spacing w:line="240" w:lineRule="auto"/>
              <w:jc w:val="center"/>
              <w:rPr>
                <w:b/>
              </w:rPr>
            </w:pPr>
          </w:p>
          <w:p w14:paraId="62469F32" w14:textId="3833527E" w:rsidR="00F12661" w:rsidRPr="00C260E8" w:rsidRDefault="006951A4" w:rsidP="007377D2">
            <w:pPr>
              <w:pStyle w:val="zSoquijdatNomPartieDef"/>
              <w:tabs>
                <w:tab w:val="center" w:pos="2412"/>
              </w:tabs>
            </w:pPr>
            <w:r w:rsidRPr="00C260E8">
              <w:rPr>
                <w:caps/>
              </w:rPr>
              <w:t>ATTORNEY GENERAL OF CANADA</w:t>
            </w:r>
          </w:p>
        </w:tc>
        <w:tc>
          <w:tcPr>
            <w:tcW w:w="4899" w:type="dxa"/>
          </w:tcPr>
          <w:p w14:paraId="4A56287D" w14:textId="77777777" w:rsidR="00887EEB" w:rsidRPr="00887EEB" w:rsidRDefault="00887EEB" w:rsidP="00887EE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  <w:p w14:paraId="142239AA" w14:textId="5D932616" w:rsidR="006A6304" w:rsidRPr="00C260E8" w:rsidRDefault="006951A4" w:rsidP="006A6304">
            <w:pPr>
              <w:pStyle w:val="zSoquijdatNomProcureurDef"/>
            </w:pPr>
            <w:r w:rsidRPr="00C260E8">
              <w:t>Mtre VIRGINIE HARVEY</w:t>
            </w:r>
          </w:p>
          <w:p w14:paraId="665C2FC1" w14:textId="4B024558" w:rsidR="00887EEB" w:rsidRPr="00C260E8" w:rsidRDefault="006951A4" w:rsidP="00670ADD">
            <w:pPr>
              <w:pStyle w:val="zSoquijdatNomProcureurDef"/>
            </w:pPr>
            <w:r w:rsidRPr="00C260E8">
              <w:t>Mtre MARIÈVE SIROIS-VAILLANCOURT</w:t>
            </w:r>
          </w:p>
          <w:p w14:paraId="79A0F1FA" w14:textId="1F3738F5" w:rsidR="00887EEB" w:rsidRPr="001B7692" w:rsidRDefault="00D86710" w:rsidP="00670ADD">
            <w:pPr>
              <w:pStyle w:val="zSoquijdatCabinetProcureurDef"/>
              <w:rPr>
                <w:lang w:val="en-CA"/>
              </w:rPr>
            </w:pPr>
            <w:r w:rsidRPr="001B7692">
              <w:rPr>
                <w:lang w:val="en-CA"/>
              </w:rPr>
              <w:t>(</w:t>
            </w:r>
            <w:r w:rsidR="006951A4" w:rsidRPr="001B7692">
              <w:rPr>
                <w:i/>
                <w:iCs/>
                <w:lang w:val="en-CA"/>
              </w:rPr>
              <w:t>Department of Justice Canada</w:t>
            </w:r>
            <w:r w:rsidR="006951A4" w:rsidRPr="001B7692">
              <w:rPr>
                <w:lang w:val="en-CA"/>
              </w:rPr>
              <w:t>)</w:t>
            </w:r>
          </w:p>
          <w:p w14:paraId="43C18F2D" w14:textId="2F1D8022" w:rsidR="001E7314" w:rsidRPr="001B7692" w:rsidRDefault="006951A4" w:rsidP="00670ADD">
            <w:pPr>
              <w:pStyle w:val="zSoquijdatCabinetProcureurDef"/>
              <w:rPr>
                <w:lang w:val="en-CA"/>
              </w:rPr>
            </w:pPr>
            <w:r w:rsidRPr="001B7692">
              <w:rPr>
                <w:lang w:val="en-CA"/>
              </w:rPr>
              <w:t>Absent</w:t>
            </w:r>
          </w:p>
          <w:p w14:paraId="17352FF0" w14:textId="77777777" w:rsidR="00887EEB" w:rsidRPr="001B7692" w:rsidRDefault="00887EEB" w:rsidP="006A6304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</w:p>
        </w:tc>
      </w:tr>
    </w:tbl>
    <w:p w14:paraId="0AB2DBE4" w14:textId="77777777" w:rsidR="00887EEB" w:rsidRPr="001B7692" w:rsidRDefault="00887EEB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Style w:val="Grilledutableau1"/>
        <w:tblW w:w="0" w:type="auto"/>
        <w:tblInd w:w="-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6A3CA6" w:rsidRPr="00CB7269" w14:paraId="49666188" w14:textId="77777777" w:rsidTr="00215559">
        <w:tc>
          <w:tcPr>
            <w:tcW w:w="9540" w:type="dxa"/>
          </w:tcPr>
          <w:p w14:paraId="0AAA7C11" w14:textId="321CA04D" w:rsidR="00887EEB" w:rsidRPr="00C260E8" w:rsidRDefault="006951A4" w:rsidP="000F1BBC">
            <w:pPr>
              <w:spacing w:line="240" w:lineRule="auto"/>
              <w:ind w:left="-108"/>
              <w:jc w:val="both"/>
              <w:rPr>
                <w:lang w:val="en-CA"/>
              </w:rPr>
            </w:pPr>
            <w:r w:rsidRPr="00C260E8">
              <w:rPr>
                <w:lang w:val="en-CA"/>
              </w:rPr>
              <w:t xml:space="preserve">On appeal from a judgment rendered </w:t>
            </w:r>
            <w:r w:rsidR="00D86710">
              <w:rPr>
                <w:lang w:val="en-CA"/>
              </w:rPr>
              <w:t xml:space="preserve">on </w:t>
            </w:r>
            <w:r w:rsidRPr="00C260E8">
              <w:rPr>
                <w:lang w:val="en-CA"/>
              </w:rPr>
              <w:t xml:space="preserve">April 28, 2023, by </w:t>
            </w:r>
            <w:r w:rsidR="00D86710">
              <w:rPr>
                <w:lang w:val="en-CA"/>
              </w:rPr>
              <w:t xml:space="preserve">the Honourable Carole Therrien of </w:t>
            </w:r>
            <w:r w:rsidRPr="00C260E8">
              <w:rPr>
                <w:lang w:val="en-CA"/>
              </w:rPr>
              <w:t>the Superior Court, District of Gatineau.</w:t>
            </w:r>
          </w:p>
        </w:tc>
      </w:tr>
    </w:tbl>
    <w:p w14:paraId="77B87193" w14:textId="77777777" w:rsidR="00887EEB" w:rsidRPr="006951A4" w:rsidRDefault="00887EEB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Style w:val="Grilledutableau1"/>
        <w:tblW w:w="9540" w:type="dxa"/>
        <w:tblInd w:w="-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550"/>
      </w:tblGrid>
      <w:tr w:rsidR="006A3CA6" w:rsidRPr="00CB7269" w14:paraId="3520CABB" w14:textId="77777777" w:rsidTr="00F909F1">
        <w:tc>
          <w:tcPr>
            <w:tcW w:w="1990" w:type="dxa"/>
            <w:shd w:val="clear" w:color="auto" w:fill="auto"/>
          </w:tcPr>
          <w:p w14:paraId="79EA0611" w14:textId="2034DEEE" w:rsidR="00887EEB" w:rsidRPr="00C260E8" w:rsidRDefault="006951A4" w:rsidP="000F1BBC">
            <w:pPr>
              <w:spacing w:line="240" w:lineRule="auto"/>
              <w:ind w:left="-108"/>
              <w:jc w:val="both"/>
              <w:rPr>
                <w:rFonts w:cs="Arial"/>
                <w:kern w:val="28"/>
                <w:szCs w:val="24"/>
              </w:rPr>
            </w:pPr>
            <w:r w:rsidRPr="00C260E8">
              <w:rPr>
                <w:rFonts w:cs="Arial"/>
                <w:kern w:val="28"/>
                <w:szCs w:val="24"/>
              </w:rPr>
              <w:t>DESCRIPTION:</w:t>
            </w:r>
          </w:p>
        </w:tc>
        <w:tc>
          <w:tcPr>
            <w:tcW w:w="7550" w:type="dxa"/>
            <w:vAlign w:val="center"/>
          </w:tcPr>
          <w:p w14:paraId="21F7A926" w14:textId="3C16E6F0" w:rsidR="00887EEB" w:rsidRPr="00C260E8" w:rsidRDefault="006951A4" w:rsidP="00887EEB">
            <w:pPr>
              <w:spacing w:line="240" w:lineRule="auto"/>
              <w:jc w:val="both"/>
              <w:rPr>
                <w:rFonts w:cs="Arial"/>
                <w:kern w:val="28"/>
                <w:szCs w:val="24"/>
                <w:lang w:val="en-CA"/>
              </w:rPr>
            </w:pPr>
            <w:r w:rsidRPr="00C260E8">
              <w:rPr>
                <w:rFonts w:cs="Arial"/>
                <w:b/>
                <w:kern w:val="28"/>
                <w:szCs w:val="24"/>
                <w:lang w:val="en-CA"/>
              </w:rPr>
              <w:t>Application to dismiss an appeal</w:t>
            </w:r>
            <w:r w:rsidRPr="00C260E8">
              <w:rPr>
                <w:rFonts w:cs="Arial"/>
                <w:kern w:val="28"/>
                <w:szCs w:val="24"/>
                <w:lang w:val="en-CA"/>
              </w:rPr>
              <w:t xml:space="preserve"> (article 365 of the </w:t>
            </w:r>
            <w:r w:rsidRPr="00C969F7">
              <w:rPr>
                <w:rFonts w:cs="Arial"/>
                <w:i/>
                <w:iCs/>
                <w:kern w:val="28"/>
                <w:szCs w:val="24"/>
                <w:lang w:val="en-CA"/>
              </w:rPr>
              <w:t>Code of Civil Procedure</w:t>
            </w:r>
            <w:r w:rsidRPr="00C260E8">
              <w:rPr>
                <w:rFonts w:cs="Arial"/>
                <w:kern w:val="28"/>
                <w:szCs w:val="24"/>
                <w:lang w:val="en-CA"/>
              </w:rPr>
              <w:t>)</w:t>
            </w:r>
          </w:p>
        </w:tc>
      </w:tr>
    </w:tbl>
    <w:p w14:paraId="460E3D0D" w14:textId="77777777" w:rsidR="00887EEB" w:rsidRPr="006951A4" w:rsidRDefault="00887EEB" w:rsidP="00887EEB">
      <w:pPr>
        <w:spacing w:line="240" w:lineRule="auto"/>
        <w:jc w:val="both"/>
        <w:rPr>
          <w:rFonts w:cs="Arial"/>
          <w:b/>
          <w:bCs/>
          <w:szCs w:val="24"/>
          <w:lang w:val="en-CA"/>
        </w:rPr>
      </w:pPr>
    </w:p>
    <w:tbl>
      <w:tblPr>
        <w:tblW w:w="9540" w:type="dxa"/>
        <w:tblInd w:w="-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0"/>
        <w:gridCol w:w="4520"/>
      </w:tblGrid>
      <w:tr w:rsidR="006A3CA6" w14:paraId="064177B2" w14:textId="77777777" w:rsidTr="000F1BBC">
        <w:trPr>
          <w:cantSplit/>
          <w:trHeight w:val="397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2C0" w14:textId="6781E4C7" w:rsidR="00887EEB" w:rsidRPr="00C260E8" w:rsidRDefault="006951A4" w:rsidP="005C2276">
            <w:pPr>
              <w:spacing w:before="120" w:after="120" w:line="240" w:lineRule="auto"/>
              <w:ind w:left="-70"/>
              <w:rPr>
                <w:rFonts w:cs="Arial"/>
                <w:szCs w:val="24"/>
              </w:rPr>
            </w:pPr>
            <w:r w:rsidRPr="00C260E8">
              <w:rPr>
                <w:rFonts w:cs="Arial"/>
                <w:szCs w:val="24"/>
              </w:rPr>
              <w:t xml:space="preserve">Court </w:t>
            </w:r>
            <w:proofErr w:type="spellStart"/>
            <w:r w:rsidRPr="00C260E8">
              <w:rPr>
                <w:rFonts w:cs="Arial"/>
                <w:szCs w:val="24"/>
              </w:rPr>
              <w:t>Clerk</w:t>
            </w:r>
            <w:proofErr w:type="spellEnd"/>
            <w:r w:rsidRPr="00C260E8">
              <w:rPr>
                <w:rFonts w:cs="Arial"/>
                <w:szCs w:val="24"/>
              </w:rPr>
              <w:t>: René Gutknecht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2AFB5039" w14:textId="187566FB" w:rsidR="00887EEB" w:rsidRPr="00C260E8" w:rsidRDefault="006951A4" w:rsidP="00887EEB">
            <w:pPr>
              <w:spacing w:line="240" w:lineRule="auto"/>
              <w:jc w:val="both"/>
              <w:rPr>
                <w:rFonts w:eastAsiaTheme="minorHAnsi" w:cs="Arial"/>
                <w:szCs w:val="24"/>
                <w:lang w:eastAsia="en-US"/>
              </w:rPr>
            </w:pPr>
            <w:r w:rsidRPr="00C260E8">
              <w:rPr>
                <w:rFonts w:cs="Arial"/>
                <w:szCs w:val="24"/>
              </w:rPr>
              <w:t>Room: Pierre-Basile-Mignault</w:t>
            </w:r>
            <w:r w:rsidR="00A22AEF" w:rsidRPr="00C260E8">
              <w:rPr>
                <w:rFonts w:cs="Arial"/>
                <w:szCs w:val="24"/>
              </w:rPr>
              <w:fldChar w:fldCharType="begin"/>
            </w:r>
            <w:r w:rsidR="00A22AEF" w:rsidRPr="00C260E8">
              <w:rPr>
                <w:rFonts w:cs="Arial"/>
                <w:szCs w:val="24"/>
              </w:rPr>
              <w:instrText xml:space="preserve">  </w:instrText>
            </w:r>
            <w:r w:rsidR="00A22AEF" w:rsidRPr="00C260E8">
              <w:rPr>
                <w:rFonts w:cs="Arial"/>
                <w:szCs w:val="24"/>
              </w:rPr>
              <w:fldChar w:fldCharType="end"/>
            </w:r>
          </w:p>
        </w:tc>
      </w:tr>
    </w:tbl>
    <w:p w14:paraId="40FB48DF" w14:textId="2C71CF2B" w:rsidR="001B3898" w:rsidRDefault="001B3898">
      <w:pPr>
        <w:spacing w:line="240" w:lineRule="auto"/>
        <w:rPr>
          <w:rFonts w:cs="Arial"/>
          <w:szCs w:val="24"/>
        </w:rPr>
      </w:pPr>
    </w:p>
    <w:tbl>
      <w:tblPr>
        <w:tblStyle w:val="Grilledutableau1"/>
        <w:tblW w:w="9540" w:type="dxa"/>
        <w:tblInd w:w="-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A3CA6" w14:paraId="1F8C1E7F" w14:textId="77777777" w:rsidTr="000F1BBC">
        <w:tc>
          <w:tcPr>
            <w:tcW w:w="9540" w:type="dxa"/>
            <w:vAlign w:val="center"/>
          </w:tcPr>
          <w:p w14:paraId="426B0ADA" w14:textId="6E161315" w:rsidR="00887EEB" w:rsidRPr="00C260E8" w:rsidRDefault="006951A4" w:rsidP="00887EEB">
            <w:pPr>
              <w:spacing w:before="240" w:after="240" w:line="240" w:lineRule="auto"/>
              <w:jc w:val="center"/>
            </w:pPr>
            <w:r w:rsidRPr="00C260E8">
              <w:t>HEARING</w:t>
            </w:r>
          </w:p>
        </w:tc>
      </w:tr>
    </w:tbl>
    <w:p w14:paraId="5D7AA4AF" w14:textId="77777777" w:rsidR="00887EEB" w:rsidRPr="00887EEB" w:rsidRDefault="00887EEB" w:rsidP="00887EEB">
      <w:pPr>
        <w:spacing w:line="240" w:lineRule="auto"/>
        <w:jc w:val="both"/>
        <w:rPr>
          <w:rFonts w:cs="Arial"/>
          <w:szCs w:val="24"/>
        </w:rPr>
      </w:pPr>
    </w:p>
    <w:tbl>
      <w:tblPr>
        <w:tblW w:w="9540" w:type="dxa"/>
        <w:tblInd w:w="-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190"/>
      </w:tblGrid>
      <w:tr w:rsidR="006A3CA6" w:rsidRPr="00CB7269" w14:paraId="0F74E3FC" w14:textId="77777777" w:rsidTr="000F1BBC">
        <w:trPr>
          <w:trHeight w:val="260"/>
        </w:trPr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</w:tcPr>
          <w:p w14:paraId="450CB068" w14:textId="14B70E61" w:rsidR="00887EEB" w:rsidRPr="00887EEB" w:rsidRDefault="00887EEB" w:rsidP="00887EEB">
            <w:pPr>
              <w:spacing w:before="120" w:after="12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</w:tcBorders>
          </w:tcPr>
          <w:p w14:paraId="55F8C677" w14:textId="193C4129" w:rsidR="00887EEB" w:rsidRPr="006951A4" w:rsidRDefault="006951A4" w:rsidP="00601CAC">
            <w:pPr>
              <w:spacing w:before="120" w:after="120" w:line="240" w:lineRule="auto"/>
              <w:jc w:val="both"/>
              <w:rPr>
                <w:rFonts w:cs="Arial"/>
                <w:iCs/>
                <w:szCs w:val="24"/>
                <w:lang w:val="en-CA" w:eastAsia="fr-CA"/>
              </w:rPr>
            </w:pPr>
            <w:r w:rsidRPr="006951A4">
              <w:rPr>
                <w:rFonts w:cs="Arial"/>
                <w:b/>
                <w:bCs/>
                <w:iCs/>
                <w:szCs w:val="24"/>
                <w:lang w:val="en-CA" w:eastAsia="fr-CA"/>
              </w:rPr>
              <w:t>Continuation</w:t>
            </w:r>
            <w:r w:rsidRPr="006951A4">
              <w:rPr>
                <w:rFonts w:cs="Arial"/>
                <w:bCs/>
                <w:iCs/>
                <w:szCs w:val="24"/>
                <w:lang w:val="en-CA" w:eastAsia="fr-CA"/>
              </w:rPr>
              <w:t xml:space="preserve"> of hearing of August 28, 2023.</w:t>
            </w:r>
            <w:r w:rsidR="00A22AEF" w:rsidRPr="006951A4">
              <w:rPr>
                <w:rFonts w:cs="Arial"/>
                <w:iCs/>
                <w:szCs w:val="24"/>
                <w:lang w:val="en-CA" w:eastAsia="fr-CA"/>
              </w:rPr>
              <w:t xml:space="preserve"> </w:t>
            </w:r>
            <w:r w:rsidRPr="00C260E8">
              <w:rPr>
                <w:rFonts w:cs="Arial"/>
                <w:iCs/>
                <w:szCs w:val="24"/>
                <w:lang w:val="en-CA" w:eastAsia="fr-CA"/>
              </w:rPr>
              <w:t>The parties were dispensed from being present at court.</w:t>
            </w:r>
          </w:p>
          <w:p w14:paraId="12D84FAA" w14:textId="7A628E89" w:rsidR="001E7314" w:rsidRPr="00C260E8" w:rsidRDefault="00497DA2" w:rsidP="00601CAC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b/>
                <w:bCs/>
                <w:szCs w:val="24"/>
                <w:lang w:val="en-CA"/>
              </w:rPr>
              <w:t>BY THE COURT</w:t>
            </w:r>
            <w:r w:rsidR="006951A4" w:rsidRPr="00C260E8">
              <w:rPr>
                <w:rFonts w:cs="Arial"/>
                <w:b/>
                <w:bCs/>
                <w:szCs w:val="24"/>
                <w:lang w:val="en-CA"/>
              </w:rPr>
              <w:t>: Judgment – see page 3.</w:t>
            </w:r>
          </w:p>
        </w:tc>
      </w:tr>
      <w:tr w:rsidR="006A3CA6" w:rsidRPr="00CB7269" w14:paraId="01633A6C" w14:textId="77777777" w:rsidTr="000F1BBC">
        <w:trPr>
          <w:trHeight w:val="251"/>
        </w:trPr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</w:tcPr>
          <w:p w14:paraId="4D099AFD" w14:textId="77777777" w:rsidR="00887EEB" w:rsidRPr="006951A4" w:rsidRDefault="00887EEB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</w:tcBorders>
          </w:tcPr>
          <w:p w14:paraId="048BC723" w14:textId="77777777" w:rsidR="00887EEB" w:rsidRPr="006951A4" w:rsidRDefault="00887EEB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</w:tr>
    </w:tbl>
    <w:p w14:paraId="56C4F742" w14:textId="77777777" w:rsidR="00887EEB" w:rsidRPr="006951A4" w:rsidRDefault="00887EEB" w:rsidP="00887EEB">
      <w:pPr>
        <w:spacing w:line="240" w:lineRule="auto"/>
        <w:rPr>
          <w:rFonts w:cs="Arial"/>
          <w:szCs w:val="24"/>
          <w:lang w:val="en-CA"/>
        </w:rPr>
      </w:pPr>
    </w:p>
    <w:tbl>
      <w:tblPr>
        <w:tblStyle w:val="Grilledutableau1"/>
        <w:tblW w:w="0" w:type="auto"/>
        <w:tblInd w:w="-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6A3CA6" w:rsidRPr="00CB7269" w14:paraId="26472985" w14:textId="77777777" w:rsidTr="00E06061">
        <w:tc>
          <w:tcPr>
            <w:tcW w:w="4860" w:type="dxa"/>
            <w:tcBorders>
              <w:bottom w:val="single" w:sz="4" w:space="0" w:color="auto"/>
            </w:tcBorders>
          </w:tcPr>
          <w:p w14:paraId="5D4E7764" w14:textId="77777777" w:rsidR="00887EEB" w:rsidRPr="006951A4" w:rsidRDefault="00887EEB" w:rsidP="00887EEB">
            <w:pPr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6A3CA6" w14:paraId="00C7351B" w14:textId="77777777" w:rsidTr="00E06061">
        <w:tc>
          <w:tcPr>
            <w:tcW w:w="4860" w:type="dxa"/>
            <w:tcBorders>
              <w:top w:val="single" w:sz="4" w:space="0" w:color="auto"/>
            </w:tcBorders>
          </w:tcPr>
          <w:p w14:paraId="1310A644" w14:textId="564C7B31" w:rsidR="00887EEB" w:rsidRPr="00C260E8" w:rsidRDefault="006951A4" w:rsidP="00887E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60E8">
              <w:rPr>
                <w:rFonts w:cs="Arial"/>
                <w:szCs w:val="24"/>
              </w:rPr>
              <w:t xml:space="preserve">René Gutknecht, </w:t>
            </w:r>
            <w:r w:rsidR="00497DA2">
              <w:rPr>
                <w:rFonts w:cs="Arial"/>
                <w:szCs w:val="24"/>
              </w:rPr>
              <w:t xml:space="preserve">Court </w:t>
            </w:r>
            <w:proofErr w:type="spellStart"/>
            <w:r w:rsidR="00497DA2">
              <w:rPr>
                <w:rFonts w:cs="Arial"/>
                <w:szCs w:val="24"/>
              </w:rPr>
              <w:t>Clerk</w:t>
            </w:r>
            <w:proofErr w:type="spellEnd"/>
          </w:p>
        </w:tc>
      </w:tr>
    </w:tbl>
    <w:p w14:paraId="77A7083D" w14:textId="77777777" w:rsidR="002C7179" w:rsidRDefault="00A22AEF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3DF0351" w14:textId="77777777" w:rsidR="00887EEB" w:rsidRPr="002C7179" w:rsidRDefault="00887EEB" w:rsidP="002C7179">
      <w:pPr>
        <w:spacing w:after="160" w:line="259" w:lineRule="auto"/>
        <w:rPr>
          <w:rFonts w:cs="Arial"/>
          <w:b/>
          <w:bCs/>
          <w:szCs w:val="24"/>
        </w:rPr>
      </w:pPr>
    </w:p>
    <w:tbl>
      <w:tblPr>
        <w:tblStyle w:val="Grilledutableau1"/>
        <w:tblW w:w="9540" w:type="dxa"/>
        <w:tblInd w:w="-9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A3CA6" w14:paraId="05D3161C" w14:textId="77777777" w:rsidTr="000F1BBC">
        <w:tc>
          <w:tcPr>
            <w:tcW w:w="9540" w:type="dxa"/>
            <w:vAlign w:val="center"/>
          </w:tcPr>
          <w:p w14:paraId="192043BB" w14:textId="78CEF491" w:rsidR="00887EEB" w:rsidRPr="00C260E8" w:rsidRDefault="006951A4" w:rsidP="00887EEB">
            <w:pPr>
              <w:spacing w:before="240" w:after="240" w:line="240" w:lineRule="exact"/>
              <w:jc w:val="center"/>
            </w:pPr>
            <w:r w:rsidRPr="00C260E8">
              <w:t>JUDGMENT</w:t>
            </w:r>
          </w:p>
        </w:tc>
      </w:tr>
    </w:tbl>
    <w:p w14:paraId="45516510" w14:textId="77777777" w:rsidR="00887EEB" w:rsidRPr="00887EEB" w:rsidRDefault="00887EEB" w:rsidP="00887EEB">
      <w:pPr>
        <w:spacing w:line="240" w:lineRule="auto"/>
        <w:jc w:val="both"/>
      </w:pPr>
      <w:bookmarkStart w:id="1" w:name="ORDONNANCE_DE"/>
      <w:bookmarkEnd w:id="1"/>
    </w:p>
    <w:p w14:paraId="24654031" w14:textId="67C01DBA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lang w:val="en-CA"/>
        </w:rPr>
        <w:t xml:space="preserve">The appellant </w:t>
      </w:r>
      <w:r w:rsidR="00C969F7" w:rsidRPr="006951A4">
        <w:rPr>
          <w:lang w:val="en-CA"/>
        </w:rPr>
        <w:t>and</w:t>
      </w:r>
      <w:r w:rsidRPr="006951A4">
        <w:rPr>
          <w:lang w:val="en-CA"/>
        </w:rPr>
        <w:t xml:space="preserve"> five of her colleagues, all federal public servants, instituted an action in 2021 to have the </w:t>
      </w:r>
      <w:r w:rsidRPr="006951A4">
        <w:rPr>
          <w:i/>
          <w:lang w:val="en-CA"/>
        </w:rPr>
        <w:t>Policy on COVID-19 Vaccination for the Core Public Administration Including the Royal Canadian Mounted Police</w:t>
      </w:r>
      <w:r w:rsidRPr="006951A4">
        <w:rPr>
          <w:lang w:val="en-CA"/>
        </w:rPr>
        <w:t xml:space="preserve"> declared inapplicable to federal public servants whose duties </w:t>
      </w:r>
      <w:r w:rsidR="00C41B51">
        <w:rPr>
          <w:lang w:val="en-CA"/>
        </w:rPr>
        <w:t xml:space="preserve">allow them </w:t>
      </w:r>
      <w:r w:rsidRPr="006951A4">
        <w:rPr>
          <w:lang w:val="en-CA"/>
        </w:rPr>
        <w:t>to work remotely.</w:t>
      </w:r>
    </w:p>
    <w:p w14:paraId="5B5C5038" w14:textId="0416855C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lang w:val="en-CA"/>
        </w:rPr>
        <w:t>Originally, the</w:t>
      </w:r>
      <w:r w:rsidR="008C028C">
        <w:rPr>
          <w:lang w:val="en-CA"/>
        </w:rPr>
        <w:t xml:space="preserve"> appellants</w:t>
      </w:r>
      <w:r w:rsidRPr="006951A4">
        <w:rPr>
          <w:lang w:val="en-CA"/>
        </w:rPr>
        <w:t xml:space="preserve"> were co</w:t>
      </w:r>
      <w:r w:rsidR="00C969F7">
        <w:rPr>
          <w:lang w:val="en-CA"/>
        </w:rPr>
        <w:t>-</w:t>
      </w:r>
      <w:r w:rsidRPr="006951A4">
        <w:rPr>
          <w:lang w:val="en-CA"/>
        </w:rPr>
        <w:t>plaintiffs and were represented by counsel.</w:t>
      </w:r>
      <w:r w:rsidR="00A22AEF" w:rsidRPr="006951A4">
        <w:rPr>
          <w:lang w:val="en-CA"/>
        </w:rPr>
        <w:t xml:space="preserve"> </w:t>
      </w:r>
      <w:r w:rsidRPr="00C260E8">
        <w:rPr>
          <w:lang w:val="en-CA"/>
        </w:rPr>
        <w:t>Their counsel ceased to act on February 20, 2023.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After </w:t>
      </w:r>
      <w:r w:rsidR="008C028C">
        <w:rPr>
          <w:lang w:val="en-CA"/>
        </w:rPr>
        <w:t>the appellants were</w:t>
      </w:r>
      <w:r w:rsidRPr="006951A4">
        <w:rPr>
          <w:lang w:val="en-CA"/>
        </w:rPr>
        <w:t xml:space="preserve"> put on formal notice to appoint another lawyer or indicate their intention to represent themselves, the appellant</w:t>
      </w:r>
      <w:r w:rsidR="004944B8">
        <w:rPr>
          <w:lang w:val="en-CA"/>
        </w:rPr>
        <w:t>s</w:t>
      </w:r>
      <w:r w:rsidR="008C028C">
        <w:rPr>
          <w:lang w:val="en-CA"/>
        </w:rPr>
        <w:t xml:space="preserve"> </w:t>
      </w:r>
      <w:r w:rsidRPr="006951A4">
        <w:rPr>
          <w:lang w:val="en-CA"/>
        </w:rPr>
        <w:t xml:space="preserve">amended their </w:t>
      </w:r>
      <w:r w:rsidR="00CB7269">
        <w:rPr>
          <w:lang w:val="en-CA"/>
        </w:rPr>
        <w:t xml:space="preserve">application </w:t>
      </w:r>
      <w:r w:rsidRPr="006951A4">
        <w:rPr>
          <w:lang w:val="en-CA"/>
        </w:rPr>
        <w:t xml:space="preserve">to </w:t>
      </w:r>
      <w:r w:rsidR="00CB7269">
        <w:rPr>
          <w:lang w:val="en-CA"/>
        </w:rPr>
        <w:t>affirm</w:t>
      </w:r>
      <w:r w:rsidRPr="006951A4">
        <w:rPr>
          <w:lang w:val="en-CA"/>
        </w:rPr>
        <w:t xml:space="preserve"> that they were appointing the appellant </w:t>
      </w:r>
      <w:r w:rsidR="008C028C">
        <w:rPr>
          <w:lang w:val="en-CA"/>
        </w:rPr>
        <w:t xml:space="preserve">Moniz </w:t>
      </w:r>
      <w:r w:rsidRPr="006951A4">
        <w:rPr>
          <w:lang w:val="en-CA"/>
        </w:rPr>
        <w:t>to act on their behalf</w:t>
      </w:r>
      <w:r w:rsidR="00CB7269">
        <w:rPr>
          <w:lang w:val="en-CA"/>
        </w:rPr>
        <w:t xml:space="preserve">. She </w:t>
      </w:r>
      <w:r w:rsidRPr="006951A4">
        <w:rPr>
          <w:lang w:val="en-CA"/>
        </w:rPr>
        <w:t xml:space="preserve">signed the </w:t>
      </w:r>
      <w:r w:rsidR="00CB7269">
        <w:rPr>
          <w:lang w:val="en-CA"/>
        </w:rPr>
        <w:t xml:space="preserve">pleading </w:t>
      </w:r>
      <w:r w:rsidRPr="006951A4">
        <w:rPr>
          <w:lang w:val="en-CA"/>
        </w:rPr>
        <w:t>as mandatary for the group, without being represented by counsel.</w:t>
      </w:r>
    </w:p>
    <w:p w14:paraId="7F7E6BED" w14:textId="3E650C83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lang w:val="en-CA"/>
        </w:rPr>
        <w:t xml:space="preserve">The respondent contested this </w:t>
      </w:r>
      <w:r w:rsidR="00514CD1">
        <w:rPr>
          <w:lang w:val="en-CA"/>
        </w:rPr>
        <w:t>manner</w:t>
      </w:r>
      <w:r w:rsidRPr="006951A4">
        <w:rPr>
          <w:lang w:val="en-CA"/>
        </w:rPr>
        <w:t xml:space="preserve"> of </w:t>
      </w:r>
      <w:r w:rsidR="004944B8">
        <w:rPr>
          <w:lang w:val="en-CA"/>
        </w:rPr>
        <w:t xml:space="preserve">proceeding, </w:t>
      </w:r>
      <w:r w:rsidRPr="006951A4">
        <w:rPr>
          <w:lang w:val="en-CA"/>
        </w:rPr>
        <w:t xml:space="preserve">and </w:t>
      </w:r>
      <w:r w:rsidR="004944B8" w:rsidRPr="004944B8">
        <w:rPr>
          <w:lang w:val="en-CA"/>
        </w:rPr>
        <w:t>in a judgment dated April 28, 2023</w:t>
      </w:r>
      <w:r w:rsidR="004944B8">
        <w:rPr>
          <w:lang w:val="en-CA"/>
        </w:rPr>
        <w:t xml:space="preserve">, </w:t>
      </w:r>
      <w:r w:rsidRPr="006951A4">
        <w:rPr>
          <w:lang w:val="en-CA"/>
        </w:rPr>
        <w:t>Carole Therrien J. of the Superior Court, District of Gatineau, agreed.</w:t>
      </w:r>
      <w:r>
        <w:rPr>
          <w:rStyle w:val="Appelnotedebasdep"/>
        </w:rPr>
        <w:footnoteReference w:id="1"/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The judge concluded that </w:t>
      </w:r>
      <w:r w:rsidR="004944B8">
        <w:rPr>
          <w:lang w:val="en-CA"/>
        </w:rPr>
        <w:t>a</w:t>
      </w:r>
      <w:r w:rsidR="004944B8" w:rsidRPr="006951A4">
        <w:rPr>
          <w:lang w:val="en-CA"/>
        </w:rPr>
        <w:t xml:space="preserve"> </w:t>
      </w:r>
      <w:r w:rsidRPr="006951A4">
        <w:rPr>
          <w:lang w:val="en-CA"/>
        </w:rPr>
        <w:t>mandate under article 91 C.C.P. allowed the appellant to act on behalf of the group</w:t>
      </w:r>
      <w:r w:rsidR="00176717">
        <w:rPr>
          <w:lang w:val="en-CA"/>
        </w:rPr>
        <w:t>, but it did not go</w:t>
      </w:r>
      <w:r w:rsidRPr="006951A4">
        <w:rPr>
          <w:lang w:val="en-CA"/>
        </w:rPr>
        <w:t xml:space="preserve"> so far as to </w:t>
      </w:r>
      <w:r w:rsidR="00176717">
        <w:rPr>
          <w:lang w:val="en-CA"/>
        </w:rPr>
        <w:t>authorize</w:t>
      </w:r>
      <w:r w:rsidR="00176717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her to represent </w:t>
      </w:r>
      <w:r w:rsidR="00514CD1">
        <w:rPr>
          <w:lang w:val="en-CA"/>
        </w:rPr>
        <w:t>the group</w:t>
      </w:r>
      <w:r w:rsidRPr="006951A4">
        <w:rPr>
          <w:lang w:val="en-CA"/>
        </w:rPr>
        <w:t xml:space="preserve"> before the Court.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Article 87 C.C.P. requires that </w:t>
      </w:r>
      <w:r w:rsidR="00176717">
        <w:rPr>
          <w:lang w:val="en-CA"/>
        </w:rPr>
        <w:t>a</w:t>
      </w:r>
      <w:r w:rsidR="00176717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mandatary be represented by </w:t>
      </w:r>
      <w:r w:rsidR="00AB4EDC">
        <w:rPr>
          <w:lang w:val="en-CA"/>
        </w:rPr>
        <w:t>a lawyer</w:t>
      </w:r>
      <w:r w:rsidRPr="006951A4">
        <w:rPr>
          <w:lang w:val="en-CA"/>
        </w:rPr>
        <w:t>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>Accordingly, the judge gave the appellant, as mandatary, ten days to appoint a lawyer, failing which she gave the mandators ten days to file a notice of their intention to represent themselves or</w:t>
      </w:r>
      <w:r w:rsidR="00514CD1">
        <w:rPr>
          <w:lang w:val="en-CA"/>
        </w:rPr>
        <w:t xml:space="preserve"> </w:t>
      </w:r>
      <w:r w:rsidRPr="006951A4">
        <w:rPr>
          <w:lang w:val="en-CA"/>
        </w:rPr>
        <w:t xml:space="preserve">appoint a </w:t>
      </w:r>
      <w:r w:rsidR="00514CD1">
        <w:rPr>
          <w:lang w:val="en-CA"/>
        </w:rPr>
        <w:t>lawyer themselves</w:t>
      </w:r>
      <w:r w:rsidRPr="006951A4">
        <w:rPr>
          <w:lang w:val="en-CA"/>
        </w:rPr>
        <w:t xml:space="preserve">, failing which she would declare the originating application to be </w:t>
      </w:r>
      <w:r w:rsidR="00514CD1">
        <w:rPr>
          <w:lang w:val="en-CA"/>
        </w:rPr>
        <w:t>void</w:t>
      </w:r>
      <w:r w:rsidRPr="006951A4">
        <w:rPr>
          <w:lang w:val="en-CA"/>
        </w:rPr>
        <w:t xml:space="preserve"> with respect to the mandators.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She </w:t>
      </w:r>
      <w:r w:rsidR="00176717">
        <w:rPr>
          <w:lang w:val="en-CA"/>
        </w:rPr>
        <w:t>found</w:t>
      </w:r>
      <w:r w:rsidR="00176717" w:rsidRPr="006951A4">
        <w:rPr>
          <w:lang w:val="en-CA"/>
        </w:rPr>
        <w:t xml:space="preserve"> </w:t>
      </w:r>
      <w:r w:rsidRPr="006951A4">
        <w:rPr>
          <w:lang w:val="en-CA"/>
        </w:rPr>
        <w:t>that the appellant had sufficiently indicated her intention to represent herself.</w:t>
      </w:r>
    </w:p>
    <w:p w14:paraId="2FFF5F68" w14:textId="6448A1F3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lang w:val="en-CA"/>
        </w:rPr>
        <w:t>The notice of appeal was filed by the appellant as mandatary for the six mandators.</w:t>
      </w:r>
    </w:p>
    <w:p w14:paraId="72FBD971" w14:textId="21D304E5" w:rsidR="004F5F74" w:rsidRPr="006951A4" w:rsidRDefault="006951A4" w:rsidP="004F5F74">
      <w:pPr>
        <w:pStyle w:val="Paragraphe"/>
        <w:rPr>
          <w:lang w:val="en-CA"/>
        </w:rPr>
      </w:pPr>
      <w:r w:rsidRPr="00C260E8">
        <w:rPr>
          <w:lang w:val="en-CA"/>
        </w:rPr>
        <w:t xml:space="preserve">The respondent </w:t>
      </w:r>
      <w:r w:rsidR="00DF7686">
        <w:rPr>
          <w:lang w:val="en-CA"/>
        </w:rPr>
        <w:t xml:space="preserve">has </w:t>
      </w:r>
      <w:r w:rsidRPr="00C260E8">
        <w:rPr>
          <w:lang w:val="en-CA"/>
        </w:rPr>
        <w:t>presented an application to dismiss.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He asks for the appeal of the five </w:t>
      </w:r>
      <w:r w:rsidR="00DF7686">
        <w:rPr>
          <w:lang w:val="en-CA"/>
        </w:rPr>
        <w:t xml:space="preserve">other </w:t>
      </w:r>
      <w:r w:rsidRPr="006951A4">
        <w:rPr>
          <w:lang w:val="en-CA"/>
        </w:rPr>
        <w:t xml:space="preserve">mandators to be dismissed on the ground that </w:t>
      </w:r>
      <w:r w:rsidR="00DF7686">
        <w:rPr>
          <w:lang w:val="en-CA"/>
        </w:rPr>
        <w:t>it</w:t>
      </w:r>
      <w:r w:rsidRPr="006951A4">
        <w:rPr>
          <w:lang w:val="en-CA"/>
        </w:rPr>
        <w:t xml:space="preserve"> was improperly </w:t>
      </w:r>
      <w:r w:rsidR="00B76E6E">
        <w:rPr>
          <w:lang w:val="en-CA"/>
        </w:rPr>
        <w:t xml:space="preserve">initiated </w:t>
      </w:r>
      <w:r w:rsidRPr="006951A4">
        <w:rPr>
          <w:lang w:val="en-CA"/>
        </w:rPr>
        <w:t>and present</w:t>
      </w:r>
      <w:r w:rsidR="00D20115">
        <w:rPr>
          <w:lang w:val="en-CA"/>
        </w:rPr>
        <w:t>s no</w:t>
      </w:r>
      <w:r w:rsidRPr="006951A4">
        <w:rPr>
          <w:lang w:val="en-CA"/>
        </w:rPr>
        <w:t xml:space="preserve"> reasonable chance of success.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 xml:space="preserve">The result would be to dismiss the </w:t>
      </w:r>
      <w:r w:rsidR="00B76E6E">
        <w:rPr>
          <w:lang w:val="en-CA"/>
        </w:rPr>
        <w:t>application</w:t>
      </w:r>
      <w:r w:rsidRPr="006951A4">
        <w:rPr>
          <w:lang w:val="en-CA"/>
        </w:rPr>
        <w:t xml:space="preserve"> with respect to the five </w:t>
      </w:r>
      <w:r w:rsidR="00D20115">
        <w:rPr>
          <w:lang w:val="en-CA"/>
        </w:rPr>
        <w:t xml:space="preserve">other </w:t>
      </w:r>
      <w:r w:rsidRPr="006951A4">
        <w:rPr>
          <w:lang w:val="en-CA"/>
        </w:rPr>
        <w:t>mandators.</w:t>
      </w:r>
      <w:r w:rsidR="00A22AEF" w:rsidRPr="006951A4">
        <w:rPr>
          <w:lang w:val="en-CA"/>
        </w:rPr>
        <w:t xml:space="preserve"> </w:t>
      </w:r>
      <w:r w:rsidRPr="00C260E8">
        <w:rPr>
          <w:lang w:val="en-CA"/>
        </w:rPr>
        <w:t>The appellant would continue alone.</w:t>
      </w:r>
    </w:p>
    <w:p w14:paraId="42D1BAE3" w14:textId="376F9464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kern w:val="28"/>
          <w:lang w:val="en-CA"/>
        </w:rPr>
        <w:t>Setting to one side the question</w:t>
      </w:r>
      <w:r w:rsidR="00AB4EDC">
        <w:rPr>
          <w:kern w:val="28"/>
          <w:lang w:val="en-CA"/>
        </w:rPr>
        <w:t>s</w:t>
      </w:r>
      <w:r w:rsidRPr="006951A4">
        <w:rPr>
          <w:kern w:val="28"/>
          <w:lang w:val="en-CA"/>
        </w:rPr>
        <w:t xml:space="preserve"> of whether leave is required </w:t>
      </w:r>
      <w:r w:rsidR="00CB7269">
        <w:rPr>
          <w:kern w:val="28"/>
          <w:lang w:val="en-CA"/>
        </w:rPr>
        <w:t>and</w:t>
      </w:r>
      <w:r w:rsidRPr="006951A4">
        <w:rPr>
          <w:kern w:val="28"/>
          <w:lang w:val="en-CA"/>
        </w:rPr>
        <w:t xml:space="preserve"> whether the appellant, as mandatary, may alone sign the </w:t>
      </w:r>
      <w:r w:rsidR="00AB4EDC" w:rsidRPr="006951A4">
        <w:rPr>
          <w:kern w:val="28"/>
          <w:lang w:val="en-CA"/>
        </w:rPr>
        <w:t>notice</w:t>
      </w:r>
      <w:r w:rsidRPr="006951A4">
        <w:rPr>
          <w:kern w:val="28"/>
          <w:lang w:val="en-CA"/>
        </w:rPr>
        <w:t xml:space="preserve"> of appeal as she did, the application to dismiss the appeal should be granted because it present</w:t>
      </w:r>
      <w:r w:rsidR="0015031A">
        <w:rPr>
          <w:kern w:val="28"/>
          <w:lang w:val="en-CA"/>
        </w:rPr>
        <w:t>s no</w:t>
      </w:r>
      <w:r w:rsidRPr="006951A4">
        <w:rPr>
          <w:kern w:val="28"/>
          <w:lang w:val="en-CA"/>
        </w:rPr>
        <w:t xml:space="preserve"> reasonable chance of </w:t>
      </w:r>
      <w:r w:rsidR="00AB4EDC" w:rsidRPr="006951A4">
        <w:rPr>
          <w:kern w:val="28"/>
          <w:lang w:val="en-CA"/>
        </w:rPr>
        <w:t>success</w:t>
      </w:r>
      <w:r w:rsidRPr="006951A4">
        <w:rPr>
          <w:kern w:val="28"/>
          <w:lang w:val="en-CA"/>
        </w:rPr>
        <w:t xml:space="preserve"> and </w:t>
      </w:r>
      <w:r w:rsidR="00CB7269">
        <w:rPr>
          <w:kern w:val="28"/>
          <w:lang w:val="en-CA"/>
        </w:rPr>
        <w:t>could</w:t>
      </w:r>
      <w:r w:rsidRPr="006951A4">
        <w:rPr>
          <w:kern w:val="28"/>
          <w:lang w:val="en-CA"/>
        </w:rPr>
        <w:t xml:space="preserve"> even be legally destined to fail.</w:t>
      </w:r>
      <w:r w:rsidR="00AB4EDC">
        <w:rPr>
          <w:kern w:val="28"/>
          <w:lang w:val="en-CA"/>
        </w:rPr>
        <w:t xml:space="preserve"> </w:t>
      </w:r>
      <w:r w:rsidRPr="006951A4">
        <w:rPr>
          <w:lang w:val="en-CA"/>
        </w:rPr>
        <w:t xml:space="preserve">The judge was right to conclude that </w:t>
      </w:r>
      <w:r w:rsidR="00326C5E">
        <w:rPr>
          <w:lang w:val="en-CA"/>
        </w:rPr>
        <w:t xml:space="preserve">article 87 C.C.P applies to </w:t>
      </w:r>
      <w:r w:rsidR="00552358">
        <w:rPr>
          <w:lang w:val="en-CA"/>
        </w:rPr>
        <w:t>a</w:t>
      </w:r>
      <w:r w:rsidR="00552358" w:rsidRPr="006951A4">
        <w:rPr>
          <w:lang w:val="en-CA"/>
        </w:rPr>
        <w:t xml:space="preserve"> </w:t>
      </w:r>
      <w:r w:rsidRPr="006951A4">
        <w:rPr>
          <w:lang w:val="en-CA"/>
        </w:rPr>
        <w:t>mandatary appointed under article 91 C.C.P.</w:t>
      </w:r>
      <w:r w:rsidR="00326C5E">
        <w:rPr>
          <w:lang w:val="en-CA"/>
        </w:rPr>
        <w:t xml:space="preserve"> </w:t>
      </w:r>
      <w:r w:rsidRPr="006951A4">
        <w:rPr>
          <w:lang w:val="en-CA"/>
        </w:rPr>
        <w:t xml:space="preserve">and </w:t>
      </w:r>
      <w:r w:rsidR="00CB7269">
        <w:rPr>
          <w:lang w:val="en-CA"/>
        </w:rPr>
        <w:t xml:space="preserve">that such </w:t>
      </w:r>
      <w:r w:rsidR="00CB7269">
        <w:rPr>
          <w:lang w:val="en-CA"/>
        </w:rPr>
        <w:lastRenderedPageBreak/>
        <w:t xml:space="preserve">a mandatory </w:t>
      </w:r>
      <w:r w:rsidR="00326C5E">
        <w:rPr>
          <w:lang w:val="en-CA"/>
        </w:rPr>
        <w:t xml:space="preserve">must </w:t>
      </w:r>
      <w:r w:rsidR="00CB7269">
        <w:rPr>
          <w:lang w:val="en-CA"/>
        </w:rPr>
        <w:t xml:space="preserve">therefore </w:t>
      </w:r>
      <w:r w:rsidRPr="006951A4">
        <w:rPr>
          <w:lang w:val="en-CA"/>
        </w:rPr>
        <w:t xml:space="preserve">be represented by </w:t>
      </w:r>
      <w:r w:rsidR="00AB4EDC">
        <w:rPr>
          <w:lang w:val="en-CA"/>
        </w:rPr>
        <w:t>a lawyer</w:t>
      </w:r>
      <w:r w:rsidR="00CB7269">
        <w:rPr>
          <w:lang w:val="en-CA"/>
        </w:rPr>
        <w:t>,</w:t>
      </w:r>
      <w:r w:rsidRPr="006951A4">
        <w:rPr>
          <w:lang w:val="en-CA"/>
        </w:rPr>
        <w:t xml:space="preserve"> because </w:t>
      </w:r>
      <w:r w:rsidR="00184294">
        <w:rPr>
          <w:lang w:val="en-CA"/>
        </w:rPr>
        <w:t xml:space="preserve">that is what this </w:t>
      </w:r>
      <w:r w:rsidR="00AB4EDC" w:rsidRPr="006951A4">
        <w:rPr>
          <w:lang w:val="en-CA"/>
        </w:rPr>
        <w:t>Court</w:t>
      </w:r>
      <w:r w:rsidRPr="006951A4">
        <w:rPr>
          <w:lang w:val="en-CA"/>
        </w:rPr>
        <w:t xml:space="preserve"> has </w:t>
      </w:r>
      <w:r w:rsidR="00184294">
        <w:rPr>
          <w:lang w:val="en-CA"/>
        </w:rPr>
        <w:t xml:space="preserve">previously </w:t>
      </w:r>
      <w:r w:rsidRPr="006951A4">
        <w:rPr>
          <w:lang w:val="en-CA"/>
        </w:rPr>
        <w:t>decided.</w:t>
      </w:r>
      <w:r w:rsidR="00CB7269">
        <w:rPr>
          <w:rStyle w:val="Appelnotedebasdep"/>
        </w:rPr>
        <w:footnoteReference w:id="2"/>
      </w:r>
    </w:p>
    <w:p w14:paraId="02FB739B" w14:textId="57707560" w:rsidR="004F5F74" w:rsidRPr="006951A4" w:rsidRDefault="006951A4" w:rsidP="004F5F74">
      <w:pPr>
        <w:pStyle w:val="Paragraphe"/>
        <w:rPr>
          <w:lang w:val="en-CA"/>
        </w:rPr>
      </w:pPr>
      <w:r w:rsidRPr="006951A4">
        <w:rPr>
          <w:lang w:val="en-CA"/>
        </w:rPr>
        <w:t xml:space="preserve">In any event, appellant Moniz’s proceeding, which is declaratory in nature, would have the same legal effect </w:t>
      </w:r>
      <w:r w:rsidR="0056762F">
        <w:rPr>
          <w:lang w:val="en-CA"/>
        </w:rPr>
        <w:t>on</w:t>
      </w:r>
      <w:r w:rsidRPr="006951A4">
        <w:rPr>
          <w:lang w:val="en-CA"/>
        </w:rPr>
        <w:t xml:space="preserve"> all</w:t>
      </w:r>
      <w:r w:rsidR="00CB7269">
        <w:rPr>
          <w:lang w:val="en-CA"/>
        </w:rPr>
        <w:t xml:space="preserve"> the parties</w:t>
      </w:r>
      <w:r w:rsidRPr="006951A4">
        <w:rPr>
          <w:lang w:val="en-CA"/>
        </w:rPr>
        <w:t>.</w:t>
      </w:r>
      <w:r w:rsidR="00A22AEF" w:rsidRPr="006951A4">
        <w:rPr>
          <w:lang w:val="en-CA"/>
        </w:rPr>
        <w:t xml:space="preserve"> </w:t>
      </w:r>
      <w:r w:rsidRPr="006951A4">
        <w:rPr>
          <w:lang w:val="en-CA"/>
        </w:rPr>
        <w:t>In other words, the appellant may proceed as the sole plaintiff</w:t>
      </w:r>
      <w:r w:rsidR="00C41B51">
        <w:rPr>
          <w:lang w:val="en-CA"/>
        </w:rPr>
        <w:t>,</w:t>
      </w:r>
      <w:r w:rsidRPr="006951A4">
        <w:rPr>
          <w:lang w:val="en-CA"/>
        </w:rPr>
        <w:t xml:space="preserve"> and </w:t>
      </w:r>
      <w:r w:rsidR="00CB7269">
        <w:rPr>
          <w:lang w:val="en-CA"/>
        </w:rPr>
        <w:t>if</w:t>
      </w:r>
      <w:r w:rsidRPr="006951A4">
        <w:rPr>
          <w:lang w:val="en-CA"/>
        </w:rPr>
        <w:t xml:space="preserve"> she </w:t>
      </w:r>
      <w:r w:rsidR="00CB7269">
        <w:rPr>
          <w:lang w:val="en-CA"/>
        </w:rPr>
        <w:t xml:space="preserve">is </w:t>
      </w:r>
      <w:r w:rsidRPr="006951A4">
        <w:rPr>
          <w:lang w:val="en-CA"/>
        </w:rPr>
        <w:t xml:space="preserve">successful, the declaratory judgment will benefit all </w:t>
      </w:r>
      <w:r w:rsidR="0056762F">
        <w:rPr>
          <w:lang w:val="en-CA"/>
        </w:rPr>
        <w:t>[</w:t>
      </w:r>
      <w:r w:rsidR="0056762F" w:rsidRPr="0056762F">
        <w:rPr>
          <w:smallCaps/>
          <w:lang w:val="en-CA"/>
        </w:rPr>
        <w:t>translation</w:t>
      </w:r>
      <w:r w:rsidR="0056762F">
        <w:rPr>
          <w:lang w:val="en-CA"/>
        </w:rPr>
        <w:t xml:space="preserve">] </w:t>
      </w:r>
      <w:r w:rsidRPr="006951A4">
        <w:rPr>
          <w:lang w:val="en-CA"/>
        </w:rPr>
        <w:t>“federal public servants whose duties allow them to work remotely”.</w:t>
      </w:r>
      <w:r w:rsidR="00A22AEF" w:rsidRPr="006951A4">
        <w:rPr>
          <w:lang w:val="en-CA"/>
        </w:rPr>
        <w:t xml:space="preserve"> </w:t>
      </w:r>
    </w:p>
    <w:p w14:paraId="038EAC52" w14:textId="5C1F2742" w:rsidR="004F5F74" w:rsidRPr="00C260E8" w:rsidRDefault="006951A4" w:rsidP="004F5F74">
      <w:pPr>
        <w:pStyle w:val="Paragraphe"/>
        <w:numPr>
          <w:ilvl w:val="0"/>
          <w:numId w:val="0"/>
        </w:numPr>
        <w:rPr>
          <w:b/>
          <w:lang w:val="en-CA"/>
        </w:rPr>
      </w:pPr>
      <w:r w:rsidRPr="00C260E8">
        <w:rPr>
          <w:b/>
          <w:lang w:val="en-CA"/>
        </w:rPr>
        <w:t>FOR THESE REASONS, THE COURT:</w:t>
      </w:r>
    </w:p>
    <w:p w14:paraId="13758350" w14:textId="7D839E38" w:rsidR="004F5F74" w:rsidRPr="00C260E8" w:rsidRDefault="006951A4" w:rsidP="004F5F74">
      <w:pPr>
        <w:pStyle w:val="Paragraphe"/>
        <w:rPr>
          <w:lang w:val="en-CA"/>
        </w:rPr>
      </w:pPr>
      <w:r w:rsidRPr="00C260E8">
        <w:rPr>
          <w:b/>
          <w:bCs/>
          <w:lang w:val="en-CA"/>
        </w:rPr>
        <w:t>GRANTS</w:t>
      </w:r>
      <w:r w:rsidRPr="00C260E8">
        <w:rPr>
          <w:bCs/>
          <w:lang w:val="en-CA"/>
        </w:rPr>
        <w:t xml:space="preserve"> the application to dismiss the appeal, with legal </w:t>
      </w:r>
      <w:proofErr w:type="gramStart"/>
      <w:r w:rsidRPr="00C260E8">
        <w:rPr>
          <w:bCs/>
          <w:lang w:val="en-CA"/>
        </w:rPr>
        <w:t>costs;</w:t>
      </w:r>
      <w:proofErr w:type="gramEnd"/>
    </w:p>
    <w:p w14:paraId="1E3B3D0B" w14:textId="6553A134" w:rsidR="004F5F74" w:rsidRPr="0056762F" w:rsidRDefault="006951A4" w:rsidP="004F5F74">
      <w:pPr>
        <w:pStyle w:val="Paragraphe"/>
        <w:rPr>
          <w:lang w:val="en-CA"/>
        </w:rPr>
      </w:pPr>
      <w:r w:rsidRPr="00C260E8">
        <w:rPr>
          <w:b/>
          <w:bCs/>
          <w:lang w:val="en-CA"/>
        </w:rPr>
        <w:t xml:space="preserve">DISMISSES </w:t>
      </w:r>
      <w:r w:rsidRPr="0056762F">
        <w:rPr>
          <w:lang w:val="en-CA"/>
        </w:rPr>
        <w:t>the appeal, with legal costs.</w:t>
      </w:r>
    </w:p>
    <w:p w14:paraId="4EDDB253" w14:textId="1FDECA28" w:rsidR="006E187B" w:rsidRPr="006951A4" w:rsidRDefault="006E187B" w:rsidP="004F5F74">
      <w:pPr>
        <w:pStyle w:val="Paragraphe"/>
        <w:numPr>
          <w:ilvl w:val="0"/>
          <w:numId w:val="0"/>
        </w:numPr>
        <w:rPr>
          <w:lang w:val="en-CA"/>
        </w:rPr>
      </w:pPr>
    </w:p>
    <w:tbl>
      <w:tblPr>
        <w:tblW w:w="954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950"/>
      </w:tblGrid>
      <w:tr w:rsidR="006A3CA6" w14:paraId="20F691A4" w14:textId="77777777" w:rsidTr="000F1BBC">
        <w:tc>
          <w:tcPr>
            <w:tcW w:w="4590" w:type="dxa"/>
          </w:tcPr>
          <w:p w14:paraId="616F6413" w14:textId="77777777" w:rsidR="00887EEB" w:rsidRPr="006951A4" w:rsidRDefault="00887EEB" w:rsidP="00887EEB">
            <w:pPr>
              <w:keepNext/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095F1D60" w14:textId="20113DA8" w:rsidR="00887EEB" w:rsidRPr="00C260E8" w:rsidRDefault="006951A4" w:rsidP="00887EEB">
            <w:pPr>
              <w:keepNext/>
              <w:spacing w:line="240" w:lineRule="auto"/>
              <w:rPr>
                <w:rFonts w:cs="Arial"/>
                <w:caps/>
                <w:szCs w:val="24"/>
                <w:lang w:val="es-ES"/>
              </w:rPr>
            </w:pPr>
            <w:r w:rsidRPr="00C260E8">
              <w:t>MARTIN VAUCLAIR, J.A.</w:t>
            </w:r>
          </w:p>
        </w:tc>
      </w:tr>
    </w:tbl>
    <w:p w14:paraId="2E3E0909" w14:textId="77777777" w:rsidR="00887EEB" w:rsidRPr="00887EEB" w:rsidRDefault="00887EEB" w:rsidP="00887EEB">
      <w:pPr>
        <w:keepNext/>
        <w:spacing w:line="240" w:lineRule="auto"/>
        <w:jc w:val="both"/>
        <w:rPr>
          <w:rFonts w:cs="Arial"/>
          <w:szCs w:val="24"/>
          <w:lang w:val="es-ES"/>
        </w:rPr>
      </w:pPr>
    </w:p>
    <w:p w14:paraId="1CED6A8D" w14:textId="77777777" w:rsidR="00887EEB" w:rsidRPr="00887EEB" w:rsidRDefault="00887EEB" w:rsidP="00887EEB">
      <w:pPr>
        <w:keepNext/>
        <w:spacing w:line="240" w:lineRule="auto"/>
        <w:jc w:val="both"/>
        <w:rPr>
          <w:rFonts w:cs="Arial"/>
          <w:szCs w:val="24"/>
          <w:lang w:val="es-ES"/>
        </w:rPr>
      </w:pPr>
    </w:p>
    <w:tbl>
      <w:tblPr>
        <w:tblW w:w="954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950"/>
      </w:tblGrid>
      <w:tr w:rsidR="006A3CA6" w:rsidRPr="00CB7269" w14:paraId="66C5BF72" w14:textId="77777777" w:rsidTr="000F1BBC">
        <w:tc>
          <w:tcPr>
            <w:tcW w:w="4590" w:type="dxa"/>
          </w:tcPr>
          <w:p w14:paraId="5B1D5340" w14:textId="77777777" w:rsidR="00887EEB" w:rsidRPr="00887EEB" w:rsidRDefault="00887EEB" w:rsidP="00887EEB">
            <w:pPr>
              <w:keepNext/>
              <w:spacing w:line="240" w:lineRule="aut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0F0FA8A7" w14:textId="76E3E480" w:rsidR="00887EEB" w:rsidRPr="001B7692" w:rsidRDefault="006951A4" w:rsidP="00887EEB">
            <w:pPr>
              <w:keepNext/>
              <w:spacing w:line="240" w:lineRule="auto"/>
              <w:rPr>
                <w:rFonts w:cs="Arial"/>
                <w:caps/>
                <w:szCs w:val="24"/>
                <w:lang w:val="en-CA"/>
              </w:rPr>
            </w:pPr>
            <w:r w:rsidRPr="00C260E8">
              <w:rPr>
                <w:lang w:val="en-CA"/>
              </w:rPr>
              <w:t>STEPHEN W. HAMILTON, J.A.</w:t>
            </w:r>
          </w:p>
        </w:tc>
      </w:tr>
    </w:tbl>
    <w:p w14:paraId="4B4E5BC5" w14:textId="77777777" w:rsidR="00887EEB" w:rsidRPr="001B7692" w:rsidRDefault="00887EEB" w:rsidP="00887EEB">
      <w:pPr>
        <w:keepNext/>
        <w:spacing w:line="240" w:lineRule="auto"/>
        <w:jc w:val="both"/>
        <w:rPr>
          <w:rFonts w:cs="Arial"/>
          <w:szCs w:val="24"/>
          <w:lang w:val="en-CA"/>
        </w:rPr>
      </w:pPr>
    </w:p>
    <w:p w14:paraId="182368DD" w14:textId="77777777" w:rsidR="00887EEB" w:rsidRPr="001B7692" w:rsidRDefault="00887EEB" w:rsidP="00887EEB">
      <w:pPr>
        <w:keepNext/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W w:w="954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950"/>
      </w:tblGrid>
      <w:tr w:rsidR="006A3CA6" w:rsidRPr="006951A4" w14:paraId="68C874A0" w14:textId="77777777" w:rsidTr="000F1BBC">
        <w:tc>
          <w:tcPr>
            <w:tcW w:w="4590" w:type="dxa"/>
          </w:tcPr>
          <w:p w14:paraId="217AA707" w14:textId="77777777" w:rsidR="00887EEB" w:rsidRPr="001B7692" w:rsidRDefault="00887EEB" w:rsidP="00887EEB">
            <w:pPr>
              <w:keepNext/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7966689E" w14:textId="0167496D" w:rsidR="00887EEB" w:rsidRPr="00C260E8" w:rsidRDefault="006951A4" w:rsidP="00887EEB">
            <w:pPr>
              <w:keepNext/>
              <w:spacing w:line="240" w:lineRule="auto"/>
              <w:rPr>
                <w:rFonts w:cs="Arial"/>
                <w:caps/>
                <w:szCs w:val="24"/>
                <w:lang w:val="es-ES"/>
              </w:rPr>
            </w:pPr>
            <w:r w:rsidRPr="00C260E8">
              <w:rPr>
                <w:lang w:val="en-CA"/>
              </w:rPr>
              <w:t>PETER KALICHMAN, J.A.</w:t>
            </w:r>
          </w:p>
        </w:tc>
      </w:tr>
    </w:tbl>
    <w:p w14:paraId="6D2F0872" w14:textId="77777777" w:rsidR="00887EEB" w:rsidRPr="00887EEB" w:rsidRDefault="00887EEB" w:rsidP="00887EEB">
      <w:pPr>
        <w:spacing w:line="240" w:lineRule="auto"/>
        <w:jc w:val="both"/>
        <w:rPr>
          <w:rFonts w:cs="Arial"/>
          <w:szCs w:val="24"/>
          <w:lang w:val="es-ES"/>
        </w:rPr>
      </w:pPr>
    </w:p>
    <w:p w14:paraId="0CA9C26C" w14:textId="77777777" w:rsidR="005B4976" w:rsidRPr="005F70D1" w:rsidRDefault="005B4976" w:rsidP="00E06061">
      <w:pPr>
        <w:pStyle w:val="Paragraphe"/>
        <w:numPr>
          <w:ilvl w:val="0"/>
          <w:numId w:val="0"/>
        </w:numPr>
        <w:rPr>
          <w:lang w:val="en-CA"/>
        </w:rPr>
      </w:pPr>
    </w:p>
    <w:sectPr w:rsidR="005B4976" w:rsidRPr="005F70D1" w:rsidSect="00497DA2">
      <w:headerReference w:type="default" r:id="rId8"/>
      <w:footnotePr>
        <w:numRestart w:val="eachSect"/>
      </w:footnotePr>
      <w:pgSz w:w="12242" w:h="15842" w:code="1"/>
      <w:pgMar w:top="720" w:right="1262" w:bottom="1296" w:left="1620" w:header="1440" w:footer="792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5927" w14:textId="77777777" w:rsidR="009153EF" w:rsidRDefault="009153EF">
      <w:pPr>
        <w:spacing w:line="240" w:lineRule="auto"/>
      </w:pPr>
      <w:r>
        <w:separator/>
      </w:r>
    </w:p>
  </w:endnote>
  <w:endnote w:type="continuationSeparator" w:id="0">
    <w:p w14:paraId="3A9EA620" w14:textId="77777777" w:rsidR="009153EF" w:rsidRDefault="0091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1D7" w14:textId="77777777" w:rsidR="009153EF" w:rsidRDefault="009153EF">
      <w:r>
        <w:separator/>
      </w:r>
    </w:p>
  </w:footnote>
  <w:footnote w:type="continuationSeparator" w:id="0">
    <w:p w14:paraId="088B73FF" w14:textId="77777777" w:rsidR="009153EF" w:rsidRDefault="009153EF">
      <w:r>
        <w:continuationSeparator/>
      </w:r>
    </w:p>
  </w:footnote>
  <w:footnote w:id="1">
    <w:p w14:paraId="73FA2F3B" w14:textId="6E2CA6C8" w:rsidR="006951A4" w:rsidRPr="00F65056" w:rsidRDefault="006951A4" w:rsidP="006951A4">
      <w:pPr>
        <w:pStyle w:val="Notedebasdepage"/>
      </w:pPr>
      <w:r>
        <w:rPr>
          <w:rStyle w:val="Appelnotedebasdep"/>
        </w:rPr>
        <w:footnoteRef/>
      </w:r>
      <w:r w:rsidRPr="00F65056">
        <w:t xml:space="preserve"> </w:t>
      </w:r>
      <w:r w:rsidRPr="00F65056">
        <w:tab/>
      </w:r>
      <w:r w:rsidRPr="00C260E8">
        <w:rPr>
          <w:i/>
          <w:iCs/>
        </w:rPr>
        <w:t>Charlebois-Chauret c. Procureur général du Canada</w:t>
      </w:r>
      <w:r w:rsidRPr="00C260E8">
        <w:rPr>
          <w:iCs/>
        </w:rPr>
        <w:t>, 2023 QCCS 1364.</w:t>
      </w:r>
    </w:p>
  </w:footnote>
  <w:footnote w:id="2">
    <w:p w14:paraId="47C06DB3" w14:textId="77777777" w:rsidR="00CB7269" w:rsidRPr="00FF694A" w:rsidRDefault="00CB7269" w:rsidP="00CB7269">
      <w:pPr>
        <w:pStyle w:val="Notedebasdepage"/>
      </w:pPr>
      <w:r>
        <w:rPr>
          <w:rStyle w:val="Appelnotedebasdep"/>
        </w:rPr>
        <w:footnoteRef/>
      </w:r>
      <w:r w:rsidRPr="006951A4">
        <w:rPr>
          <w:lang w:val="en-CA"/>
        </w:rPr>
        <w:t xml:space="preserve"> </w:t>
      </w:r>
      <w:r w:rsidRPr="006951A4">
        <w:rPr>
          <w:lang w:val="en-CA"/>
        </w:rPr>
        <w:tab/>
      </w:r>
      <w:r w:rsidRPr="006951A4">
        <w:rPr>
          <w:i/>
          <w:lang w:val="en-CA"/>
        </w:rPr>
        <w:t xml:space="preserve">Burdet c. Carleton Condominium Corporation No. 396, </w:t>
      </w:r>
      <w:r w:rsidRPr="006951A4">
        <w:rPr>
          <w:lang w:val="en-CA"/>
        </w:rPr>
        <w:t>2018 QCCA 1192 at para. </w:t>
      </w:r>
      <w:r w:rsidRPr="007D37F1">
        <w:t xml:space="preserve">11, </w:t>
      </w:r>
      <w:r>
        <w:t>citing</w:t>
      </w:r>
      <w:r w:rsidRPr="007D37F1">
        <w:t xml:space="preserve"> </w:t>
      </w:r>
      <w:r w:rsidRPr="007D37F1">
        <w:rPr>
          <w:i/>
        </w:rPr>
        <w:t>Bibaud v. Québec (Régie de l’assurance maladie)</w:t>
      </w:r>
      <w:r w:rsidRPr="007D37F1">
        <w:t>, 2004 SCC 35, [2004] 2 S.C.R.</w:t>
      </w:r>
      <w:r>
        <w:t> </w:t>
      </w:r>
      <w:r w:rsidRPr="00C260E8">
        <w:t>3</w:t>
      </w:r>
      <w:r>
        <w:t xml:space="preserve">, </w:t>
      </w:r>
      <w:r w:rsidRPr="00C260E8">
        <w:t>2004 SCC 35 at para.</w:t>
      </w:r>
      <w:r>
        <w:t> </w:t>
      </w:r>
      <w:r w:rsidRPr="007D37F1">
        <w:rPr>
          <w:lang w:val="en-CA"/>
        </w:rPr>
        <w:t xml:space="preserve">11; see also </w:t>
      </w:r>
      <w:r w:rsidRPr="007D37F1">
        <w:rPr>
          <w:i/>
          <w:lang w:val="en-CA"/>
        </w:rPr>
        <w:t>Carle c. CBC/Radio Canada</w:t>
      </w:r>
      <w:r w:rsidRPr="007D37F1">
        <w:rPr>
          <w:lang w:val="en-CA"/>
        </w:rPr>
        <w:t>, 2019 QCCS 3166 at paras. </w:t>
      </w:r>
      <w:r w:rsidRPr="007D37F1">
        <w:t xml:space="preserve">28–32 and </w:t>
      </w:r>
      <w:r w:rsidRPr="007D37F1">
        <w:rPr>
          <w:i/>
        </w:rPr>
        <w:t>Sigouin-Doré c. Champoux</w:t>
      </w:r>
      <w:r w:rsidRPr="007D37F1">
        <w:t>, 2023 QCCS 2349.</w:t>
      </w:r>
    </w:p>
    <w:p w14:paraId="3C3D3F20" w14:textId="77777777" w:rsidR="00CB7269" w:rsidRDefault="00CB7269" w:rsidP="00CB726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2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7474"/>
      <w:gridCol w:w="2246"/>
    </w:tblGrid>
    <w:tr w:rsidR="006A3CA6" w14:paraId="46A3733E" w14:textId="77777777" w:rsidTr="001B3129">
      <w:tc>
        <w:tcPr>
          <w:tcW w:w="7474" w:type="dxa"/>
        </w:tcPr>
        <w:p w14:paraId="46A3733C" w14:textId="79A80814" w:rsidR="002A0AED" w:rsidRDefault="006951A4" w:rsidP="00637D6F">
          <w:pPr>
            <w:tabs>
              <w:tab w:val="left" w:pos="442"/>
              <w:tab w:val="center" w:pos="4709"/>
              <w:tab w:val="right" w:pos="9360"/>
            </w:tabs>
            <w:ind w:right="524"/>
          </w:pPr>
          <w:r>
            <w:t>500-09-700167-232</w:t>
          </w:r>
        </w:p>
      </w:tc>
      <w:tc>
        <w:tcPr>
          <w:tcW w:w="2246" w:type="dxa"/>
        </w:tcPr>
        <w:p w14:paraId="46A3733D" w14:textId="5C3427CE" w:rsidR="002A0AED" w:rsidRDefault="00A22AEF" w:rsidP="006E187B">
          <w:pPr>
            <w:tabs>
              <w:tab w:val="left" w:pos="442"/>
              <w:tab w:val="left" w:pos="1868"/>
              <w:tab w:val="center" w:pos="4709"/>
              <w:tab w:val="right" w:pos="9360"/>
            </w:tabs>
            <w:ind w:right="159"/>
            <w:jc w:val="right"/>
          </w:pPr>
          <w:r>
            <w:tab/>
          </w:r>
          <w:r w:rsidR="007D37F1" w:rsidRPr="00C260E8">
            <w:t>PAGE:</w:t>
          </w:r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46A37340" w14:textId="4D9836D7" w:rsidR="002A0AED" w:rsidRDefault="002A0AED" w:rsidP="00934255">
    <w:pPr>
      <w:tabs>
        <w:tab w:val="left" w:pos="442"/>
        <w:tab w:val="center" w:pos="4709"/>
        <w:tab w:val="right" w:pos="9360"/>
      </w:tabs>
      <w:ind w:right="5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1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2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6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C3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AB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21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0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43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4A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B52DE"/>
    <w:multiLevelType w:val="multilevel"/>
    <w:tmpl w:val="5C103B16"/>
    <w:lvl w:ilvl="0">
      <w:start w:val="1"/>
      <w:numFmt w:val="decimal"/>
      <w:pStyle w:val="Paragraphe"/>
      <w:lvlText w:val="[%1]"/>
      <w:lvlJc w:val="left"/>
      <w:pPr>
        <w:tabs>
          <w:tab w:val="num" w:pos="990"/>
        </w:tabs>
        <w:ind w:left="2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A9D1B84"/>
    <w:multiLevelType w:val="multilevel"/>
    <w:tmpl w:val="2766DEE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09C0DCC"/>
    <w:multiLevelType w:val="multilevel"/>
    <w:tmpl w:val="F11C8164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6976160">
    <w:abstractNumId w:val="12"/>
  </w:num>
  <w:num w:numId="2" w16cid:durableId="2061853877">
    <w:abstractNumId w:val="12"/>
  </w:num>
  <w:num w:numId="3" w16cid:durableId="350301768">
    <w:abstractNumId w:val="12"/>
  </w:num>
  <w:num w:numId="4" w16cid:durableId="971403168">
    <w:abstractNumId w:val="8"/>
  </w:num>
  <w:num w:numId="5" w16cid:durableId="1327052121">
    <w:abstractNumId w:val="3"/>
  </w:num>
  <w:num w:numId="6" w16cid:durableId="1326055493">
    <w:abstractNumId w:val="2"/>
  </w:num>
  <w:num w:numId="7" w16cid:durableId="1044719618">
    <w:abstractNumId w:val="1"/>
  </w:num>
  <w:num w:numId="8" w16cid:durableId="584847886">
    <w:abstractNumId w:val="0"/>
  </w:num>
  <w:num w:numId="9" w16cid:durableId="451022032">
    <w:abstractNumId w:val="9"/>
  </w:num>
  <w:num w:numId="10" w16cid:durableId="1467507172">
    <w:abstractNumId w:val="7"/>
  </w:num>
  <w:num w:numId="11" w16cid:durableId="445782588">
    <w:abstractNumId w:val="6"/>
  </w:num>
  <w:num w:numId="12" w16cid:durableId="1531726525">
    <w:abstractNumId w:val="5"/>
  </w:num>
  <w:num w:numId="13" w16cid:durableId="827093137">
    <w:abstractNumId w:val="4"/>
  </w:num>
  <w:num w:numId="14" w16cid:durableId="1261141740">
    <w:abstractNumId w:val="12"/>
  </w:num>
  <w:num w:numId="15" w16cid:durableId="1249920851">
    <w:abstractNumId w:val="12"/>
  </w:num>
  <w:num w:numId="16" w16cid:durableId="4944213">
    <w:abstractNumId w:val="12"/>
  </w:num>
  <w:num w:numId="17" w16cid:durableId="490371865">
    <w:abstractNumId w:val="11"/>
  </w:num>
  <w:num w:numId="18" w16cid:durableId="1847936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E3"/>
    <w:rsid w:val="00005741"/>
    <w:rsid w:val="000250C2"/>
    <w:rsid w:val="00033ACA"/>
    <w:rsid w:val="000361F8"/>
    <w:rsid w:val="00075207"/>
    <w:rsid w:val="000767F2"/>
    <w:rsid w:val="00080D1F"/>
    <w:rsid w:val="00082F0A"/>
    <w:rsid w:val="00085092"/>
    <w:rsid w:val="000B60BA"/>
    <w:rsid w:val="000C54D9"/>
    <w:rsid w:val="000E3231"/>
    <w:rsid w:val="000F1BBC"/>
    <w:rsid w:val="000F74B3"/>
    <w:rsid w:val="001009B2"/>
    <w:rsid w:val="00103275"/>
    <w:rsid w:val="00104397"/>
    <w:rsid w:val="0010484E"/>
    <w:rsid w:val="00106BD1"/>
    <w:rsid w:val="001251D8"/>
    <w:rsid w:val="00135014"/>
    <w:rsid w:val="00137252"/>
    <w:rsid w:val="00146ED1"/>
    <w:rsid w:val="0015031A"/>
    <w:rsid w:val="00151498"/>
    <w:rsid w:val="00175437"/>
    <w:rsid w:val="00176717"/>
    <w:rsid w:val="00180114"/>
    <w:rsid w:val="00184294"/>
    <w:rsid w:val="00186B64"/>
    <w:rsid w:val="0019019D"/>
    <w:rsid w:val="001949A0"/>
    <w:rsid w:val="001A4667"/>
    <w:rsid w:val="001B1B44"/>
    <w:rsid w:val="001B3129"/>
    <w:rsid w:val="001B3898"/>
    <w:rsid w:val="001B7692"/>
    <w:rsid w:val="001E13E3"/>
    <w:rsid w:val="001E4769"/>
    <w:rsid w:val="001E7314"/>
    <w:rsid w:val="0021091C"/>
    <w:rsid w:val="002133E1"/>
    <w:rsid w:val="00215559"/>
    <w:rsid w:val="00221170"/>
    <w:rsid w:val="0023213C"/>
    <w:rsid w:val="00266D03"/>
    <w:rsid w:val="002745AE"/>
    <w:rsid w:val="002A0AED"/>
    <w:rsid w:val="002A0B7A"/>
    <w:rsid w:val="002A295B"/>
    <w:rsid w:val="002C1B95"/>
    <w:rsid w:val="002C4107"/>
    <w:rsid w:val="002C5F4D"/>
    <w:rsid w:val="002C7179"/>
    <w:rsid w:val="002D6A15"/>
    <w:rsid w:val="002E4905"/>
    <w:rsid w:val="002E7403"/>
    <w:rsid w:val="002F1259"/>
    <w:rsid w:val="003041AF"/>
    <w:rsid w:val="00320C2D"/>
    <w:rsid w:val="00326C5E"/>
    <w:rsid w:val="0033020E"/>
    <w:rsid w:val="003513C7"/>
    <w:rsid w:val="00377198"/>
    <w:rsid w:val="00382966"/>
    <w:rsid w:val="00387281"/>
    <w:rsid w:val="0039120A"/>
    <w:rsid w:val="003B23CE"/>
    <w:rsid w:val="003B65F2"/>
    <w:rsid w:val="003E5F73"/>
    <w:rsid w:val="004048B6"/>
    <w:rsid w:val="00424BE3"/>
    <w:rsid w:val="004331C4"/>
    <w:rsid w:val="004505FD"/>
    <w:rsid w:val="004546D6"/>
    <w:rsid w:val="00487C68"/>
    <w:rsid w:val="004944B8"/>
    <w:rsid w:val="00497DA2"/>
    <w:rsid w:val="004D37E3"/>
    <w:rsid w:val="004D3CB0"/>
    <w:rsid w:val="004F15FC"/>
    <w:rsid w:val="004F5F74"/>
    <w:rsid w:val="00501E09"/>
    <w:rsid w:val="00514CD1"/>
    <w:rsid w:val="00540690"/>
    <w:rsid w:val="0054437A"/>
    <w:rsid w:val="005504D5"/>
    <w:rsid w:val="00552358"/>
    <w:rsid w:val="00566BF6"/>
    <w:rsid w:val="0056762F"/>
    <w:rsid w:val="005764E8"/>
    <w:rsid w:val="0057662E"/>
    <w:rsid w:val="00582EC0"/>
    <w:rsid w:val="005B4976"/>
    <w:rsid w:val="005C2276"/>
    <w:rsid w:val="005D1522"/>
    <w:rsid w:val="005D29E7"/>
    <w:rsid w:val="005F0450"/>
    <w:rsid w:val="005F70D1"/>
    <w:rsid w:val="00601CAC"/>
    <w:rsid w:val="0062746D"/>
    <w:rsid w:val="00637D6F"/>
    <w:rsid w:val="006527B6"/>
    <w:rsid w:val="0065602B"/>
    <w:rsid w:val="00656303"/>
    <w:rsid w:val="00670ADD"/>
    <w:rsid w:val="006848EF"/>
    <w:rsid w:val="00692E06"/>
    <w:rsid w:val="006951A4"/>
    <w:rsid w:val="00696B71"/>
    <w:rsid w:val="006A3CA6"/>
    <w:rsid w:val="006A6304"/>
    <w:rsid w:val="006C6451"/>
    <w:rsid w:val="006D1CB1"/>
    <w:rsid w:val="006D473F"/>
    <w:rsid w:val="006E152D"/>
    <w:rsid w:val="006E187B"/>
    <w:rsid w:val="006E65C2"/>
    <w:rsid w:val="00702C6D"/>
    <w:rsid w:val="00711DD5"/>
    <w:rsid w:val="007149F6"/>
    <w:rsid w:val="007341C5"/>
    <w:rsid w:val="00735423"/>
    <w:rsid w:val="007377D2"/>
    <w:rsid w:val="00740A17"/>
    <w:rsid w:val="007519EA"/>
    <w:rsid w:val="00752373"/>
    <w:rsid w:val="007547CE"/>
    <w:rsid w:val="00757467"/>
    <w:rsid w:val="0077096E"/>
    <w:rsid w:val="00770C57"/>
    <w:rsid w:val="007818B0"/>
    <w:rsid w:val="00792082"/>
    <w:rsid w:val="007953F3"/>
    <w:rsid w:val="007B296A"/>
    <w:rsid w:val="007B70ED"/>
    <w:rsid w:val="007C678F"/>
    <w:rsid w:val="007D13F3"/>
    <w:rsid w:val="007D37F1"/>
    <w:rsid w:val="007D632A"/>
    <w:rsid w:val="007F2157"/>
    <w:rsid w:val="00815868"/>
    <w:rsid w:val="00827B04"/>
    <w:rsid w:val="00831C53"/>
    <w:rsid w:val="00834C9C"/>
    <w:rsid w:val="008430CA"/>
    <w:rsid w:val="00846E3E"/>
    <w:rsid w:val="00850063"/>
    <w:rsid w:val="00854C3E"/>
    <w:rsid w:val="00864D19"/>
    <w:rsid w:val="008757BD"/>
    <w:rsid w:val="00882210"/>
    <w:rsid w:val="0088670F"/>
    <w:rsid w:val="00887EEB"/>
    <w:rsid w:val="008A1AD8"/>
    <w:rsid w:val="008C028C"/>
    <w:rsid w:val="008D2FB6"/>
    <w:rsid w:val="008E0ED5"/>
    <w:rsid w:val="008E13C7"/>
    <w:rsid w:val="008E7BCA"/>
    <w:rsid w:val="008F024E"/>
    <w:rsid w:val="008F2ACD"/>
    <w:rsid w:val="008F364A"/>
    <w:rsid w:val="0090715A"/>
    <w:rsid w:val="00907492"/>
    <w:rsid w:val="0091108A"/>
    <w:rsid w:val="009153EF"/>
    <w:rsid w:val="009179E6"/>
    <w:rsid w:val="00931017"/>
    <w:rsid w:val="00934255"/>
    <w:rsid w:val="0093677F"/>
    <w:rsid w:val="00950F4A"/>
    <w:rsid w:val="00950FA6"/>
    <w:rsid w:val="00953B63"/>
    <w:rsid w:val="009542F2"/>
    <w:rsid w:val="00954DC2"/>
    <w:rsid w:val="0096293D"/>
    <w:rsid w:val="00967A34"/>
    <w:rsid w:val="009762F2"/>
    <w:rsid w:val="009866BC"/>
    <w:rsid w:val="00990B9F"/>
    <w:rsid w:val="00996C51"/>
    <w:rsid w:val="009A2428"/>
    <w:rsid w:val="009B77AF"/>
    <w:rsid w:val="009C3ACF"/>
    <w:rsid w:val="009D1618"/>
    <w:rsid w:val="009F0E98"/>
    <w:rsid w:val="009F4E60"/>
    <w:rsid w:val="00A00FEB"/>
    <w:rsid w:val="00A12875"/>
    <w:rsid w:val="00A1718C"/>
    <w:rsid w:val="00A22AEF"/>
    <w:rsid w:val="00A62FEE"/>
    <w:rsid w:val="00AA0AE4"/>
    <w:rsid w:val="00AB0C55"/>
    <w:rsid w:val="00AB4966"/>
    <w:rsid w:val="00AB4EDC"/>
    <w:rsid w:val="00AC5BB3"/>
    <w:rsid w:val="00AE1C2E"/>
    <w:rsid w:val="00AF5327"/>
    <w:rsid w:val="00AF563B"/>
    <w:rsid w:val="00B15536"/>
    <w:rsid w:val="00B25BA1"/>
    <w:rsid w:val="00B32F63"/>
    <w:rsid w:val="00B451C3"/>
    <w:rsid w:val="00B452C2"/>
    <w:rsid w:val="00B65CE4"/>
    <w:rsid w:val="00B71E57"/>
    <w:rsid w:val="00B76E6E"/>
    <w:rsid w:val="00B82A13"/>
    <w:rsid w:val="00BB0501"/>
    <w:rsid w:val="00BB483F"/>
    <w:rsid w:val="00BD31B6"/>
    <w:rsid w:val="00BE6180"/>
    <w:rsid w:val="00BF09C1"/>
    <w:rsid w:val="00BF1A06"/>
    <w:rsid w:val="00BF481E"/>
    <w:rsid w:val="00C1429C"/>
    <w:rsid w:val="00C260E8"/>
    <w:rsid w:val="00C30F2F"/>
    <w:rsid w:val="00C40A6B"/>
    <w:rsid w:val="00C41B51"/>
    <w:rsid w:val="00C47029"/>
    <w:rsid w:val="00C47211"/>
    <w:rsid w:val="00C477EB"/>
    <w:rsid w:val="00C62CCF"/>
    <w:rsid w:val="00C92E57"/>
    <w:rsid w:val="00C96021"/>
    <w:rsid w:val="00C969F7"/>
    <w:rsid w:val="00CA21CC"/>
    <w:rsid w:val="00CB7269"/>
    <w:rsid w:val="00CC7EE5"/>
    <w:rsid w:val="00CD4AD2"/>
    <w:rsid w:val="00CD58FC"/>
    <w:rsid w:val="00D030D3"/>
    <w:rsid w:val="00D14752"/>
    <w:rsid w:val="00D20115"/>
    <w:rsid w:val="00D26AB1"/>
    <w:rsid w:val="00D67052"/>
    <w:rsid w:val="00D86710"/>
    <w:rsid w:val="00DC4C0A"/>
    <w:rsid w:val="00DD3A24"/>
    <w:rsid w:val="00DE3438"/>
    <w:rsid w:val="00DF3EE2"/>
    <w:rsid w:val="00DF7686"/>
    <w:rsid w:val="00DF7D37"/>
    <w:rsid w:val="00E06061"/>
    <w:rsid w:val="00E1376E"/>
    <w:rsid w:val="00E25C04"/>
    <w:rsid w:val="00E311DC"/>
    <w:rsid w:val="00E50EA6"/>
    <w:rsid w:val="00E50F09"/>
    <w:rsid w:val="00E51293"/>
    <w:rsid w:val="00E55CDF"/>
    <w:rsid w:val="00E85342"/>
    <w:rsid w:val="00EA2647"/>
    <w:rsid w:val="00EC0348"/>
    <w:rsid w:val="00EC2D0A"/>
    <w:rsid w:val="00EC57E1"/>
    <w:rsid w:val="00ED4595"/>
    <w:rsid w:val="00EE11A8"/>
    <w:rsid w:val="00F019F9"/>
    <w:rsid w:val="00F050F0"/>
    <w:rsid w:val="00F12661"/>
    <w:rsid w:val="00F1760F"/>
    <w:rsid w:val="00F257C5"/>
    <w:rsid w:val="00F3537E"/>
    <w:rsid w:val="00F44D2D"/>
    <w:rsid w:val="00F47DB9"/>
    <w:rsid w:val="00F5562C"/>
    <w:rsid w:val="00F55CD4"/>
    <w:rsid w:val="00F64DD4"/>
    <w:rsid w:val="00F65056"/>
    <w:rsid w:val="00F7072E"/>
    <w:rsid w:val="00F72BD0"/>
    <w:rsid w:val="00F853BE"/>
    <w:rsid w:val="00F903C2"/>
    <w:rsid w:val="00F909F1"/>
    <w:rsid w:val="00F943C5"/>
    <w:rsid w:val="00FB3A36"/>
    <w:rsid w:val="00FC1957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9B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04"/>
    <w:pPr>
      <w:spacing w:line="280" w:lineRule="exact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500" w:lineRule="exact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E06061"/>
    <w:pPr>
      <w:numPr>
        <w:numId w:val="18"/>
      </w:numPr>
      <w:tabs>
        <w:tab w:val="clear" w:pos="990"/>
      </w:tabs>
      <w:spacing w:before="120" w:after="120" w:line="240" w:lineRule="auto"/>
      <w:ind w:left="0"/>
      <w:jc w:val="both"/>
    </w:pPr>
  </w:style>
  <w:style w:type="paragraph" w:customStyle="1" w:styleId="Citationenretrait">
    <w:name w:val="Citation en retrait"/>
    <w:basedOn w:val="Normal"/>
    <w:link w:val="CitationenretraitCar"/>
    <w:qFormat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Notedebasdepage">
    <w:name w:val="footnote text"/>
    <w:basedOn w:val="Normal"/>
    <w:link w:val="NotedebasdepageCar"/>
    <w:qFormat/>
    <w:pPr>
      <w:spacing w:line="240" w:lineRule="auto"/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864D19"/>
    <w:pPr>
      <w:spacing w:line="500" w:lineRule="exact"/>
      <w:jc w:val="center"/>
    </w:pPr>
    <w:rPr>
      <w:rFonts w:eastAsiaTheme="minorHAnsi" w:cs="Arial"/>
      <w:b/>
      <w:sz w:val="36"/>
      <w:szCs w:val="24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  <w:rsid w:val="00864D19"/>
    <w:pPr>
      <w:ind w:left="-108"/>
    </w:pPr>
    <w:rPr>
      <w:rFonts w:eastAsiaTheme="minorHAnsi" w:cs="Arial"/>
      <w:szCs w:val="24"/>
    </w:rPr>
  </w:style>
  <w:style w:type="paragraph" w:customStyle="1" w:styleId="zSoquijlblGreffe">
    <w:name w:val="zSoquij_lblGreffe"/>
    <w:basedOn w:val="Normal"/>
  </w:style>
  <w:style w:type="paragraph" w:customStyle="1" w:styleId="zSoquijdatGreffe">
    <w:name w:val="zSoquij_datGreffe"/>
    <w:basedOn w:val="Normal"/>
    <w:rsid w:val="0057662E"/>
    <w:pPr>
      <w:ind w:left="-115"/>
    </w:pPr>
    <w:rPr>
      <w:rFonts w:cs="Arial"/>
    </w:r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  <w:rsid w:val="0057662E"/>
    <w:pPr>
      <w:ind w:left="-115"/>
    </w:pPr>
    <w:rPr>
      <w:rFonts w:cs="Arial"/>
    </w:rPr>
  </w:style>
  <w:style w:type="paragraph" w:customStyle="1" w:styleId="zSoquijdatNoDossierAnt">
    <w:name w:val="zSoquij_datNoDossierAnt"/>
    <w:basedOn w:val="Normal"/>
    <w:rsid w:val="0057662E"/>
    <w:pPr>
      <w:ind w:left="-115"/>
    </w:pPr>
    <w:rPr>
      <w:rFonts w:cs="Arial"/>
    </w:rPr>
  </w:style>
  <w:style w:type="paragraph" w:customStyle="1" w:styleId="zSoquijdatDateJugement">
    <w:name w:val="zSoquij_datDateJugement"/>
    <w:basedOn w:val="Normal"/>
    <w:rsid w:val="0057662E"/>
    <w:pPr>
      <w:ind w:left="-115"/>
    </w:pPr>
    <w:rPr>
      <w:rFonts w:cs="Arial"/>
    </w:rPr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rPr>
      <w:b/>
    </w:rPr>
  </w:style>
  <w:style w:type="paragraph" w:customStyle="1" w:styleId="zSoquijdatQteJuge">
    <w:name w:val="zSoquij_datQteJuge"/>
    <w:basedOn w:val="Normal"/>
    <w:rsid w:val="00864D19"/>
    <w:pPr>
      <w:ind w:left="-103"/>
    </w:pPr>
    <w:rPr>
      <w:rFonts w:eastAsiaTheme="minorHAnsi" w:cs="Arial"/>
      <w:szCs w:val="24"/>
    </w:rPr>
  </w:style>
  <w:style w:type="paragraph" w:customStyle="1" w:styleId="zSoquijdatJuge1">
    <w:name w:val="zSoquij_datJuge_1"/>
    <w:basedOn w:val="Normal"/>
    <w:rsid w:val="00F64DD4"/>
    <w:rPr>
      <w:rFonts w:eastAsiaTheme="minorHAnsi" w:cs="Arial"/>
      <w:szCs w:val="24"/>
    </w:rPr>
  </w:style>
  <w:style w:type="paragraph" w:customStyle="1" w:styleId="zSoquijdatNomPartieDem">
    <w:name w:val="zSoquij_datNomPartieDem"/>
    <w:basedOn w:val="Normal"/>
    <w:rsid w:val="00F12661"/>
    <w:pPr>
      <w:jc w:val="center"/>
    </w:pPr>
    <w:rPr>
      <w:b/>
      <w:bCs/>
    </w:rPr>
  </w:style>
  <w:style w:type="paragraph" w:customStyle="1" w:styleId="zSoquijdatQtePartieDem">
    <w:name w:val="zSoquij_datQtePartieDem"/>
    <w:basedOn w:val="Normal"/>
    <w:rsid w:val="00670ADD"/>
    <w:pPr>
      <w:spacing w:before="120" w:after="120" w:line="240" w:lineRule="auto"/>
      <w:jc w:val="center"/>
    </w:pPr>
    <w:rPr>
      <w:rFonts w:cs="Arial"/>
      <w:kern w:val="28"/>
      <w:szCs w:val="24"/>
    </w:r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sid w:val="007519EA"/>
    <w:pPr>
      <w:jc w:val="center"/>
    </w:pPr>
    <w:rPr>
      <w:b/>
      <w:bCs/>
    </w:rPr>
  </w:style>
  <w:style w:type="paragraph" w:customStyle="1" w:styleId="zSoquijdatQtePartieDef">
    <w:name w:val="zSoquij_datQtePartieDef"/>
    <w:basedOn w:val="Normal"/>
    <w:rsid w:val="00670ADD"/>
    <w:pPr>
      <w:spacing w:before="120" w:after="120" w:line="240" w:lineRule="auto"/>
      <w:jc w:val="center"/>
    </w:pPr>
    <w:rPr>
      <w:rFonts w:cs="Arial"/>
      <w:kern w:val="28"/>
      <w:szCs w:val="24"/>
    </w:rPr>
  </w:style>
  <w:style w:type="paragraph" w:customStyle="1" w:styleId="zSoquijlblTypeDocument">
    <w:name w:val="zSoquij_lblTypeDocument"/>
    <w:basedOn w:val="Normal"/>
    <w:pPr>
      <w:jc w:val="center"/>
    </w:pPr>
  </w:style>
  <w:style w:type="paragraph" w:customStyle="1" w:styleId="zSoquijlblProcureurDem">
    <w:name w:val="zSoquij_lblProcureurDem"/>
    <w:basedOn w:val="Normal"/>
    <w:rsid w:val="00670ADD"/>
    <w:pPr>
      <w:spacing w:before="40" w:after="40" w:line="240" w:lineRule="auto"/>
      <w:jc w:val="center"/>
    </w:pPr>
    <w:rPr>
      <w:rFonts w:cs="Arial"/>
      <w:kern w:val="28"/>
      <w:szCs w:val="24"/>
    </w:rPr>
  </w:style>
  <w:style w:type="paragraph" w:customStyle="1" w:styleId="zSoquijlblProcureurDef">
    <w:name w:val="zSoquij_lblProcureurDef"/>
    <w:basedOn w:val="Normal"/>
    <w:rsid w:val="00670ADD"/>
    <w:pPr>
      <w:spacing w:before="40" w:after="40" w:line="240" w:lineRule="auto"/>
      <w:jc w:val="center"/>
    </w:pPr>
    <w:rPr>
      <w:rFonts w:cs="Arial"/>
      <w:kern w:val="28"/>
      <w:szCs w:val="24"/>
    </w:rPr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jc w:val="center"/>
    </w:pPr>
  </w:style>
  <w:style w:type="character" w:customStyle="1" w:styleId="zSoquijlblEntNoDossier">
    <w:name w:val="zSoquij_lblEntNoDossier"/>
    <w:basedOn w:val="Policepardfaut"/>
    <w:rPr>
      <w:noProof w:val="0"/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IdJuge">
    <w:name w:val="zSoquij_datIdJuge"/>
    <w:basedOn w:val="Normal"/>
    <w:pPr>
      <w:jc w:val="right"/>
    </w:pPr>
  </w:style>
  <w:style w:type="paragraph" w:customStyle="1" w:styleId="Sous-paragraphe">
    <w:name w:val="Sous-paragraphe"/>
    <w:basedOn w:val="Normal"/>
    <w:qFormat/>
    <w:pPr>
      <w:widowControl w:val="0"/>
      <w:numPr>
        <w:ilvl w:val="1"/>
        <w:numId w:val="18"/>
      </w:numPr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rsid w:val="00F12661"/>
    <w:pPr>
      <w:keepNext/>
    </w:pPr>
  </w:style>
  <w:style w:type="paragraph" w:customStyle="1" w:styleId="zSoquijdatNomProcureurDef">
    <w:name w:val="zSoquij_datNomProcureurDef"/>
    <w:basedOn w:val="zSoquijlblProcureurDef"/>
    <w:rsid w:val="002E7403"/>
    <w:pPr>
      <w:keepNext/>
    </w:pPr>
  </w:style>
  <w:style w:type="paragraph" w:customStyle="1" w:styleId="zSoquijdatCabinetProcureurDem">
    <w:name w:val="zSoquij_datCabinetProcureurDem"/>
    <w:basedOn w:val="Normal"/>
    <w:rsid w:val="00F12661"/>
    <w:pPr>
      <w:keepNext/>
      <w:jc w:val="center"/>
    </w:pPr>
    <w:rPr>
      <w:lang w:val="es-ES"/>
    </w:rPr>
  </w:style>
  <w:style w:type="paragraph" w:customStyle="1" w:styleId="zSoquijdatCabinetProcureurDef">
    <w:name w:val="zSoquij_datCabinetProcureurDef"/>
    <w:basedOn w:val="zSoquijlblProcureurDef"/>
    <w:rsid w:val="002E7403"/>
    <w:pPr>
      <w:keepNext/>
    </w:pPr>
    <w:rPr>
      <w:lang w:val="es-ES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audroiteanglais">
    <w:name w:val="Tableau droite anglais"/>
    <w:basedOn w:val="Tableaugauchefranais"/>
    <w:link w:val="TableaudroiteanglaisCar"/>
    <w:pPr>
      <w:ind w:left="144" w:right="720"/>
      <w:jc w:val="both"/>
    </w:pPr>
    <w:rPr>
      <w:lang w:val="en-CA"/>
    </w:rPr>
  </w:style>
  <w:style w:type="paragraph" w:customStyle="1" w:styleId="Tableaugauchefranais">
    <w:name w:val="Tableau gauche français"/>
    <w:basedOn w:val="Normal"/>
    <w:link w:val="TableaugauchefranaisCar"/>
    <w:pPr>
      <w:ind w:left="720" w:right="144"/>
    </w:pPr>
    <w:rPr>
      <w:sz w:val="22"/>
    </w:rPr>
  </w:style>
  <w:style w:type="character" w:styleId="Appelnotedebasdep">
    <w:name w:val="footnote reference"/>
    <w:qFormat/>
    <w:rPr>
      <w:noProof w:val="0"/>
      <w:vertAlign w:val="superscript"/>
      <w:lang w:val="fr-CA"/>
    </w:rPr>
  </w:style>
  <w:style w:type="paragraph" w:styleId="Corpsdetexte3">
    <w:name w:val="Body Text 3"/>
    <w:basedOn w:val="Normal"/>
    <w:semiHidden/>
    <w:pPr>
      <w:spacing w:after="120"/>
    </w:pPr>
    <w:rPr>
      <w:sz w:val="16"/>
    </w:rPr>
  </w:style>
  <w:style w:type="paragraph" w:customStyle="1" w:styleId="zSoquijdatRepertorie">
    <w:name w:val="zSoquij_datRepertorie"/>
    <w:basedOn w:val="zSoquijlblCour"/>
    <w:pPr>
      <w:spacing w:line="240" w:lineRule="auto"/>
      <w:jc w:val="left"/>
    </w:pPr>
    <w:rPr>
      <w:sz w:val="22"/>
    </w:rPr>
  </w:style>
  <w:style w:type="paragraph" w:customStyle="1" w:styleId="zSoquijdatRefNeutre">
    <w:name w:val="zSoquij_datRefNeutre"/>
    <w:basedOn w:val="zSoquijlblCour"/>
    <w:pPr>
      <w:spacing w:line="240" w:lineRule="auto"/>
      <w:jc w:val="left"/>
    </w:pPr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FB3A36"/>
    <w:rPr>
      <w:rFonts w:ascii="Arial" w:hAnsi="Arial"/>
      <w:lang w:eastAsia="fr-FR"/>
    </w:rPr>
  </w:style>
  <w:style w:type="character" w:customStyle="1" w:styleId="ParagrapheCar">
    <w:name w:val="Paragraphe Car"/>
    <w:link w:val="Paragraphe"/>
    <w:qFormat/>
    <w:rsid w:val="00E06061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F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F0A"/>
    <w:rPr>
      <w:rFonts w:ascii="Segoe UI" w:hAnsi="Segoe UI" w:cs="Segoe UI"/>
      <w:sz w:val="18"/>
      <w:szCs w:val="18"/>
      <w:lang w:eastAsia="fr-FR"/>
    </w:rPr>
  </w:style>
  <w:style w:type="character" w:styleId="Hyperlien">
    <w:name w:val="Hyperlink"/>
    <w:uiPriority w:val="99"/>
    <w:rsid w:val="00711DD5"/>
    <w:rPr>
      <w:noProof w:val="0"/>
      <w:color w:val="0000FF"/>
      <w:u w:val="single"/>
      <w:lang w:val="fr-CA"/>
    </w:rPr>
  </w:style>
  <w:style w:type="character" w:customStyle="1" w:styleId="TableaugauchefranaisCar">
    <w:name w:val="Tableau gauche français Car"/>
    <w:link w:val="Tableaugauchefranais"/>
    <w:rsid w:val="00711DD5"/>
    <w:rPr>
      <w:rFonts w:ascii="Arial" w:hAnsi="Arial"/>
      <w:sz w:val="22"/>
      <w:lang w:eastAsia="fr-FR"/>
    </w:rPr>
  </w:style>
  <w:style w:type="character" w:customStyle="1" w:styleId="TableaudroiteanglaisCar">
    <w:name w:val="Tableau droite anglais Car"/>
    <w:link w:val="Tableaudroiteanglais"/>
    <w:rsid w:val="00711DD5"/>
    <w:rPr>
      <w:rFonts w:ascii="Arial" w:hAnsi="Arial"/>
      <w:sz w:val="22"/>
      <w:lang w:val="en-CA" w:eastAsia="fr-FR"/>
    </w:rPr>
  </w:style>
  <w:style w:type="character" w:customStyle="1" w:styleId="CitationenretraitCar">
    <w:name w:val="Citation en retrait Car"/>
    <w:link w:val="Citationenretrait"/>
    <w:rsid w:val="00711DD5"/>
    <w:rPr>
      <w:rFonts w:ascii="Arial" w:hAnsi="Arial"/>
      <w:kern w:val="24"/>
      <w:sz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1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1DD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DD5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DD5"/>
    <w:rPr>
      <w:rFonts w:ascii="Arial" w:hAnsi="Arial"/>
      <w:b/>
      <w:bCs/>
      <w:lang w:eastAsia="fr-FR"/>
    </w:rPr>
  </w:style>
  <w:style w:type="table" w:styleId="Grilledutableau">
    <w:name w:val="Table Grid"/>
    <w:basedOn w:val="TableauNormal"/>
    <w:uiPriority w:val="39"/>
    <w:rsid w:val="002C1B95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009B2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887EEB"/>
    <w:rPr>
      <w:rFonts w:ascii="Arial" w:hAnsi="Arial"/>
      <w:sz w:val="24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zSoquijdatNomPartieMec">
    <w:name w:val="zSoquij_datNomPartieMec"/>
    <w:basedOn w:val="Normal"/>
    <w:qFormat/>
    <w:rsid w:val="002E7403"/>
    <w:pPr>
      <w:spacing w:line="240" w:lineRule="auto"/>
      <w:jc w:val="center"/>
    </w:pPr>
    <w:rPr>
      <w:b/>
      <w:bCs/>
    </w:rPr>
  </w:style>
  <w:style w:type="paragraph" w:customStyle="1" w:styleId="zSoquijdatNomProcureurMec">
    <w:name w:val="zSoquij_datNomProcureurMec"/>
    <w:basedOn w:val="Normal"/>
    <w:qFormat/>
    <w:rsid w:val="00F3537E"/>
    <w:pPr>
      <w:spacing w:line="240" w:lineRule="auto"/>
      <w:jc w:val="center"/>
    </w:pPr>
  </w:style>
  <w:style w:type="paragraph" w:customStyle="1" w:styleId="zSoquijdatCabinetProcureurMec">
    <w:name w:val="zSoquij_datCabinetProcureurMec"/>
    <w:basedOn w:val="Normal"/>
    <w:qFormat/>
    <w:rsid w:val="00F3537E"/>
    <w:pPr>
      <w:spacing w:line="240" w:lineRule="auto"/>
      <w:jc w:val="center"/>
    </w:pPr>
    <w:rPr>
      <w:lang w:val="es-ES"/>
    </w:rPr>
  </w:style>
  <w:style w:type="paragraph" w:customStyle="1" w:styleId="zSoquijdatJuge2">
    <w:name w:val="zSoquij_datJuge_2"/>
    <w:basedOn w:val="zSoquijdatJuge1"/>
    <w:qFormat/>
    <w:rsid w:val="008E13C7"/>
    <w:pPr>
      <w:ind w:left="-77"/>
    </w:pPr>
  </w:style>
  <w:style w:type="paragraph" w:customStyle="1" w:styleId="zSoquijdatJuge3">
    <w:name w:val="zSoquij_datJuge_3"/>
    <w:basedOn w:val="zSoquijdatJuge1"/>
    <w:qFormat/>
    <w:rsid w:val="008E13C7"/>
    <w:pPr>
      <w:ind w:left="-77"/>
    </w:pPr>
  </w:style>
  <w:style w:type="paragraph" w:customStyle="1" w:styleId="zSoquijlblTypePV">
    <w:name w:val="zSoquij_lblTypePV"/>
    <w:basedOn w:val="zSoquijlblTypeDocument"/>
    <w:qFormat/>
    <w:rsid w:val="00AF563B"/>
    <w:rPr>
      <w:rFonts w:eastAsiaTheme="minorHAnsi" w:cs="Arial"/>
      <w:szCs w:val="24"/>
    </w:rPr>
  </w:style>
  <w:style w:type="paragraph" w:customStyle="1" w:styleId="zSoquijdatQtePartieMec">
    <w:name w:val="zSoquij_datQtePartieMec"/>
    <w:basedOn w:val="zSoquijdatQtePartieDef"/>
    <w:qFormat/>
    <w:rsid w:val="00670ADD"/>
  </w:style>
  <w:style w:type="paragraph" w:customStyle="1" w:styleId="zSoquijlblProcureurMec">
    <w:name w:val="zSoquij_lblProcureurMec"/>
    <w:basedOn w:val="zSoquijlblProcureurDef"/>
    <w:qFormat/>
    <w:rsid w:val="00670ADD"/>
  </w:style>
  <w:style w:type="paragraph" w:customStyle="1" w:styleId="paragrahe">
    <w:name w:val="paragrahe"/>
    <w:basedOn w:val="Normal"/>
    <w:rsid w:val="006E187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r-CA"/>
    </w:rPr>
  </w:style>
  <w:style w:type="paragraph" w:styleId="Rvision">
    <w:name w:val="Revision"/>
    <w:hidden/>
    <w:uiPriority w:val="99"/>
    <w:semiHidden/>
    <w:rsid w:val="00582EC0"/>
    <w:rPr>
      <w:rFonts w:ascii="Arial" w:hAnsi="Arial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9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C04E-79DD-4DBF-94F0-326F514E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2023-10-23T13:15:00Z</dcterms:created>
  <dcterms:modified xsi:type="dcterms:W3CDTF">2023-10-23T13:15:00Z</dcterms:modified>
</cp:coreProperties>
</file>