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3095" w14:textId="4D206D7D" w:rsidR="004E750C" w:rsidRPr="004E750C" w:rsidRDefault="004E750C">
      <w:pPr>
        <w:rPr>
          <w:b/>
          <w:bCs/>
        </w:rPr>
      </w:pPr>
      <w:r w:rsidRPr="004E750C">
        <w:rPr>
          <w:b/>
          <w:bCs/>
          <w:lang w:val="en-CA"/>
        </w:rPr>
        <w:t>Unofficial 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140"/>
        <w:gridCol w:w="526"/>
        <w:gridCol w:w="1904"/>
        <w:gridCol w:w="3772"/>
        <w:gridCol w:w="1988"/>
      </w:tblGrid>
      <w:tr w:rsidR="00983F95" w:rsidRPr="00455D82" w14:paraId="23E0A2F7" w14:textId="77777777" w:rsidTr="00C1400A">
        <w:trPr>
          <w:trHeight w:val="248"/>
        </w:trPr>
        <w:tc>
          <w:tcPr>
            <w:tcW w:w="7372" w:type="dxa"/>
            <w:gridSpan w:val="5"/>
          </w:tcPr>
          <w:p w14:paraId="26949F60" w14:textId="6A9B01B2" w:rsidR="00983F95" w:rsidRPr="00854541" w:rsidRDefault="00983F95" w:rsidP="00983F95">
            <w:pPr>
              <w:pStyle w:val="zSoquijdatRepertorie"/>
              <w:rPr>
                <w:lang w:val="en-CA"/>
              </w:rPr>
            </w:pPr>
            <w:proofErr w:type="spellStart"/>
            <w:r>
              <w:rPr>
                <w:rFonts w:cs="Arial"/>
              </w:rPr>
              <w:t>Tanny</w:t>
            </w:r>
            <w:proofErr w:type="spellEnd"/>
            <w:r>
              <w:rPr>
                <w:rFonts w:cs="Arial"/>
              </w:rPr>
              <w:t xml:space="preserve"> c. Procureur général des États-Unis</w:t>
            </w:r>
          </w:p>
        </w:tc>
        <w:tc>
          <w:tcPr>
            <w:tcW w:w="1988" w:type="dxa"/>
          </w:tcPr>
          <w:p w14:paraId="2EB2FEAB" w14:textId="579D0645" w:rsidR="00983F95" w:rsidRPr="00854541" w:rsidRDefault="00983F95" w:rsidP="00983F95">
            <w:pPr>
              <w:pStyle w:val="zSoquijdatRefNeutre"/>
              <w:jc w:val="right"/>
              <w:rPr>
                <w:lang w:val="en-CA"/>
              </w:rPr>
            </w:pPr>
            <w:r w:rsidRPr="00EC2BA8">
              <w:rPr>
                <w:rFonts w:cs="Arial"/>
              </w:rPr>
              <w:t>2023 QCCA 1234</w:t>
            </w:r>
          </w:p>
        </w:tc>
      </w:tr>
      <w:tr w:rsidR="008F364A" w:rsidRPr="00854541" w14:paraId="411BCF56" w14:textId="77777777" w:rsidTr="00C1400A">
        <w:trPr>
          <w:trHeight w:val="247"/>
        </w:trPr>
        <w:tc>
          <w:tcPr>
            <w:tcW w:w="9360" w:type="dxa"/>
            <w:gridSpan w:val="6"/>
          </w:tcPr>
          <w:p w14:paraId="7BD8A416" w14:textId="579A66EE" w:rsidR="008F364A" w:rsidRPr="00854541" w:rsidRDefault="00740A17">
            <w:pPr>
              <w:pStyle w:val="zSoquijlblCour"/>
              <w:rPr>
                <w:lang w:val="en-CA"/>
              </w:rPr>
            </w:pPr>
            <w:r w:rsidRPr="00854541">
              <w:rPr>
                <w:lang w:val="en-CA"/>
              </w:rPr>
              <w:t>COUR</w:t>
            </w:r>
            <w:r w:rsidR="00854541">
              <w:rPr>
                <w:lang w:val="en-CA"/>
              </w:rPr>
              <w:t>T</w:t>
            </w:r>
            <w:r w:rsidRPr="00854541">
              <w:rPr>
                <w:lang w:val="en-CA"/>
              </w:rPr>
              <w:t xml:space="preserve"> </w:t>
            </w:r>
            <w:r w:rsidR="00854541">
              <w:rPr>
                <w:lang w:val="en-CA"/>
              </w:rPr>
              <w:t>OF APPEAL</w:t>
            </w:r>
          </w:p>
        </w:tc>
      </w:tr>
      <w:tr w:rsidR="008F364A" w:rsidRPr="00854541" w14:paraId="5CAD2C79" w14:textId="77777777" w:rsidTr="00C1400A">
        <w:trPr>
          <w:trHeight w:val="540"/>
        </w:trPr>
        <w:tc>
          <w:tcPr>
            <w:tcW w:w="9360" w:type="dxa"/>
            <w:gridSpan w:val="6"/>
          </w:tcPr>
          <w:p w14:paraId="62EDED15" w14:textId="77777777" w:rsidR="008F364A" w:rsidRPr="00854541" w:rsidRDefault="008F364A">
            <w:pPr>
              <w:pStyle w:val="zSoquijdatDivision"/>
              <w:rPr>
                <w:lang w:val="en-CA"/>
              </w:rPr>
            </w:pPr>
          </w:p>
        </w:tc>
      </w:tr>
      <w:tr w:rsidR="008F364A" w:rsidRPr="00854541" w14:paraId="01C5CBE7" w14:textId="77777777" w:rsidTr="00C1400A">
        <w:tc>
          <w:tcPr>
            <w:tcW w:w="9360" w:type="dxa"/>
            <w:gridSpan w:val="6"/>
          </w:tcPr>
          <w:p w14:paraId="7A9002BB" w14:textId="77777777" w:rsidR="008F364A" w:rsidRPr="00854541" w:rsidRDefault="00740A17">
            <w:pPr>
              <w:pStyle w:val="zSoquijlblPays"/>
              <w:rPr>
                <w:lang w:val="en-CA"/>
              </w:rPr>
            </w:pPr>
            <w:r w:rsidRPr="00854541">
              <w:rPr>
                <w:lang w:val="en-CA"/>
              </w:rPr>
              <w:t>CANADA</w:t>
            </w:r>
          </w:p>
        </w:tc>
      </w:tr>
      <w:tr w:rsidR="008F364A" w:rsidRPr="00854541" w14:paraId="633E3030" w14:textId="77777777" w:rsidTr="00C1400A">
        <w:tc>
          <w:tcPr>
            <w:tcW w:w="9360" w:type="dxa"/>
            <w:gridSpan w:val="6"/>
          </w:tcPr>
          <w:p w14:paraId="1C2C1C16" w14:textId="5A0CFB9E" w:rsidR="008F364A" w:rsidRPr="00854541" w:rsidRDefault="00740A17">
            <w:pPr>
              <w:pStyle w:val="zSoquijlblProvince"/>
              <w:rPr>
                <w:lang w:val="en-CA"/>
              </w:rPr>
            </w:pPr>
            <w:r w:rsidRPr="00854541">
              <w:rPr>
                <w:lang w:val="en-CA"/>
              </w:rPr>
              <w:t xml:space="preserve">PROVINCE </w:t>
            </w:r>
            <w:r w:rsidR="00854541">
              <w:rPr>
                <w:lang w:val="en-CA"/>
              </w:rPr>
              <w:t>OF</w:t>
            </w:r>
            <w:r w:rsidRPr="00854541">
              <w:rPr>
                <w:lang w:val="en-CA"/>
              </w:rPr>
              <w:t xml:space="preserve"> QU</w:t>
            </w:r>
            <w:r w:rsidR="00854541">
              <w:rPr>
                <w:lang w:val="en-CA"/>
              </w:rPr>
              <w:t>E</w:t>
            </w:r>
            <w:r w:rsidRPr="00854541">
              <w:rPr>
                <w:lang w:val="en-CA"/>
              </w:rPr>
              <w:t>BEC</w:t>
            </w:r>
          </w:p>
        </w:tc>
      </w:tr>
      <w:tr w:rsidR="008F364A" w:rsidRPr="00854541" w14:paraId="2AAC422A" w14:textId="77777777" w:rsidTr="00C1400A">
        <w:tc>
          <w:tcPr>
            <w:tcW w:w="1696" w:type="dxa"/>
            <w:gridSpan w:val="3"/>
          </w:tcPr>
          <w:p w14:paraId="63CB9B1F" w14:textId="487C6BE5" w:rsidR="008F364A" w:rsidRPr="00854541" w:rsidRDefault="00854541">
            <w:pPr>
              <w:pStyle w:val="zSoquijlblGreffe"/>
              <w:rPr>
                <w:lang w:val="en-CA"/>
              </w:rPr>
            </w:pPr>
            <w:r>
              <w:rPr>
                <w:lang w:val="en-CA"/>
              </w:rPr>
              <w:t>REGISTRY OF</w:t>
            </w:r>
          </w:p>
          <w:p w14:paraId="150ACD81" w14:textId="77777777" w:rsidR="008F364A" w:rsidRPr="00854541" w:rsidRDefault="008F364A">
            <w:pPr>
              <w:pStyle w:val="zSoquijlblGreffe"/>
              <w:rPr>
                <w:lang w:val="en-CA"/>
              </w:rPr>
            </w:pPr>
          </w:p>
        </w:tc>
        <w:tc>
          <w:tcPr>
            <w:tcW w:w="7664" w:type="dxa"/>
            <w:gridSpan w:val="3"/>
          </w:tcPr>
          <w:p w14:paraId="5A7A8E27" w14:textId="1E933449" w:rsidR="008F364A" w:rsidRPr="00854541" w:rsidRDefault="007D2A93">
            <w:pPr>
              <w:pStyle w:val="zSoquijdatGreffe"/>
              <w:rPr>
                <w:lang w:val="en-CA"/>
              </w:rPr>
            </w:pPr>
            <w:bookmarkStart w:id="0" w:name="NomGreffe"/>
            <w:r w:rsidRPr="00854541">
              <w:rPr>
                <w:lang w:val="en-CA"/>
              </w:rPr>
              <w:t>MONTR</w:t>
            </w:r>
            <w:r w:rsidR="006D1A75">
              <w:rPr>
                <w:lang w:val="en-CA"/>
              </w:rPr>
              <w:t>E</w:t>
            </w:r>
            <w:r w:rsidRPr="00854541">
              <w:rPr>
                <w:lang w:val="en-CA"/>
              </w:rPr>
              <w:t>AL</w:t>
            </w:r>
            <w:bookmarkEnd w:id="0"/>
          </w:p>
        </w:tc>
      </w:tr>
      <w:tr w:rsidR="008F364A" w:rsidRPr="00854541" w14:paraId="3431C3D3" w14:textId="77777777" w:rsidTr="00C1400A">
        <w:tc>
          <w:tcPr>
            <w:tcW w:w="1030" w:type="dxa"/>
          </w:tcPr>
          <w:p w14:paraId="2D73107D" w14:textId="7C903604" w:rsidR="008F364A" w:rsidRPr="00854541" w:rsidRDefault="00854541">
            <w:pPr>
              <w:pStyle w:val="zSoquijlblNoDossier"/>
              <w:rPr>
                <w:lang w:val="en-CA"/>
              </w:rPr>
            </w:pPr>
            <w:r>
              <w:rPr>
                <w:lang w:val="en-CA"/>
              </w:rPr>
              <w:t>No:</w:t>
            </w:r>
          </w:p>
        </w:tc>
        <w:tc>
          <w:tcPr>
            <w:tcW w:w="8330" w:type="dxa"/>
            <w:gridSpan w:val="5"/>
          </w:tcPr>
          <w:p w14:paraId="324C4CF9" w14:textId="77777777" w:rsidR="008F364A" w:rsidRPr="00854541" w:rsidRDefault="007D2A93">
            <w:pPr>
              <w:pStyle w:val="zSoquijdatNoDossier"/>
              <w:rPr>
                <w:lang w:val="en-CA"/>
              </w:rPr>
            </w:pPr>
            <w:bookmarkStart w:id="1" w:name="NoDossier"/>
            <w:r w:rsidRPr="00854541">
              <w:rPr>
                <w:lang w:val="en-CA"/>
              </w:rPr>
              <w:t>500-09-030217-228</w:t>
            </w:r>
            <w:bookmarkEnd w:id="1"/>
          </w:p>
        </w:tc>
      </w:tr>
      <w:tr w:rsidR="007D2A93" w:rsidRPr="00854541" w14:paraId="47EFB427" w14:textId="77777777" w:rsidTr="00C1400A">
        <w:tc>
          <w:tcPr>
            <w:tcW w:w="9360" w:type="dxa"/>
            <w:gridSpan w:val="6"/>
          </w:tcPr>
          <w:p w14:paraId="7432478C" w14:textId="77777777" w:rsidR="007D2A93" w:rsidRPr="00854541" w:rsidRDefault="007D2A93" w:rsidP="007D2A93">
            <w:pPr>
              <w:pStyle w:val="zSoquijdatNoDossierAnt"/>
              <w:rPr>
                <w:lang w:val="en-CA"/>
              </w:rPr>
            </w:pPr>
            <w:r w:rsidRPr="00854541">
              <w:rPr>
                <w:lang w:val="en-CA"/>
              </w:rPr>
              <w:t>(500-06-000972-196)</w:t>
            </w:r>
          </w:p>
        </w:tc>
      </w:tr>
      <w:tr w:rsidR="008F364A" w:rsidRPr="00854541" w14:paraId="78840391" w14:textId="77777777" w:rsidTr="00C1400A">
        <w:tc>
          <w:tcPr>
            <w:tcW w:w="9360" w:type="dxa"/>
            <w:gridSpan w:val="6"/>
          </w:tcPr>
          <w:p w14:paraId="51DF2464" w14:textId="77777777" w:rsidR="008F364A" w:rsidRPr="00854541" w:rsidRDefault="008F364A">
            <w:pPr>
              <w:rPr>
                <w:lang w:val="en-CA"/>
              </w:rPr>
            </w:pPr>
          </w:p>
        </w:tc>
      </w:tr>
      <w:tr w:rsidR="008F364A" w:rsidRPr="00854541" w14:paraId="23347B20" w14:textId="77777777" w:rsidTr="00455D82">
        <w:tc>
          <w:tcPr>
            <w:tcW w:w="1030" w:type="dxa"/>
          </w:tcPr>
          <w:p w14:paraId="7B89B973" w14:textId="437530C3" w:rsidR="008F364A" w:rsidRPr="00854541" w:rsidRDefault="00740A17">
            <w:pPr>
              <w:pStyle w:val="zSoquijlblDateJugement"/>
              <w:rPr>
                <w:lang w:val="en-CA"/>
              </w:rPr>
            </w:pPr>
            <w:r w:rsidRPr="00854541">
              <w:rPr>
                <w:lang w:val="en-CA"/>
              </w:rPr>
              <w:t>DATE:</w:t>
            </w:r>
          </w:p>
        </w:tc>
        <w:tc>
          <w:tcPr>
            <w:tcW w:w="8330" w:type="dxa"/>
            <w:gridSpan w:val="5"/>
            <w:shd w:val="clear" w:color="auto" w:fill="FFFFFF" w:themeFill="background1"/>
          </w:tcPr>
          <w:p w14:paraId="6D9C60A5" w14:textId="70C06344" w:rsidR="008F364A" w:rsidRPr="0018118B" w:rsidRDefault="00740A17">
            <w:pPr>
              <w:pStyle w:val="zSoquijdatDateJugement"/>
              <w:rPr>
                <w:highlight w:val="yellow"/>
                <w:lang w:val="en-CA"/>
              </w:rPr>
            </w:pPr>
            <w:r w:rsidRPr="00455D82">
              <w:rPr>
                <w:lang w:val="en-CA"/>
              </w:rPr>
              <w:fldChar w:fldCharType="begin"/>
            </w:r>
            <w:r w:rsidRPr="00455D82">
              <w:rPr>
                <w:lang w:val="en-CA"/>
              </w:rPr>
              <w:instrText xml:space="preserve"> QUOTE " " </w:instrText>
            </w:r>
            <w:r w:rsidRPr="00455D82">
              <w:rPr>
                <w:lang w:val="en-CA"/>
              </w:rPr>
              <w:fldChar w:fldCharType="separate"/>
            </w:r>
            <w:r w:rsidR="002A24F0" w:rsidRPr="00455D82">
              <w:rPr>
                <w:lang w:val="en-CA"/>
              </w:rPr>
              <w:t xml:space="preserve"> </w:t>
            </w:r>
            <w:r w:rsidRPr="00455D82">
              <w:rPr>
                <w:lang w:val="en-CA"/>
              </w:rPr>
              <w:fldChar w:fldCharType="end"/>
            </w:r>
            <w:r w:rsidR="00854541" w:rsidRPr="00455D82">
              <w:rPr>
                <w:lang w:val="en-CA"/>
              </w:rPr>
              <w:t xml:space="preserve"> </w:t>
            </w:r>
            <w:r w:rsidR="00455D82" w:rsidRPr="00455D82">
              <w:rPr>
                <w:lang w:val="en-CA"/>
              </w:rPr>
              <w:t xml:space="preserve">October 2, </w:t>
            </w:r>
            <w:proofErr w:type="gramStart"/>
            <w:r w:rsidR="00455D82" w:rsidRPr="00455D82">
              <w:rPr>
                <w:lang w:val="en-CA"/>
              </w:rPr>
              <w:t>2023</w:t>
            </w:r>
            <w:proofErr w:type="gramEnd"/>
            <w:r w:rsidR="006D3513" w:rsidRPr="00455D82">
              <w:rPr>
                <w:lang w:val="en-CA"/>
              </w:rPr>
              <w:t xml:space="preserve">  </w:t>
            </w:r>
          </w:p>
        </w:tc>
      </w:tr>
      <w:tr w:rsidR="00E15254" w:rsidRPr="00854541" w14:paraId="34AD8610" w14:textId="77777777" w:rsidTr="00B15BB4">
        <w:tc>
          <w:tcPr>
            <w:tcW w:w="9360" w:type="dxa"/>
            <w:gridSpan w:val="6"/>
            <w:tcBorders>
              <w:bottom w:val="single" w:sz="8" w:space="0" w:color="auto"/>
            </w:tcBorders>
          </w:tcPr>
          <w:p w14:paraId="2F6444BB" w14:textId="77777777" w:rsidR="00E15254" w:rsidRPr="00854541" w:rsidRDefault="00E15254" w:rsidP="00E15254">
            <w:pPr>
              <w:rPr>
                <w:lang w:val="en-CA"/>
              </w:rPr>
            </w:pPr>
          </w:p>
        </w:tc>
      </w:tr>
      <w:tr w:rsidR="008F364A" w:rsidRPr="00854541" w14:paraId="229B0F58" w14:textId="77777777" w:rsidTr="00C1400A">
        <w:tc>
          <w:tcPr>
            <w:tcW w:w="9360" w:type="dxa"/>
            <w:gridSpan w:val="6"/>
          </w:tcPr>
          <w:p w14:paraId="7FFCDC44" w14:textId="77777777" w:rsidR="008F364A" w:rsidRPr="00854541" w:rsidRDefault="008F364A">
            <w:pPr>
              <w:rPr>
                <w:lang w:val="en-CA"/>
              </w:rPr>
            </w:pPr>
          </w:p>
        </w:tc>
      </w:tr>
      <w:tr w:rsidR="00C1400A" w14:paraId="12778AB2" w14:textId="77777777" w:rsidTr="00A164BB">
        <w:tc>
          <w:tcPr>
            <w:tcW w:w="1170" w:type="dxa"/>
            <w:gridSpan w:val="2"/>
          </w:tcPr>
          <w:p w14:paraId="365B3D3F" w14:textId="69780DD6" w:rsidR="00C1400A" w:rsidRDefault="00C1400A" w:rsidP="00F83DA0">
            <w:pPr>
              <w:pStyle w:val="zSoquijlblJuge"/>
              <w:ind w:right="-142"/>
            </w:pPr>
            <w:r>
              <w:t>CORAM:</w:t>
            </w:r>
          </w:p>
        </w:tc>
        <w:tc>
          <w:tcPr>
            <w:tcW w:w="2430" w:type="dxa"/>
            <w:gridSpan w:val="2"/>
          </w:tcPr>
          <w:p w14:paraId="654967F6" w14:textId="1EEA78AB" w:rsidR="00C1400A" w:rsidRDefault="00C1400A" w:rsidP="00F83DA0">
            <w:pPr>
              <w:pStyle w:val="zSoquijdatQteJuge"/>
            </w:pPr>
            <w:r>
              <w:t>THE HONOURABLE</w:t>
            </w:r>
          </w:p>
        </w:tc>
        <w:tc>
          <w:tcPr>
            <w:tcW w:w="5760" w:type="dxa"/>
            <w:gridSpan w:val="2"/>
          </w:tcPr>
          <w:p w14:paraId="4C262C8C" w14:textId="14C3D3B5" w:rsidR="00C1400A" w:rsidRPr="00455D82" w:rsidRDefault="00C1400A" w:rsidP="00F83DA0">
            <w:pPr>
              <w:pStyle w:val="zSoquijdatJuge"/>
              <w:rPr>
                <w:lang w:val="en-CA"/>
              </w:rPr>
            </w:pPr>
            <w:r w:rsidRPr="00455D82">
              <w:rPr>
                <w:lang w:val="en-CA"/>
              </w:rPr>
              <w:t>JULIE DUTIL, J.A.</w:t>
            </w:r>
          </w:p>
          <w:p w14:paraId="6F87CB14" w14:textId="3A0B69DE" w:rsidR="00C1400A" w:rsidRPr="00455D82" w:rsidRDefault="00C1400A" w:rsidP="00F83DA0">
            <w:pPr>
              <w:pStyle w:val="zSoquijdatJuge"/>
              <w:rPr>
                <w:lang w:val="en-CA"/>
              </w:rPr>
            </w:pPr>
            <w:r w:rsidRPr="00455D82">
              <w:rPr>
                <w:lang w:val="en-CA"/>
              </w:rPr>
              <w:t>STEPHEN W. HAMILTON, J.A.</w:t>
            </w:r>
          </w:p>
          <w:p w14:paraId="47869E66" w14:textId="2B3BF3A9" w:rsidR="00C1400A" w:rsidRDefault="00C1400A" w:rsidP="00F83DA0">
            <w:pPr>
              <w:pStyle w:val="zSoquijdatJuge"/>
              <w:rPr>
                <w:lang w:val="de-DE"/>
              </w:rPr>
            </w:pPr>
            <w:r>
              <w:t>SOPHIE LAVALLÉE, J.A.</w:t>
            </w:r>
          </w:p>
        </w:tc>
      </w:tr>
      <w:tr w:rsidR="00E15254" w14:paraId="65531C44" w14:textId="77777777" w:rsidTr="00F74DF1">
        <w:tc>
          <w:tcPr>
            <w:tcW w:w="9360" w:type="dxa"/>
            <w:gridSpan w:val="6"/>
            <w:tcBorders>
              <w:bottom w:val="single" w:sz="8" w:space="0" w:color="auto"/>
            </w:tcBorders>
          </w:tcPr>
          <w:p w14:paraId="7C410469" w14:textId="77777777" w:rsidR="00E15254" w:rsidRDefault="00E15254" w:rsidP="00F74DF1">
            <w:pPr>
              <w:rPr>
                <w:lang w:val="de-DE"/>
              </w:rPr>
            </w:pPr>
          </w:p>
        </w:tc>
      </w:tr>
      <w:tr w:rsidR="00E15254" w14:paraId="0835070E" w14:textId="77777777" w:rsidTr="00C1400A">
        <w:tc>
          <w:tcPr>
            <w:tcW w:w="9360" w:type="dxa"/>
            <w:gridSpan w:val="6"/>
          </w:tcPr>
          <w:p w14:paraId="0F1087C3" w14:textId="77777777" w:rsidR="00E15254" w:rsidRDefault="00E15254" w:rsidP="00E15254">
            <w:pPr>
              <w:rPr>
                <w:lang w:val="de-DE"/>
              </w:rPr>
            </w:pPr>
          </w:p>
        </w:tc>
      </w:tr>
      <w:tr w:rsidR="00E15254" w:rsidRPr="00854541" w14:paraId="6EF24C92" w14:textId="77777777" w:rsidTr="00C1400A">
        <w:tc>
          <w:tcPr>
            <w:tcW w:w="9360" w:type="dxa"/>
            <w:gridSpan w:val="6"/>
          </w:tcPr>
          <w:p w14:paraId="48B1FAE0" w14:textId="3797B849" w:rsidR="00E15254" w:rsidRPr="00854541" w:rsidRDefault="00E15254" w:rsidP="00E15254">
            <w:pPr>
              <w:pStyle w:val="zSoquijdatNomPartieDem"/>
              <w:rPr>
                <w:lang w:val="en-CA"/>
              </w:rPr>
            </w:pPr>
            <w:r w:rsidRPr="00854541">
              <w:rPr>
                <w:lang w:val="en-CA"/>
              </w:rPr>
              <w:t>JULIE TANNY</w:t>
            </w:r>
          </w:p>
        </w:tc>
      </w:tr>
      <w:tr w:rsidR="00E15254" w:rsidRPr="00854541" w14:paraId="56A403B8" w14:textId="77777777" w:rsidTr="00C1400A">
        <w:tc>
          <w:tcPr>
            <w:tcW w:w="9360" w:type="dxa"/>
            <w:gridSpan w:val="6"/>
          </w:tcPr>
          <w:p w14:paraId="60707E24" w14:textId="579926F9" w:rsidR="00E15254" w:rsidRPr="00854541" w:rsidRDefault="00E15254" w:rsidP="00E15254">
            <w:pPr>
              <w:pStyle w:val="zSoquijdatQtePartieDem"/>
              <w:rPr>
                <w:lang w:val="en-CA"/>
              </w:rPr>
            </w:pPr>
            <w:r w:rsidRPr="00854541">
              <w:rPr>
                <w:lang w:val="en-CA"/>
              </w:rPr>
              <w:t>APPEL</w:t>
            </w:r>
            <w:r>
              <w:rPr>
                <w:lang w:val="en-CA"/>
              </w:rPr>
              <w:t>L</w:t>
            </w:r>
            <w:r w:rsidRPr="00854541">
              <w:rPr>
                <w:lang w:val="en-CA"/>
              </w:rPr>
              <w:t xml:space="preserve">ANT – </w:t>
            </w:r>
            <w:r w:rsidR="003410B4">
              <w:rPr>
                <w:lang w:val="en-CA"/>
              </w:rPr>
              <w:t>Applicant</w:t>
            </w:r>
            <w:r w:rsidRPr="00854541">
              <w:rPr>
                <w:lang w:val="en-CA"/>
              </w:rPr>
              <w:t xml:space="preserve"> </w:t>
            </w:r>
          </w:p>
        </w:tc>
      </w:tr>
      <w:tr w:rsidR="00E15254" w:rsidRPr="00854541" w14:paraId="522C4A22" w14:textId="77777777" w:rsidTr="00C1400A">
        <w:tc>
          <w:tcPr>
            <w:tcW w:w="9360" w:type="dxa"/>
            <w:gridSpan w:val="6"/>
          </w:tcPr>
          <w:p w14:paraId="6D2F7F1C" w14:textId="150DE279" w:rsidR="00E15254" w:rsidRPr="00854541" w:rsidRDefault="00E15254" w:rsidP="00E15254">
            <w:pPr>
              <w:pStyle w:val="zSoquijlblLienParties"/>
              <w:rPr>
                <w:lang w:val="en-CA"/>
              </w:rPr>
            </w:pPr>
            <w:r>
              <w:rPr>
                <w:lang w:val="en-CA"/>
              </w:rPr>
              <w:t>v</w:t>
            </w:r>
            <w:r w:rsidRPr="00854541">
              <w:rPr>
                <w:lang w:val="en-CA"/>
              </w:rPr>
              <w:t>.</w:t>
            </w:r>
          </w:p>
        </w:tc>
      </w:tr>
      <w:tr w:rsidR="00E15254" w:rsidRPr="00854541" w14:paraId="0B0C4986" w14:textId="77777777" w:rsidTr="00C1400A">
        <w:tc>
          <w:tcPr>
            <w:tcW w:w="9360" w:type="dxa"/>
            <w:gridSpan w:val="6"/>
          </w:tcPr>
          <w:p w14:paraId="0824E906" w14:textId="77777777" w:rsidR="00E15254" w:rsidRPr="00854541" w:rsidRDefault="00E15254" w:rsidP="00E15254">
            <w:pPr>
              <w:rPr>
                <w:lang w:val="en-CA"/>
              </w:rPr>
            </w:pPr>
          </w:p>
        </w:tc>
      </w:tr>
      <w:tr w:rsidR="00E15254" w:rsidRPr="00854541" w14:paraId="09EDC0EE" w14:textId="77777777" w:rsidTr="00C1400A">
        <w:tc>
          <w:tcPr>
            <w:tcW w:w="9360" w:type="dxa"/>
            <w:gridSpan w:val="6"/>
          </w:tcPr>
          <w:p w14:paraId="716D51F3" w14:textId="408A4A50" w:rsidR="00E15254" w:rsidRPr="00854541" w:rsidRDefault="00E15254" w:rsidP="00E15254">
            <w:pPr>
              <w:pStyle w:val="zSoquijdatNomPartieDef"/>
              <w:rPr>
                <w:lang w:val="en-CA"/>
              </w:rPr>
            </w:pPr>
            <w:r>
              <w:rPr>
                <w:lang w:val="en-CA"/>
              </w:rPr>
              <w:t>UNITED STATES ATTORNEY GENERAL</w:t>
            </w:r>
          </w:p>
        </w:tc>
      </w:tr>
      <w:tr w:rsidR="00E15254" w:rsidRPr="00854541" w14:paraId="3CA8CA1A" w14:textId="77777777" w:rsidTr="00C1400A">
        <w:tc>
          <w:tcPr>
            <w:tcW w:w="9360" w:type="dxa"/>
            <w:gridSpan w:val="6"/>
          </w:tcPr>
          <w:p w14:paraId="010F2270" w14:textId="5E0AF689" w:rsidR="00E15254" w:rsidRPr="00854541" w:rsidRDefault="00E15254" w:rsidP="00E15254">
            <w:pPr>
              <w:pStyle w:val="zSoquijdatQtePartieDef"/>
              <w:rPr>
                <w:lang w:val="en-CA"/>
              </w:rPr>
            </w:pPr>
            <w:r>
              <w:rPr>
                <w:lang w:val="en-CA"/>
              </w:rPr>
              <w:t>RESPONDENT</w:t>
            </w:r>
            <w:r w:rsidRPr="00854541">
              <w:rPr>
                <w:lang w:val="en-CA"/>
              </w:rPr>
              <w:t xml:space="preserve"> – </w:t>
            </w:r>
            <w:r>
              <w:rPr>
                <w:lang w:val="en-CA"/>
              </w:rPr>
              <w:t>Defendant</w:t>
            </w:r>
          </w:p>
        </w:tc>
      </w:tr>
      <w:tr w:rsidR="00E15254" w:rsidRPr="00854541" w14:paraId="39A6F38E" w14:textId="77777777" w:rsidTr="00C1400A">
        <w:tc>
          <w:tcPr>
            <w:tcW w:w="9360" w:type="dxa"/>
            <w:gridSpan w:val="6"/>
          </w:tcPr>
          <w:p w14:paraId="1D895C4F" w14:textId="04E57E34" w:rsidR="00E15254" w:rsidRPr="00854541" w:rsidRDefault="00E15254" w:rsidP="00E15254">
            <w:pPr>
              <w:rPr>
                <w:lang w:val="en-CA"/>
              </w:rPr>
            </w:pPr>
            <w:r>
              <w:rPr>
                <w:lang w:val="en-CA"/>
              </w:rPr>
              <w:t>and</w:t>
            </w:r>
          </w:p>
        </w:tc>
      </w:tr>
      <w:tr w:rsidR="00E15254" w:rsidRPr="00455D82" w14:paraId="569D9508" w14:textId="77777777" w:rsidTr="00C1400A">
        <w:tc>
          <w:tcPr>
            <w:tcW w:w="9360" w:type="dxa"/>
            <w:gridSpan w:val="6"/>
          </w:tcPr>
          <w:p w14:paraId="6D3ABFA3" w14:textId="32F58424" w:rsidR="00E15254" w:rsidRPr="00854541" w:rsidRDefault="00E15254" w:rsidP="00E15254">
            <w:pPr>
              <w:pStyle w:val="zSoquijdatNomPartieDef"/>
              <w:rPr>
                <w:lang w:val="en-CA"/>
              </w:rPr>
            </w:pPr>
            <w:r w:rsidRPr="00854541">
              <w:rPr>
                <w:lang w:val="en-CA"/>
              </w:rPr>
              <w:t>ROYAL VICTORIA</w:t>
            </w:r>
            <w:r>
              <w:rPr>
                <w:lang w:val="en-CA"/>
              </w:rPr>
              <w:t xml:space="preserve"> HOSPITAL</w:t>
            </w:r>
          </w:p>
          <w:p w14:paraId="778BD55C" w14:textId="35BA07E8" w:rsidR="00E15254" w:rsidRPr="00854541" w:rsidRDefault="00E15254" w:rsidP="00E15254">
            <w:pPr>
              <w:pStyle w:val="zSoquijdatNomPartieDef"/>
              <w:rPr>
                <w:lang w:val="en-CA"/>
              </w:rPr>
            </w:pPr>
            <w:r w:rsidRPr="00854541">
              <w:rPr>
                <w:lang w:val="en-CA"/>
              </w:rPr>
              <w:t>McGILL</w:t>
            </w:r>
            <w:r>
              <w:rPr>
                <w:lang w:val="en-CA"/>
              </w:rPr>
              <w:t xml:space="preserve"> UNIVERSITY</w:t>
            </w:r>
          </w:p>
          <w:p w14:paraId="54DA528C" w14:textId="1707F895" w:rsidR="00E15254" w:rsidRPr="00854541" w:rsidRDefault="00E15254" w:rsidP="00E15254">
            <w:pPr>
              <w:pStyle w:val="zSoquijdatNomPartieDef"/>
              <w:rPr>
                <w:lang w:val="en-CA"/>
              </w:rPr>
            </w:pPr>
            <w:r>
              <w:rPr>
                <w:lang w:val="en-CA"/>
              </w:rPr>
              <w:t>ATTORNEY GENERAL OF</w:t>
            </w:r>
            <w:r w:rsidRPr="00854541">
              <w:rPr>
                <w:lang w:val="en-CA"/>
              </w:rPr>
              <w:t xml:space="preserve"> CANADA</w:t>
            </w:r>
          </w:p>
        </w:tc>
      </w:tr>
      <w:tr w:rsidR="00E15254" w:rsidRPr="00854541" w14:paraId="0AD1F286" w14:textId="77777777" w:rsidTr="00C1400A">
        <w:tc>
          <w:tcPr>
            <w:tcW w:w="9360" w:type="dxa"/>
            <w:gridSpan w:val="6"/>
          </w:tcPr>
          <w:p w14:paraId="766B3B61" w14:textId="103C5F5A" w:rsidR="00E15254" w:rsidRPr="00854541" w:rsidRDefault="00E15254" w:rsidP="00E15254">
            <w:pPr>
              <w:pStyle w:val="zSoquijdatQtePartieDef"/>
              <w:rPr>
                <w:lang w:val="en-CA"/>
              </w:rPr>
            </w:pPr>
            <w:r>
              <w:rPr>
                <w:lang w:val="en-CA"/>
              </w:rPr>
              <w:t>IMPLEADED PARTIES</w:t>
            </w:r>
            <w:r w:rsidRPr="00854541">
              <w:rPr>
                <w:lang w:val="en-CA"/>
              </w:rPr>
              <w:t xml:space="preserve"> – </w:t>
            </w:r>
            <w:r>
              <w:rPr>
                <w:lang w:val="en-CA"/>
              </w:rPr>
              <w:t>Defendants</w:t>
            </w:r>
          </w:p>
        </w:tc>
      </w:tr>
      <w:tr w:rsidR="00E15254" w:rsidRPr="00854541" w14:paraId="5D8F28EB" w14:textId="77777777" w:rsidTr="00C1400A">
        <w:tc>
          <w:tcPr>
            <w:tcW w:w="9360" w:type="dxa"/>
            <w:gridSpan w:val="6"/>
          </w:tcPr>
          <w:p w14:paraId="325E0FC1" w14:textId="77777777" w:rsidR="00E15254" w:rsidRPr="00854541" w:rsidRDefault="00E15254" w:rsidP="00E15254">
            <w:pPr>
              <w:rPr>
                <w:lang w:val="en-CA"/>
              </w:rPr>
            </w:pPr>
          </w:p>
        </w:tc>
      </w:tr>
      <w:tr w:rsidR="00E15254" w:rsidRPr="00854541" w14:paraId="069EF665" w14:textId="77777777" w:rsidTr="00A6367E">
        <w:tc>
          <w:tcPr>
            <w:tcW w:w="9360" w:type="dxa"/>
            <w:gridSpan w:val="6"/>
            <w:tcBorders>
              <w:bottom w:val="single" w:sz="8" w:space="0" w:color="auto"/>
            </w:tcBorders>
          </w:tcPr>
          <w:p w14:paraId="264D82C8" w14:textId="77777777" w:rsidR="00E15254" w:rsidRPr="00854541" w:rsidRDefault="00E15254" w:rsidP="00E15254">
            <w:pPr>
              <w:rPr>
                <w:lang w:val="en-CA"/>
              </w:rPr>
            </w:pPr>
          </w:p>
        </w:tc>
      </w:tr>
      <w:tr w:rsidR="00E15254" w14:paraId="195BA675" w14:textId="77777777" w:rsidTr="00C1400A">
        <w:tc>
          <w:tcPr>
            <w:tcW w:w="9360" w:type="dxa"/>
            <w:gridSpan w:val="6"/>
          </w:tcPr>
          <w:p w14:paraId="1F40F09E" w14:textId="77777777" w:rsidR="00E15254" w:rsidRDefault="00E15254" w:rsidP="00E15254">
            <w:pPr>
              <w:rPr>
                <w:lang w:val="en-CA"/>
              </w:rPr>
            </w:pPr>
          </w:p>
        </w:tc>
      </w:tr>
      <w:tr w:rsidR="00E15254" w14:paraId="5F05CD42" w14:textId="77777777" w:rsidTr="00C1400A">
        <w:tc>
          <w:tcPr>
            <w:tcW w:w="9360" w:type="dxa"/>
            <w:gridSpan w:val="6"/>
          </w:tcPr>
          <w:p w14:paraId="6C0D8DCC" w14:textId="1EDDEA84" w:rsidR="00E15254" w:rsidRDefault="00E15254" w:rsidP="00E15254">
            <w:pPr>
              <w:pStyle w:val="zSoquijlblTypeDocument"/>
            </w:pPr>
            <w:r>
              <w:t>JUDGMENT</w:t>
            </w:r>
          </w:p>
        </w:tc>
      </w:tr>
      <w:tr w:rsidR="00E15254" w:rsidRPr="00854541" w14:paraId="0D069317" w14:textId="77777777" w:rsidTr="00F74DF1">
        <w:tc>
          <w:tcPr>
            <w:tcW w:w="9360" w:type="dxa"/>
            <w:gridSpan w:val="6"/>
            <w:tcBorders>
              <w:bottom w:val="single" w:sz="8" w:space="0" w:color="auto"/>
            </w:tcBorders>
          </w:tcPr>
          <w:p w14:paraId="431EBB5C" w14:textId="77777777" w:rsidR="00E15254" w:rsidRPr="00854541" w:rsidRDefault="00E15254" w:rsidP="00F74DF1">
            <w:pPr>
              <w:rPr>
                <w:lang w:val="en-CA"/>
              </w:rPr>
            </w:pPr>
          </w:p>
        </w:tc>
      </w:tr>
      <w:tr w:rsidR="00E15254" w14:paraId="2C54DFB7" w14:textId="77777777" w:rsidTr="00C1400A">
        <w:tc>
          <w:tcPr>
            <w:tcW w:w="9360" w:type="dxa"/>
            <w:gridSpan w:val="6"/>
          </w:tcPr>
          <w:p w14:paraId="7CA04A72" w14:textId="77777777" w:rsidR="00E15254" w:rsidRDefault="00E15254" w:rsidP="00E15254"/>
        </w:tc>
      </w:tr>
    </w:tbl>
    <w:p w14:paraId="167B6F2E" w14:textId="50CFD098" w:rsidR="004606E4" w:rsidRPr="00854541" w:rsidRDefault="00854541" w:rsidP="008849C0">
      <w:pPr>
        <w:pStyle w:val="Paragraphe"/>
        <w:spacing w:before="240" w:line="280" w:lineRule="exact"/>
        <w:rPr>
          <w:lang w:val="en-CA" w:eastAsia="en-US"/>
        </w:rPr>
      </w:pPr>
      <w:bookmarkStart w:id="2" w:name="Arret"/>
      <w:r>
        <w:rPr>
          <w:lang w:val="en-CA"/>
        </w:rPr>
        <w:t xml:space="preserve">The </w:t>
      </w:r>
      <w:r w:rsidR="00892199">
        <w:rPr>
          <w:lang w:val="en-CA"/>
        </w:rPr>
        <w:t>a</w:t>
      </w:r>
      <w:r>
        <w:rPr>
          <w:lang w:val="en-CA"/>
        </w:rPr>
        <w:t>ppell</w:t>
      </w:r>
      <w:r w:rsidR="006D1A75">
        <w:rPr>
          <w:lang w:val="en-CA"/>
        </w:rPr>
        <w:t xml:space="preserve">ant appeals </w:t>
      </w:r>
      <w:r w:rsidR="00892199">
        <w:rPr>
          <w:lang w:val="en-CA"/>
        </w:rPr>
        <w:t>a</w:t>
      </w:r>
      <w:r w:rsidR="006D1A75">
        <w:rPr>
          <w:lang w:val="en-CA"/>
        </w:rPr>
        <w:t xml:space="preserve"> judgment of the Superior Court, District of Montreal </w:t>
      </w:r>
      <w:r w:rsidR="004606E4" w:rsidRPr="00854541">
        <w:rPr>
          <w:lang w:val="en-CA"/>
        </w:rPr>
        <w:t>(</w:t>
      </w:r>
      <w:r w:rsidR="006D1A75">
        <w:rPr>
          <w:lang w:val="en-CA"/>
        </w:rPr>
        <w:t>the H</w:t>
      </w:r>
      <w:r w:rsidR="004606E4" w:rsidRPr="00854541">
        <w:rPr>
          <w:lang w:val="en-CA"/>
        </w:rPr>
        <w:t>ono</w:t>
      </w:r>
      <w:r w:rsidR="006D1A75">
        <w:rPr>
          <w:lang w:val="en-CA"/>
        </w:rPr>
        <w:t>u</w:t>
      </w:r>
      <w:r w:rsidR="004606E4" w:rsidRPr="00854541">
        <w:rPr>
          <w:lang w:val="en-CA"/>
        </w:rPr>
        <w:t xml:space="preserve">rable </w:t>
      </w:r>
      <w:r w:rsidR="00032F73">
        <w:rPr>
          <w:lang w:val="en-CA"/>
        </w:rPr>
        <w:t xml:space="preserve">Mr. Justice </w:t>
      </w:r>
      <w:r w:rsidR="004606E4" w:rsidRPr="00854541">
        <w:rPr>
          <w:lang w:val="en-CA"/>
        </w:rPr>
        <w:t>Gary D.D. Morrison)</w:t>
      </w:r>
      <w:r w:rsidR="00BD55E9">
        <w:rPr>
          <w:lang w:val="en-CA"/>
        </w:rPr>
        <w:t>,</w:t>
      </w:r>
      <w:r w:rsidR="004606E4" w:rsidRPr="00854541">
        <w:rPr>
          <w:lang w:val="en-CA"/>
        </w:rPr>
        <w:t xml:space="preserve"> </w:t>
      </w:r>
      <w:r w:rsidR="00892199">
        <w:rPr>
          <w:lang w:val="en-CA"/>
        </w:rPr>
        <w:t xml:space="preserve">which </w:t>
      </w:r>
      <w:r w:rsidR="00892199" w:rsidRPr="00892199">
        <w:rPr>
          <w:lang w:val="en-CA"/>
        </w:rPr>
        <w:t>granted an application by the respondent, the United States Attorney General, to dismiss an application to authorize a class action against it</w:t>
      </w:r>
      <w:r w:rsidR="004606E4" w:rsidRPr="00854541">
        <w:rPr>
          <w:lang w:val="en-CA"/>
        </w:rPr>
        <w:t>.</w:t>
      </w:r>
    </w:p>
    <w:p w14:paraId="763A1898" w14:textId="024BE914" w:rsidR="004606E4" w:rsidRPr="00854541" w:rsidRDefault="006D1A75" w:rsidP="008849C0">
      <w:pPr>
        <w:pStyle w:val="Paragraphe"/>
        <w:spacing w:line="280" w:lineRule="exact"/>
        <w:rPr>
          <w:lang w:val="en-CA"/>
        </w:rPr>
      </w:pPr>
      <w:r>
        <w:rPr>
          <w:lang w:val="en-CA"/>
        </w:rPr>
        <w:t xml:space="preserve">For the reasons of </w:t>
      </w:r>
      <w:r w:rsidR="004606E4" w:rsidRPr="00854541">
        <w:rPr>
          <w:lang w:val="en-CA"/>
        </w:rPr>
        <w:t>Dutil,</w:t>
      </w:r>
      <w:r w:rsidR="00BD55E9">
        <w:rPr>
          <w:lang w:val="en-CA"/>
        </w:rPr>
        <w:t xml:space="preserve"> J.A.,</w:t>
      </w:r>
      <w:r w:rsidR="004606E4" w:rsidRPr="00854541">
        <w:rPr>
          <w:lang w:val="en-CA"/>
        </w:rPr>
        <w:t xml:space="preserve"> </w:t>
      </w:r>
      <w:r w:rsidR="00BD55E9">
        <w:rPr>
          <w:lang w:val="en-CA"/>
        </w:rPr>
        <w:t xml:space="preserve">with </w:t>
      </w:r>
      <w:r w:rsidR="00FB405B">
        <w:rPr>
          <w:lang w:val="en-CA"/>
        </w:rPr>
        <w:t xml:space="preserve">which </w:t>
      </w:r>
      <w:r w:rsidR="004606E4" w:rsidRPr="00854541">
        <w:rPr>
          <w:lang w:val="en-CA"/>
        </w:rPr>
        <w:t xml:space="preserve">Hamilton </w:t>
      </w:r>
      <w:r>
        <w:rPr>
          <w:lang w:val="en-CA"/>
        </w:rPr>
        <w:t>and</w:t>
      </w:r>
      <w:r w:rsidR="004606E4" w:rsidRPr="00854541">
        <w:rPr>
          <w:lang w:val="en-CA"/>
        </w:rPr>
        <w:t xml:space="preserve"> Lavallée</w:t>
      </w:r>
      <w:r w:rsidR="00BD55E9">
        <w:rPr>
          <w:lang w:val="en-CA"/>
        </w:rPr>
        <w:t>, JJ.A.</w:t>
      </w:r>
      <w:r>
        <w:rPr>
          <w:lang w:val="en-CA"/>
        </w:rPr>
        <w:t xml:space="preserve"> concur</w:t>
      </w:r>
      <w:r w:rsidR="004606E4" w:rsidRPr="00854541">
        <w:rPr>
          <w:lang w:val="en-CA"/>
        </w:rPr>
        <w:t xml:space="preserve">, </w:t>
      </w:r>
      <w:r>
        <w:rPr>
          <w:b/>
          <w:bCs/>
          <w:lang w:val="en-CA"/>
        </w:rPr>
        <w:t>THE COURT</w:t>
      </w:r>
      <w:r w:rsidR="004606E4" w:rsidRPr="00854541">
        <w:rPr>
          <w:lang w:val="en-CA"/>
        </w:rPr>
        <w:t>:</w:t>
      </w:r>
    </w:p>
    <w:p w14:paraId="6D3DF304" w14:textId="5000C855" w:rsidR="004606E4" w:rsidRPr="00854541" w:rsidRDefault="006D1A75" w:rsidP="008849C0">
      <w:pPr>
        <w:pStyle w:val="Paragraphe"/>
        <w:spacing w:line="280" w:lineRule="exact"/>
        <w:rPr>
          <w:lang w:val="en-CA"/>
        </w:rPr>
      </w:pPr>
      <w:r>
        <w:rPr>
          <w:b/>
          <w:bCs/>
          <w:lang w:val="en-CA"/>
        </w:rPr>
        <w:lastRenderedPageBreak/>
        <w:t>DISMISSES</w:t>
      </w:r>
      <w:r w:rsidR="004606E4" w:rsidRPr="00854541">
        <w:rPr>
          <w:lang w:val="en-CA"/>
        </w:rPr>
        <w:t xml:space="preserve"> </w:t>
      </w:r>
      <w:r>
        <w:rPr>
          <w:lang w:val="en-CA"/>
        </w:rPr>
        <w:t>the appeal</w:t>
      </w:r>
      <w:r w:rsidR="004606E4" w:rsidRPr="00854541">
        <w:rPr>
          <w:lang w:val="en-CA"/>
        </w:rPr>
        <w:t xml:space="preserve">, </w:t>
      </w:r>
      <w:r>
        <w:rPr>
          <w:lang w:val="en-CA"/>
        </w:rPr>
        <w:t>with legal costs</w:t>
      </w:r>
      <w:r w:rsidR="004606E4" w:rsidRPr="00854541">
        <w:rPr>
          <w:lang w:val="en-CA"/>
        </w:rPr>
        <w:t>.</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620"/>
        <w:gridCol w:w="3062"/>
        <w:gridCol w:w="4680"/>
      </w:tblGrid>
      <w:tr w:rsidR="008F364A" w:rsidRPr="00455D82" w14:paraId="634970B8" w14:textId="77777777" w:rsidTr="003E3239">
        <w:trPr>
          <w:trHeight w:val="576"/>
        </w:trPr>
        <w:tc>
          <w:tcPr>
            <w:tcW w:w="9362" w:type="dxa"/>
            <w:gridSpan w:val="3"/>
            <w:tcBorders>
              <w:top w:val="nil"/>
              <w:bottom w:val="nil"/>
            </w:tcBorders>
          </w:tcPr>
          <w:p w14:paraId="2764DB9A" w14:textId="77777777" w:rsidR="008F364A" w:rsidRPr="00854541" w:rsidRDefault="008F364A">
            <w:pPr>
              <w:keepNext/>
              <w:rPr>
                <w:lang w:val="en-CA"/>
              </w:rPr>
            </w:pPr>
          </w:p>
        </w:tc>
      </w:tr>
      <w:tr w:rsidR="008F364A" w:rsidRPr="00455D82" w14:paraId="62C642E1" w14:textId="77777777" w:rsidTr="00117914">
        <w:trPr>
          <w:trHeight w:val="283"/>
        </w:trPr>
        <w:tc>
          <w:tcPr>
            <w:tcW w:w="4682" w:type="dxa"/>
            <w:gridSpan w:val="2"/>
            <w:tcBorders>
              <w:top w:val="nil"/>
              <w:bottom w:val="nil"/>
            </w:tcBorders>
          </w:tcPr>
          <w:p w14:paraId="13763184" w14:textId="77777777" w:rsidR="008F364A" w:rsidRPr="00854541" w:rsidRDefault="008F364A">
            <w:pPr>
              <w:keepNext/>
              <w:rPr>
                <w:lang w:val="en-CA"/>
              </w:rPr>
            </w:pPr>
          </w:p>
        </w:tc>
        <w:tc>
          <w:tcPr>
            <w:tcW w:w="4680" w:type="dxa"/>
            <w:tcBorders>
              <w:top w:val="nil"/>
              <w:bottom w:val="single" w:sz="8" w:space="0" w:color="auto"/>
            </w:tcBorders>
          </w:tcPr>
          <w:p w14:paraId="3856534B" w14:textId="77777777" w:rsidR="008F364A" w:rsidRPr="00854541" w:rsidRDefault="008F364A">
            <w:pPr>
              <w:keepNext/>
              <w:rPr>
                <w:lang w:val="en-CA"/>
              </w:rPr>
            </w:pPr>
          </w:p>
        </w:tc>
      </w:tr>
      <w:tr w:rsidR="008F364A" w:rsidRPr="00854541" w14:paraId="2BC3AF15" w14:textId="77777777" w:rsidTr="00117914">
        <w:trPr>
          <w:trHeight w:val="283"/>
        </w:trPr>
        <w:tc>
          <w:tcPr>
            <w:tcW w:w="4682" w:type="dxa"/>
            <w:gridSpan w:val="2"/>
            <w:tcBorders>
              <w:top w:val="nil"/>
            </w:tcBorders>
          </w:tcPr>
          <w:p w14:paraId="6B009B63" w14:textId="77777777" w:rsidR="008F364A" w:rsidRPr="00854541" w:rsidRDefault="008F364A">
            <w:pPr>
              <w:keepNext/>
              <w:rPr>
                <w:lang w:val="en-CA"/>
              </w:rPr>
            </w:pPr>
          </w:p>
        </w:tc>
        <w:tc>
          <w:tcPr>
            <w:tcW w:w="4680" w:type="dxa"/>
            <w:tcBorders>
              <w:top w:val="single" w:sz="8" w:space="0" w:color="auto"/>
            </w:tcBorders>
          </w:tcPr>
          <w:p w14:paraId="11560327" w14:textId="188857BD" w:rsidR="008F364A" w:rsidRPr="00854541" w:rsidRDefault="00BD55E9">
            <w:pPr>
              <w:rPr>
                <w:lang w:val="en-CA"/>
              </w:rPr>
            </w:pPr>
            <w:r w:rsidRPr="00BD55E9">
              <w:rPr>
                <w:lang w:val="en-CA"/>
              </w:rPr>
              <w:t>JULIE DUTIL, J.A.</w:t>
            </w:r>
          </w:p>
        </w:tc>
      </w:tr>
      <w:tr w:rsidR="008F364A" w:rsidRPr="00854541" w14:paraId="758B527B" w14:textId="77777777" w:rsidTr="00117914">
        <w:trPr>
          <w:trHeight w:val="283"/>
        </w:trPr>
        <w:tc>
          <w:tcPr>
            <w:tcW w:w="4682" w:type="dxa"/>
            <w:gridSpan w:val="2"/>
            <w:tcBorders>
              <w:top w:val="nil"/>
            </w:tcBorders>
          </w:tcPr>
          <w:p w14:paraId="0D209026" w14:textId="77777777" w:rsidR="008F364A" w:rsidRPr="00854541" w:rsidRDefault="008F364A">
            <w:pPr>
              <w:keepNext/>
              <w:rPr>
                <w:lang w:val="en-CA"/>
              </w:rPr>
            </w:pPr>
            <w:bookmarkStart w:id="3" w:name="Signature2"/>
          </w:p>
        </w:tc>
        <w:tc>
          <w:tcPr>
            <w:tcW w:w="4680" w:type="dxa"/>
            <w:tcBorders>
              <w:top w:val="nil"/>
            </w:tcBorders>
          </w:tcPr>
          <w:p w14:paraId="3546BB47" w14:textId="77777777" w:rsidR="008F364A" w:rsidRPr="00854541" w:rsidRDefault="008F364A">
            <w:pPr>
              <w:keepNext/>
              <w:rPr>
                <w:lang w:val="en-CA"/>
              </w:rPr>
            </w:pPr>
          </w:p>
        </w:tc>
      </w:tr>
      <w:tr w:rsidR="008F364A" w:rsidRPr="00854541" w14:paraId="314473F2" w14:textId="77777777" w:rsidTr="00117914">
        <w:trPr>
          <w:trHeight w:val="283"/>
        </w:trPr>
        <w:tc>
          <w:tcPr>
            <w:tcW w:w="4682" w:type="dxa"/>
            <w:gridSpan w:val="2"/>
            <w:tcBorders>
              <w:top w:val="nil"/>
              <w:bottom w:val="nil"/>
            </w:tcBorders>
          </w:tcPr>
          <w:p w14:paraId="7CE821A8" w14:textId="77777777" w:rsidR="008F364A" w:rsidRPr="00854541" w:rsidRDefault="008F364A">
            <w:pPr>
              <w:keepNext/>
              <w:rPr>
                <w:lang w:val="en-CA"/>
              </w:rPr>
            </w:pPr>
          </w:p>
        </w:tc>
        <w:tc>
          <w:tcPr>
            <w:tcW w:w="4680" w:type="dxa"/>
            <w:tcBorders>
              <w:top w:val="nil"/>
              <w:bottom w:val="single" w:sz="8" w:space="0" w:color="auto"/>
            </w:tcBorders>
          </w:tcPr>
          <w:p w14:paraId="7060164D" w14:textId="77777777" w:rsidR="008F364A" w:rsidRPr="00854541" w:rsidRDefault="008F364A">
            <w:pPr>
              <w:keepNext/>
              <w:rPr>
                <w:lang w:val="en-CA"/>
              </w:rPr>
            </w:pPr>
          </w:p>
        </w:tc>
      </w:tr>
      <w:tr w:rsidR="008F364A" w:rsidRPr="00455D82" w14:paraId="23C7DFA0" w14:textId="77777777" w:rsidTr="00117914">
        <w:trPr>
          <w:trHeight w:val="283"/>
        </w:trPr>
        <w:tc>
          <w:tcPr>
            <w:tcW w:w="4682" w:type="dxa"/>
            <w:gridSpan w:val="2"/>
            <w:tcBorders>
              <w:top w:val="nil"/>
            </w:tcBorders>
          </w:tcPr>
          <w:p w14:paraId="2A20DB04" w14:textId="77777777" w:rsidR="008F364A" w:rsidRPr="00854541" w:rsidRDefault="008F364A">
            <w:pPr>
              <w:keepNext/>
              <w:rPr>
                <w:lang w:val="en-CA"/>
              </w:rPr>
            </w:pPr>
          </w:p>
        </w:tc>
        <w:tc>
          <w:tcPr>
            <w:tcW w:w="4680" w:type="dxa"/>
            <w:tcBorders>
              <w:top w:val="single" w:sz="8" w:space="0" w:color="auto"/>
            </w:tcBorders>
          </w:tcPr>
          <w:p w14:paraId="497EE299" w14:textId="3CFF6707" w:rsidR="008F364A" w:rsidRPr="00854541" w:rsidRDefault="00BD55E9">
            <w:pPr>
              <w:keepNext/>
              <w:rPr>
                <w:lang w:val="en-CA"/>
              </w:rPr>
            </w:pPr>
            <w:r w:rsidRPr="00BD55E9">
              <w:rPr>
                <w:lang w:val="en-CA"/>
              </w:rPr>
              <w:t>STEPHEN W. HAMILTON, J.A.</w:t>
            </w:r>
          </w:p>
        </w:tc>
      </w:tr>
      <w:tr w:rsidR="008F364A" w:rsidRPr="00455D82" w14:paraId="3E0D7DD8" w14:textId="77777777" w:rsidTr="00117914">
        <w:trPr>
          <w:trHeight w:val="283"/>
        </w:trPr>
        <w:tc>
          <w:tcPr>
            <w:tcW w:w="4682" w:type="dxa"/>
            <w:gridSpan w:val="2"/>
            <w:tcBorders>
              <w:top w:val="nil"/>
            </w:tcBorders>
          </w:tcPr>
          <w:p w14:paraId="45DAC103" w14:textId="77777777" w:rsidR="008F364A" w:rsidRPr="00854541" w:rsidRDefault="008F364A">
            <w:pPr>
              <w:keepNext/>
              <w:rPr>
                <w:lang w:val="en-CA"/>
              </w:rPr>
            </w:pPr>
            <w:bookmarkStart w:id="4" w:name="Signature3"/>
            <w:bookmarkEnd w:id="3"/>
          </w:p>
        </w:tc>
        <w:tc>
          <w:tcPr>
            <w:tcW w:w="4680" w:type="dxa"/>
            <w:tcBorders>
              <w:top w:val="nil"/>
            </w:tcBorders>
          </w:tcPr>
          <w:p w14:paraId="742B594B" w14:textId="77777777" w:rsidR="008F364A" w:rsidRPr="00854541" w:rsidRDefault="008F364A">
            <w:pPr>
              <w:keepNext/>
              <w:rPr>
                <w:lang w:val="en-CA"/>
              </w:rPr>
            </w:pPr>
          </w:p>
        </w:tc>
      </w:tr>
      <w:tr w:rsidR="008F364A" w:rsidRPr="00455D82" w14:paraId="34A9C816" w14:textId="77777777" w:rsidTr="00117914">
        <w:trPr>
          <w:trHeight w:val="283"/>
        </w:trPr>
        <w:tc>
          <w:tcPr>
            <w:tcW w:w="4682" w:type="dxa"/>
            <w:gridSpan w:val="2"/>
            <w:tcBorders>
              <w:top w:val="nil"/>
              <w:bottom w:val="nil"/>
            </w:tcBorders>
          </w:tcPr>
          <w:p w14:paraId="26A19B04" w14:textId="77777777" w:rsidR="008F364A" w:rsidRPr="00854541" w:rsidRDefault="008F364A">
            <w:pPr>
              <w:keepNext/>
              <w:rPr>
                <w:lang w:val="en-CA"/>
              </w:rPr>
            </w:pPr>
          </w:p>
        </w:tc>
        <w:tc>
          <w:tcPr>
            <w:tcW w:w="4680" w:type="dxa"/>
            <w:tcBorders>
              <w:top w:val="nil"/>
              <w:bottom w:val="single" w:sz="8" w:space="0" w:color="auto"/>
            </w:tcBorders>
          </w:tcPr>
          <w:p w14:paraId="20C4B03D" w14:textId="77777777" w:rsidR="008F364A" w:rsidRPr="00854541" w:rsidRDefault="008F364A">
            <w:pPr>
              <w:keepNext/>
              <w:rPr>
                <w:lang w:val="en-CA"/>
              </w:rPr>
            </w:pPr>
          </w:p>
        </w:tc>
      </w:tr>
      <w:tr w:rsidR="008F364A" w:rsidRPr="00854541" w14:paraId="44985B13" w14:textId="77777777" w:rsidTr="00117914">
        <w:trPr>
          <w:trHeight w:val="283"/>
        </w:trPr>
        <w:tc>
          <w:tcPr>
            <w:tcW w:w="4682" w:type="dxa"/>
            <w:gridSpan w:val="2"/>
            <w:tcBorders>
              <w:top w:val="nil"/>
            </w:tcBorders>
          </w:tcPr>
          <w:p w14:paraId="706DC91C" w14:textId="77777777" w:rsidR="008F364A" w:rsidRPr="00854541" w:rsidRDefault="008F364A">
            <w:pPr>
              <w:keepNext/>
              <w:rPr>
                <w:lang w:val="en-CA"/>
              </w:rPr>
            </w:pPr>
          </w:p>
        </w:tc>
        <w:tc>
          <w:tcPr>
            <w:tcW w:w="4680" w:type="dxa"/>
            <w:tcBorders>
              <w:top w:val="single" w:sz="8" w:space="0" w:color="auto"/>
            </w:tcBorders>
          </w:tcPr>
          <w:p w14:paraId="3EC91E33" w14:textId="436B4369" w:rsidR="008F364A" w:rsidRPr="00854541" w:rsidRDefault="00BD55E9">
            <w:pPr>
              <w:keepNext/>
              <w:rPr>
                <w:lang w:val="en-CA"/>
              </w:rPr>
            </w:pPr>
            <w:r w:rsidRPr="00BD55E9">
              <w:rPr>
                <w:lang w:val="en-CA"/>
              </w:rPr>
              <w:t>SOPHIE LAVALLÉE, J.A.</w:t>
            </w:r>
          </w:p>
        </w:tc>
      </w:tr>
      <w:bookmarkEnd w:id="4"/>
      <w:tr w:rsidR="005A78BF" w:rsidRPr="00854541" w14:paraId="019B763E" w14:textId="77777777" w:rsidTr="00423DF1">
        <w:tc>
          <w:tcPr>
            <w:tcW w:w="9362" w:type="dxa"/>
            <w:gridSpan w:val="3"/>
          </w:tcPr>
          <w:p w14:paraId="23EACBDC" w14:textId="77777777" w:rsidR="005A78BF" w:rsidRPr="00854541" w:rsidRDefault="005A78BF" w:rsidP="005A78BF">
            <w:pPr>
              <w:rPr>
                <w:lang w:val="en-CA"/>
              </w:rPr>
            </w:pPr>
          </w:p>
        </w:tc>
      </w:tr>
      <w:tr w:rsidR="005A78BF" w:rsidRPr="00455D82" w14:paraId="45F7BFB0" w14:textId="77777777" w:rsidTr="00423DF1">
        <w:tc>
          <w:tcPr>
            <w:tcW w:w="9362" w:type="dxa"/>
            <w:gridSpan w:val="3"/>
          </w:tcPr>
          <w:p w14:paraId="5B7B1763" w14:textId="349D46A0" w:rsidR="00080451" w:rsidRDefault="00080451" w:rsidP="005A78BF">
            <w:pPr>
              <w:pStyle w:val="zSoquijdatNomProcureurDem"/>
              <w:rPr>
                <w:lang w:val="en-CA"/>
              </w:rPr>
            </w:pPr>
            <w:r>
              <w:rPr>
                <w:lang w:val="en-CA"/>
              </w:rPr>
              <w:t>Mtre Jeffrey Orenstein</w:t>
            </w:r>
          </w:p>
          <w:p w14:paraId="4413C84B" w14:textId="47E947FA" w:rsidR="005A78BF" w:rsidRPr="00854541" w:rsidRDefault="007D2A93" w:rsidP="005A78BF">
            <w:pPr>
              <w:pStyle w:val="zSoquijdatNomProcureurDem"/>
              <w:rPr>
                <w:lang w:val="en-CA"/>
              </w:rPr>
            </w:pPr>
            <w:r w:rsidRPr="00854541">
              <w:rPr>
                <w:lang w:val="en-CA"/>
              </w:rPr>
              <w:t>M</w:t>
            </w:r>
            <w:r w:rsidR="006D1A75">
              <w:rPr>
                <w:lang w:val="en-CA"/>
              </w:rPr>
              <w:t>tre</w:t>
            </w:r>
            <w:r w:rsidRPr="00854541">
              <w:rPr>
                <w:lang w:val="en-CA"/>
              </w:rPr>
              <w:t xml:space="preserve"> Andrea Grass</w:t>
            </w:r>
          </w:p>
        </w:tc>
      </w:tr>
      <w:tr w:rsidR="005A78BF" w:rsidRPr="00854541" w14:paraId="20C1EE7D" w14:textId="77777777" w:rsidTr="00423DF1">
        <w:tc>
          <w:tcPr>
            <w:tcW w:w="9362" w:type="dxa"/>
            <w:gridSpan w:val="3"/>
          </w:tcPr>
          <w:p w14:paraId="4C818B18" w14:textId="7818505E" w:rsidR="005A78BF" w:rsidRPr="00854541" w:rsidRDefault="007D2A93" w:rsidP="005A78BF">
            <w:pPr>
              <w:pStyle w:val="zSoquijdatCabinetProcureurDem"/>
              <w:rPr>
                <w:smallCaps/>
                <w:lang w:val="en-CA"/>
              </w:rPr>
            </w:pPr>
            <w:r w:rsidRPr="00854541">
              <w:rPr>
                <w:smallCaps/>
                <w:lang w:val="en-CA"/>
              </w:rPr>
              <w:t>consumer law group inc.</w:t>
            </w:r>
          </w:p>
        </w:tc>
      </w:tr>
      <w:tr w:rsidR="005A78BF" w:rsidRPr="00854541" w14:paraId="18DBD3A3" w14:textId="77777777" w:rsidTr="00423DF1">
        <w:tc>
          <w:tcPr>
            <w:tcW w:w="9362" w:type="dxa"/>
            <w:gridSpan w:val="3"/>
          </w:tcPr>
          <w:p w14:paraId="4AE6F1EC" w14:textId="0083FD5F" w:rsidR="005A78BF" w:rsidRPr="00854541" w:rsidRDefault="006D1A75" w:rsidP="005A78BF">
            <w:pPr>
              <w:pStyle w:val="zSoquijlblProcureurDem"/>
              <w:rPr>
                <w:lang w:val="en-CA"/>
              </w:rPr>
            </w:pPr>
            <w:r>
              <w:rPr>
                <w:lang w:val="en-CA"/>
              </w:rPr>
              <w:t xml:space="preserve">For </w:t>
            </w:r>
            <w:r w:rsidR="00080451">
              <w:rPr>
                <w:lang w:val="en-CA"/>
              </w:rPr>
              <w:t>Julie Tanny</w:t>
            </w:r>
          </w:p>
        </w:tc>
      </w:tr>
      <w:tr w:rsidR="005A78BF" w:rsidRPr="00854541" w14:paraId="38788F51" w14:textId="77777777" w:rsidTr="00423DF1">
        <w:tc>
          <w:tcPr>
            <w:tcW w:w="9362" w:type="dxa"/>
            <w:gridSpan w:val="3"/>
          </w:tcPr>
          <w:p w14:paraId="4452D314" w14:textId="77777777" w:rsidR="005A78BF" w:rsidRPr="00854541" w:rsidRDefault="005A78BF" w:rsidP="005A78BF">
            <w:pPr>
              <w:rPr>
                <w:lang w:val="en-CA"/>
              </w:rPr>
            </w:pPr>
          </w:p>
        </w:tc>
      </w:tr>
      <w:tr w:rsidR="005A78BF" w:rsidRPr="00854541" w14:paraId="300008E1" w14:textId="77777777" w:rsidTr="00423DF1">
        <w:tc>
          <w:tcPr>
            <w:tcW w:w="9362" w:type="dxa"/>
            <w:gridSpan w:val="3"/>
          </w:tcPr>
          <w:p w14:paraId="673686FE" w14:textId="4318B89D" w:rsidR="005A78BF" w:rsidRPr="00854541" w:rsidRDefault="007D2A93" w:rsidP="005A78BF">
            <w:pPr>
              <w:pStyle w:val="zSoquijdatNomProcureurDef"/>
              <w:rPr>
                <w:lang w:val="en-CA"/>
              </w:rPr>
            </w:pPr>
            <w:r w:rsidRPr="00854541">
              <w:rPr>
                <w:lang w:val="en-CA"/>
              </w:rPr>
              <w:t>M</w:t>
            </w:r>
            <w:r w:rsidR="006D1A75">
              <w:rPr>
                <w:lang w:val="en-CA"/>
              </w:rPr>
              <w:t>tre</w:t>
            </w:r>
            <w:r w:rsidRPr="00854541">
              <w:rPr>
                <w:lang w:val="en-CA"/>
              </w:rPr>
              <w:t xml:space="preserve"> Malco</w:t>
            </w:r>
            <w:r w:rsidR="00404441">
              <w:rPr>
                <w:lang w:val="en-CA"/>
              </w:rPr>
              <w:t>l</w:t>
            </w:r>
            <w:r w:rsidRPr="00854541">
              <w:rPr>
                <w:lang w:val="en-CA"/>
              </w:rPr>
              <w:t xml:space="preserve">m </w:t>
            </w:r>
            <w:r w:rsidR="00404441">
              <w:rPr>
                <w:lang w:val="en-CA"/>
              </w:rPr>
              <w:t xml:space="preserve">N. </w:t>
            </w:r>
            <w:r w:rsidRPr="00854541">
              <w:rPr>
                <w:lang w:val="en-CA"/>
              </w:rPr>
              <w:t>Ruby</w:t>
            </w:r>
          </w:p>
          <w:p w14:paraId="0ABB6C41" w14:textId="77777777" w:rsidR="007D2A93" w:rsidRDefault="007D2A93" w:rsidP="005A78BF">
            <w:pPr>
              <w:pStyle w:val="zSoquijdatNomProcureurDef"/>
              <w:rPr>
                <w:lang w:val="en-CA"/>
              </w:rPr>
            </w:pPr>
            <w:proofErr w:type="spellStart"/>
            <w:r w:rsidRPr="00854541">
              <w:rPr>
                <w:lang w:val="en-CA"/>
              </w:rPr>
              <w:t>M</w:t>
            </w:r>
            <w:r w:rsidR="006D1A75">
              <w:rPr>
                <w:lang w:val="en-CA"/>
              </w:rPr>
              <w:t>tre</w:t>
            </w:r>
            <w:proofErr w:type="spellEnd"/>
            <w:r w:rsidRPr="00854541">
              <w:rPr>
                <w:lang w:val="en-CA"/>
              </w:rPr>
              <w:t xml:space="preserve"> Adam </w:t>
            </w:r>
            <w:proofErr w:type="spellStart"/>
            <w:r w:rsidRPr="00854541">
              <w:rPr>
                <w:lang w:val="en-CA"/>
              </w:rPr>
              <w:t>Baza</w:t>
            </w:r>
            <w:r w:rsidR="00404441">
              <w:rPr>
                <w:lang w:val="en-CA"/>
              </w:rPr>
              <w:t>k</w:t>
            </w:r>
            <w:proofErr w:type="spellEnd"/>
          </w:p>
          <w:p w14:paraId="041EE33B" w14:textId="26B87BAA" w:rsidR="00404441" w:rsidRPr="00854541" w:rsidRDefault="00404441" w:rsidP="005A78BF">
            <w:pPr>
              <w:pStyle w:val="zSoquijdatNomProcureurDef"/>
              <w:rPr>
                <w:lang w:val="en-CA"/>
              </w:rPr>
            </w:pPr>
            <w:proofErr w:type="spellStart"/>
            <w:r>
              <w:rPr>
                <w:lang w:val="en-CA"/>
              </w:rPr>
              <w:t>Mtre</w:t>
            </w:r>
            <w:proofErr w:type="spellEnd"/>
            <w:r>
              <w:rPr>
                <w:lang w:val="en-CA"/>
              </w:rPr>
              <w:t xml:space="preserve"> Antoine Van </w:t>
            </w:r>
            <w:proofErr w:type="spellStart"/>
            <w:r>
              <w:rPr>
                <w:lang w:val="en-CA"/>
              </w:rPr>
              <w:t>Audenrode</w:t>
            </w:r>
            <w:proofErr w:type="spellEnd"/>
          </w:p>
        </w:tc>
      </w:tr>
      <w:tr w:rsidR="005A78BF" w:rsidRPr="00854541" w14:paraId="10AA89A6" w14:textId="77777777" w:rsidTr="00423DF1">
        <w:tc>
          <w:tcPr>
            <w:tcW w:w="9362" w:type="dxa"/>
            <w:gridSpan w:val="3"/>
          </w:tcPr>
          <w:p w14:paraId="0C616D4B" w14:textId="7B153B3F" w:rsidR="005A78BF" w:rsidRPr="00854541" w:rsidRDefault="007D2A93" w:rsidP="005A78BF">
            <w:pPr>
              <w:pStyle w:val="zSoquijdatCabinetProcureurDef"/>
              <w:rPr>
                <w:smallCaps/>
                <w:lang w:val="en-CA"/>
              </w:rPr>
            </w:pPr>
            <w:proofErr w:type="spellStart"/>
            <w:r w:rsidRPr="00854541">
              <w:rPr>
                <w:smallCaps/>
                <w:lang w:val="en-CA"/>
              </w:rPr>
              <w:t>gowling</w:t>
            </w:r>
            <w:proofErr w:type="spellEnd"/>
            <w:r w:rsidRPr="00854541">
              <w:rPr>
                <w:smallCaps/>
                <w:lang w:val="en-CA"/>
              </w:rPr>
              <w:t xml:space="preserve"> </w:t>
            </w:r>
            <w:proofErr w:type="spellStart"/>
            <w:r w:rsidRPr="00854541">
              <w:rPr>
                <w:smallCaps/>
                <w:lang w:val="en-CA"/>
              </w:rPr>
              <w:t>wlg</w:t>
            </w:r>
            <w:proofErr w:type="spellEnd"/>
            <w:r w:rsidRPr="00854541">
              <w:rPr>
                <w:smallCaps/>
                <w:lang w:val="en-CA"/>
              </w:rPr>
              <w:t xml:space="preserve"> </w:t>
            </w:r>
            <w:proofErr w:type="spellStart"/>
            <w:r w:rsidRPr="00854541">
              <w:rPr>
                <w:smallCaps/>
                <w:lang w:val="en-CA"/>
              </w:rPr>
              <w:t>canada</w:t>
            </w:r>
            <w:proofErr w:type="spellEnd"/>
          </w:p>
        </w:tc>
      </w:tr>
      <w:tr w:rsidR="005A78BF" w:rsidRPr="00455D82" w14:paraId="4328DA3D" w14:textId="77777777" w:rsidTr="00423DF1">
        <w:tc>
          <w:tcPr>
            <w:tcW w:w="9362" w:type="dxa"/>
            <w:gridSpan w:val="3"/>
          </w:tcPr>
          <w:p w14:paraId="796F7001" w14:textId="5EFA0DEC" w:rsidR="005A78BF" w:rsidRPr="00854541" w:rsidRDefault="006D1A75" w:rsidP="005A78BF">
            <w:pPr>
              <w:pStyle w:val="zSoquijlblProcureurDef"/>
              <w:rPr>
                <w:lang w:val="en-CA"/>
              </w:rPr>
            </w:pPr>
            <w:r>
              <w:rPr>
                <w:lang w:val="en-CA"/>
              </w:rPr>
              <w:t xml:space="preserve">For the </w:t>
            </w:r>
            <w:r w:rsidR="00404441">
              <w:rPr>
                <w:lang w:val="en-CA"/>
              </w:rPr>
              <w:t>United States Attorney General</w:t>
            </w:r>
          </w:p>
        </w:tc>
      </w:tr>
      <w:tr w:rsidR="007D2A93" w:rsidRPr="00455D82" w14:paraId="1C77BC96" w14:textId="77777777" w:rsidTr="00423DF1">
        <w:tc>
          <w:tcPr>
            <w:tcW w:w="9362" w:type="dxa"/>
            <w:gridSpan w:val="3"/>
          </w:tcPr>
          <w:p w14:paraId="03D84FBD" w14:textId="77777777" w:rsidR="007D2A93" w:rsidRPr="00854541" w:rsidRDefault="007D2A93" w:rsidP="005A78BF">
            <w:pPr>
              <w:rPr>
                <w:lang w:val="en-CA"/>
              </w:rPr>
            </w:pPr>
          </w:p>
        </w:tc>
      </w:tr>
      <w:tr w:rsidR="007D2A93" w:rsidRPr="00854541" w14:paraId="3447C753" w14:textId="77777777" w:rsidTr="00423DF1">
        <w:tc>
          <w:tcPr>
            <w:tcW w:w="9362" w:type="dxa"/>
            <w:gridSpan w:val="3"/>
          </w:tcPr>
          <w:p w14:paraId="1DD8C933" w14:textId="480BE30F" w:rsidR="007D2A93" w:rsidRPr="00455D82" w:rsidRDefault="007D2A93" w:rsidP="007D2A93">
            <w:pPr>
              <w:pStyle w:val="zSoquijdatNomProcureurDef"/>
            </w:pPr>
            <w:proofErr w:type="spellStart"/>
            <w:r w:rsidRPr="00455D82">
              <w:t>M</w:t>
            </w:r>
            <w:r w:rsidR="006D1A75" w:rsidRPr="00455D82">
              <w:t>tre</w:t>
            </w:r>
            <w:proofErr w:type="spellEnd"/>
            <w:r w:rsidRPr="00455D82">
              <w:t xml:space="preserve"> </w:t>
            </w:r>
            <w:r w:rsidR="00383785" w:rsidRPr="00455D82">
              <w:t xml:space="preserve">François </w:t>
            </w:r>
            <w:proofErr w:type="spellStart"/>
            <w:r w:rsidR="00383785" w:rsidRPr="00455D82">
              <w:t>Joyal</w:t>
            </w:r>
            <w:proofErr w:type="spellEnd"/>
          </w:p>
          <w:p w14:paraId="61EC0D93" w14:textId="4128F219" w:rsidR="00383785" w:rsidRPr="00455D82" w:rsidRDefault="007D2A93" w:rsidP="007D2A93">
            <w:pPr>
              <w:pStyle w:val="zSoquijdatNomProcureurDef"/>
            </w:pPr>
            <w:proofErr w:type="spellStart"/>
            <w:r w:rsidRPr="00455D82">
              <w:t>M</w:t>
            </w:r>
            <w:r w:rsidR="006D1A75" w:rsidRPr="00455D82">
              <w:t>tre</w:t>
            </w:r>
            <w:proofErr w:type="spellEnd"/>
            <w:r w:rsidRPr="00455D82">
              <w:t xml:space="preserve"> </w:t>
            </w:r>
            <w:proofErr w:type="spellStart"/>
            <w:r w:rsidR="00383785" w:rsidRPr="00455D82">
              <w:t>Andréane</w:t>
            </w:r>
            <w:proofErr w:type="spellEnd"/>
            <w:r w:rsidR="00383785" w:rsidRPr="00455D82">
              <w:t xml:space="preserve"> </w:t>
            </w:r>
            <w:proofErr w:type="spellStart"/>
            <w:r w:rsidR="00383785" w:rsidRPr="00455D82">
              <w:t>Joanette</w:t>
            </w:r>
            <w:proofErr w:type="spellEnd"/>
            <w:r w:rsidR="00383785" w:rsidRPr="00455D82">
              <w:t>-Laflamme</w:t>
            </w:r>
          </w:p>
          <w:p w14:paraId="388A7F70" w14:textId="26AE5FA1" w:rsidR="007D2A93" w:rsidRPr="00854541" w:rsidRDefault="007D2A93" w:rsidP="007D2A93">
            <w:pPr>
              <w:pStyle w:val="zSoquijdatNomProcureurDef"/>
              <w:rPr>
                <w:lang w:val="en-CA"/>
              </w:rPr>
            </w:pPr>
            <w:proofErr w:type="spellStart"/>
            <w:r w:rsidRPr="00854541">
              <w:rPr>
                <w:lang w:val="en-CA"/>
              </w:rPr>
              <w:t>M</w:t>
            </w:r>
            <w:r w:rsidR="006D1A75">
              <w:rPr>
                <w:lang w:val="en-CA"/>
              </w:rPr>
              <w:t>tre</w:t>
            </w:r>
            <w:proofErr w:type="spellEnd"/>
            <w:r w:rsidRPr="00854541">
              <w:rPr>
                <w:lang w:val="en-CA"/>
              </w:rPr>
              <w:t xml:space="preserve"> </w:t>
            </w:r>
            <w:proofErr w:type="spellStart"/>
            <w:r w:rsidR="00383785" w:rsidRPr="00854541">
              <w:rPr>
                <w:lang w:val="en-CA"/>
              </w:rPr>
              <w:t>Sarom</w:t>
            </w:r>
            <w:proofErr w:type="spellEnd"/>
            <w:r w:rsidR="00383785" w:rsidRPr="00854541">
              <w:rPr>
                <w:lang w:val="en-CA"/>
              </w:rPr>
              <w:t xml:space="preserve"> </w:t>
            </w:r>
            <w:proofErr w:type="spellStart"/>
            <w:r w:rsidR="00383785" w:rsidRPr="00854541">
              <w:rPr>
                <w:lang w:val="en-CA"/>
              </w:rPr>
              <w:t>Bahk</w:t>
            </w:r>
            <w:proofErr w:type="spellEnd"/>
          </w:p>
        </w:tc>
      </w:tr>
      <w:tr w:rsidR="007D2A93" w:rsidRPr="00854541" w14:paraId="38563C3F" w14:textId="77777777" w:rsidTr="00423DF1">
        <w:tc>
          <w:tcPr>
            <w:tcW w:w="9362" w:type="dxa"/>
            <w:gridSpan w:val="3"/>
          </w:tcPr>
          <w:p w14:paraId="40B69A9C" w14:textId="52D3675B" w:rsidR="007D2A93" w:rsidRPr="00854541" w:rsidRDefault="006D1A75" w:rsidP="007D2A93">
            <w:pPr>
              <w:pStyle w:val="zSoquijdatCabinetProcureurDef"/>
              <w:rPr>
                <w:smallCaps/>
                <w:lang w:val="en-CA"/>
              </w:rPr>
            </w:pPr>
            <w:r>
              <w:rPr>
                <w:smallCaps/>
                <w:lang w:val="en-CA"/>
              </w:rPr>
              <w:t>department of</w:t>
            </w:r>
            <w:r w:rsidR="00383785" w:rsidRPr="00854541">
              <w:rPr>
                <w:smallCaps/>
                <w:lang w:val="en-CA"/>
              </w:rPr>
              <w:t xml:space="preserve"> justice </w:t>
            </w:r>
            <w:proofErr w:type="spellStart"/>
            <w:r w:rsidR="00383785" w:rsidRPr="00854541">
              <w:rPr>
                <w:smallCaps/>
                <w:lang w:val="en-CA"/>
              </w:rPr>
              <w:t>canada</w:t>
            </w:r>
            <w:proofErr w:type="spellEnd"/>
          </w:p>
        </w:tc>
      </w:tr>
      <w:tr w:rsidR="007D2A93" w:rsidRPr="00455D82" w14:paraId="6ADA13C4" w14:textId="77777777" w:rsidTr="00423DF1">
        <w:tc>
          <w:tcPr>
            <w:tcW w:w="9362" w:type="dxa"/>
            <w:gridSpan w:val="3"/>
          </w:tcPr>
          <w:p w14:paraId="5F52141A" w14:textId="54557573" w:rsidR="007D2A93" w:rsidRPr="00854541" w:rsidRDefault="006D1A75" w:rsidP="007D2A93">
            <w:pPr>
              <w:pStyle w:val="zSoquijlblProcureurDef"/>
              <w:rPr>
                <w:lang w:val="en-CA"/>
              </w:rPr>
            </w:pPr>
            <w:r>
              <w:rPr>
                <w:lang w:val="en-CA"/>
              </w:rPr>
              <w:t>For the</w:t>
            </w:r>
            <w:r w:rsidR="007D2A93" w:rsidRPr="00854541">
              <w:rPr>
                <w:lang w:val="en-CA"/>
              </w:rPr>
              <w:t xml:space="preserve"> </w:t>
            </w:r>
            <w:r>
              <w:rPr>
                <w:lang w:val="en-CA"/>
              </w:rPr>
              <w:t>Attorney General of</w:t>
            </w:r>
            <w:r w:rsidR="00383785" w:rsidRPr="00854541">
              <w:rPr>
                <w:lang w:val="en-CA"/>
              </w:rPr>
              <w:t xml:space="preserve"> Canada</w:t>
            </w:r>
          </w:p>
        </w:tc>
      </w:tr>
      <w:tr w:rsidR="005A78BF" w:rsidRPr="00455D82" w14:paraId="3DF7565D" w14:textId="77777777" w:rsidTr="00423DF1">
        <w:tc>
          <w:tcPr>
            <w:tcW w:w="9362" w:type="dxa"/>
            <w:gridSpan w:val="3"/>
          </w:tcPr>
          <w:p w14:paraId="11492404" w14:textId="77777777" w:rsidR="005A78BF" w:rsidRPr="00854541" w:rsidRDefault="005A78BF" w:rsidP="005A78BF">
            <w:pPr>
              <w:rPr>
                <w:lang w:val="en-CA"/>
              </w:rPr>
            </w:pPr>
          </w:p>
        </w:tc>
      </w:tr>
      <w:tr w:rsidR="005A78BF" w:rsidRPr="00854541" w14:paraId="0ADDE3A9" w14:textId="77777777" w:rsidTr="00BC75EF">
        <w:tc>
          <w:tcPr>
            <w:tcW w:w="1620" w:type="dxa"/>
          </w:tcPr>
          <w:p w14:paraId="54B90E5E" w14:textId="5396F958" w:rsidR="005A78BF" w:rsidRPr="00854541" w:rsidRDefault="005F78B4" w:rsidP="005A78BF">
            <w:pPr>
              <w:pStyle w:val="zSoquijlblDateAudience"/>
              <w:rPr>
                <w:lang w:val="en-CA"/>
              </w:rPr>
            </w:pPr>
            <w:r>
              <w:rPr>
                <w:lang w:val="en-CA"/>
              </w:rPr>
              <w:t>Hearing date</w:t>
            </w:r>
            <w:r w:rsidR="005A78BF" w:rsidRPr="00854541">
              <w:rPr>
                <w:lang w:val="en-CA"/>
              </w:rPr>
              <w:t>:</w:t>
            </w:r>
          </w:p>
        </w:tc>
        <w:tc>
          <w:tcPr>
            <w:tcW w:w="7742" w:type="dxa"/>
            <w:gridSpan w:val="2"/>
          </w:tcPr>
          <w:p w14:paraId="5A690B28" w14:textId="34E3D2F4" w:rsidR="005A78BF" w:rsidRPr="00854541" w:rsidRDefault="005F78B4" w:rsidP="005A78BF">
            <w:pPr>
              <w:pStyle w:val="zSoquijdatDateAudience"/>
              <w:rPr>
                <w:lang w:val="en-CA"/>
              </w:rPr>
            </w:pPr>
            <w:r>
              <w:rPr>
                <w:lang w:val="en-CA"/>
              </w:rPr>
              <w:t>March 30,</w:t>
            </w:r>
            <w:r w:rsidR="00383785" w:rsidRPr="00854541">
              <w:rPr>
                <w:lang w:val="en-CA"/>
              </w:rPr>
              <w:t xml:space="preserve"> 2023</w:t>
            </w:r>
          </w:p>
        </w:tc>
      </w:tr>
    </w:tbl>
    <w:p w14:paraId="41869C51" w14:textId="77777777" w:rsidR="009214E1" w:rsidRDefault="009214E1" w:rsidP="009214E1">
      <w:pPr>
        <w:sectPr w:rsidR="009214E1" w:rsidSect="00F43559">
          <w:headerReference w:type="default" r:id="rId8"/>
          <w:pgSz w:w="12242" w:h="15842" w:code="1"/>
          <w:pgMar w:top="1440" w:right="1008" w:bottom="1440" w:left="1872" w:header="1440" w:footer="792" w:gutter="0"/>
          <w:cols w:space="720"/>
          <w:formProt w:val="0"/>
          <w:titlePg/>
        </w:sectPr>
      </w:pPr>
      <w:bookmarkStart w:id="5" w:name="Opinion"/>
      <w:bookmarkEnd w:id="2"/>
    </w:p>
    <w:tbl>
      <w:tblPr>
        <w:tblW w:w="0" w:type="auto"/>
        <w:tblLayout w:type="fixed"/>
        <w:tblCellMar>
          <w:left w:w="0" w:type="dxa"/>
          <w:right w:w="0" w:type="dxa"/>
        </w:tblCellMar>
        <w:tblLook w:val="0000" w:firstRow="0" w:lastRow="0" w:firstColumn="0" w:lastColumn="0" w:noHBand="0" w:noVBand="0"/>
      </w:tblPr>
      <w:tblGrid>
        <w:gridCol w:w="9360"/>
      </w:tblGrid>
      <w:tr w:rsidR="009214E1" w14:paraId="5EFA59DE" w14:textId="77777777" w:rsidTr="00D80499">
        <w:tc>
          <w:tcPr>
            <w:tcW w:w="9360" w:type="dxa"/>
            <w:tcBorders>
              <w:bottom w:val="single" w:sz="8" w:space="0" w:color="auto"/>
            </w:tcBorders>
          </w:tcPr>
          <w:p w14:paraId="64279E8C" w14:textId="77777777" w:rsidR="009214E1" w:rsidRDefault="009214E1" w:rsidP="00D80499">
            <w:r>
              <w:lastRenderedPageBreak/>
              <w:br w:type="page"/>
            </w:r>
          </w:p>
        </w:tc>
      </w:tr>
      <w:tr w:rsidR="009214E1" w14:paraId="229BDCEF" w14:textId="77777777" w:rsidTr="00D80499">
        <w:tc>
          <w:tcPr>
            <w:tcW w:w="9360" w:type="dxa"/>
            <w:tcBorders>
              <w:top w:val="single" w:sz="8" w:space="0" w:color="auto"/>
            </w:tcBorders>
          </w:tcPr>
          <w:p w14:paraId="455680E6" w14:textId="77777777" w:rsidR="009214E1" w:rsidRDefault="009214E1" w:rsidP="00D80499"/>
        </w:tc>
      </w:tr>
      <w:tr w:rsidR="009214E1" w:rsidRPr="00455D82" w14:paraId="157A3957" w14:textId="77777777" w:rsidTr="00D80499">
        <w:tc>
          <w:tcPr>
            <w:tcW w:w="9360" w:type="dxa"/>
          </w:tcPr>
          <w:p w14:paraId="50778D72" w14:textId="5503FB10" w:rsidR="009214E1" w:rsidRPr="007F7474" w:rsidRDefault="009214E1" w:rsidP="00D80499">
            <w:pPr>
              <w:pStyle w:val="zSoquijlblOpinionJuge"/>
              <w:rPr>
                <w:lang w:val="en-CA"/>
              </w:rPr>
            </w:pPr>
            <w:r w:rsidRPr="007F7474">
              <w:rPr>
                <w:lang w:val="en-CA"/>
              </w:rPr>
              <w:t xml:space="preserve">REASONS OF </w:t>
            </w:r>
            <w:r>
              <w:fldChar w:fldCharType="begin"/>
            </w:r>
            <w:r w:rsidRPr="007F7474">
              <w:rPr>
                <w:lang w:val="en-CA"/>
              </w:rPr>
              <w:instrText xml:space="preserve"> DOCVARIABLE NomFamJuge1 </w:instrText>
            </w:r>
            <w:r>
              <w:fldChar w:fldCharType="separate"/>
            </w:r>
            <w:r w:rsidR="002A24F0">
              <w:rPr>
                <w:lang w:val="en-CA"/>
              </w:rPr>
              <w:t>DUTIL</w:t>
            </w:r>
            <w:r>
              <w:fldChar w:fldCharType="end"/>
            </w:r>
            <w:r w:rsidRPr="007F7474">
              <w:rPr>
                <w:lang w:val="en-CA"/>
              </w:rPr>
              <w:t>, J.A</w:t>
            </w:r>
            <w:r>
              <w:rPr>
                <w:lang w:val="en-CA"/>
              </w:rPr>
              <w:t>.</w:t>
            </w:r>
          </w:p>
        </w:tc>
      </w:tr>
      <w:tr w:rsidR="009214E1" w:rsidRPr="00455D82" w14:paraId="66AB73FA" w14:textId="77777777" w:rsidTr="00D80499">
        <w:tc>
          <w:tcPr>
            <w:tcW w:w="9360" w:type="dxa"/>
            <w:tcBorders>
              <w:bottom w:val="single" w:sz="8" w:space="0" w:color="auto"/>
            </w:tcBorders>
          </w:tcPr>
          <w:p w14:paraId="0CF679CD" w14:textId="77777777" w:rsidR="009214E1" w:rsidRPr="007F7474" w:rsidRDefault="009214E1" w:rsidP="00D80499">
            <w:pPr>
              <w:rPr>
                <w:lang w:val="en-CA"/>
              </w:rPr>
            </w:pPr>
          </w:p>
        </w:tc>
      </w:tr>
      <w:tr w:rsidR="009214E1" w:rsidRPr="00455D82" w14:paraId="772122E4" w14:textId="77777777" w:rsidTr="00D80499">
        <w:tc>
          <w:tcPr>
            <w:tcW w:w="9360" w:type="dxa"/>
            <w:tcBorders>
              <w:top w:val="single" w:sz="8" w:space="0" w:color="auto"/>
            </w:tcBorders>
          </w:tcPr>
          <w:p w14:paraId="5A8D3B19" w14:textId="77777777" w:rsidR="009214E1" w:rsidRPr="007F7474" w:rsidRDefault="009214E1" w:rsidP="00D80499">
            <w:pPr>
              <w:rPr>
                <w:lang w:val="en-CA"/>
              </w:rPr>
            </w:pPr>
          </w:p>
        </w:tc>
      </w:tr>
    </w:tbl>
    <w:p w14:paraId="4D448BD9" w14:textId="77777777" w:rsidR="009214E1" w:rsidRPr="00AC1236" w:rsidRDefault="009214E1" w:rsidP="009214E1">
      <w:pPr>
        <w:pStyle w:val="Paragraphe"/>
        <w:spacing w:before="240" w:line="280" w:lineRule="exact"/>
        <w:rPr>
          <w:lang w:val="en-CA"/>
        </w:rPr>
      </w:pPr>
      <w:r w:rsidRPr="00AC1236">
        <w:rPr>
          <w:lang w:val="en-CA"/>
        </w:rPr>
        <w:t xml:space="preserve">The trial judge granted </w:t>
      </w:r>
      <w:r>
        <w:rPr>
          <w:lang w:val="en-CA"/>
        </w:rPr>
        <w:t>a</w:t>
      </w:r>
      <w:r w:rsidRPr="00AC1236">
        <w:rPr>
          <w:lang w:val="en-CA"/>
        </w:rPr>
        <w:t>n application by the respondent, the United States Attorney General, to dismiss an application to authorize a class action against it</w:t>
      </w:r>
      <w:r>
        <w:rPr>
          <w:lang w:val="en-CA"/>
        </w:rPr>
        <w:t>.</w:t>
      </w:r>
      <w:r w:rsidRPr="00AC1236">
        <w:rPr>
          <w:rStyle w:val="Appelnotedebasdep"/>
          <w:lang w:val="en-CA"/>
        </w:rPr>
        <w:footnoteReference w:id="1"/>
      </w:r>
      <w:r w:rsidRPr="00AC1236">
        <w:rPr>
          <w:lang w:val="en-CA"/>
        </w:rPr>
        <w:t xml:space="preserve"> That action seeks to obtain </w:t>
      </w:r>
      <w:r>
        <w:rPr>
          <w:lang w:val="en-CA"/>
        </w:rPr>
        <w:t>compens</w:t>
      </w:r>
      <w:r w:rsidRPr="00AC1236">
        <w:rPr>
          <w:lang w:val="en-CA"/>
        </w:rPr>
        <w:t>ation for all persons who underwent treatments as part of the</w:t>
      </w:r>
      <w:r>
        <w:rPr>
          <w:lang w:val="en-CA"/>
        </w:rPr>
        <w:t xml:space="preserve"> “</w:t>
      </w:r>
      <w:r w:rsidRPr="00AC1236">
        <w:rPr>
          <w:lang w:val="en-CA"/>
        </w:rPr>
        <w:t>Montreal Experiments</w:t>
      </w:r>
      <w:r>
        <w:rPr>
          <w:lang w:val="en-CA"/>
        </w:rPr>
        <w:t>”</w:t>
      </w:r>
      <w:r w:rsidRPr="00AC1236">
        <w:rPr>
          <w:lang w:val="en-CA"/>
        </w:rPr>
        <w:t xml:space="preserve">, </w:t>
      </w:r>
      <w:r>
        <w:rPr>
          <w:lang w:val="en-CA"/>
        </w:rPr>
        <w:t>conducted between</w:t>
      </w:r>
      <w:r w:rsidRPr="00AC1236">
        <w:rPr>
          <w:lang w:val="en-CA"/>
        </w:rPr>
        <w:t xml:space="preserve"> 1948 </w:t>
      </w:r>
      <w:r>
        <w:rPr>
          <w:lang w:val="en-CA"/>
        </w:rPr>
        <w:t>and</w:t>
      </w:r>
      <w:r w:rsidRPr="00AC1236">
        <w:rPr>
          <w:lang w:val="en-CA"/>
        </w:rPr>
        <w:t xml:space="preserve"> 1964 </w:t>
      </w:r>
      <w:r>
        <w:rPr>
          <w:lang w:val="en-CA"/>
        </w:rPr>
        <w:t>by</w:t>
      </w:r>
      <w:r w:rsidRPr="00AC1236">
        <w:rPr>
          <w:lang w:val="en-CA"/>
        </w:rPr>
        <w:t xml:space="preserve"> </w:t>
      </w:r>
      <w:r>
        <w:rPr>
          <w:lang w:val="en-CA"/>
        </w:rPr>
        <w:t>Dr.</w:t>
      </w:r>
      <w:r w:rsidRPr="00AC1236">
        <w:rPr>
          <w:lang w:val="en-CA"/>
        </w:rPr>
        <w:t xml:space="preserve"> Donald Ewen Cameron. </w:t>
      </w:r>
      <w:r>
        <w:rPr>
          <w:lang w:val="en-CA"/>
        </w:rPr>
        <w:t>It also seeks to compensate their</w:t>
      </w:r>
      <w:r w:rsidRPr="00AC1236">
        <w:rPr>
          <w:lang w:val="en-CA"/>
        </w:rPr>
        <w:t xml:space="preserve"> </w:t>
      </w:r>
      <w:r>
        <w:rPr>
          <w:lang w:val="en-CA"/>
        </w:rPr>
        <w:t>s</w:t>
      </w:r>
      <w:r w:rsidRPr="00AC1236">
        <w:rPr>
          <w:lang w:val="en-CA"/>
        </w:rPr>
        <w:t>uccessors, assigns, family members, and dependants.</w:t>
      </w:r>
    </w:p>
    <w:p w14:paraId="59B5E9F5" w14:textId="77777777" w:rsidR="009214E1" w:rsidRPr="00E035B0" w:rsidRDefault="009214E1" w:rsidP="009214E1">
      <w:pPr>
        <w:pStyle w:val="Paragraphe"/>
        <w:spacing w:line="280" w:lineRule="exact"/>
        <w:rPr>
          <w:lang w:val="en-CA"/>
        </w:rPr>
      </w:pPr>
      <w:r w:rsidRPr="00E035B0">
        <w:rPr>
          <w:lang w:val="en-CA"/>
        </w:rPr>
        <w:t>This appeal raises the issue of state immunity, more specifically</w:t>
      </w:r>
      <w:r>
        <w:rPr>
          <w:lang w:val="en-CA"/>
        </w:rPr>
        <w:t xml:space="preserve"> whether the exception to this immunity</w:t>
      </w:r>
      <w:r w:rsidRPr="00E035B0">
        <w:rPr>
          <w:lang w:val="en-CA"/>
        </w:rPr>
        <w:t xml:space="preserve">, </w:t>
      </w:r>
      <w:r>
        <w:rPr>
          <w:lang w:val="en-CA"/>
        </w:rPr>
        <w:t xml:space="preserve">found in s. </w:t>
      </w:r>
      <w:r w:rsidRPr="00E035B0">
        <w:rPr>
          <w:lang w:val="en-CA"/>
        </w:rPr>
        <w:t>6</w:t>
      </w:r>
      <w:r>
        <w:rPr>
          <w:lang w:val="en-CA"/>
        </w:rPr>
        <w:t>(</w:t>
      </w:r>
      <w:r w:rsidRPr="00E035B0">
        <w:rPr>
          <w:lang w:val="en-CA"/>
        </w:rPr>
        <w:t xml:space="preserve">a) </w:t>
      </w:r>
      <w:r>
        <w:rPr>
          <w:lang w:val="en-CA"/>
        </w:rPr>
        <w:t>of the</w:t>
      </w:r>
      <w:r w:rsidRPr="00E035B0">
        <w:rPr>
          <w:lang w:val="en-CA"/>
        </w:rPr>
        <w:t xml:space="preserve"> </w:t>
      </w:r>
      <w:r w:rsidRPr="00E035B0">
        <w:rPr>
          <w:i/>
          <w:lang w:val="en-CA"/>
        </w:rPr>
        <w:t>State Immunity Act</w:t>
      </w:r>
      <w:r w:rsidRPr="00E035B0">
        <w:rPr>
          <w:lang w:val="en-CA"/>
        </w:rPr>
        <w:t xml:space="preserve"> (</w:t>
      </w:r>
      <w:r>
        <w:rPr>
          <w:lang w:val="en-CA"/>
        </w:rPr>
        <w:t>“</w:t>
      </w:r>
      <w:r w:rsidRPr="00E035B0">
        <w:rPr>
          <w:lang w:val="en-CA"/>
        </w:rPr>
        <w:t>SIA</w:t>
      </w:r>
      <w:r>
        <w:rPr>
          <w:lang w:val="en-CA"/>
        </w:rPr>
        <w:t>”</w:t>
      </w:r>
      <w:r w:rsidRPr="00E035B0">
        <w:rPr>
          <w:lang w:val="en-CA"/>
        </w:rPr>
        <w:t>)</w:t>
      </w:r>
      <w:bookmarkStart w:id="6" w:name="_Ref139380918"/>
      <w:r>
        <w:rPr>
          <w:lang w:val="en-CA"/>
        </w:rPr>
        <w:t>,</w:t>
      </w:r>
      <w:r>
        <w:rPr>
          <w:rStyle w:val="Appelnotedebasdep"/>
        </w:rPr>
        <w:footnoteReference w:id="2"/>
      </w:r>
      <w:bookmarkEnd w:id="6"/>
      <w:r w:rsidRPr="00E035B0">
        <w:rPr>
          <w:lang w:val="en-CA"/>
        </w:rPr>
        <w:t xml:space="preserve"> </w:t>
      </w:r>
      <w:r>
        <w:rPr>
          <w:lang w:val="en-CA"/>
        </w:rPr>
        <w:t>applies in the case at bar or whether other common law exceptions can apply</w:t>
      </w:r>
      <w:r w:rsidRPr="00E035B0">
        <w:rPr>
          <w:lang w:val="en-CA"/>
        </w:rPr>
        <w:t>.</w:t>
      </w:r>
    </w:p>
    <w:p w14:paraId="32DD4BF3" w14:textId="77777777" w:rsidR="009214E1" w:rsidRPr="00301602" w:rsidRDefault="009214E1" w:rsidP="009214E1">
      <w:pPr>
        <w:pStyle w:val="Titre1"/>
        <w:rPr>
          <w:sz w:val="24"/>
          <w:szCs w:val="24"/>
        </w:rPr>
      </w:pPr>
      <w:r>
        <w:rPr>
          <w:sz w:val="24"/>
          <w:szCs w:val="24"/>
        </w:rPr>
        <w:t>BACKGROUND</w:t>
      </w:r>
    </w:p>
    <w:p w14:paraId="6EB76AFD" w14:textId="77777777" w:rsidR="009214E1" w:rsidRPr="00A474C0" w:rsidRDefault="009214E1" w:rsidP="009214E1">
      <w:pPr>
        <w:pStyle w:val="Paragraphe"/>
        <w:spacing w:line="280" w:lineRule="exact"/>
        <w:rPr>
          <w:lang w:val="en-CA"/>
        </w:rPr>
      </w:pPr>
      <w:r w:rsidRPr="00A474C0">
        <w:rPr>
          <w:lang w:val="en-CA"/>
        </w:rPr>
        <w:t>The trial judge describe</w:t>
      </w:r>
      <w:r>
        <w:rPr>
          <w:lang w:val="en-CA"/>
        </w:rPr>
        <w:t>d</w:t>
      </w:r>
      <w:r w:rsidRPr="00A474C0">
        <w:rPr>
          <w:lang w:val="en-CA"/>
        </w:rPr>
        <w:t xml:space="preserve"> the background of this case as follo</w:t>
      </w:r>
      <w:r>
        <w:rPr>
          <w:lang w:val="en-CA"/>
        </w:rPr>
        <w:t>ws</w:t>
      </w:r>
      <w:r w:rsidRPr="00A474C0">
        <w:rPr>
          <w:lang w:val="en-CA"/>
        </w:rPr>
        <w:t>:</w:t>
      </w:r>
    </w:p>
    <w:p w14:paraId="0D905137" w14:textId="77777777" w:rsidR="009214E1" w:rsidRDefault="009214E1" w:rsidP="009214E1">
      <w:pPr>
        <w:pStyle w:val="Citationenretrait"/>
        <w:rPr>
          <w:lang w:val="en-CA"/>
        </w:rPr>
      </w:pPr>
      <w:r w:rsidRPr="00EC32E9">
        <w:rPr>
          <w:lang w:val="en-CA"/>
        </w:rPr>
        <w:t>[3]</w:t>
      </w:r>
      <w:r w:rsidRPr="00EC32E9">
        <w:rPr>
          <w:lang w:val="en-CA"/>
        </w:rPr>
        <w:tab/>
        <w:t>Madam Tanny (the “Representative Applicant”) is seeking to institute a class action on behalf of the following class:</w:t>
      </w:r>
    </w:p>
    <w:p w14:paraId="748874A2" w14:textId="77777777" w:rsidR="009214E1" w:rsidRPr="00EC32E9" w:rsidRDefault="009214E1" w:rsidP="009214E1">
      <w:pPr>
        <w:pStyle w:val="Citationenretrait"/>
        <w:ind w:left="1418" w:right="1424"/>
        <w:rPr>
          <w:lang w:val="en-CA"/>
        </w:rPr>
      </w:pPr>
      <w:r w:rsidRPr="00EC32E9">
        <w:rPr>
          <w:lang w:val="en-CA"/>
        </w:rPr>
        <w:t>All persons who underwent depatterning treatment at the Allan Memorial Institute in Montreal, Quebec, between 1948 and 1964 using Donald Ewen Cameron’s methods (the “Montreal Experiments”) and their successors, assigns, family members, and dependants or any other group to be determined by the Court;</w:t>
      </w:r>
    </w:p>
    <w:p w14:paraId="31EF59E6" w14:textId="77777777" w:rsidR="009214E1" w:rsidRPr="00EC32E9" w:rsidRDefault="009214E1" w:rsidP="009214E1">
      <w:pPr>
        <w:pStyle w:val="Citationenretrait"/>
        <w:rPr>
          <w:lang w:val="en-CA"/>
        </w:rPr>
      </w:pPr>
      <w:r w:rsidRPr="00EC32E9">
        <w:rPr>
          <w:lang w:val="en-CA"/>
        </w:rPr>
        <w:t>[4]</w:t>
      </w:r>
      <w:r w:rsidRPr="00EC32E9">
        <w:rPr>
          <w:lang w:val="en-CA"/>
        </w:rPr>
        <w:tab/>
        <w:t>The alleged “Montreal Experiments” are said to have consisted of extreme mind-control brainwashing experimentation on “unwitting” patients by methods of depatterning and repatterning the brain, which included drug-induced sleep/coma, intensive electroconvulsive therapy, “psychic driving”, sensory deprivation and the administration of barbiturates, chemical agents and medications to supress nerve functionality and activation.</w:t>
      </w:r>
    </w:p>
    <w:p w14:paraId="46588786" w14:textId="77777777" w:rsidR="009214E1" w:rsidRPr="00EC32E9" w:rsidRDefault="009214E1" w:rsidP="009214E1">
      <w:pPr>
        <w:pStyle w:val="Citationenretrait"/>
        <w:rPr>
          <w:lang w:val="en-CA"/>
        </w:rPr>
      </w:pPr>
      <w:r w:rsidRPr="00EC32E9">
        <w:rPr>
          <w:lang w:val="en-CA"/>
        </w:rPr>
        <w:t>[5]</w:t>
      </w:r>
      <w:r w:rsidRPr="00EC32E9">
        <w:rPr>
          <w:lang w:val="en-CA"/>
        </w:rPr>
        <w:tab/>
        <w:t xml:space="preserve">Representative Applicant further alleges that none of the patients gave informed consent, being under the impression that they were receiving “medically </w:t>
      </w:r>
      <w:r w:rsidRPr="00EC32E9">
        <w:rPr>
          <w:lang w:val="en-CA"/>
        </w:rPr>
        <w:lastRenderedPageBreak/>
        <w:t>sound” therapy as opposed to being exposed to brainwashing and mind-control experimentation.</w:t>
      </w:r>
    </w:p>
    <w:p w14:paraId="4D53F7A5" w14:textId="77777777" w:rsidR="009214E1" w:rsidRPr="00EC32E9" w:rsidRDefault="009214E1" w:rsidP="009214E1">
      <w:pPr>
        <w:pStyle w:val="Citationenretrait"/>
        <w:rPr>
          <w:lang w:val="en-CA"/>
        </w:rPr>
      </w:pPr>
      <w:r w:rsidRPr="00EC32E9">
        <w:rPr>
          <w:lang w:val="en-CA"/>
        </w:rPr>
        <w:t>[6]</w:t>
      </w:r>
      <w:r w:rsidRPr="00EC32E9">
        <w:rPr>
          <w:lang w:val="en-CA"/>
        </w:rPr>
        <w:tab/>
        <w:t>With a view to obtaining financial compensation, Representative Applicant has named as proposed defendants the United States, Royal Victoria Hospital, McGill University and the Attorney General of Canada.</w:t>
      </w:r>
    </w:p>
    <w:p w14:paraId="29505839" w14:textId="77777777" w:rsidR="009214E1" w:rsidRPr="00EC32E9" w:rsidRDefault="009214E1" w:rsidP="009214E1">
      <w:pPr>
        <w:pStyle w:val="Citationenretrait"/>
        <w:rPr>
          <w:lang w:val="en-CA"/>
        </w:rPr>
      </w:pPr>
      <w:r w:rsidRPr="00EC32E9">
        <w:rPr>
          <w:lang w:val="en-CA"/>
        </w:rPr>
        <w:t>[7]</w:t>
      </w:r>
      <w:r w:rsidRPr="00EC32E9">
        <w:rPr>
          <w:lang w:val="en-CA"/>
        </w:rPr>
        <w:tab/>
        <w:t>The Royal Victoria Hospital (“RVH”) is named on the grounds that the Montreal Experiments were said to have been conducted at the Allan Memorial Institute (the “Institute”), which was allegedly RVH’s psychiatry department. It has not adopted a position on the state immunity issue and did not attend the hearing.</w:t>
      </w:r>
    </w:p>
    <w:p w14:paraId="0A555009" w14:textId="77777777" w:rsidR="009214E1" w:rsidRPr="00EC32E9" w:rsidRDefault="009214E1" w:rsidP="009214E1">
      <w:pPr>
        <w:pStyle w:val="Citationenretrait"/>
        <w:rPr>
          <w:lang w:val="en-CA"/>
        </w:rPr>
      </w:pPr>
      <w:r w:rsidRPr="00EC32E9">
        <w:rPr>
          <w:lang w:val="en-CA"/>
        </w:rPr>
        <w:t>[8]</w:t>
      </w:r>
      <w:r w:rsidRPr="00EC32E9">
        <w:rPr>
          <w:lang w:val="en-CA"/>
        </w:rPr>
        <w:tab/>
        <w:t xml:space="preserve">McGill University is named having allegedly hired </w:t>
      </w:r>
      <w:r>
        <w:rPr>
          <w:lang w:val="en-CA"/>
        </w:rPr>
        <w:t>Dr.</w:t>
      </w:r>
      <w:r w:rsidRPr="00EC32E9">
        <w:rPr>
          <w:lang w:val="en-CA"/>
        </w:rPr>
        <w:t xml:space="preserve"> Cameron, supplied its medical faculty to work at RVH and co-administered the Institute. It too has not adopted a position on state immunity, nor did it attend the hearing.</w:t>
      </w:r>
    </w:p>
    <w:p w14:paraId="05EC2E22" w14:textId="77777777" w:rsidR="009214E1" w:rsidRPr="00EC32E9" w:rsidRDefault="009214E1" w:rsidP="009214E1">
      <w:pPr>
        <w:pStyle w:val="Citationenretrait"/>
        <w:rPr>
          <w:lang w:val="en-CA"/>
        </w:rPr>
      </w:pPr>
      <w:r w:rsidRPr="00EC32E9">
        <w:rPr>
          <w:lang w:val="en-CA"/>
        </w:rPr>
        <w:t>[9]</w:t>
      </w:r>
      <w:r w:rsidRPr="00EC32E9">
        <w:rPr>
          <w:lang w:val="en-CA"/>
        </w:rPr>
        <w:tab/>
        <w:t>The Attorney General of Canada (“AG Canada”) and the United States are named in relation to the funding of the Montreal Experiments between 1950 and 1964, and this for a total amount of $221,673.95.</w:t>
      </w:r>
    </w:p>
    <w:p w14:paraId="50B27F0E" w14:textId="77777777" w:rsidR="009214E1" w:rsidRPr="00EC32E9" w:rsidRDefault="009214E1" w:rsidP="009214E1">
      <w:pPr>
        <w:pStyle w:val="Citationenretrait"/>
        <w:rPr>
          <w:lang w:val="en-CA"/>
        </w:rPr>
      </w:pPr>
      <w:r w:rsidRPr="00EC32E9">
        <w:rPr>
          <w:lang w:val="en-CA"/>
        </w:rPr>
        <w:t>[10]</w:t>
      </w:r>
      <w:r w:rsidRPr="00EC32E9">
        <w:rPr>
          <w:lang w:val="en-CA"/>
        </w:rPr>
        <w:tab/>
        <w:t>AG Canada has not directly supported or contested the United States state-immunity claim but did attend the hearing and shared its views as to Canada’s State Immunity Act (“SIA” or the “Act”).</w:t>
      </w:r>
    </w:p>
    <w:p w14:paraId="6AC11878" w14:textId="77777777" w:rsidR="009214E1" w:rsidRPr="00EC32E9" w:rsidRDefault="009214E1" w:rsidP="009214E1">
      <w:pPr>
        <w:pStyle w:val="Citationenretrait"/>
        <w:rPr>
          <w:lang w:val="en-CA"/>
        </w:rPr>
      </w:pPr>
      <w:r w:rsidRPr="00EC32E9">
        <w:rPr>
          <w:lang w:val="en-CA"/>
        </w:rPr>
        <w:t>[11]</w:t>
      </w:r>
      <w:r w:rsidRPr="00EC32E9">
        <w:rPr>
          <w:lang w:val="en-CA"/>
        </w:rPr>
        <w:tab/>
        <w:t>As for the United States funding activity, it is alleged to have been conducted by the Central Intelligence Agency (“CIA”).</w:t>
      </w:r>
    </w:p>
    <w:p w14:paraId="0CD4B260" w14:textId="77777777" w:rsidR="009214E1" w:rsidRPr="00EC32E9" w:rsidRDefault="009214E1" w:rsidP="009214E1">
      <w:pPr>
        <w:pStyle w:val="Citationenretrait"/>
        <w:rPr>
          <w:lang w:val="en-CA"/>
        </w:rPr>
      </w:pPr>
      <w:r w:rsidRPr="00EC32E9">
        <w:rPr>
          <w:lang w:val="en-CA"/>
        </w:rPr>
        <w:t>[12]</w:t>
      </w:r>
      <w:r w:rsidRPr="00EC32E9">
        <w:rPr>
          <w:lang w:val="en-CA"/>
        </w:rPr>
        <w:tab/>
        <w:t>The Court will refer to additional allegations pertaining to the CIA’s involvement and funding in the analysis section of the present judgment.</w:t>
      </w:r>
    </w:p>
    <w:p w14:paraId="56CBCD3D" w14:textId="77777777" w:rsidR="009214E1" w:rsidRDefault="009214E1" w:rsidP="009214E1">
      <w:pPr>
        <w:pStyle w:val="Citationenretrait"/>
        <w:spacing w:after="0"/>
        <w:rPr>
          <w:lang w:val="en-CA"/>
        </w:rPr>
      </w:pPr>
      <w:r w:rsidRPr="00EC32E9">
        <w:rPr>
          <w:lang w:val="en-CA"/>
        </w:rPr>
        <w:t>[13]</w:t>
      </w:r>
      <w:r w:rsidRPr="00EC32E9">
        <w:rPr>
          <w:lang w:val="en-CA"/>
        </w:rPr>
        <w:tab/>
        <w:t>In addition to funding, Applicant alleges that both Canada and the United States not only funded the experiments but also “supervised, monitored, oversaw, authorized, recommended, supported, directed, and otherwise exercised control over the Montreal Experiments”.</w:t>
      </w:r>
      <w:r>
        <w:rPr>
          <w:rStyle w:val="Appelnotedebasdep"/>
        </w:rPr>
        <w:footnoteReference w:id="3"/>
      </w:r>
    </w:p>
    <w:p w14:paraId="638D781F" w14:textId="77777777" w:rsidR="009214E1" w:rsidRPr="00A474C0" w:rsidRDefault="009214E1" w:rsidP="009214E1">
      <w:pPr>
        <w:pStyle w:val="Citationenretrait"/>
        <w:spacing w:before="0"/>
        <w:ind w:left="6521"/>
        <w:rPr>
          <w:lang w:val="en-CA"/>
        </w:rPr>
      </w:pPr>
      <w:r w:rsidRPr="00A474C0">
        <w:rPr>
          <w:lang w:val="en-CA"/>
        </w:rPr>
        <w:t>[References omitted]</w:t>
      </w:r>
    </w:p>
    <w:p w14:paraId="45462ABB" w14:textId="77777777" w:rsidR="009214E1" w:rsidRPr="00A474C0" w:rsidRDefault="009214E1" w:rsidP="009214E1">
      <w:pPr>
        <w:pStyle w:val="Titre1"/>
        <w:rPr>
          <w:sz w:val="24"/>
          <w:szCs w:val="24"/>
          <w:lang w:val="en-CA"/>
        </w:rPr>
      </w:pPr>
      <w:r w:rsidRPr="00A474C0">
        <w:rPr>
          <w:sz w:val="24"/>
          <w:szCs w:val="24"/>
          <w:lang w:val="en-CA"/>
        </w:rPr>
        <w:t>THE TRIAL J</w:t>
      </w:r>
      <w:r>
        <w:rPr>
          <w:sz w:val="24"/>
          <w:szCs w:val="24"/>
          <w:lang w:val="en-CA"/>
        </w:rPr>
        <w:t>UDGE’S DECISION</w:t>
      </w:r>
    </w:p>
    <w:p w14:paraId="2FE2303C" w14:textId="77777777" w:rsidR="009214E1" w:rsidRPr="003D4AEB" w:rsidRDefault="009214E1" w:rsidP="009214E1">
      <w:pPr>
        <w:pStyle w:val="Paragraphe"/>
        <w:spacing w:line="280" w:lineRule="exact"/>
        <w:rPr>
          <w:lang w:val="en-CA"/>
        </w:rPr>
      </w:pPr>
      <w:r w:rsidRPr="003D4AEB">
        <w:rPr>
          <w:lang w:val="en-CA"/>
        </w:rPr>
        <w:t xml:space="preserve">The judge </w:t>
      </w:r>
      <w:r>
        <w:rPr>
          <w:lang w:val="en-CA"/>
        </w:rPr>
        <w:t>addressed</w:t>
      </w:r>
      <w:r w:rsidRPr="003D4AEB">
        <w:rPr>
          <w:lang w:val="en-CA"/>
        </w:rPr>
        <w:t xml:space="preserve"> five</w:t>
      </w:r>
      <w:r>
        <w:rPr>
          <w:lang w:val="en-CA"/>
        </w:rPr>
        <w:t xml:space="preserve"> issues</w:t>
      </w:r>
      <w:r w:rsidRPr="003D4AEB">
        <w:rPr>
          <w:lang w:val="en-CA"/>
        </w:rPr>
        <w:t xml:space="preserve"> related to the application of state immunity</w:t>
      </w:r>
      <w:r>
        <w:rPr>
          <w:lang w:val="en-CA"/>
        </w:rPr>
        <w:t>.</w:t>
      </w:r>
      <w:r w:rsidRPr="003D4AEB">
        <w:rPr>
          <w:lang w:val="en-CA"/>
        </w:rPr>
        <w:t xml:space="preserve"> </w:t>
      </w:r>
    </w:p>
    <w:p w14:paraId="136141A5" w14:textId="77777777" w:rsidR="009214E1" w:rsidRPr="003D4AEB" w:rsidRDefault="009214E1" w:rsidP="009214E1">
      <w:pPr>
        <w:pStyle w:val="Paragraphe"/>
        <w:spacing w:line="280" w:lineRule="exact"/>
        <w:rPr>
          <w:lang w:val="en-CA"/>
        </w:rPr>
      </w:pPr>
      <w:r w:rsidRPr="003D4AEB">
        <w:rPr>
          <w:lang w:val="en-CA"/>
        </w:rPr>
        <w:t>He</w:t>
      </w:r>
      <w:r>
        <w:rPr>
          <w:lang w:val="en-CA"/>
        </w:rPr>
        <w:t xml:space="preserve"> began by rejecting the appellant’s submission that issues related to</w:t>
      </w:r>
      <w:r w:rsidRPr="003D4AEB">
        <w:rPr>
          <w:lang w:val="en-CA"/>
        </w:rPr>
        <w:t xml:space="preserve"> exceptions to state immunity, </w:t>
      </w:r>
      <w:r>
        <w:rPr>
          <w:lang w:val="en-CA"/>
        </w:rPr>
        <w:t>enacted in the</w:t>
      </w:r>
      <w:r w:rsidRPr="003D4AEB">
        <w:rPr>
          <w:lang w:val="en-CA"/>
        </w:rPr>
        <w:t xml:space="preserve"> SIA </w:t>
      </w:r>
      <w:r>
        <w:rPr>
          <w:lang w:val="en-CA"/>
        </w:rPr>
        <w:t>regarding death</w:t>
      </w:r>
      <w:r w:rsidRPr="003D4AEB">
        <w:rPr>
          <w:lang w:val="en-CA"/>
        </w:rPr>
        <w:t xml:space="preserve">, </w:t>
      </w:r>
      <w:r>
        <w:rPr>
          <w:lang w:val="en-CA"/>
        </w:rPr>
        <w:t xml:space="preserve">personal or </w:t>
      </w:r>
      <w:r w:rsidRPr="003D4AEB">
        <w:rPr>
          <w:lang w:val="en-CA"/>
        </w:rPr>
        <w:t>bodily injur</w:t>
      </w:r>
      <w:r>
        <w:rPr>
          <w:lang w:val="en-CA"/>
        </w:rPr>
        <w:t>y</w:t>
      </w:r>
      <w:r w:rsidRPr="003D4AEB">
        <w:rPr>
          <w:lang w:val="en-CA"/>
        </w:rPr>
        <w:t xml:space="preserve"> </w:t>
      </w:r>
      <w:r>
        <w:rPr>
          <w:lang w:val="en-CA"/>
        </w:rPr>
        <w:t>or</w:t>
      </w:r>
      <w:r w:rsidRPr="003D4AEB">
        <w:rPr>
          <w:lang w:val="en-CA"/>
        </w:rPr>
        <w:t xml:space="preserve"> </w:t>
      </w:r>
      <w:r w:rsidRPr="003D4AEB">
        <w:rPr>
          <w:lang w:val="en-CA"/>
        </w:rPr>
        <w:lastRenderedPageBreak/>
        <w:t>commercial activit</w:t>
      </w:r>
      <w:r>
        <w:rPr>
          <w:lang w:val="en-CA"/>
        </w:rPr>
        <w:t>y</w:t>
      </w:r>
      <w:r w:rsidRPr="003D4AEB">
        <w:rPr>
          <w:lang w:val="en-CA"/>
        </w:rPr>
        <w:t xml:space="preserve">, </w:t>
      </w:r>
      <w:r>
        <w:rPr>
          <w:lang w:val="en-CA"/>
        </w:rPr>
        <w:t xml:space="preserve">are </w:t>
      </w:r>
      <w:r w:rsidRPr="003D4AEB">
        <w:rPr>
          <w:lang w:val="en-CA"/>
        </w:rPr>
        <w:t xml:space="preserve">matters of mixed fact and law </w:t>
      </w:r>
      <w:r>
        <w:rPr>
          <w:lang w:val="en-CA"/>
        </w:rPr>
        <w:t>that</w:t>
      </w:r>
      <w:r w:rsidRPr="003D4AEB">
        <w:rPr>
          <w:lang w:val="en-CA"/>
        </w:rPr>
        <w:t xml:space="preserve"> should be referred to the judge on the merits. </w:t>
      </w:r>
      <w:r>
        <w:rPr>
          <w:lang w:val="en-CA"/>
        </w:rPr>
        <w:t>Rather, the</w:t>
      </w:r>
      <w:r w:rsidRPr="003D4AEB">
        <w:rPr>
          <w:lang w:val="en-CA"/>
        </w:rPr>
        <w:t xml:space="preserve"> ju</w:t>
      </w:r>
      <w:r>
        <w:rPr>
          <w:lang w:val="en-CA"/>
        </w:rPr>
        <w:t>d</w:t>
      </w:r>
      <w:r w:rsidRPr="003D4AEB">
        <w:rPr>
          <w:lang w:val="en-CA"/>
        </w:rPr>
        <w:t xml:space="preserve">ge </w:t>
      </w:r>
      <w:proofErr w:type="gramStart"/>
      <w:r>
        <w:rPr>
          <w:lang w:val="en-CA"/>
        </w:rPr>
        <w:t>was of the opinion that</w:t>
      </w:r>
      <w:proofErr w:type="gramEnd"/>
      <w:r>
        <w:rPr>
          <w:lang w:val="en-CA"/>
        </w:rPr>
        <w:t xml:space="preserve"> they should</w:t>
      </w:r>
      <w:r w:rsidRPr="003D4AEB">
        <w:rPr>
          <w:lang w:val="en-CA"/>
        </w:rPr>
        <w:t xml:space="preserve"> </w:t>
      </w:r>
      <w:r>
        <w:rPr>
          <w:lang w:val="en-CA"/>
        </w:rPr>
        <w:t>be</w:t>
      </w:r>
      <w:r w:rsidRPr="003D4AEB">
        <w:rPr>
          <w:lang w:val="en-CA"/>
        </w:rPr>
        <w:t xml:space="preserve"> decided </w:t>
      </w:r>
      <w:r>
        <w:rPr>
          <w:lang w:val="en-CA"/>
        </w:rPr>
        <w:t>at a preliminary stage, since this is an</w:t>
      </w:r>
      <w:r w:rsidRPr="003D4AEB">
        <w:rPr>
          <w:lang w:val="en-CA"/>
        </w:rPr>
        <w:t xml:space="preserve"> issue of jurisdiction</w:t>
      </w:r>
      <w:r>
        <w:rPr>
          <w:lang w:val="en-CA"/>
        </w:rPr>
        <w:t xml:space="preserve"> </w:t>
      </w:r>
      <w:r w:rsidRPr="003D4AEB">
        <w:rPr>
          <w:lang w:val="en-CA"/>
        </w:rPr>
        <w:t>and public order</w:t>
      </w:r>
      <w:r>
        <w:rPr>
          <w:lang w:val="en-CA"/>
        </w:rPr>
        <w:t>.</w:t>
      </w:r>
      <w:r>
        <w:rPr>
          <w:rStyle w:val="Appelnotedebasdep"/>
        </w:rPr>
        <w:footnoteReference w:id="4"/>
      </w:r>
    </w:p>
    <w:p w14:paraId="1520143C" w14:textId="77777777" w:rsidR="009214E1" w:rsidRPr="00F248F0" w:rsidRDefault="009214E1" w:rsidP="009214E1">
      <w:pPr>
        <w:pStyle w:val="Paragraphe"/>
        <w:spacing w:line="280" w:lineRule="exact"/>
        <w:rPr>
          <w:lang w:val="en-CA"/>
        </w:rPr>
      </w:pPr>
      <w:r w:rsidRPr="00742C17">
        <w:rPr>
          <w:lang w:val="en-CA"/>
        </w:rPr>
        <w:t>The judge th</w:t>
      </w:r>
      <w:r>
        <w:rPr>
          <w:lang w:val="en-CA"/>
        </w:rPr>
        <w:t>en considered whether</w:t>
      </w:r>
      <w:r w:rsidRPr="00742C17">
        <w:rPr>
          <w:lang w:val="en-CA"/>
        </w:rPr>
        <w:t xml:space="preserve"> </w:t>
      </w:r>
      <w:r>
        <w:rPr>
          <w:lang w:val="en-CA"/>
        </w:rPr>
        <w:t>the respondent</w:t>
      </w:r>
      <w:r w:rsidRPr="00742C17">
        <w:rPr>
          <w:lang w:val="en-CA"/>
        </w:rPr>
        <w:t xml:space="preserve"> benefit</w:t>
      </w:r>
      <w:r>
        <w:rPr>
          <w:lang w:val="en-CA"/>
        </w:rPr>
        <w:t>ted</w:t>
      </w:r>
      <w:r w:rsidRPr="00742C17">
        <w:rPr>
          <w:lang w:val="en-CA"/>
        </w:rPr>
        <w:t xml:space="preserve"> from immunity </w:t>
      </w:r>
      <w:r>
        <w:rPr>
          <w:lang w:val="en-CA"/>
        </w:rPr>
        <w:t>under the</w:t>
      </w:r>
      <w:r w:rsidRPr="00742C17">
        <w:rPr>
          <w:lang w:val="en-CA"/>
        </w:rPr>
        <w:t xml:space="preserve"> SIA. The events giving rise to the class action having occurred between 1957 and 1960</w:t>
      </w:r>
      <w:r>
        <w:rPr>
          <w:lang w:val="en-CA"/>
        </w:rPr>
        <w:t>,</w:t>
      </w:r>
      <w:r>
        <w:rPr>
          <w:rStyle w:val="Appelnotedebasdep"/>
        </w:rPr>
        <w:footnoteReference w:id="5"/>
      </w:r>
      <w:r w:rsidRPr="00742C17">
        <w:rPr>
          <w:lang w:val="en-CA"/>
        </w:rPr>
        <w:t xml:space="preserve"> </w:t>
      </w:r>
      <w:r>
        <w:rPr>
          <w:lang w:val="en-CA"/>
        </w:rPr>
        <w:t>that is before the coming into force of the</w:t>
      </w:r>
      <w:r w:rsidRPr="00742C17">
        <w:rPr>
          <w:lang w:val="en-CA"/>
        </w:rPr>
        <w:t xml:space="preserve"> SIA, </w:t>
      </w:r>
      <w:r>
        <w:rPr>
          <w:lang w:val="en-CA"/>
        </w:rPr>
        <w:t>he concluded that the</w:t>
      </w:r>
      <w:r w:rsidRPr="00742C17">
        <w:rPr>
          <w:lang w:val="en-CA"/>
        </w:rPr>
        <w:t xml:space="preserve"> exceptions to state immunity </w:t>
      </w:r>
      <w:r>
        <w:rPr>
          <w:lang w:val="en-CA"/>
        </w:rPr>
        <w:t>now found in that statute did not apply</w:t>
      </w:r>
      <w:r w:rsidRPr="00742C17">
        <w:rPr>
          <w:lang w:val="en-CA"/>
        </w:rPr>
        <w:t xml:space="preserve">. In his </w:t>
      </w:r>
      <w:r>
        <w:rPr>
          <w:lang w:val="en-CA"/>
        </w:rPr>
        <w:t>view</w:t>
      </w:r>
      <w:r w:rsidRPr="00742C17">
        <w:rPr>
          <w:lang w:val="en-CA"/>
        </w:rPr>
        <w:t>, th</w:t>
      </w:r>
      <w:r>
        <w:rPr>
          <w:lang w:val="en-CA"/>
        </w:rPr>
        <w:t>e</w:t>
      </w:r>
      <w:r w:rsidRPr="00742C17">
        <w:rPr>
          <w:lang w:val="en-CA"/>
        </w:rPr>
        <w:t xml:space="preserve"> SIA </w:t>
      </w:r>
      <w:r>
        <w:rPr>
          <w:lang w:val="en-CA"/>
        </w:rPr>
        <w:t>did not have retroactive effect when it came</w:t>
      </w:r>
      <w:r w:rsidRPr="00742C17">
        <w:rPr>
          <w:lang w:val="en-CA"/>
        </w:rPr>
        <w:t xml:space="preserve"> into force in 1982</w:t>
      </w:r>
      <w:r>
        <w:rPr>
          <w:lang w:val="en-CA"/>
        </w:rPr>
        <w:t>.</w:t>
      </w:r>
      <w:r>
        <w:rPr>
          <w:rStyle w:val="Appelnotedebasdep"/>
        </w:rPr>
        <w:footnoteReference w:id="6"/>
      </w:r>
      <w:r w:rsidRPr="00742C17">
        <w:rPr>
          <w:lang w:val="en-CA"/>
        </w:rPr>
        <w:t xml:space="preserve"> </w:t>
      </w:r>
      <w:r w:rsidRPr="00F248F0">
        <w:rPr>
          <w:lang w:val="en-CA"/>
        </w:rPr>
        <w:t xml:space="preserve">He also rejected the appellant’s </w:t>
      </w:r>
      <w:r>
        <w:rPr>
          <w:lang w:val="en-CA"/>
        </w:rPr>
        <w:t>argument</w:t>
      </w:r>
      <w:r w:rsidRPr="00F248F0">
        <w:rPr>
          <w:lang w:val="en-CA"/>
        </w:rPr>
        <w:t xml:space="preserve"> regarding the retrospective </w:t>
      </w:r>
      <w:r>
        <w:rPr>
          <w:lang w:val="en-CA"/>
        </w:rPr>
        <w:t>character</w:t>
      </w:r>
      <w:r w:rsidRPr="00F248F0">
        <w:rPr>
          <w:lang w:val="en-CA"/>
        </w:rPr>
        <w:t xml:space="preserve"> of the SIA si</w:t>
      </w:r>
      <w:r>
        <w:rPr>
          <w:lang w:val="en-CA"/>
        </w:rPr>
        <w:t>nce this is matter of</w:t>
      </w:r>
      <w:r w:rsidRPr="00F248F0">
        <w:rPr>
          <w:lang w:val="en-CA"/>
        </w:rPr>
        <w:t xml:space="preserve"> substantive</w:t>
      </w:r>
      <w:r>
        <w:rPr>
          <w:lang w:val="en-CA"/>
        </w:rPr>
        <w:t xml:space="preserve"> law</w:t>
      </w:r>
      <w:r w:rsidRPr="00F248F0">
        <w:rPr>
          <w:lang w:val="en-CA"/>
        </w:rPr>
        <w:t xml:space="preserve">, </w:t>
      </w:r>
      <w:r>
        <w:rPr>
          <w:lang w:val="en-CA"/>
        </w:rPr>
        <w:t>which precludes</w:t>
      </w:r>
      <w:r w:rsidRPr="00F248F0">
        <w:rPr>
          <w:lang w:val="en-CA"/>
        </w:rPr>
        <w:t xml:space="preserve"> rebut</w:t>
      </w:r>
      <w:r>
        <w:rPr>
          <w:lang w:val="en-CA"/>
        </w:rPr>
        <w:t xml:space="preserve">ting the </w:t>
      </w:r>
      <w:r w:rsidRPr="00F248F0">
        <w:rPr>
          <w:lang w:val="en-CA"/>
        </w:rPr>
        <w:t xml:space="preserve">presumption against retrospective application </w:t>
      </w:r>
      <w:r>
        <w:rPr>
          <w:lang w:val="en-CA"/>
        </w:rPr>
        <w:t>of a statutory provision.</w:t>
      </w:r>
      <w:r>
        <w:rPr>
          <w:rStyle w:val="Appelnotedebasdep"/>
        </w:rPr>
        <w:footnoteReference w:id="7"/>
      </w:r>
    </w:p>
    <w:p w14:paraId="0AB50B9B" w14:textId="77777777" w:rsidR="009214E1" w:rsidRPr="00D315B7" w:rsidRDefault="009214E1" w:rsidP="009214E1">
      <w:pPr>
        <w:pStyle w:val="Paragraphe"/>
        <w:spacing w:line="280" w:lineRule="exact"/>
        <w:rPr>
          <w:lang w:val="en-CA"/>
        </w:rPr>
      </w:pPr>
      <w:r w:rsidRPr="00D315B7">
        <w:rPr>
          <w:lang w:val="en-CA"/>
        </w:rPr>
        <w:t xml:space="preserve">In support of his </w:t>
      </w:r>
      <w:r>
        <w:rPr>
          <w:lang w:val="en-CA"/>
        </w:rPr>
        <w:t>analysis</w:t>
      </w:r>
      <w:r w:rsidRPr="00D315B7">
        <w:rPr>
          <w:lang w:val="en-CA"/>
        </w:rPr>
        <w:t>, the ju</w:t>
      </w:r>
      <w:r>
        <w:rPr>
          <w:lang w:val="en-CA"/>
        </w:rPr>
        <w:t>d</w:t>
      </w:r>
      <w:r w:rsidRPr="00D315B7">
        <w:rPr>
          <w:lang w:val="en-CA"/>
        </w:rPr>
        <w:t>ge relied on the fact that certain provisions of th</w:t>
      </w:r>
      <w:r>
        <w:rPr>
          <w:lang w:val="en-CA"/>
        </w:rPr>
        <w:t>e</w:t>
      </w:r>
      <w:r w:rsidRPr="00D315B7">
        <w:rPr>
          <w:lang w:val="en-CA"/>
        </w:rPr>
        <w:t xml:space="preserve"> SIA </w:t>
      </w:r>
      <w:r>
        <w:rPr>
          <w:lang w:val="en-CA"/>
        </w:rPr>
        <w:t>provide that they apply retroactively</w:t>
      </w:r>
      <w:r w:rsidRPr="00D315B7">
        <w:rPr>
          <w:lang w:val="en-CA"/>
        </w:rPr>
        <w:t xml:space="preserve">, </w:t>
      </w:r>
      <w:r>
        <w:rPr>
          <w:lang w:val="en-CA"/>
        </w:rPr>
        <w:t>for example those regarding acts of terrorism.</w:t>
      </w:r>
      <w:r>
        <w:rPr>
          <w:rStyle w:val="Appelnotedebasdep"/>
        </w:rPr>
        <w:footnoteReference w:id="8"/>
      </w:r>
      <w:r w:rsidRPr="00D315B7">
        <w:rPr>
          <w:lang w:val="en-CA"/>
        </w:rPr>
        <w:t xml:space="preserve"> Indeed, the SIA was amended in 2012 to add the terrorism</w:t>
      </w:r>
      <w:r>
        <w:rPr>
          <w:lang w:val="en-CA"/>
        </w:rPr>
        <w:t xml:space="preserve"> </w:t>
      </w:r>
      <w:r w:rsidRPr="00D315B7">
        <w:rPr>
          <w:lang w:val="en-CA"/>
        </w:rPr>
        <w:t>exception, an</w:t>
      </w:r>
      <w:r>
        <w:rPr>
          <w:lang w:val="en-CA"/>
        </w:rPr>
        <w:t>d expressly stipulated that that exception applied on or after</w:t>
      </w:r>
      <w:r w:rsidRPr="00D315B7">
        <w:rPr>
          <w:lang w:val="en-CA"/>
        </w:rPr>
        <w:t xml:space="preserve"> </w:t>
      </w:r>
      <w:r>
        <w:rPr>
          <w:lang w:val="en-CA"/>
        </w:rPr>
        <w:t>January 1,</w:t>
      </w:r>
      <w:r w:rsidRPr="00D315B7">
        <w:rPr>
          <w:lang w:val="en-CA"/>
        </w:rPr>
        <w:t xml:space="preserve"> 1985</w:t>
      </w:r>
      <w:r>
        <w:rPr>
          <w:lang w:val="en-CA"/>
        </w:rPr>
        <w:t>.</w:t>
      </w:r>
      <w:r>
        <w:rPr>
          <w:rStyle w:val="Appelnotedebasdep"/>
        </w:rPr>
        <w:footnoteReference w:id="9"/>
      </w:r>
    </w:p>
    <w:p w14:paraId="5E8AE990" w14:textId="77777777" w:rsidR="009214E1" w:rsidRPr="006A4B86" w:rsidRDefault="009214E1" w:rsidP="009214E1">
      <w:pPr>
        <w:pStyle w:val="Paragraphe"/>
        <w:spacing w:line="280" w:lineRule="exact"/>
        <w:rPr>
          <w:lang w:val="en-CA"/>
        </w:rPr>
      </w:pPr>
      <w:r>
        <w:rPr>
          <w:lang w:val="en-CA"/>
        </w:rPr>
        <w:t>With respect to</w:t>
      </w:r>
      <w:r w:rsidRPr="006A4B86">
        <w:rPr>
          <w:lang w:val="en-CA"/>
        </w:rPr>
        <w:t xml:space="preserve"> the state immunity exceptions at common law, which ex</w:t>
      </w:r>
      <w:r>
        <w:rPr>
          <w:lang w:val="en-CA"/>
        </w:rPr>
        <w:t>is</w:t>
      </w:r>
      <w:r w:rsidRPr="006A4B86">
        <w:rPr>
          <w:lang w:val="en-CA"/>
        </w:rPr>
        <w:t xml:space="preserve">ted prior to the coming into to force </w:t>
      </w:r>
      <w:r>
        <w:rPr>
          <w:lang w:val="en-CA"/>
        </w:rPr>
        <w:t>o</w:t>
      </w:r>
      <w:r w:rsidRPr="006A4B86">
        <w:rPr>
          <w:lang w:val="en-CA"/>
        </w:rPr>
        <w:t>f</w:t>
      </w:r>
      <w:r>
        <w:rPr>
          <w:lang w:val="en-CA"/>
        </w:rPr>
        <w:t xml:space="preserve"> the</w:t>
      </w:r>
      <w:r w:rsidRPr="006A4B86">
        <w:rPr>
          <w:lang w:val="en-CA"/>
        </w:rPr>
        <w:t xml:space="preserve"> SIA </w:t>
      </w:r>
      <w:r>
        <w:rPr>
          <w:lang w:val="en-CA"/>
        </w:rPr>
        <w:t>i</w:t>
      </w:r>
      <w:r w:rsidRPr="006A4B86">
        <w:rPr>
          <w:lang w:val="en-CA"/>
        </w:rPr>
        <w:t xml:space="preserve">n 1982, </w:t>
      </w:r>
      <w:r>
        <w:rPr>
          <w:lang w:val="en-CA"/>
        </w:rPr>
        <w:t>the judge was of the opinion that they were of limited scope since none covered death or personal or bodily injury.</w:t>
      </w:r>
      <w:r>
        <w:rPr>
          <w:rStyle w:val="Appelnotedebasdep"/>
        </w:rPr>
        <w:footnoteReference w:id="10"/>
      </w:r>
      <w:r w:rsidRPr="006A4B86">
        <w:rPr>
          <w:lang w:val="en-CA"/>
        </w:rPr>
        <w:t xml:space="preserve"> As for the exception regarding commercial activity, he considered th</w:t>
      </w:r>
      <w:r>
        <w:rPr>
          <w:lang w:val="en-CA"/>
        </w:rPr>
        <w:t>at it did not apply in the case at bar.</w:t>
      </w:r>
      <w:r>
        <w:rPr>
          <w:rStyle w:val="Appelnotedebasdep"/>
        </w:rPr>
        <w:footnoteReference w:id="11"/>
      </w:r>
    </w:p>
    <w:p w14:paraId="122F1241" w14:textId="77777777" w:rsidR="009214E1" w:rsidRPr="008C49C1" w:rsidRDefault="009214E1" w:rsidP="009214E1">
      <w:pPr>
        <w:pStyle w:val="Paragraphe"/>
        <w:spacing w:line="280" w:lineRule="exact"/>
        <w:rPr>
          <w:lang w:val="en-CA"/>
        </w:rPr>
      </w:pPr>
      <w:r w:rsidRPr="008C49C1">
        <w:rPr>
          <w:lang w:val="en-CA"/>
        </w:rPr>
        <w:t xml:space="preserve">Finally, the judge rejected the appellant’s </w:t>
      </w:r>
      <w:r>
        <w:rPr>
          <w:lang w:val="en-CA"/>
        </w:rPr>
        <w:t>submission</w:t>
      </w:r>
      <w:r w:rsidRPr="008C49C1">
        <w:rPr>
          <w:lang w:val="en-CA"/>
        </w:rPr>
        <w:t xml:space="preserve"> that</w:t>
      </w:r>
      <w:r>
        <w:rPr>
          <w:lang w:val="en-CA"/>
        </w:rPr>
        <w:t xml:space="preserve"> the illegal and covert character of an activity was an exception to the immunity rule.</w:t>
      </w:r>
      <w:r>
        <w:rPr>
          <w:rStyle w:val="Appelnotedebasdep"/>
        </w:rPr>
        <w:footnoteReference w:id="12"/>
      </w:r>
    </w:p>
    <w:p w14:paraId="32DC1265" w14:textId="77777777" w:rsidR="009214E1" w:rsidRPr="005D72F6" w:rsidRDefault="009214E1" w:rsidP="009214E1">
      <w:pPr>
        <w:pStyle w:val="Paragraphe"/>
        <w:spacing w:line="280" w:lineRule="exact"/>
        <w:rPr>
          <w:lang w:val="en-CA"/>
        </w:rPr>
      </w:pPr>
      <w:r w:rsidRPr="005D72F6">
        <w:rPr>
          <w:lang w:val="en-CA"/>
        </w:rPr>
        <w:t>Because the judge concluded that the respondent benefitted from immunity, he did not ad</w:t>
      </w:r>
      <w:r>
        <w:rPr>
          <w:lang w:val="en-CA"/>
        </w:rPr>
        <w:t>d</w:t>
      </w:r>
      <w:r w:rsidRPr="005D72F6">
        <w:rPr>
          <w:lang w:val="en-CA"/>
        </w:rPr>
        <w:t xml:space="preserve">ress the </w:t>
      </w:r>
      <w:r>
        <w:rPr>
          <w:lang w:val="en-CA"/>
        </w:rPr>
        <w:t>other questions relating to</w:t>
      </w:r>
      <w:r w:rsidRPr="005D72F6">
        <w:rPr>
          <w:lang w:val="en-CA"/>
        </w:rPr>
        <w:t xml:space="preserve"> the </w:t>
      </w:r>
      <w:r>
        <w:rPr>
          <w:lang w:val="en-CA"/>
        </w:rPr>
        <w:t xml:space="preserve">right of the family members of victims of the </w:t>
      </w:r>
      <w:r w:rsidRPr="005D72F6">
        <w:rPr>
          <w:lang w:val="en-CA"/>
        </w:rPr>
        <w:t>Montreal Experiment</w:t>
      </w:r>
      <w:r>
        <w:rPr>
          <w:lang w:val="en-CA"/>
        </w:rPr>
        <w:t>s</w:t>
      </w:r>
      <w:r w:rsidRPr="005D72F6">
        <w:rPr>
          <w:lang w:val="en-CA"/>
        </w:rPr>
        <w:t xml:space="preserve"> to</w:t>
      </w:r>
      <w:r>
        <w:rPr>
          <w:lang w:val="en-CA"/>
        </w:rPr>
        <w:t xml:space="preserve"> sue</w:t>
      </w:r>
      <w:r w:rsidRPr="005D72F6">
        <w:rPr>
          <w:lang w:val="en-CA"/>
        </w:rPr>
        <w:t>.</w:t>
      </w:r>
      <w:r w:rsidRPr="00317C5B">
        <w:rPr>
          <w:rStyle w:val="Appelnotedebasdep"/>
        </w:rPr>
        <w:footnoteReference w:id="13"/>
      </w:r>
    </w:p>
    <w:p w14:paraId="3FBA6ACF" w14:textId="77777777" w:rsidR="009214E1" w:rsidRPr="00301602" w:rsidRDefault="009214E1" w:rsidP="009214E1">
      <w:pPr>
        <w:pStyle w:val="Titre1"/>
        <w:rPr>
          <w:sz w:val="24"/>
          <w:szCs w:val="24"/>
        </w:rPr>
      </w:pPr>
      <w:r>
        <w:rPr>
          <w:sz w:val="24"/>
          <w:szCs w:val="24"/>
        </w:rPr>
        <w:lastRenderedPageBreak/>
        <w:t>ISSUES IN DISPUTE</w:t>
      </w:r>
    </w:p>
    <w:p w14:paraId="6DA050ED" w14:textId="77777777" w:rsidR="009214E1" w:rsidRPr="005D72F6" w:rsidRDefault="009214E1" w:rsidP="009214E1">
      <w:pPr>
        <w:pStyle w:val="Paragraphe"/>
        <w:spacing w:line="280" w:lineRule="exact"/>
        <w:rPr>
          <w:lang w:val="en-CA"/>
        </w:rPr>
      </w:pPr>
      <w:r w:rsidRPr="005D72F6">
        <w:rPr>
          <w:lang w:val="en-CA"/>
        </w:rPr>
        <w:t>The appellant raises six issues, which can be grouped as follows:</w:t>
      </w:r>
      <w:bookmarkStart w:id="7" w:name="_Hlk138775761"/>
    </w:p>
    <w:p w14:paraId="3A4D8A1C" w14:textId="77777777" w:rsidR="009214E1" w:rsidRPr="00EE1B4C" w:rsidRDefault="009214E1" w:rsidP="009214E1">
      <w:pPr>
        <w:pStyle w:val="Tiret"/>
        <w:spacing w:line="280" w:lineRule="exact"/>
        <w:rPr>
          <w:lang w:val="en-CA"/>
        </w:rPr>
      </w:pPr>
      <w:bookmarkStart w:id="8" w:name="_Hlk138776674"/>
      <w:r w:rsidRPr="00EE1B4C">
        <w:rPr>
          <w:lang w:val="en-CA"/>
        </w:rPr>
        <w:t>Did the trial judge err in law by deciding the issue of state im</w:t>
      </w:r>
      <w:r>
        <w:rPr>
          <w:lang w:val="en-CA"/>
        </w:rPr>
        <w:t>munity at a preliminary stage</w:t>
      </w:r>
      <w:r w:rsidRPr="00EE1B4C">
        <w:rPr>
          <w:lang w:val="en-CA"/>
        </w:rPr>
        <w:t xml:space="preserve">? </w:t>
      </w:r>
    </w:p>
    <w:p w14:paraId="4BB8314F" w14:textId="77777777" w:rsidR="009214E1" w:rsidRPr="00EE1B4C" w:rsidRDefault="009214E1" w:rsidP="009214E1">
      <w:pPr>
        <w:pStyle w:val="Tiret"/>
        <w:spacing w:line="280" w:lineRule="exact"/>
        <w:rPr>
          <w:lang w:val="en-CA"/>
        </w:rPr>
      </w:pPr>
      <w:bookmarkStart w:id="9" w:name="_Hlk138859791"/>
      <w:bookmarkEnd w:id="7"/>
      <w:bookmarkEnd w:id="8"/>
      <w:r w:rsidRPr="00EE1B4C">
        <w:rPr>
          <w:lang w:val="en-CA"/>
        </w:rPr>
        <w:t>Di</w:t>
      </w:r>
      <w:r>
        <w:rPr>
          <w:lang w:val="en-CA"/>
        </w:rPr>
        <w:t>d</w:t>
      </w:r>
      <w:r w:rsidRPr="00EE1B4C">
        <w:rPr>
          <w:lang w:val="en-CA"/>
        </w:rPr>
        <w:t xml:space="preserve"> the trial judge err in law by finding that the respondent benefitted from state immunity in </w:t>
      </w:r>
      <w:r>
        <w:rPr>
          <w:lang w:val="en-CA"/>
        </w:rPr>
        <w:t>the</w:t>
      </w:r>
      <w:r w:rsidRPr="00EE1B4C">
        <w:rPr>
          <w:lang w:val="en-CA"/>
        </w:rPr>
        <w:t xml:space="preserve"> case</w:t>
      </w:r>
      <w:r>
        <w:rPr>
          <w:lang w:val="en-CA"/>
        </w:rPr>
        <w:t xml:space="preserve"> at bar</w:t>
      </w:r>
      <w:r w:rsidRPr="00EE1B4C">
        <w:rPr>
          <w:lang w:val="en-CA"/>
        </w:rPr>
        <w:t xml:space="preserve">, notwithstanding the exceptions </w:t>
      </w:r>
      <w:r>
        <w:rPr>
          <w:lang w:val="en-CA"/>
        </w:rPr>
        <w:t xml:space="preserve">stemming from </w:t>
      </w:r>
      <w:r w:rsidRPr="00EE1B4C">
        <w:rPr>
          <w:lang w:val="en-CA"/>
        </w:rPr>
        <w:t xml:space="preserve">the SIA </w:t>
      </w:r>
      <w:r>
        <w:rPr>
          <w:lang w:val="en-CA"/>
        </w:rPr>
        <w:t>and common law principles</w:t>
      </w:r>
      <w:r w:rsidRPr="00EE1B4C">
        <w:rPr>
          <w:lang w:val="en-CA"/>
        </w:rPr>
        <w:t xml:space="preserve">? </w:t>
      </w:r>
    </w:p>
    <w:p w14:paraId="74487512" w14:textId="77777777" w:rsidR="009214E1" w:rsidRPr="00A72734" w:rsidRDefault="009214E1" w:rsidP="009214E1">
      <w:pPr>
        <w:pStyle w:val="Tiret"/>
        <w:spacing w:line="280" w:lineRule="exact"/>
        <w:rPr>
          <w:lang w:val="en-CA"/>
        </w:rPr>
      </w:pPr>
      <w:bookmarkStart w:id="10" w:name="_Hlk139294979"/>
      <w:bookmarkEnd w:id="9"/>
      <w:r w:rsidRPr="00A72734">
        <w:rPr>
          <w:lang w:val="en-CA"/>
        </w:rPr>
        <w:t>If so, do the family members of victims of the Montreal Experiments also benefit from the exceptions to</w:t>
      </w:r>
      <w:r>
        <w:rPr>
          <w:lang w:val="en-CA"/>
        </w:rPr>
        <w:t xml:space="preserve"> state immunity</w:t>
      </w:r>
      <w:r w:rsidRPr="00A72734">
        <w:rPr>
          <w:lang w:val="en-CA"/>
        </w:rPr>
        <w:t>?</w:t>
      </w:r>
    </w:p>
    <w:bookmarkEnd w:id="10"/>
    <w:p w14:paraId="1AC0176C" w14:textId="63AA6E4E" w:rsidR="009214E1" w:rsidRPr="002638B6" w:rsidRDefault="009214E1" w:rsidP="009214E1">
      <w:pPr>
        <w:pStyle w:val="Paragraphe"/>
        <w:spacing w:line="280" w:lineRule="exact"/>
        <w:rPr>
          <w:lang w:val="en-CA"/>
        </w:rPr>
      </w:pPr>
      <w:r w:rsidRPr="002638B6">
        <w:rPr>
          <w:lang w:val="en-CA"/>
        </w:rPr>
        <w:t>Before our Court, the Attorney General of Canada file</w:t>
      </w:r>
      <w:r>
        <w:rPr>
          <w:lang w:val="en-CA"/>
        </w:rPr>
        <w:t>d</w:t>
      </w:r>
      <w:r w:rsidRPr="002638B6">
        <w:rPr>
          <w:lang w:val="en-CA"/>
        </w:rPr>
        <w:t xml:space="preserve"> </w:t>
      </w:r>
      <w:r>
        <w:rPr>
          <w:lang w:val="en-CA"/>
        </w:rPr>
        <w:t xml:space="preserve">no </w:t>
      </w:r>
      <w:r w:rsidR="009428AB">
        <w:rPr>
          <w:lang w:val="en-CA"/>
        </w:rPr>
        <w:t>memorandum</w:t>
      </w:r>
      <w:r>
        <w:rPr>
          <w:lang w:val="en-CA"/>
        </w:rPr>
        <w:t xml:space="preserve"> and made no submissions at the hearing</w:t>
      </w:r>
      <w:r w:rsidRPr="002638B6">
        <w:rPr>
          <w:lang w:val="en-CA"/>
        </w:rPr>
        <w:t>.</w:t>
      </w:r>
    </w:p>
    <w:p w14:paraId="564F42A8" w14:textId="77777777" w:rsidR="009214E1" w:rsidRPr="00EA19F7" w:rsidRDefault="009214E1" w:rsidP="009214E1">
      <w:pPr>
        <w:pStyle w:val="Titre1"/>
        <w:rPr>
          <w:sz w:val="24"/>
          <w:szCs w:val="24"/>
          <w:lang w:val="en-CA"/>
        </w:rPr>
      </w:pPr>
      <w:r w:rsidRPr="00EA19F7">
        <w:rPr>
          <w:sz w:val="24"/>
          <w:szCs w:val="24"/>
          <w:lang w:val="en-CA"/>
        </w:rPr>
        <w:t>ANALYSIS</w:t>
      </w:r>
    </w:p>
    <w:p w14:paraId="39BCF841" w14:textId="77777777" w:rsidR="009214E1" w:rsidRPr="00EA19F7" w:rsidRDefault="009214E1" w:rsidP="009214E1">
      <w:pPr>
        <w:pStyle w:val="Titre4"/>
        <w:rPr>
          <w:lang w:val="en-CA"/>
        </w:rPr>
      </w:pPr>
      <w:r w:rsidRPr="00EA19F7">
        <w:rPr>
          <w:lang w:val="en-CA"/>
        </w:rPr>
        <w:t>1)</w:t>
      </w:r>
      <w:r w:rsidRPr="00EA19F7">
        <w:rPr>
          <w:lang w:val="en-CA"/>
        </w:rPr>
        <w:tab/>
        <w:t>Did the trial judge err in law by deciding the issue of state immunity at a preliminary stage?</w:t>
      </w:r>
    </w:p>
    <w:p w14:paraId="218CAB8F" w14:textId="77777777" w:rsidR="009214E1" w:rsidRPr="00056EB6" w:rsidRDefault="009214E1" w:rsidP="009214E1">
      <w:pPr>
        <w:pStyle w:val="Paragraphe"/>
        <w:spacing w:line="280" w:lineRule="exact"/>
        <w:rPr>
          <w:lang w:val="en-CA"/>
        </w:rPr>
      </w:pPr>
      <w:r w:rsidRPr="005667E1">
        <w:rPr>
          <w:lang w:val="en-CA"/>
        </w:rPr>
        <w:t>The appel</w:t>
      </w:r>
      <w:r>
        <w:rPr>
          <w:lang w:val="en-CA"/>
        </w:rPr>
        <w:t>l</w:t>
      </w:r>
      <w:r w:rsidRPr="005667E1">
        <w:rPr>
          <w:lang w:val="en-CA"/>
        </w:rPr>
        <w:t>ant submits that the</w:t>
      </w:r>
      <w:r>
        <w:rPr>
          <w:lang w:val="en-CA"/>
        </w:rPr>
        <w:t xml:space="preserve"> </w:t>
      </w:r>
      <w:r w:rsidRPr="005667E1">
        <w:rPr>
          <w:lang w:val="en-CA"/>
        </w:rPr>
        <w:t xml:space="preserve">judge’s decision to dismiss her action at a preliminary stage </w:t>
      </w:r>
      <w:r>
        <w:rPr>
          <w:lang w:val="en-CA"/>
        </w:rPr>
        <w:t>was ill-founded</w:t>
      </w:r>
      <w:r w:rsidRPr="005667E1">
        <w:rPr>
          <w:lang w:val="en-CA"/>
        </w:rPr>
        <w:t xml:space="preserve">. A court cannot do so unless it is </w:t>
      </w:r>
      <w:r>
        <w:rPr>
          <w:lang w:val="en-CA"/>
        </w:rPr>
        <w:t>dealing with a pure</w:t>
      </w:r>
      <w:r w:rsidRPr="005667E1">
        <w:rPr>
          <w:lang w:val="en-CA"/>
        </w:rPr>
        <w:t xml:space="preserve"> question of law. </w:t>
      </w:r>
      <w:r w:rsidRPr="00056EB6">
        <w:rPr>
          <w:lang w:val="en-CA"/>
        </w:rPr>
        <w:t>Rather, this case raises a mixed question of fact and law in that, to determine whether certain exceptions to state immunity apply, including that regarding commercial activit</w:t>
      </w:r>
      <w:r>
        <w:rPr>
          <w:lang w:val="en-CA"/>
        </w:rPr>
        <w:t>y</w:t>
      </w:r>
      <w:r w:rsidRPr="00056EB6">
        <w:rPr>
          <w:lang w:val="en-CA"/>
        </w:rPr>
        <w:t>, ev</w:t>
      </w:r>
      <w:r>
        <w:rPr>
          <w:lang w:val="en-CA"/>
        </w:rPr>
        <w:t>idence must be adduced to establish its nature</w:t>
      </w:r>
      <w:r w:rsidRPr="00056EB6">
        <w:rPr>
          <w:lang w:val="en-CA"/>
        </w:rPr>
        <w:t xml:space="preserve">. The issue should have been </w:t>
      </w:r>
      <w:r>
        <w:rPr>
          <w:lang w:val="en-CA"/>
        </w:rPr>
        <w:t>r</w:t>
      </w:r>
      <w:r w:rsidRPr="00056EB6">
        <w:rPr>
          <w:lang w:val="en-CA"/>
        </w:rPr>
        <w:t xml:space="preserve">eferred to </w:t>
      </w:r>
      <w:r>
        <w:rPr>
          <w:lang w:val="en-CA"/>
        </w:rPr>
        <w:t>the</w:t>
      </w:r>
      <w:r w:rsidRPr="00056EB6">
        <w:rPr>
          <w:lang w:val="en-CA"/>
        </w:rPr>
        <w:t xml:space="preserve"> judge on the merits.</w:t>
      </w:r>
    </w:p>
    <w:p w14:paraId="2C9E4D8A" w14:textId="77777777" w:rsidR="009214E1" w:rsidRPr="00CB5F41" w:rsidRDefault="009214E1" w:rsidP="009214E1">
      <w:pPr>
        <w:pStyle w:val="Paragraphe"/>
        <w:spacing w:line="280" w:lineRule="exact"/>
        <w:rPr>
          <w:lang w:val="en-CA"/>
        </w:rPr>
      </w:pPr>
      <w:r w:rsidRPr="00D650F8">
        <w:rPr>
          <w:lang w:val="en-CA"/>
        </w:rPr>
        <w:t xml:space="preserve">The principles surrounding the application of article 168 </w:t>
      </w:r>
      <w:r w:rsidRPr="00D650F8">
        <w:rPr>
          <w:i/>
          <w:iCs/>
          <w:lang w:val="en-CA"/>
        </w:rPr>
        <w:t>C.C.P.</w:t>
      </w:r>
      <w:r w:rsidRPr="00D650F8">
        <w:rPr>
          <w:lang w:val="en-CA"/>
        </w:rPr>
        <w:t xml:space="preserve"> ar</w:t>
      </w:r>
      <w:r>
        <w:rPr>
          <w:lang w:val="en-CA"/>
        </w:rPr>
        <w:t>e well known</w:t>
      </w:r>
      <w:r w:rsidRPr="00D650F8">
        <w:rPr>
          <w:lang w:val="en-CA"/>
        </w:rPr>
        <w:t>. Trial courts must be cautious when called upon to decide an application to dismiss</w:t>
      </w:r>
      <w:r>
        <w:rPr>
          <w:lang w:val="en-CA"/>
        </w:rPr>
        <w:t>,</w:t>
      </w:r>
      <w:r w:rsidRPr="00D650F8">
        <w:rPr>
          <w:lang w:val="en-CA"/>
        </w:rPr>
        <w:t xml:space="preserve"> since</w:t>
      </w:r>
      <w:r>
        <w:rPr>
          <w:lang w:val="en-CA"/>
        </w:rPr>
        <w:t xml:space="preserve"> the</w:t>
      </w:r>
      <w:r w:rsidRPr="00D650F8">
        <w:rPr>
          <w:lang w:val="en-CA"/>
        </w:rPr>
        <w:t xml:space="preserve"> dismiss</w:t>
      </w:r>
      <w:r>
        <w:rPr>
          <w:lang w:val="en-CA"/>
        </w:rPr>
        <w:t>al</w:t>
      </w:r>
      <w:r w:rsidRPr="00D650F8">
        <w:rPr>
          <w:lang w:val="en-CA"/>
        </w:rPr>
        <w:t xml:space="preserve"> </w:t>
      </w:r>
      <w:r>
        <w:rPr>
          <w:lang w:val="en-CA"/>
        </w:rPr>
        <w:t xml:space="preserve">of </w:t>
      </w:r>
      <w:r w:rsidRPr="00D650F8">
        <w:rPr>
          <w:lang w:val="en-CA"/>
        </w:rPr>
        <w:t>an ac</w:t>
      </w:r>
      <w:r>
        <w:rPr>
          <w:lang w:val="en-CA"/>
        </w:rPr>
        <w:t>tion at this stage can have serious consequences.</w:t>
      </w:r>
      <w:r>
        <w:rPr>
          <w:rStyle w:val="Appelnotedebasdep"/>
        </w:rPr>
        <w:footnoteReference w:id="14"/>
      </w:r>
      <w:r w:rsidRPr="00D650F8">
        <w:rPr>
          <w:lang w:val="en-CA"/>
        </w:rPr>
        <w:t xml:space="preserve"> </w:t>
      </w:r>
      <w:r>
        <w:rPr>
          <w:lang w:val="en-CA"/>
        </w:rPr>
        <w:t>However, an</w:t>
      </w:r>
      <w:r w:rsidRPr="00CB5F41">
        <w:rPr>
          <w:lang w:val="en-CA"/>
        </w:rPr>
        <w:t xml:space="preserve"> </w:t>
      </w:r>
      <w:r>
        <w:rPr>
          <w:lang w:val="en-CA"/>
        </w:rPr>
        <w:t>act</w:t>
      </w:r>
      <w:r w:rsidRPr="00CB5F41">
        <w:rPr>
          <w:lang w:val="en-CA"/>
        </w:rPr>
        <w:t xml:space="preserve">ion </w:t>
      </w:r>
      <w:r>
        <w:rPr>
          <w:lang w:val="en-CA"/>
        </w:rPr>
        <w:t xml:space="preserve">must not be allowed </w:t>
      </w:r>
      <w:r w:rsidRPr="00CB5F41">
        <w:rPr>
          <w:lang w:val="en-CA"/>
        </w:rPr>
        <w:t>to continue if it</w:t>
      </w:r>
      <w:r>
        <w:rPr>
          <w:lang w:val="en-CA"/>
        </w:rPr>
        <w:t xml:space="preserve"> is</w:t>
      </w:r>
      <w:r w:rsidRPr="00CB5F41">
        <w:rPr>
          <w:lang w:val="en-CA"/>
        </w:rPr>
        <w:t xml:space="preserve"> </w:t>
      </w:r>
      <w:r>
        <w:rPr>
          <w:lang w:val="en-CA"/>
        </w:rPr>
        <w:t>un</w:t>
      </w:r>
      <w:r w:rsidRPr="00CB5F41">
        <w:rPr>
          <w:lang w:val="en-CA"/>
        </w:rPr>
        <w:t>founded in law. The correctne</w:t>
      </w:r>
      <w:r>
        <w:rPr>
          <w:lang w:val="en-CA"/>
        </w:rPr>
        <w:t>ss</w:t>
      </w:r>
      <w:r w:rsidRPr="00CB5F41">
        <w:rPr>
          <w:lang w:val="en-CA"/>
        </w:rPr>
        <w:t xml:space="preserve"> standard of </w:t>
      </w:r>
      <w:r>
        <w:rPr>
          <w:lang w:val="en-CA"/>
        </w:rPr>
        <w:t xml:space="preserve">review </w:t>
      </w:r>
      <w:r w:rsidRPr="00CB5F41">
        <w:rPr>
          <w:lang w:val="en-CA"/>
        </w:rPr>
        <w:t>applies in the analysis of th</w:t>
      </w:r>
      <w:r>
        <w:rPr>
          <w:lang w:val="en-CA"/>
        </w:rPr>
        <w:t>is issue.</w:t>
      </w:r>
      <w:r>
        <w:rPr>
          <w:rStyle w:val="Appelnotedebasdep"/>
        </w:rPr>
        <w:footnoteReference w:id="15"/>
      </w:r>
    </w:p>
    <w:p w14:paraId="501170A3" w14:textId="77777777" w:rsidR="009214E1" w:rsidRPr="00270F75" w:rsidRDefault="009214E1" w:rsidP="009214E1">
      <w:pPr>
        <w:pStyle w:val="Paragraphe"/>
        <w:spacing w:line="280" w:lineRule="exact"/>
        <w:rPr>
          <w:lang w:val="en-CA"/>
        </w:rPr>
      </w:pPr>
      <w:r w:rsidRPr="00CB5F41">
        <w:rPr>
          <w:lang w:val="en-CA"/>
        </w:rPr>
        <w:lastRenderedPageBreak/>
        <w:t xml:space="preserve">Article 168 </w:t>
      </w:r>
      <w:r>
        <w:rPr>
          <w:lang w:val="en-CA"/>
        </w:rPr>
        <w:t>para</w:t>
      </w:r>
      <w:r w:rsidRPr="00CB5F41">
        <w:rPr>
          <w:lang w:val="en-CA"/>
        </w:rPr>
        <w:t xml:space="preserve">. 2 </w:t>
      </w:r>
      <w:r w:rsidRPr="00CB5F41">
        <w:rPr>
          <w:i/>
          <w:iCs/>
          <w:lang w:val="en-CA"/>
        </w:rPr>
        <w:t>C.P.C.</w:t>
      </w:r>
      <w:r w:rsidRPr="00CB5F41">
        <w:rPr>
          <w:lang w:val="en-CA"/>
        </w:rPr>
        <w:t xml:space="preserve"> allows a party to </w:t>
      </w:r>
      <w:r>
        <w:rPr>
          <w:lang w:val="en-CA"/>
        </w:rPr>
        <w:t>a</w:t>
      </w:r>
      <w:r w:rsidRPr="00CB5F41">
        <w:rPr>
          <w:lang w:val="en-CA"/>
        </w:rPr>
        <w:t xml:space="preserve">sk that an application be dismissed if it is unfounded in law. </w:t>
      </w:r>
      <w:r w:rsidRPr="00270F75">
        <w:rPr>
          <w:lang w:val="en-CA"/>
        </w:rPr>
        <w:t>Rules regarding state immunity are rules of law, as the Court note</w:t>
      </w:r>
      <w:r>
        <w:rPr>
          <w:lang w:val="en-CA"/>
        </w:rPr>
        <w:t>d</w:t>
      </w:r>
      <w:r w:rsidRPr="00270F75">
        <w:rPr>
          <w:lang w:val="en-CA"/>
        </w:rPr>
        <w:t xml:space="preserve"> in </w:t>
      </w:r>
      <w:r w:rsidRPr="00270F75">
        <w:rPr>
          <w:i/>
          <w:iCs/>
          <w:lang w:val="en-CA"/>
        </w:rPr>
        <w:t xml:space="preserve">Dostie </w:t>
      </w:r>
      <w:r>
        <w:rPr>
          <w:i/>
          <w:iCs/>
          <w:lang w:val="en-CA"/>
        </w:rPr>
        <w:t>v</w:t>
      </w:r>
      <w:r w:rsidRPr="00270F75">
        <w:rPr>
          <w:i/>
          <w:iCs/>
          <w:lang w:val="en-CA"/>
        </w:rPr>
        <w:t>. Procureur général du Canada</w:t>
      </w:r>
      <w:r w:rsidRPr="00270F75">
        <w:rPr>
          <w:lang w:val="en-CA"/>
        </w:rPr>
        <w:t xml:space="preserve">: </w:t>
      </w:r>
    </w:p>
    <w:p w14:paraId="481AFE52" w14:textId="77777777" w:rsidR="009214E1" w:rsidRDefault="009214E1" w:rsidP="009214E1">
      <w:pPr>
        <w:pStyle w:val="Citationenretrait"/>
        <w:rPr>
          <w:lang w:val="en-CA"/>
        </w:rPr>
      </w:pPr>
      <w:r>
        <w:rPr>
          <w:lang w:val="en-CA"/>
        </w:rPr>
        <w:t>[</w:t>
      </w:r>
      <w:r w:rsidRPr="00AE65AB">
        <w:rPr>
          <w:smallCaps/>
          <w:lang w:val="en-CA"/>
        </w:rPr>
        <w:t>translation</w:t>
      </w:r>
      <w:r>
        <w:rPr>
          <w:lang w:val="en-CA"/>
        </w:rPr>
        <w:t>]</w:t>
      </w:r>
    </w:p>
    <w:p w14:paraId="4E9B7936" w14:textId="77777777" w:rsidR="009214E1" w:rsidRPr="00CF2190" w:rsidRDefault="009214E1" w:rsidP="009214E1">
      <w:pPr>
        <w:pStyle w:val="Citationenretrait"/>
        <w:rPr>
          <w:lang w:val="en-CA"/>
        </w:rPr>
      </w:pPr>
      <w:r w:rsidRPr="00CF2190">
        <w:rPr>
          <w:lang w:val="en-CA"/>
        </w:rPr>
        <w:t xml:space="preserve">[22] </w:t>
      </w:r>
      <w:r>
        <w:rPr>
          <w:lang w:val="en-CA"/>
        </w:rPr>
        <w:t>“</w:t>
      </w:r>
      <w:r w:rsidRPr="00CF2190">
        <w:rPr>
          <w:lang w:val="en-CA"/>
        </w:rPr>
        <w:t>Applicable law</w:t>
      </w:r>
      <w:r>
        <w:rPr>
          <w:lang w:val="en-CA"/>
        </w:rPr>
        <w:t>”</w:t>
      </w:r>
      <w:r w:rsidRPr="00CF2190">
        <w:rPr>
          <w:lang w:val="en-CA"/>
        </w:rPr>
        <w:t xml:space="preserve"> </w:t>
      </w:r>
      <w:r>
        <w:rPr>
          <w:lang w:val="en-CA"/>
        </w:rPr>
        <w:t xml:space="preserve">refers, of course, to </w:t>
      </w:r>
      <w:r w:rsidRPr="00CF2190">
        <w:rPr>
          <w:lang w:val="en-CA"/>
        </w:rPr>
        <w:t>the law relevant to the merits of the case,</w:t>
      </w:r>
      <w:r>
        <w:rPr>
          <w:lang w:val="en-CA"/>
        </w:rPr>
        <w:t xml:space="preserve"> However, and this is equally as important, it also refers to the more technical rules governing</w:t>
      </w:r>
      <w:r w:rsidRPr="00CF2190">
        <w:rPr>
          <w:lang w:val="en-CA"/>
        </w:rPr>
        <w:t>:</w:t>
      </w:r>
    </w:p>
    <w:p w14:paraId="3D85FC43" w14:textId="77777777" w:rsidR="009214E1" w:rsidRPr="00C454A4" w:rsidRDefault="009214E1" w:rsidP="009214E1">
      <w:pPr>
        <w:pStyle w:val="Citationenretrait"/>
        <w:rPr>
          <w:lang w:val="en-CA"/>
        </w:rPr>
      </w:pPr>
      <w:r w:rsidRPr="00C454A4">
        <w:rPr>
          <w:lang w:val="en-CA"/>
        </w:rPr>
        <w:t>[…]</w:t>
      </w:r>
    </w:p>
    <w:p w14:paraId="582B628A" w14:textId="77777777" w:rsidR="009214E1" w:rsidRPr="00CF2190" w:rsidRDefault="009214E1" w:rsidP="009214E1">
      <w:pPr>
        <w:pStyle w:val="Citationenretrait"/>
        <w:rPr>
          <w:lang w:val="en-CA"/>
        </w:rPr>
      </w:pPr>
      <w:r w:rsidRPr="00CF2190">
        <w:rPr>
          <w:lang w:val="en-CA"/>
        </w:rPr>
        <w:t xml:space="preserve">-     </w:t>
      </w:r>
      <w:r>
        <w:rPr>
          <w:lang w:val="en-CA"/>
        </w:rPr>
        <w:t>the bars of action and immunities from prosecution</w:t>
      </w:r>
      <w:r w:rsidRPr="00CF2190">
        <w:rPr>
          <w:lang w:val="en-CA"/>
        </w:rPr>
        <w:t xml:space="preserve"> (those of a foreign </w:t>
      </w:r>
      <w:r>
        <w:rPr>
          <w:lang w:val="en-CA"/>
        </w:rPr>
        <w:t>s</w:t>
      </w:r>
      <w:r w:rsidRPr="00CF2190">
        <w:rPr>
          <w:lang w:val="en-CA"/>
        </w:rPr>
        <w:t xml:space="preserve">tate, for example, or those provided in the </w:t>
      </w:r>
      <w:r w:rsidRPr="00CF2190">
        <w:rPr>
          <w:i/>
          <w:iCs/>
          <w:lang w:val="en-CA"/>
        </w:rPr>
        <w:t>Act respecting industrial accidents and occupational diseases</w:t>
      </w:r>
      <w:r w:rsidRPr="00CF2190">
        <w:rPr>
          <w:lang w:val="en-CA"/>
        </w:rPr>
        <w:t xml:space="preserve"> or</w:t>
      </w:r>
      <w:r>
        <w:rPr>
          <w:lang w:val="en-CA"/>
        </w:rPr>
        <w:t xml:space="preserve"> the</w:t>
      </w:r>
      <w:r w:rsidRPr="00CF2190">
        <w:rPr>
          <w:lang w:val="en-CA"/>
        </w:rPr>
        <w:t xml:space="preserve"> </w:t>
      </w:r>
      <w:r w:rsidRPr="00CF2190">
        <w:rPr>
          <w:i/>
          <w:iCs/>
          <w:lang w:val="en-CA"/>
        </w:rPr>
        <w:t>Automobile Insurance Act</w:t>
      </w:r>
      <w:r w:rsidRPr="00CF2190">
        <w:rPr>
          <w:lang w:val="en-CA"/>
        </w:rPr>
        <w:t>);</w:t>
      </w:r>
      <w:bookmarkStart w:id="11" w:name="_Ref139965220"/>
      <w:r>
        <w:rPr>
          <w:rStyle w:val="Appelnotedebasdep"/>
        </w:rPr>
        <w:footnoteReference w:id="16"/>
      </w:r>
      <w:bookmarkEnd w:id="11"/>
    </w:p>
    <w:p w14:paraId="13703DEC" w14:textId="77777777" w:rsidR="009214E1" w:rsidRDefault="009214E1" w:rsidP="009214E1">
      <w:pPr>
        <w:pStyle w:val="Citationenretrait"/>
        <w:spacing w:after="0"/>
      </w:pPr>
      <w:r w:rsidRPr="000019E2">
        <w:t>[…]</w:t>
      </w:r>
    </w:p>
    <w:p w14:paraId="54044EE4" w14:textId="77777777" w:rsidR="009214E1" w:rsidRPr="000019E2" w:rsidRDefault="009214E1" w:rsidP="009214E1">
      <w:pPr>
        <w:spacing w:after="120"/>
        <w:ind w:left="6523" w:right="720"/>
        <w:jc w:val="both"/>
        <w:rPr>
          <w:kern w:val="24"/>
          <w:sz w:val="22"/>
        </w:rPr>
      </w:pPr>
      <w:r>
        <w:rPr>
          <w:kern w:val="24"/>
          <w:sz w:val="22"/>
        </w:rPr>
        <w:t>[References omitted]</w:t>
      </w:r>
    </w:p>
    <w:p w14:paraId="44535798" w14:textId="77777777" w:rsidR="009214E1" w:rsidRPr="007C46B6" w:rsidRDefault="009214E1" w:rsidP="009214E1">
      <w:pPr>
        <w:pStyle w:val="Paragraphe"/>
        <w:spacing w:line="280" w:lineRule="exact"/>
        <w:rPr>
          <w:lang w:val="en-CA"/>
        </w:rPr>
      </w:pPr>
      <w:r w:rsidRPr="00A50149">
        <w:rPr>
          <w:lang w:val="en-CA"/>
        </w:rPr>
        <w:t>I am of the view that the judge did not err by deciding</w:t>
      </w:r>
      <w:r>
        <w:rPr>
          <w:lang w:val="en-CA"/>
        </w:rPr>
        <w:t xml:space="preserve"> the issue of the respondent’s immunity at the application to dismiss stage, since this raises a question of law</w:t>
      </w:r>
      <w:r w:rsidRPr="00A50149">
        <w:rPr>
          <w:lang w:val="en-CA"/>
        </w:rPr>
        <w:t xml:space="preserve">. </w:t>
      </w:r>
      <w:r w:rsidRPr="007C46B6">
        <w:rPr>
          <w:lang w:val="en-CA"/>
        </w:rPr>
        <w:t xml:space="preserve">In </w:t>
      </w:r>
      <w:proofErr w:type="spellStart"/>
      <w:r w:rsidRPr="007C46B6">
        <w:rPr>
          <w:i/>
          <w:iCs/>
          <w:lang w:val="en-CA"/>
        </w:rPr>
        <w:t>Kazemi</w:t>
      </w:r>
      <w:proofErr w:type="spellEnd"/>
      <w:r w:rsidRPr="007C46B6">
        <w:rPr>
          <w:lang w:val="en-CA"/>
        </w:rPr>
        <w:t xml:space="preserve">, </w:t>
      </w:r>
      <w:proofErr w:type="spellStart"/>
      <w:r w:rsidRPr="007C46B6">
        <w:rPr>
          <w:lang w:val="en-CA"/>
        </w:rPr>
        <w:t>LeBel</w:t>
      </w:r>
      <w:proofErr w:type="spellEnd"/>
      <w:r w:rsidRPr="007C46B6">
        <w:rPr>
          <w:lang w:val="en-CA"/>
        </w:rPr>
        <w:t xml:space="preserve">, J., for the majority, explained that requiring a foreign defendant to mount a defence to then decide whether he or she </w:t>
      </w:r>
      <w:r>
        <w:rPr>
          <w:lang w:val="en-CA"/>
        </w:rPr>
        <w:t xml:space="preserve">is immune from suit would defeat the purpose </w:t>
      </w:r>
      <w:r w:rsidRPr="007C46B6">
        <w:rPr>
          <w:lang w:val="en-CA"/>
        </w:rPr>
        <w:t xml:space="preserve">of state immunity, </w:t>
      </w:r>
      <w:proofErr w:type="gramStart"/>
      <w:r w:rsidRPr="007C46B6">
        <w:rPr>
          <w:lang w:val="en-CA"/>
        </w:rPr>
        <w:t>namely</w:t>
      </w:r>
      <w:proofErr w:type="gramEnd"/>
      <w:r w:rsidRPr="007C46B6">
        <w:rPr>
          <w:lang w:val="en-CA"/>
        </w:rPr>
        <w:t xml:space="preserve"> to bar a court from hearing a case on its merits </w:t>
      </w:r>
      <w:r w:rsidRPr="007C46B6">
        <w:rPr>
          <w:i/>
          <w:iCs/>
          <w:lang w:val="en-CA"/>
        </w:rPr>
        <w:t xml:space="preserve">in </w:t>
      </w:r>
      <w:proofErr w:type="spellStart"/>
      <w:r w:rsidRPr="007C46B6">
        <w:rPr>
          <w:i/>
          <w:iCs/>
          <w:lang w:val="en-CA"/>
        </w:rPr>
        <w:t>limine</w:t>
      </w:r>
      <w:proofErr w:type="spellEnd"/>
      <w:r>
        <w:rPr>
          <w:lang w:val="en-CA"/>
        </w:rPr>
        <w:t>.</w:t>
      </w:r>
      <w:r>
        <w:rPr>
          <w:rStyle w:val="Appelnotedebasdep"/>
        </w:rPr>
        <w:footnoteReference w:id="17"/>
      </w:r>
    </w:p>
    <w:p w14:paraId="4C544918" w14:textId="77777777" w:rsidR="009214E1" w:rsidRPr="00025373" w:rsidRDefault="009214E1" w:rsidP="009214E1">
      <w:pPr>
        <w:pStyle w:val="Paragraphe"/>
        <w:spacing w:line="280" w:lineRule="exact"/>
        <w:rPr>
          <w:lang w:val="en-CA"/>
        </w:rPr>
      </w:pPr>
      <w:r w:rsidRPr="00025373">
        <w:rPr>
          <w:lang w:val="en-CA"/>
        </w:rPr>
        <w:t>In the case at bar, the judge correctly applied</w:t>
      </w:r>
      <w:r>
        <w:rPr>
          <w:lang w:val="en-CA"/>
        </w:rPr>
        <w:t xml:space="preserve"> </w:t>
      </w:r>
      <w:r w:rsidRPr="00025373">
        <w:rPr>
          <w:i/>
          <w:iCs/>
          <w:lang w:val="en-CA"/>
        </w:rPr>
        <w:t>Trudel</w:t>
      </w:r>
      <w:r>
        <w:rPr>
          <w:rStyle w:val="Appelnotedebasdep"/>
        </w:rPr>
        <w:footnoteReference w:id="18"/>
      </w:r>
      <w:r w:rsidRPr="00025373">
        <w:rPr>
          <w:lang w:val="en-CA"/>
        </w:rPr>
        <w:t xml:space="preserve"> an</w:t>
      </w:r>
      <w:r>
        <w:rPr>
          <w:lang w:val="en-CA"/>
        </w:rPr>
        <w:t>d</w:t>
      </w:r>
      <w:r w:rsidRPr="00025373">
        <w:rPr>
          <w:lang w:val="en-CA"/>
        </w:rPr>
        <w:t xml:space="preserve"> </w:t>
      </w:r>
      <w:r w:rsidRPr="00025373">
        <w:rPr>
          <w:i/>
          <w:iCs/>
          <w:lang w:val="en-CA"/>
        </w:rPr>
        <w:t>Schreiber</w:t>
      </w:r>
      <w:bookmarkStart w:id="12" w:name="_Ref139965274"/>
      <w:r>
        <w:rPr>
          <w:lang w:val="en-CA"/>
        </w:rPr>
        <w:t>,</w:t>
      </w:r>
      <w:r>
        <w:rPr>
          <w:rStyle w:val="Appelnotedebasdep"/>
        </w:rPr>
        <w:footnoteReference w:id="19"/>
      </w:r>
      <w:bookmarkEnd w:id="12"/>
      <w:r>
        <w:rPr>
          <w:lang w:val="en-CA"/>
        </w:rPr>
        <w:t xml:space="preserve"> which concluded that the issue of state immunity is a matter of public order</w:t>
      </w:r>
      <w:r w:rsidRPr="00025373">
        <w:rPr>
          <w:lang w:val="en-CA"/>
        </w:rPr>
        <w:t>. Barring exceptional circumstances, it must therefore be decide</w:t>
      </w:r>
      <w:r>
        <w:rPr>
          <w:lang w:val="en-CA"/>
        </w:rPr>
        <w:t>d</w:t>
      </w:r>
      <w:r w:rsidRPr="00025373">
        <w:rPr>
          <w:lang w:val="en-CA"/>
        </w:rPr>
        <w:t xml:space="preserve"> at th</w:t>
      </w:r>
      <w:r>
        <w:rPr>
          <w:lang w:val="en-CA"/>
        </w:rPr>
        <w:t>e application to dismiss stage.</w:t>
      </w:r>
      <w:r>
        <w:rPr>
          <w:rStyle w:val="Appelnotedebasdep"/>
        </w:rPr>
        <w:footnoteReference w:id="20"/>
      </w:r>
    </w:p>
    <w:p w14:paraId="5885069E" w14:textId="77777777" w:rsidR="009214E1" w:rsidRPr="00824479" w:rsidRDefault="009214E1" w:rsidP="009214E1">
      <w:pPr>
        <w:pStyle w:val="Paragraphe"/>
        <w:spacing w:line="280" w:lineRule="exact"/>
        <w:rPr>
          <w:lang w:val="en-CA"/>
        </w:rPr>
      </w:pPr>
      <w:r w:rsidRPr="00AB0C14">
        <w:rPr>
          <w:lang w:val="en-CA"/>
        </w:rPr>
        <w:t>Moreover, I do not accept the appellant’s argument that the matter should be heard on its merits in</w:t>
      </w:r>
      <w:r>
        <w:rPr>
          <w:lang w:val="en-CA"/>
        </w:rPr>
        <w:t xml:space="preserve"> order to establish certain facts to demonstrate the illegal or covert character of the acts committed by the respondent</w:t>
      </w:r>
      <w:r w:rsidRPr="00AB0C14">
        <w:rPr>
          <w:lang w:val="en-CA"/>
        </w:rPr>
        <w:t xml:space="preserve">. </w:t>
      </w:r>
      <w:r w:rsidRPr="0072395D">
        <w:rPr>
          <w:lang w:val="en-CA"/>
        </w:rPr>
        <w:t>She argue</w:t>
      </w:r>
      <w:r>
        <w:rPr>
          <w:lang w:val="en-CA"/>
        </w:rPr>
        <w:t>s</w:t>
      </w:r>
      <w:r w:rsidRPr="0072395D">
        <w:rPr>
          <w:lang w:val="en-CA"/>
        </w:rPr>
        <w:t xml:space="preserve"> that it would be</w:t>
      </w:r>
      <w:r>
        <w:rPr>
          <w:lang w:val="en-CA"/>
        </w:rPr>
        <w:t xml:space="preserve"> important to determine whether the latter benefitted from either the implied or express</w:t>
      </w:r>
      <w:r w:rsidRPr="0072395D">
        <w:rPr>
          <w:lang w:val="en-CA"/>
        </w:rPr>
        <w:t xml:space="preserve"> </w:t>
      </w:r>
      <w:r>
        <w:rPr>
          <w:lang w:val="en-CA"/>
        </w:rPr>
        <w:t xml:space="preserve">authorization of the Canadian government to </w:t>
      </w:r>
      <w:r w:rsidRPr="0072395D">
        <w:rPr>
          <w:lang w:val="en-CA"/>
        </w:rPr>
        <w:t xml:space="preserve">conduct its experiments on Canadian soil. </w:t>
      </w:r>
      <w:r w:rsidRPr="00B41BF3">
        <w:rPr>
          <w:lang w:val="en-CA"/>
        </w:rPr>
        <w:t>In my view, there exists in Canadian law no exception to state immunity based upon th</w:t>
      </w:r>
      <w:r>
        <w:rPr>
          <w:lang w:val="en-CA"/>
        </w:rPr>
        <w:t xml:space="preserve">e illegal or </w:t>
      </w:r>
      <w:r>
        <w:rPr>
          <w:lang w:val="en-CA"/>
        </w:rPr>
        <w:lastRenderedPageBreak/>
        <w:t>covert nature of the acts committed, as we shall see</w:t>
      </w:r>
      <w:r w:rsidRPr="00B41BF3">
        <w:rPr>
          <w:lang w:val="en-CA"/>
        </w:rPr>
        <w:t xml:space="preserve">. </w:t>
      </w:r>
      <w:r w:rsidRPr="00824479">
        <w:rPr>
          <w:lang w:val="en-CA"/>
        </w:rPr>
        <w:t xml:space="preserve">Such evidence would therefore have </w:t>
      </w:r>
      <w:r>
        <w:rPr>
          <w:lang w:val="en-CA"/>
        </w:rPr>
        <w:t>been irrelevant to</w:t>
      </w:r>
      <w:r w:rsidRPr="00824479">
        <w:rPr>
          <w:lang w:val="en-CA"/>
        </w:rPr>
        <w:t xml:space="preserve"> deciding </w:t>
      </w:r>
      <w:r>
        <w:rPr>
          <w:lang w:val="en-CA"/>
        </w:rPr>
        <w:t>the issue of immunity</w:t>
      </w:r>
      <w:r w:rsidRPr="00824479">
        <w:rPr>
          <w:lang w:val="en-CA"/>
        </w:rPr>
        <w:t>.</w:t>
      </w:r>
    </w:p>
    <w:p w14:paraId="025BC0A1" w14:textId="77777777" w:rsidR="009214E1" w:rsidRPr="005D2A79" w:rsidRDefault="009214E1" w:rsidP="009214E1">
      <w:pPr>
        <w:pStyle w:val="Paragraphe"/>
        <w:spacing w:line="280" w:lineRule="exact"/>
        <w:rPr>
          <w:lang w:val="en-CA"/>
        </w:rPr>
      </w:pPr>
      <w:r w:rsidRPr="00D41739">
        <w:rPr>
          <w:lang w:val="en-CA"/>
        </w:rPr>
        <w:t xml:space="preserve">The appellant also submits that, had the issue of the respondent’s immunity been decided on the merits, </w:t>
      </w:r>
      <w:r>
        <w:rPr>
          <w:lang w:val="en-CA"/>
        </w:rPr>
        <w:t>she could have demonstrated that the cause of action had crystallized for the class members</w:t>
      </w:r>
      <w:r w:rsidRPr="00D41739">
        <w:rPr>
          <w:lang w:val="en-CA"/>
        </w:rPr>
        <w:t xml:space="preserve"> </w:t>
      </w:r>
      <w:r>
        <w:rPr>
          <w:lang w:val="en-CA"/>
        </w:rPr>
        <w:t>in</w:t>
      </w:r>
      <w:r w:rsidRPr="00D41739">
        <w:rPr>
          <w:lang w:val="en-CA"/>
        </w:rPr>
        <w:t xml:space="preserve"> 2017-2018. This differs from the </w:t>
      </w:r>
      <w:r>
        <w:rPr>
          <w:lang w:val="en-CA"/>
        </w:rPr>
        <w:t>time frame</w:t>
      </w:r>
      <w:r w:rsidRPr="00D41739">
        <w:rPr>
          <w:lang w:val="en-CA"/>
        </w:rPr>
        <w:t xml:space="preserve"> </w:t>
      </w:r>
      <w:r>
        <w:rPr>
          <w:lang w:val="en-CA"/>
        </w:rPr>
        <w:t>in which</w:t>
      </w:r>
      <w:r w:rsidRPr="00D41739">
        <w:rPr>
          <w:lang w:val="en-CA"/>
        </w:rPr>
        <w:t xml:space="preserve"> </w:t>
      </w:r>
      <w:r>
        <w:rPr>
          <w:lang w:val="en-CA"/>
        </w:rPr>
        <w:t xml:space="preserve">the </w:t>
      </w:r>
      <w:r w:rsidRPr="00D41739">
        <w:rPr>
          <w:lang w:val="en-CA"/>
        </w:rPr>
        <w:t xml:space="preserve">events </w:t>
      </w:r>
      <w:r>
        <w:rPr>
          <w:lang w:val="en-CA"/>
        </w:rPr>
        <w:t>took place</w:t>
      </w:r>
      <w:r w:rsidRPr="00D41739">
        <w:rPr>
          <w:lang w:val="en-CA"/>
        </w:rPr>
        <w:t xml:space="preserve">, </w:t>
      </w:r>
      <w:r>
        <w:rPr>
          <w:lang w:val="en-CA"/>
        </w:rPr>
        <w:t>namely from</w:t>
      </w:r>
      <w:r w:rsidRPr="00D41739">
        <w:rPr>
          <w:lang w:val="en-CA"/>
        </w:rPr>
        <w:t xml:space="preserve"> 1957 </w:t>
      </w:r>
      <w:r>
        <w:rPr>
          <w:lang w:val="en-CA"/>
        </w:rPr>
        <w:t>to</w:t>
      </w:r>
      <w:r w:rsidRPr="00D41739">
        <w:rPr>
          <w:lang w:val="en-CA"/>
        </w:rPr>
        <w:t xml:space="preserve"> 1960. </w:t>
      </w:r>
      <w:r w:rsidRPr="00CF2190">
        <w:rPr>
          <w:lang w:val="en-CA"/>
        </w:rPr>
        <w:t xml:space="preserve">This argument must fail as well. </w:t>
      </w:r>
      <w:r w:rsidRPr="005D2A79">
        <w:rPr>
          <w:lang w:val="en-CA"/>
        </w:rPr>
        <w:t xml:space="preserve">The appellant conflates the test to determine when the cause of action was discovered, which </w:t>
      </w:r>
      <w:r>
        <w:rPr>
          <w:lang w:val="en-CA"/>
        </w:rPr>
        <w:t>goes to the analysis of the</w:t>
      </w:r>
      <w:r w:rsidRPr="005D2A79">
        <w:rPr>
          <w:lang w:val="en-CA"/>
        </w:rPr>
        <w:t xml:space="preserve"> extinctive prescription of the action, and the dates on which the facts occurred, which </w:t>
      </w:r>
      <w:r>
        <w:rPr>
          <w:lang w:val="en-CA"/>
        </w:rPr>
        <w:t>is determinative of</w:t>
      </w:r>
      <w:r w:rsidRPr="005D2A79">
        <w:rPr>
          <w:lang w:val="en-CA"/>
        </w:rPr>
        <w:t xml:space="preserve"> the law applicable to the issue of the respondent’s immunity. </w:t>
      </w:r>
    </w:p>
    <w:p w14:paraId="14F9A32D" w14:textId="77777777" w:rsidR="009214E1" w:rsidRPr="00634161" w:rsidRDefault="009214E1" w:rsidP="009214E1">
      <w:pPr>
        <w:pStyle w:val="Paragraphe"/>
        <w:spacing w:line="280" w:lineRule="exact"/>
        <w:rPr>
          <w:lang w:val="en-CA"/>
        </w:rPr>
      </w:pPr>
      <w:r w:rsidRPr="00634161">
        <w:rPr>
          <w:lang w:val="en-CA"/>
        </w:rPr>
        <w:t>All</w:t>
      </w:r>
      <w:r>
        <w:rPr>
          <w:lang w:val="en-CA"/>
        </w:rPr>
        <w:t xml:space="preserve"> </w:t>
      </w:r>
      <w:r w:rsidRPr="00634161">
        <w:rPr>
          <w:lang w:val="en-CA"/>
        </w:rPr>
        <w:t>of the allegations required to allow the</w:t>
      </w:r>
      <w:r>
        <w:rPr>
          <w:lang w:val="en-CA"/>
        </w:rPr>
        <w:t xml:space="preserve"> </w:t>
      </w:r>
      <w:r w:rsidRPr="00634161">
        <w:rPr>
          <w:lang w:val="en-CA"/>
        </w:rPr>
        <w:t>judge to determine whether the respondent benefitt</w:t>
      </w:r>
      <w:r>
        <w:rPr>
          <w:lang w:val="en-CA"/>
        </w:rPr>
        <w:t xml:space="preserve">ed from immunity appear in the </w:t>
      </w:r>
      <w:r w:rsidRPr="00634161">
        <w:rPr>
          <w:lang w:val="en-CA"/>
        </w:rPr>
        <w:t>application to authorize a class action. The appellant has not established that the trial judge e</w:t>
      </w:r>
      <w:r>
        <w:rPr>
          <w:lang w:val="en-CA"/>
        </w:rPr>
        <w:t>r</w:t>
      </w:r>
      <w:r w:rsidRPr="00634161">
        <w:rPr>
          <w:lang w:val="en-CA"/>
        </w:rPr>
        <w:t>red in deciding th</w:t>
      </w:r>
      <w:r>
        <w:rPr>
          <w:lang w:val="en-CA"/>
        </w:rPr>
        <w:t>e issue of the respondent’s immunity at a preliminary stage</w:t>
      </w:r>
      <w:r w:rsidRPr="00634161">
        <w:rPr>
          <w:lang w:val="en-CA"/>
        </w:rPr>
        <w:t>.</w:t>
      </w:r>
    </w:p>
    <w:p w14:paraId="47F5C227" w14:textId="77777777" w:rsidR="009214E1" w:rsidRPr="00EA19F7" w:rsidRDefault="009214E1" w:rsidP="009214E1">
      <w:pPr>
        <w:pStyle w:val="Titre4"/>
        <w:rPr>
          <w:lang w:val="en-CA"/>
        </w:rPr>
      </w:pPr>
      <w:r w:rsidRPr="00EA19F7">
        <w:rPr>
          <w:lang w:val="en-CA"/>
        </w:rPr>
        <w:t>2)</w:t>
      </w:r>
      <w:r w:rsidRPr="00EA19F7">
        <w:rPr>
          <w:lang w:val="en-CA"/>
        </w:rPr>
        <w:tab/>
        <w:t xml:space="preserve">Did the trial judge err in law by finding that the respondent benefitted from state immunity in </w:t>
      </w:r>
      <w:r>
        <w:rPr>
          <w:lang w:val="en-CA"/>
        </w:rPr>
        <w:t>the</w:t>
      </w:r>
      <w:r w:rsidRPr="00EA19F7">
        <w:rPr>
          <w:lang w:val="en-CA"/>
        </w:rPr>
        <w:t xml:space="preserve"> case</w:t>
      </w:r>
      <w:r>
        <w:rPr>
          <w:lang w:val="en-CA"/>
        </w:rPr>
        <w:t xml:space="preserve"> at bar</w:t>
      </w:r>
      <w:r w:rsidRPr="00EA19F7">
        <w:rPr>
          <w:lang w:val="en-CA"/>
        </w:rPr>
        <w:t>, notwithstanding the exceptions stemming from the SIA and common law principles?</w:t>
      </w:r>
    </w:p>
    <w:p w14:paraId="3A26239E" w14:textId="77777777" w:rsidR="009214E1" w:rsidRPr="005C4157" w:rsidRDefault="009214E1" w:rsidP="009214E1">
      <w:pPr>
        <w:pStyle w:val="Paragraphe"/>
        <w:spacing w:line="280" w:lineRule="exact"/>
        <w:rPr>
          <w:lang w:val="en-CA"/>
        </w:rPr>
      </w:pPr>
      <w:r w:rsidRPr="005C4157">
        <w:rPr>
          <w:lang w:val="en-CA"/>
        </w:rPr>
        <w:t xml:space="preserve">Before </w:t>
      </w:r>
      <w:r>
        <w:rPr>
          <w:lang w:val="en-CA"/>
        </w:rPr>
        <w:t>dealing with</w:t>
      </w:r>
      <w:r w:rsidRPr="005C4157">
        <w:rPr>
          <w:lang w:val="en-CA"/>
        </w:rPr>
        <w:t xml:space="preserve"> the other issues</w:t>
      </w:r>
      <w:r>
        <w:rPr>
          <w:lang w:val="en-CA"/>
        </w:rPr>
        <w:t xml:space="preserve"> in dispute</w:t>
      </w:r>
      <w:r w:rsidRPr="005C4157">
        <w:rPr>
          <w:lang w:val="en-CA"/>
        </w:rPr>
        <w:t>, a review of the law regar</w:t>
      </w:r>
      <w:r>
        <w:rPr>
          <w:lang w:val="en-CA"/>
        </w:rPr>
        <w:t>ding state immunity will be helpful</w:t>
      </w:r>
      <w:r w:rsidRPr="005C4157">
        <w:rPr>
          <w:lang w:val="en-CA"/>
        </w:rPr>
        <w:t>. The principle of immunity is enacted in s</w:t>
      </w:r>
      <w:r>
        <w:rPr>
          <w:lang w:val="en-CA"/>
        </w:rPr>
        <w:t>.</w:t>
      </w:r>
      <w:r w:rsidRPr="005C4157">
        <w:rPr>
          <w:lang w:val="en-CA"/>
        </w:rPr>
        <w:t xml:space="preserve"> 3(1) </w:t>
      </w:r>
      <w:r>
        <w:rPr>
          <w:lang w:val="en-CA"/>
        </w:rPr>
        <w:t>of</w:t>
      </w:r>
      <w:r w:rsidRPr="005C4157">
        <w:rPr>
          <w:lang w:val="en-CA"/>
        </w:rPr>
        <w:t xml:space="preserve"> </w:t>
      </w:r>
      <w:r>
        <w:rPr>
          <w:lang w:val="en-CA"/>
        </w:rPr>
        <w:t xml:space="preserve">the </w:t>
      </w:r>
      <w:r w:rsidRPr="005C4157">
        <w:rPr>
          <w:lang w:val="en-CA"/>
        </w:rPr>
        <w:t xml:space="preserve">SIA: </w:t>
      </w:r>
    </w:p>
    <w:tbl>
      <w:tblPr>
        <w:tblW w:w="0" w:type="auto"/>
        <w:tblCellMar>
          <w:left w:w="70" w:type="dxa"/>
          <w:right w:w="70" w:type="dxa"/>
        </w:tblCellMar>
        <w:tblLook w:val="0000" w:firstRow="0" w:lastRow="0" w:firstColumn="0" w:lastColumn="0" w:noHBand="0" w:noVBand="0"/>
      </w:tblPr>
      <w:tblGrid>
        <w:gridCol w:w="4681"/>
        <w:gridCol w:w="4681"/>
      </w:tblGrid>
      <w:tr w:rsidR="009214E1" w:rsidRPr="00401969" w14:paraId="379090EE" w14:textId="77777777" w:rsidTr="00D80499">
        <w:tc>
          <w:tcPr>
            <w:tcW w:w="4681" w:type="dxa"/>
          </w:tcPr>
          <w:p w14:paraId="643128E2" w14:textId="77777777" w:rsidR="009214E1" w:rsidRPr="00401969" w:rsidRDefault="009214E1" w:rsidP="00D80499">
            <w:pPr>
              <w:ind w:left="720" w:right="142"/>
              <w:jc w:val="both"/>
              <w:rPr>
                <w:sz w:val="22"/>
                <w:lang w:val="en-CA"/>
              </w:rPr>
            </w:pPr>
            <w:r w:rsidRPr="00401969">
              <w:rPr>
                <w:b/>
                <w:bCs/>
                <w:sz w:val="22"/>
                <w:lang w:val="en-CA"/>
              </w:rPr>
              <w:t>3 (1)</w:t>
            </w:r>
            <w:r w:rsidRPr="00401969">
              <w:rPr>
                <w:sz w:val="22"/>
                <w:lang w:val="en-CA"/>
              </w:rPr>
              <w:t xml:space="preserve"> Except as provided by this Act, a foreign state is immune from the jurisdiction of any court in</w:t>
            </w:r>
            <w:r>
              <w:rPr>
                <w:sz w:val="22"/>
                <w:lang w:val="en-CA"/>
              </w:rPr>
              <w:t xml:space="preserve"> Canada</w:t>
            </w:r>
            <w:r w:rsidRPr="00401969">
              <w:rPr>
                <w:sz w:val="22"/>
                <w:lang w:val="en-CA"/>
              </w:rPr>
              <w:t>.</w:t>
            </w:r>
          </w:p>
        </w:tc>
        <w:tc>
          <w:tcPr>
            <w:tcW w:w="4681" w:type="dxa"/>
          </w:tcPr>
          <w:p w14:paraId="4CFA40B0" w14:textId="77777777" w:rsidR="009214E1" w:rsidRPr="00401969" w:rsidRDefault="009214E1" w:rsidP="00D80499">
            <w:pPr>
              <w:ind w:left="144" w:right="720"/>
              <w:jc w:val="both"/>
              <w:rPr>
                <w:sz w:val="22"/>
              </w:rPr>
            </w:pPr>
            <w:r w:rsidRPr="00401969">
              <w:rPr>
                <w:b/>
                <w:bCs/>
                <w:sz w:val="22"/>
              </w:rPr>
              <w:t>3 (1)</w:t>
            </w:r>
            <w:r w:rsidRPr="00401969">
              <w:rPr>
                <w:sz w:val="22"/>
              </w:rPr>
              <w:t xml:space="preserve"> Sauf exceptions prévues dans la présente loi, l’État </w:t>
            </w:r>
            <w:r w:rsidRPr="00295924">
              <w:rPr>
                <w:sz w:val="22"/>
              </w:rPr>
              <w:t>étranger</w:t>
            </w:r>
            <w:r w:rsidRPr="00401969">
              <w:rPr>
                <w:sz w:val="22"/>
              </w:rPr>
              <w:t xml:space="preserve"> bénéficie de l’immunité de juridiction devant tout tribunal au Canada.</w:t>
            </w:r>
          </w:p>
        </w:tc>
      </w:tr>
    </w:tbl>
    <w:p w14:paraId="4014D101" w14:textId="77777777" w:rsidR="009214E1" w:rsidRPr="006213C4" w:rsidRDefault="009214E1" w:rsidP="009214E1">
      <w:pPr>
        <w:pStyle w:val="Paragraphe"/>
        <w:spacing w:line="280" w:lineRule="exact"/>
        <w:rPr>
          <w:lang w:val="en-CA"/>
        </w:rPr>
      </w:pPr>
      <w:r>
        <w:rPr>
          <w:lang w:val="en-CA"/>
        </w:rPr>
        <w:t>A number of</w:t>
      </w:r>
      <w:r w:rsidRPr="006213C4">
        <w:rPr>
          <w:lang w:val="en-CA"/>
        </w:rPr>
        <w:t xml:space="preserve"> exceptions are provided in the SIA, notably where state </w:t>
      </w:r>
      <w:r>
        <w:rPr>
          <w:lang w:val="en-CA"/>
        </w:rPr>
        <w:t xml:space="preserve">actions </w:t>
      </w:r>
      <w:r w:rsidRPr="006213C4">
        <w:rPr>
          <w:lang w:val="en-CA"/>
        </w:rPr>
        <w:t xml:space="preserve">relate to any commercial activity, </w:t>
      </w:r>
      <w:r>
        <w:rPr>
          <w:lang w:val="en-CA"/>
        </w:rPr>
        <w:t>where</w:t>
      </w:r>
      <w:r w:rsidRPr="006213C4">
        <w:rPr>
          <w:lang w:val="en-CA"/>
        </w:rPr>
        <w:t xml:space="preserve"> death or personal or bodily </w:t>
      </w:r>
      <w:r>
        <w:rPr>
          <w:lang w:val="en-CA"/>
        </w:rPr>
        <w:t xml:space="preserve">injury </w:t>
      </w:r>
      <w:r w:rsidRPr="006213C4">
        <w:rPr>
          <w:lang w:val="en-CA"/>
        </w:rPr>
        <w:t>occur</w:t>
      </w:r>
      <w:r>
        <w:rPr>
          <w:lang w:val="en-CA"/>
        </w:rPr>
        <w:t>s</w:t>
      </w:r>
      <w:r w:rsidRPr="006213C4">
        <w:rPr>
          <w:lang w:val="en-CA"/>
        </w:rPr>
        <w:t xml:space="preserve"> in Canada and in cases wh</w:t>
      </w:r>
      <w:r>
        <w:rPr>
          <w:lang w:val="en-CA"/>
        </w:rPr>
        <w:t>ere a state is sued</w:t>
      </w:r>
      <w:r w:rsidRPr="006213C4">
        <w:rPr>
          <w:lang w:val="en-CA"/>
        </w:rPr>
        <w:t xml:space="preserve"> </w:t>
      </w:r>
      <w:r>
        <w:rPr>
          <w:lang w:val="en-CA"/>
        </w:rPr>
        <w:t>for its support of terrorism on or after January 1, 1985</w:t>
      </w:r>
      <w:r w:rsidRPr="006213C4">
        <w:rPr>
          <w:lang w:val="en-CA"/>
        </w:rPr>
        <w:t>:</w:t>
      </w:r>
      <w:r w:rsidRPr="006213C4">
        <w:rPr>
          <w:color w:val="000000"/>
          <w:lang w:val="en-CA"/>
        </w:rPr>
        <w:t xml:space="preserve"> </w:t>
      </w:r>
    </w:p>
    <w:tbl>
      <w:tblPr>
        <w:tblW w:w="9600" w:type="dxa"/>
        <w:tblCellMar>
          <w:left w:w="70" w:type="dxa"/>
          <w:right w:w="70" w:type="dxa"/>
        </w:tblCellMar>
        <w:tblLook w:val="0000" w:firstRow="0" w:lastRow="0" w:firstColumn="0" w:lastColumn="0" w:noHBand="0" w:noVBand="0"/>
      </w:tblPr>
      <w:tblGrid>
        <w:gridCol w:w="4799"/>
        <w:gridCol w:w="4801"/>
      </w:tblGrid>
      <w:tr w:rsidR="009214E1" w:rsidRPr="00725113" w14:paraId="75F4C14E" w14:textId="77777777" w:rsidTr="00D80499">
        <w:trPr>
          <w:trHeight w:val="2983"/>
        </w:trPr>
        <w:tc>
          <w:tcPr>
            <w:tcW w:w="4799" w:type="dxa"/>
          </w:tcPr>
          <w:p w14:paraId="79A2E555" w14:textId="77777777" w:rsidR="009214E1" w:rsidRPr="00725113" w:rsidRDefault="009214E1" w:rsidP="00D80499">
            <w:pPr>
              <w:pStyle w:val="Tableaugauchefranais"/>
              <w:jc w:val="both"/>
              <w:rPr>
                <w:lang w:val="en-CA"/>
              </w:rPr>
            </w:pPr>
            <w:bookmarkStart w:id="14" w:name="_Hlk141259787"/>
            <w:r w:rsidRPr="00E47A05">
              <w:rPr>
                <w:b/>
                <w:bCs/>
                <w:lang w:val="en-CA"/>
              </w:rPr>
              <w:t xml:space="preserve">5 </w:t>
            </w:r>
            <w:r w:rsidRPr="00E47A05">
              <w:rPr>
                <w:lang w:val="en-CA"/>
              </w:rPr>
              <w:t xml:space="preserve">A foreign state is not immune from the jurisdiction of a court in </w:t>
            </w:r>
            <w:bookmarkStart w:id="15" w:name="_Hlk145412337"/>
            <w:r w:rsidRPr="00E47A05">
              <w:rPr>
                <w:lang w:val="en-CA"/>
              </w:rPr>
              <w:t>any proceedings that relate to any commercial activity</w:t>
            </w:r>
            <w:bookmarkEnd w:id="15"/>
            <w:r w:rsidRPr="00E47A05">
              <w:rPr>
                <w:lang w:val="en-CA"/>
              </w:rPr>
              <w:t xml:space="preserve"> of the foreign state</w:t>
            </w:r>
            <w:r w:rsidRPr="00725113">
              <w:rPr>
                <w:lang w:val="en-CA"/>
              </w:rPr>
              <w:t>.</w:t>
            </w:r>
          </w:p>
          <w:p w14:paraId="7944E323" w14:textId="77777777" w:rsidR="009214E1" w:rsidRPr="00725113" w:rsidRDefault="009214E1" w:rsidP="00D80499">
            <w:pPr>
              <w:pStyle w:val="Tableaugauchefranais"/>
              <w:jc w:val="both"/>
              <w:rPr>
                <w:lang w:val="en-CA"/>
              </w:rPr>
            </w:pPr>
          </w:p>
          <w:p w14:paraId="62CAC041" w14:textId="77777777" w:rsidR="009214E1" w:rsidRPr="00725113" w:rsidRDefault="009214E1" w:rsidP="00D80499">
            <w:pPr>
              <w:ind w:left="720" w:right="142"/>
              <w:jc w:val="both"/>
              <w:rPr>
                <w:sz w:val="22"/>
                <w:lang w:val="en-CA"/>
              </w:rPr>
            </w:pPr>
            <w:r w:rsidRPr="00725113">
              <w:rPr>
                <w:b/>
                <w:bCs/>
                <w:sz w:val="22"/>
                <w:lang w:val="en-CA"/>
              </w:rPr>
              <w:t>6</w:t>
            </w:r>
            <w:r w:rsidRPr="00725113">
              <w:rPr>
                <w:sz w:val="22"/>
                <w:lang w:val="en-CA"/>
              </w:rPr>
              <w:t xml:space="preserve"> A foreign state is not immune from the jurisdiction of a court in any proceedings that relate to</w:t>
            </w:r>
          </w:p>
          <w:p w14:paraId="173E7846" w14:textId="77777777" w:rsidR="009214E1" w:rsidRPr="00725113" w:rsidRDefault="009214E1" w:rsidP="00D80499">
            <w:pPr>
              <w:ind w:left="720" w:right="142"/>
              <w:jc w:val="both"/>
              <w:rPr>
                <w:sz w:val="22"/>
                <w:lang w:val="en-CA"/>
              </w:rPr>
            </w:pPr>
          </w:p>
          <w:p w14:paraId="5298D62B" w14:textId="77777777" w:rsidR="009214E1" w:rsidRPr="00725113" w:rsidRDefault="009214E1" w:rsidP="00D80499">
            <w:pPr>
              <w:ind w:left="720" w:right="142"/>
              <w:jc w:val="both"/>
              <w:rPr>
                <w:sz w:val="22"/>
                <w:lang w:val="en-CA"/>
              </w:rPr>
            </w:pPr>
            <w:r w:rsidRPr="00725113">
              <w:rPr>
                <w:b/>
                <w:bCs/>
                <w:sz w:val="22"/>
                <w:lang w:val="en-CA"/>
              </w:rPr>
              <w:t>(a)</w:t>
            </w:r>
            <w:r w:rsidRPr="00725113">
              <w:rPr>
                <w:sz w:val="22"/>
                <w:lang w:val="en-CA"/>
              </w:rPr>
              <w:t xml:space="preserve"> any death or personal or bodily injury, or;</w:t>
            </w:r>
          </w:p>
          <w:p w14:paraId="4C5D0710" w14:textId="77777777" w:rsidR="009214E1" w:rsidRPr="00725113" w:rsidRDefault="009214E1" w:rsidP="00D80499">
            <w:pPr>
              <w:ind w:left="720" w:right="142"/>
              <w:jc w:val="both"/>
              <w:rPr>
                <w:sz w:val="22"/>
                <w:lang w:val="en-CA"/>
              </w:rPr>
            </w:pPr>
          </w:p>
          <w:p w14:paraId="27E4C9AE" w14:textId="77777777" w:rsidR="009214E1" w:rsidRPr="00725113" w:rsidRDefault="009214E1" w:rsidP="00D80499">
            <w:pPr>
              <w:pStyle w:val="Tableaugauchefranais"/>
              <w:jc w:val="both"/>
              <w:rPr>
                <w:lang w:val="en-CA"/>
              </w:rPr>
            </w:pPr>
            <w:r>
              <w:rPr>
                <w:b/>
                <w:bCs/>
                <w:lang w:val="en-CA"/>
              </w:rPr>
              <w:lastRenderedPageBreak/>
              <w:t>(</w:t>
            </w:r>
            <w:r w:rsidRPr="00725113">
              <w:rPr>
                <w:b/>
                <w:bCs/>
                <w:lang w:val="en-CA"/>
              </w:rPr>
              <w:t>b)</w:t>
            </w:r>
            <w:r w:rsidRPr="00725113">
              <w:rPr>
                <w:lang w:val="en-CA"/>
              </w:rPr>
              <w:t xml:space="preserve"> any damage to or loss of property</w:t>
            </w:r>
          </w:p>
          <w:p w14:paraId="0F19DC06" w14:textId="77777777" w:rsidR="009214E1" w:rsidRPr="00725113" w:rsidRDefault="009214E1" w:rsidP="00D80499">
            <w:pPr>
              <w:pStyle w:val="Tableaugauchefranais"/>
              <w:jc w:val="both"/>
              <w:rPr>
                <w:lang w:val="en-CA"/>
              </w:rPr>
            </w:pPr>
            <w:r w:rsidRPr="00725113">
              <w:rPr>
                <w:lang w:val="en-CA"/>
              </w:rPr>
              <w:t>that occurs in Canada.</w:t>
            </w:r>
          </w:p>
          <w:p w14:paraId="6E1A946A" w14:textId="77777777" w:rsidR="009214E1" w:rsidRPr="00725113" w:rsidRDefault="009214E1" w:rsidP="00D80499">
            <w:pPr>
              <w:pStyle w:val="Tableaugauchefranais"/>
              <w:jc w:val="both"/>
              <w:rPr>
                <w:lang w:val="en-CA"/>
              </w:rPr>
            </w:pPr>
          </w:p>
          <w:p w14:paraId="0CBC963B" w14:textId="77777777" w:rsidR="009214E1" w:rsidRPr="00725113" w:rsidRDefault="009214E1" w:rsidP="00D80499">
            <w:pPr>
              <w:pStyle w:val="Tableaugauchefranais"/>
              <w:jc w:val="both"/>
              <w:rPr>
                <w:lang w:val="en-CA"/>
              </w:rPr>
            </w:pPr>
            <w:r w:rsidRPr="00725113">
              <w:rPr>
                <w:b/>
                <w:bCs/>
                <w:lang w:val="en-CA"/>
              </w:rPr>
              <w:t>6.1 (1)</w:t>
            </w:r>
            <w:r w:rsidRPr="00725113">
              <w:rPr>
                <w:lang w:val="en-CA"/>
              </w:rPr>
              <w:t xml:space="preserve"> A foreign state that is set out on the list referred to in subsection (2) is not immune from the jurisdiction of a court in proceedings against it for its support of terrorism on or after January 1, 1985.</w:t>
            </w:r>
          </w:p>
        </w:tc>
        <w:tc>
          <w:tcPr>
            <w:tcW w:w="4801" w:type="dxa"/>
          </w:tcPr>
          <w:p w14:paraId="39DC0251" w14:textId="77777777" w:rsidR="009214E1" w:rsidRPr="00725113" w:rsidRDefault="009214E1" w:rsidP="00D80499">
            <w:pPr>
              <w:pStyle w:val="Tableaudroiteanglais"/>
              <w:rPr>
                <w:lang w:val="fr-CA"/>
              </w:rPr>
            </w:pPr>
            <w:r w:rsidRPr="00E47A05">
              <w:rPr>
                <w:b/>
                <w:bCs/>
                <w:lang w:val="fr-CA"/>
              </w:rPr>
              <w:lastRenderedPageBreak/>
              <w:t>5</w:t>
            </w:r>
            <w:r w:rsidRPr="00E47A05">
              <w:rPr>
                <w:lang w:val="fr-CA"/>
              </w:rPr>
              <w:t xml:space="preserve"> L’État étranger ne bénéficie pas de l’immunité de juridiction dans les </w:t>
            </w:r>
            <w:bookmarkStart w:id="16" w:name="_Hlk145411207"/>
            <w:r w:rsidRPr="00E47A05">
              <w:rPr>
                <w:lang w:val="fr-CA"/>
              </w:rPr>
              <w:t>actions qui portent sur ses activités commerciales</w:t>
            </w:r>
            <w:bookmarkEnd w:id="16"/>
            <w:r w:rsidRPr="00725113">
              <w:rPr>
                <w:lang w:val="fr-CA"/>
              </w:rPr>
              <w:t>.</w:t>
            </w:r>
          </w:p>
          <w:p w14:paraId="4851AFB2" w14:textId="77777777" w:rsidR="009214E1" w:rsidRPr="00725113" w:rsidRDefault="009214E1" w:rsidP="00D80499">
            <w:pPr>
              <w:pStyle w:val="Tableaudroiteanglais"/>
              <w:rPr>
                <w:lang w:val="fr-CA"/>
              </w:rPr>
            </w:pPr>
          </w:p>
          <w:p w14:paraId="00CE2A71" w14:textId="77777777" w:rsidR="009214E1" w:rsidRPr="00725113" w:rsidRDefault="009214E1" w:rsidP="00D80499">
            <w:pPr>
              <w:ind w:left="144" w:right="720"/>
              <w:jc w:val="both"/>
              <w:rPr>
                <w:sz w:val="22"/>
              </w:rPr>
            </w:pPr>
            <w:r w:rsidRPr="00725113">
              <w:rPr>
                <w:b/>
                <w:bCs/>
                <w:sz w:val="22"/>
              </w:rPr>
              <w:t xml:space="preserve">6 </w:t>
            </w:r>
            <w:r w:rsidRPr="00725113">
              <w:rPr>
                <w:sz w:val="22"/>
              </w:rPr>
              <w:t>L’État étranger ne bénéficie pas de l’immunité de juridiction dans les actions découlant :</w:t>
            </w:r>
          </w:p>
          <w:p w14:paraId="003EDE50" w14:textId="77777777" w:rsidR="009214E1" w:rsidRPr="00725113" w:rsidRDefault="009214E1" w:rsidP="00D80499">
            <w:pPr>
              <w:ind w:left="144" w:right="720"/>
              <w:jc w:val="both"/>
              <w:rPr>
                <w:sz w:val="22"/>
              </w:rPr>
            </w:pPr>
          </w:p>
          <w:p w14:paraId="06E34B74" w14:textId="77777777" w:rsidR="009214E1" w:rsidRPr="00725113" w:rsidRDefault="009214E1" w:rsidP="00D80499">
            <w:pPr>
              <w:ind w:left="144" w:right="720"/>
              <w:jc w:val="both"/>
              <w:rPr>
                <w:sz w:val="22"/>
              </w:rPr>
            </w:pPr>
            <w:r w:rsidRPr="00725113">
              <w:rPr>
                <w:b/>
                <w:bCs/>
                <w:sz w:val="22"/>
              </w:rPr>
              <w:t xml:space="preserve">a) </w:t>
            </w:r>
            <w:r w:rsidRPr="00725113">
              <w:rPr>
                <w:sz w:val="22"/>
              </w:rPr>
              <w:t>des décès ou dommages corporels survenus au Canada;</w:t>
            </w:r>
          </w:p>
          <w:p w14:paraId="58D25C71" w14:textId="77777777" w:rsidR="009214E1" w:rsidRPr="00725113" w:rsidRDefault="009214E1" w:rsidP="00D80499">
            <w:pPr>
              <w:ind w:left="144" w:right="720"/>
              <w:jc w:val="both"/>
              <w:rPr>
                <w:sz w:val="22"/>
              </w:rPr>
            </w:pPr>
          </w:p>
          <w:p w14:paraId="19315171" w14:textId="77777777" w:rsidR="009214E1" w:rsidRPr="00725113" w:rsidRDefault="009214E1" w:rsidP="00D80499">
            <w:pPr>
              <w:pStyle w:val="Tableaudroiteanglais"/>
              <w:rPr>
                <w:lang w:val="fr-CA"/>
              </w:rPr>
            </w:pPr>
            <w:r w:rsidRPr="00725113">
              <w:rPr>
                <w:b/>
                <w:bCs/>
                <w:lang w:val="fr-CA"/>
              </w:rPr>
              <w:lastRenderedPageBreak/>
              <w:t>b)</w:t>
            </w:r>
            <w:r w:rsidRPr="00725113">
              <w:rPr>
                <w:lang w:val="fr-CA"/>
              </w:rPr>
              <w:t xml:space="preserve"> des dommages aux biens ou perte de ceux-ci survenus au Canada.</w:t>
            </w:r>
          </w:p>
          <w:p w14:paraId="140E0F3B" w14:textId="77777777" w:rsidR="009214E1" w:rsidRPr="00725113" w:rsidRDefault="009214E1" w:rsidP="00D80499">
            <w:pPr>
              <w:pStyle w:val="Tableaudroiteanglais"/>
              <w:rPr>
                <w:lang w:val="fr-CA"/>
              </w:rPr>
            </w:pPr>
          </w:p>
          <w:p w14:paraId="7A6B003B" w14:textId="77777777" w:rsidR="009214E1" w:rsidRPr="00725113" w:rsidRDefault="009214E1" w:rsidP="00D80499">
            <w:pPr>
              <w:pStyle w:val="Tableaudroiteanglais"/>
              <w:rPr>
                <w:lang w:val="fr-CA"/>
              </w:rPr>
            </w:pPr>
            <w:r w:rsidRPr="00725113">
              <w:rPr>
                <w:b/>
                <w:bCs/>
                <w:lang w:val="fr-CA"/>
              </w:rPr>
              <w:t>6.1 (1)</w:t>
            </w:r>
            <w:r w:rsidRPr="00725113">
              <w:rPr>
                <w:lang w:val="fr-CA"/>
              </w:rPr>
              <w:t xml:space="preserve"> L’État étranger inscrit sur la liste visée au paragraphe (2) ne bénéficie pas de l’immunité de juridiction dans les actions intentées contre lui pour avoir soutenu le terrorisme le 1er janvier 1985 ou après cette date.</w:t>
            </w:r>
          </w:p>
        </w:tc>
      </w:tr>
    </w:tbl>
    <w:bookmarkEnd w:id="14"/>
    <w:p w14:paraId="49A8C080" w14:textId="77777777" w:rsidR="009214E1" w:rsidRPr="004B30A5" w:rsidRDefault="009214E1" w:rsidP="009214E1">
      <w:pPr>
        <w:pStyle w:val="Paragraphe"/>
        <w:spacing w:after="0" w:line="280" w:lineRule="exact"/>
        <w:rPr>
          <w:lang w:val="en-CA"/>
        </w:rPr>
      </w:pPr>
      <w:r>
        <w:rPr>
          <w:lang w:val="en-CA"/>
        </w:rPr>
        <w:lastRenderedPageBreak/>
        <w:t>I</w:t>
      </w:r>
      <w:r w:rsidRPr="004B30A5">
        <w:rPr>
          <w:lang w:val="en-CA"/>
        </w:rPr>
        <w:t xml:space="preserve">n </w:t>
      </w:r>
      <w:proofErr w:type="spellStart"/>
      <w:r w:rsidRPr="004B30A5">
        <w:rPr>
          <w:i/>
          <w:iCs/>
          <w:lang w:val="en-CA"/>
        </w:rPr>
        <w:t>Kazemi</w:t>
      </w:r>
      <w:proofErr w:type="spellEnd"/>
      <w:r w:rsidRPr="004B30A5">
        <w:rPr>
          <w:i/>
          <w:iCs/>
          <w:lang w:val="en-CA"/>
        </w:rPr>
        <w:t xml:space="preserve">, </w:t>
      </w:r>
      <w:proofErr w:type="spellStart"/>
      <w:r w:rsidRPr="004B30A5">
        <w:rPr>
          <w:lang w:val="en-CA"/>
        </w:rPr>
        <w:t>LeBel</w:t>
      </w:r>
      <w:proofErr w:type="spellEnd"/>
      <w:r w:rsidRPr="004B30A5">
        <w:rPr>
          <w:lang w:val="en-CA"/>
        </w:rPr>
        <w:t>, J.</w:t>
      </w:r>
      <w:r>
        <w:rPr>
          <w:lang w:val="en-CA"/>
        </w:rPr>
        <w:t xml:space="preserve"> not</w:t>
      </w:r>
      <w:r w:rsidRPr="004B30A5">
        <w:rPr>
          <w:lang w:val="en-CA"/>
        </w:rPr>
        <w:t xml:space="preserve">ed that state immunity is one of the </w:t>
      </w:r>
      <w:r>
        <w:rPr>
          <w:lang w:val="en-CA"/>
        </w:rPr>
        <w:t>organizing principles between independent states</w:t>
      </w:r>
      <w:r w:rsidRPr="004B30A5">
        <w:rPr>
          <w:lang w:val="en-CA"/>
        </w:rPr>
        <w:t xml:space="preserve">. </w:t>
      </w:r>
      <w:r>
        <w:rPr>
          <w:lang w:val="en-CA"/>
        </w:rPr>
        <w:t>That principle is consistent with that of equality between states</w:t>
      </w:r>
      <w:r w:rsidRPr="004B30A5">
        <w:rPr>
          <w:lang w:val="en-CA"/>
        </w:rPr>
        <w:t xml:space="preserve">: </w:t>
      </w:r>
    </w:p>
    <w:p w14:paraId="69EDCF61" w14:textId="77777777" w:rsidR="009214E1" w:rsidRPr="00295924" w:rsidRDefault="009214E1" w:rsidP="009214E1">
      <w:pPr>
        <w:pStyle w:val="Citationenretrait"/>
        <w:spacing w:after="0"/>
        <w:rPr>
          <w:lang w:val="en-CA"/>
        </w:rPr>
      </w:pPr>
      <w:r w:rsidRPr="004B30A5">
        <w:rPr>
          <w:lang w:val="en-CA"/>
        </w:rPr>
        <w:t>[35]</w:t>
      </w:r>
      <w:r w:rsidRPr="004B30A5">
        <w:rPr>
          <w:lang w:val="en-CA"/>
        </w:rPr>
        <w:tab/>
      </w:r>
      <w:r w:rsidRPr="004B30A5">
        <w:rPr>
          <w:u w:val="single"/>
          <w:lang w:val="en-CA"/>
        </w:rPr>
        <w:t>Conceptually speaking, state immunity remains one of the organizing principles between independent states (</w:t>
      </w:r>
      <w:r w:rsidRPr="004B30A5">
        <w:rPr>
          <w:i/>
          <w:iCs/>
          <w:u w:val="single"/>
          <w:lang w:val="en-CA"/>
        </w:rPr>
        <w:t xml:space="preserve">R. v. </w:t>
      </w:r>
      <w:proofErr w:type="spellStart"/>
      <w:r w:rsidRPr="004B30A5">
        <w:rPr>
          <w:i/>
          <w:iCs/>
          <w:u w:val="single"/>
          <w:lang w:val="en-CA"/>
        </w:rPr>
        <w:t>Hape</w:t>
      </w:r>
      <w:proofErr w:type="spellEnd"/>
      <w:r w:rsidRPr="004B30A5">
        <w:rPr>
          <w:u w:val="single"/>
          <w:lang w:val="en-CA"/>
        </w:rPr>
        <w:t>, 2007 SCC 26, [2007] 2 S.C.R. 292, at para. 43). It ensures that individual nations and the international order remain faithful to the principles of sovereignty and equality</w:t>
      </w:r>
      <w:r w:rsidRPr="004B30A5">
        <w:rPr>
          <w:lang w:val="en-CA"/>
        </w:rPr>
        <w:t xml:space="preserve"> (Larocque, Civil Actions for Uncivilized Acts, at p. 236; C. </w:t>
      </w:r>
      <w:proofErr w:type="spellStart"/>
      <w:r w:rsidRPr="004B30A5">
        <w:rPr>
          <w:lang w:val="en-CA"/>
        </w:rPr>
        <w:t>Emanuelli</w:t>
      </w:r>
      <w:proofErr w:type="spellEnd"/>
      <w:r w:rsidRPr="004B30A5">
        <w:rPr>
          <w:lang w:val="en-CA"/>
        </w:rPr>
        <w:t xml:space="preserve">, </w:t>
      </w:r>
      <w:r w:rsidRPr="00B9569A">
        <w:rPr>
          <w:i/>
          <w:iCs/>
          <w:lang w:val="en-CA"/>
        </w:rPr>
        <w:t xml:space="preserve">Droit international public: Contribution à </w:t>
      </w:r>
      <w:proofErr w:type="spellStart"/>
      <w:r w:rsidRPr="00B9569A">
        <w:rPr>
          <w:i/>
          <w:iCs/>
          <w:lang w:val="en-CA"/>
        </w:rPr>
        <w:t>l’étude</w:t>
      </w:r>
      <w:proofErr w:type="spellEnd"/>
      <w:r w:rsidRPr="00B9569A">
        <w:rPr>
          <w:i/>
          <w:iCs/>
          <w:lang w:val="en-CA"/>
        </w:rPr>
        <w:t xml:space="preserve"> du droit international </w:t>
      </w:r>
      <w:proofErr w:type="spellStart"/>
      <w:r w:rsidRPr="00B9569A">
        <w:rPr>
          <w:i/>
          <w:iCs/>
          <w:lang w:val="en-CA"/>
        </w:rPr>
        <w:t>selon</w:t>
      </w:r>
      <w:proofErr w:type="spellEnd"/>
      <w:r w:rsidRPr="00B9569A">
        <w:rPr>
          <w:i/>
          <w:iCs/>
          <w:lang w:val="en-CA"/>
        </w:rPr>
        <w:t xml:space="preserve"> </w:t>
      </w:r>
      <w:proofErr w:type="spellStart"/>
      <w:r w:rsidRPr="00B9569A">
        <w:rPr>
          <w:i/>
          <w:iCs/>
          <w:lang w:val="en-CA"/>
        </w:rPr>
        <w:t>une</w:t>
      </w:r>
      <w:proofErr w:type="spellEnd"/>
      <w:r w:rsidRPr="00B9569A">
        <w:rPr>
          <w:i/>
          <w:iCs/>
          <w:lang w:val="en-CA"/>
        </w:rPr>
        <w:t xml:space="preserve"> perspective </w:t>
      </w:r>
      <w:proofErr w:type="spellStart"/>
      <w:r w:rsidRPr="00B9569A">
        <w:rPr>
          <w:i/>
          <w:iCs/>
          <w:lang w:val="en-CA"/>
        </w:rPr>
        <w:t>canadienne</w:t>
      </w:r>
      <w:proofErr w:type="spellEnd"/>
      <w:r w:rsidRPr="004B30A5">
        <w:rPr>
          <w:lang w:val="en-CA"/>
        </w:rPr>
        <w:t xml:space="preserve"> (3rd ed. 2010), at p. 294). Sovereignty guarantees a state’s ability to exercise authority over persons and events within its territory without undue external interference. Equality, in international law, is the recognition that no one state is above another in the international order (</w:t>
      </w:r>
      <w:r w:rsidRPr="00B9569A">
        <w:rPr>
          <w:i/>
          <w:iCs/>
          <w:lang w:val="en-CA"/>
        </w:rPr>
        <w:t>Schreiber</w:t>
      </w:r>
      <w:r w:rsidRPr="004B30A5">
        <w:rPr>
          <w:lang w:val="en-CA"/>
        </w:rPr>
        <w:t>, at para. 13). The law of state immunity is a manifestation of these principles (</w:t>
      </w:r>
      <w:proofErr w:type="spellStart"/>
      <w:r w:rsidRPr="00B9569A">
        <w:rPr>
          <w:i/>
          <w:iCs/>
          <w:lang w:val="en-CA"/>
        </w:rPr>
        <w:t>Hape</w:t>
      </w:r>
      <w:proofErr w:type="spellEnd"/>
      <w:r w:rsidRPr="004B30A5">
        <w:rPr>
          <w:lang w:val="en-CA"/>
        </w:rPr>
        <w:t xml:space="preserve">, at paras. 40-44; Fox and Webb, at pp. 25 and 76; </w:t>
      </w:r>
      <w:r w:rsidRPr="00B9569A">
        <w:rPr>
          <w:i/>
          <w:iCs/>
          <w:lang w:val="en-CA"/>
        </w:rPr>
        <w:t>Germany v. Italy</w:t>
      </w:r>
      <w:r w:rsidRPr="004B30A5">
        <w:rPr>
          <w:lang w:val="en-CA"/>
        </w:rPr>
        <w:t xml:space="preserve">, at para. </w:t>
      </w:r>
      <w:r w:rsidRPr="00295924">
        <w:rPr>
          <w:lang w:val="en-CA"/>
        </w:rPr>
        <w:t>57).</w:t>
      </w:r>
      <w:r w:rsidRPr="004B30A5">
        <w:rPr>
          <w:rStyle w:val="Appelnotedebasdep"/>
        </w:rPr>
        <w:footnoteReference w:id="21"/>
      </w:r>
    </w:p>
    <w:p w14:paraId="6339B71E" w14:textId="77777777" w:rsidR="009214E1" w:rsidRPr="00295924" w:rsidRDefault="009214E1" w:rsidP="009214E1">
      <w:pPr>
        <w:pStyle w:val="Citationenretrait"/>
        <w:spacing w:before="0"/>
        <w:jc w:val="right"/>
        <w:rPr>
          <w:lang w:val="en-CA"/>
        </w:rPr>
      </w:pPr>
      <w:r w:rsidRPr="00295924">
        <w:rPr>
          <w:lang w:val="en-CA"/>
        </w:rPr>
        <w:t>[Emphasis added]</w:t>
      </w:r>
    </w:p>
    <w:p w14:paraId="3832F5E8" w14:textId="77777777" w:rsidR="009214E1" w:rsidRPr="007E4E4E" w:rsidRDefault="009214E1" w:rsidP="009214E1">
      <w:pPr>
        <w:pStyle w:val="Paragraphe"/>
        <w:spacing w:line="280" w:lineRule="exact"/>
        <w:rPr>
          <w:lang w:val="en-CA"/>
        </w:rPr>
      </w:pPr>
      <w:r w:rsidRPr="00643595">
        <w:rPr>
          <w:lang w:val="en-CA"/>
        </w:rPr>
        <w:t>In that decision, LeBel</w:t>
      </w:r>
      <w:r>
        <w:rPr>
          <w:lang w:val="en-CA"/>
        </w:rPr>
        <w:t>,</w:t>
      </w:r>
      <w:r w:rsidRPr="00643595">
        <w:rPr>
          <w:lang w:val="en-CA"/>
        </w:rPr>
        <w:t xml:space="preserve"> J. add</w:t>
      </w:r>
      <w:r>
        <w:rPr>
          <w:lang w:val="en-CA"/>
        </w:rPr>
        <w:t>ed</w:t>
      </w:r>
      <w:r w:rsidRPr="00643595">
        <w:rPr>
          <w:lang w:val="en-CA"/>
        </w:rPr>
        <w:t xml:space="preserve"> that there exist many justifications for state immunity, </w:t>
      </w:r>
      <w:r>
        <w:rPr>
          <w:lang w:val="en-CA"/>
        </w:rPr>
        <w:t>including comity and reciprocity.</w:t>
      </w:r>
      <w:r>
        <w:rPr>
          <w:rStyle w:val="Appelnotedebasdep"/>
        </w:rPr>
        <w:footnoteReference w:id="22"/>
      </w:r>
      <w:r w:rsidRPr="00643595">
        <w:rPr>
          <w:lang w:val="en-CA"/>
        </w:rPr>
        <w:t xml:space="preserve"> </w:t>
      </w:r>
      <w:r w:rsidRPr="007E4E4E">
        <w:rPr>
          <w:lang w:val="en-CA"/>
        </w:rPr>
        <w:t xml:space="preserve">That principle plays a large role in international relations and has </w:t>
      </w:r>
      <w:r>
        <w:rPr>
          <w:lang w:val="en-CA"/>
        </w:rPr>
        <w:t>“</w:t>
      </w:r>
      <w:r w:rsidRPr="007E4E4E">
        <w:rPr>
          <w:lang w:val="en-CA"/>
        </w:rPr>
        <w:t>emerged as a general rule of customary international law</w:t>
      </w:r>
      <w:r>
        <w:rPr>
          <w:lang w:val="en-CA"/>
        </w:rPr>
        <w:t>”.</w:t>
      </w:r>
      <w:r>
        <w:rPr>
          <w:rStyle w:val="Appelnotedebasdep"/>
        </w:rPr>
        <w:footnoteReference w:id="23"/>
      </w:r>
      <w:r w:rsidRPr="007E4E4E">
        <w:rPr>
          <w:lang w:val="en-CA"/>
        </w:rPr>
        <w:t xml:space="preserve"> </w:t>
      </w:r>
      <w:r>
        <w:rPr>
          <w:lang w:val="en-CA"/>
        </w:rPr>
        <w:t>T</w:t>
      </w:r>
      <w:r w:rsidRPr="007E4E4E">
        <w:rPr>
          <w:lang w:val="en-CA"/>
        </w:rPr>
        <w:t>he content of that immunity has evolved over</w:t>
      </w:r>
      <w:r>
        <w:rPr>
          <w:lang w:val="en-CA"/>
        </w:rPr>
        <w:t xml:space="preserve"> the</w:t>
      </w:r>
      <w:r w:rsidRPr="007E4E4E">
        <w:rPr>
          <w:lang w:val="en-CA"/>
        </w:rPr>
        <w:t xml:space="preserve"> years, however. Whereas in its earliest incarnation it</w:t>
      </w:r>
      <w:r>
        <w:rPr>
          <w:lang w:val="en-CA"/>
        </w:rPr>
        <w:t xml:space="preserve"> </w:t>
      </w:r>
      <w:r w:rsidRPr="007E4E4E">
        <w:rPr>
          <w:lang w:val="en-CA"/>
        </w:rPr>
        <w:t xml:space="preserve">was absolute, a new approach emerged </w:t>
      </w:r>
      <w:r>
        <w:rPr>
          <w:lang w:val="en-CA"/>
        </w:rPr>
        <w:t xml:space="preserve">in the wake of </w:t>
      </w:r>
      <w:r w:rsidRPr="007E4E4E">
        <w:rPr>
          <w:lang w:val="en-CA"/>
        </w:rPr>
        <w:t xml:space="preserve">the Second Word War </w:t>
      </w:r>
      <w:r>
        <w:rPr>
          <w:lang w:val="en-CA"/>
        </w:rPr>
        <w:t>to</w:t>
      </w:r>
      <w:r w:rsidRPr="007E4E4E">
        <w:rPr>
          <w:lang w:val="en-CA"/>
        </w:rPr>
        <w:t xml:space="preserve"> its restriction in criminal prosecutions, but also in civil suits against states. </w:t>
      </w:r>
      <w:r>
        <w:rPr>
          <w:lang w:val="en-CA"/>
        </w:rPr>
        <w:t>One now speaks of r</w:t>
      </w:r>
      <w:r w:rsidRPr="007E4E4E">
        <w:rPr>
          <w:lang w:val="en-CA"/>
        </w:rPr>
        <w:t>estrictive</w:t>
      </w:r>
      <w:r>
        <w:rPr>
          <w:lang w:val="en-CA"/>
        </w:rPr>
        <w:t xml:space="preserve"> </w:t>
      </w:r>
      <w:r w:rsidRPr="007E4E4E">
        <w:rPr>
          <w:lang w:val="en-CA"/>
        </w:rPr>
        <w:t>immunity</w:t>
      </w:r>
      <w:r>
        <w:rPr>
          <w:lang w:val="en-CA"/>
        </w:rPr>
        <w:t>.</w:t>
      </w:r>
      <w:r>
        <w:rPr>
          <w:rStyle w:val="Appelnotedebasdep"/>
        </w:rPr>
        <w:footnoteReference w:id="24"/>
      </w:r>
    </w:p>
    <w:p w14:paraId="1610905D" w14:textId="77777777" w:rsidR="009214E1" w:rsidRPr="005579DC" w:rsidRDefault="009214E1" w:rsidP="009214E1">
      <w:pPr>
        <w:pStyle w:val="Paragraphe"/>
        <w:spacing w:line="280" w:lineRule="exact"/>
        <w:rPr>
          <w:lang w:val="en-CA"/>
        </w:rPr>
      </w:pPr>
      <w:r w:rsidRPr="00C35EE2">
        <w:rPr>
          <w:lang w:val="en-CA"/>
        </w:rPr>
        <w:t>LeBel</w:t>
      </w:r>
      <w:r>
        <w:rPr>
          <w:lang w:val="en-CA"/>
        </w:rPr>
        <w:t>,</w:t>
      </w:r>
      <w:r w:rsidRPr="00C35EE2">
        <w:rPr>
          <w:lang w:val="en-CA"/>
        </w:rPr>
        <w:t xml:space="preserve"> J. noted that the SIA is a complete codification of Canadian law </w:t>
      </w:r>
      <w:r>
        <w:rPr>
          <w:lang w:val="en-CA"/>
        </w:rPr>
        <w:t>in that area.</w:t>
      </w:r>
      <w:r>
        <w:rPr>
          <w:rStyle w:val="Appelnotedebasdep"/>
        </w:rPr>
        <w:footnoteReference w:id="25"/>
      </w:r>
      <w:r w:rsidRPr="00C35EE2">
        <w:rPr>
          <w:lang w:val="en-CA"/>
        </w:rPr>
        <w:t xml:space="preserve"> In 2012, Pa</w:t>
      </w:r>
      <w:r>
        <w:rPr>
          <w:lang w:val="en-CA"/>
        </w:rPr>
        <w:t>r</w:t>
      </w:r>
      <w:r w:rsidRPr="00C35EE2">
        <w:rPr>
          <w:lang w:val="en-CA"/>
        </w:rPr>
        <w:t>liament</w:t>
      </w:r>
      <w:r>
        <w:rPr>
          <w:lang w:val="en-CA"/>
        </w:rPr>
        <w:t xml:space="preserve"> in fact added to the</w:t>
      </w:r>
      <w:r w:rsidRPr="00C35EE2">
        <w:rPr>
          <w:lang w:val="en-CA"/>
        </w:rPr>
        <w:t xml:space="preserve"> exception</w:t>
      </w:r>
      <w:r>
        <w:rPr>
          <w:lang w:val="en-CA"/>
        </w:rPr>
        <w:t>s</w:t>
      </w:r>
      <w:r w:rsidRPr="00C35EE2">
        <w:rPr>
          <w:lang w:val="en-CA"/>
        </w:rPr>
        <w:t xml:space="preserve"> to immunity </w:t>
      </w:r>
      <w:r>
        <w:rPr>
          <w:lang w:val="en-CA"/>
        </w:rPr>
        <w:t xml:space="preserve">the exception </w:t>
      </w:r>
      <w:r>
        <w:rPr>
          <w:lang w:val="en-CA"/>
        </w:rPr>
        <w:lastRenderedPageBreak/>
        <w:t>regarding</w:t>
      </w:r>
      <w:r w:rsidRPr="00C35EE2">
        <w:rPr>
          <w:lang w:val="en-CA"/>
        </w:rPr>
        <w:t xml:space="preserve"> terrorist activity (s. 6.1 SIA), th</w:t>
      </w:r>
      <w:r>
        <w:rPr>
          <w:lang w:val="en-CA"/>
        </w:rPr>
        <w:t>us indicating that it may act to alter the scope of state immunity</w:t>
      </w:r>
      <w:r w:rsidRPr="00C35EE2">
        <w:rPr>
          <w:lang w:val="en-CA"/>
        </w:rPr>
        <w:t xml:space="preserve">. </w:t>
      </w:r>
      <w:r>
        <w:rPr>
          <w:lang w:val="en-CA"/>
        </w:rPr>
        <w:t>LeBel, J. concluded by noting that, i</w:t>
      </w:r>
      <w:r w:rsidRPr="005579DC">
        <w:rPr>
          <w:lang w:val="en-CA"/>
        </w:rPr>
        <w:t xml:space="preserve">n Canada, it is first towards Parliament that one must turn when ascertaining the contours of state immunity. </w:t>
      </w:r>
      <w:r>
        <w:rPr>
          <w:lang w:val="en-CA"/>
        </w:rPr>
        <w:t>He wrote</w:t>
      </w:r>
      <w:r w:rsidRPr="005579DC">
        <w:rPr>
          <w:lang w:val="en-CA"/>
        </w:rPr>
        <w:t xml:space="preserve">: </w:t>
      </w:r>
    </w:p>
    <w:p w14:paraId="147EF36A" w14:textId="77777777" w:rsidR="009214E1" w:rsidRPr="00B9569A" w:rsidRDefault="009214E1" w:rsidP="009214E1">
      <w:pPr>
        <w:pStyle w:val="Citationenretrait"/>
        <w:rPr>
          <w:lang w:val="en-CA"/>
        </w:rPr>
      </w:pPr>
      <w:r w:rsidRPr="00B9569A">
        <w:rPr>
          <w:lang w:val="en-CA"/>
        </w:rPr>
        <w:t xml:space="preserve">[44] In 2012, Parliament amended the </w:t>
      </w:r>
      <w:r w:rsidRPr="00B9569A">
        <w:rPr>
          <w:i/>
          <w:iCs/>
          <w:lang w:val="en-CA"/>
        </w:rPr>
        <w:t>SIA</w:t>
      </w:r>
      <w:r w:rsidRPr="00B9569A">
        <w:rPr>
          <w:lang w:val="en-CA"/>
        </w:rPr>
        <w:t xml:space="preserve"> to include an additional exception to state immunity for certain foreign states that have supported terrorist activity (Arbour and Parent, at pp. 508.1-8.3). Under this new legislative regime, a foreign state may be sued in Canada if (1) the act that the state committed took place on or after January 1, 1985 and (2) the foreign state accused of supporting terrorism is included on a list created by the Governor in Council (</w:t>
      </w:r>
      <w:r w:rsidRPr="00643595">
        <w:rPr>
          <w:i/>
          <w:iCs/>
          <w:lang w:val="en-CA"/>
        </w:rPr>
        <w:t>SIA</w:t>
      </w:r>
      <w:r w:rsidRPr="00B9569A">
        <w:rPr>
          <w:lang w:val="en-CA"/>
        </w:rPr>
        <w:t xml:space="preserve">, s. 6.1; Library of Parliament, </w:t>
      </w:r>
      <w:r w:rsidRPr="00643595">
        <w:rPr>
          <w:i/>
          <w:iCs/>
          <w:lang w:val="en-CA"/>
        </w:rPr>
        <w:t>Legislative Summary of Bill C-10</w:t>
      </w:r>
      <w:r w:rsidRPr="00B9569A">
        <w:rPr>
          <w:lang w:val="en-CA"/>
        </w:rPr>
        <w:t xml:space="preserve"> (2012), at s. 2.2.2.1). Although no argument concerning the nature or constitutionality of the terrorism exception was advanced before this Court, it is nonetheless relevant to the case at hand. If nothing else, it reveals that Parliament can and does take active steps to address, and in this case pre-empt, emergent international challenges (Ranganathan, at p. 386), </w:t>
      </w:r>
      <w:r w:rsidRPr="00643595">
        <w:rPr>
          <w:u w:val="single"/>
          <w:lang w:val="en-CA"/>
        </w:rPr>
        <w:t>thereby reinforcing the conclusion, discussed below, that the SIA is intended to be an exhaustive codification of Canadian law of state immunity in civil suits</w:t>
      </w:r>
      <w:r w:rsidRPr="00B9569A">
        <w:rPr>
          <w:lang w:val="en-CA"/>
        </w:rPr>
        <w:t>. I also note in passing, with all due caution, that when the terrorism exception bill was before Parliament, it was criticized on numerous occasions for failing to create an exception to state immunity for civil proceedings involving allegations of torture, genocide and other grave crimes (</w:t>
      </w:r>
      <w:r w:rsidRPr="00643595">
        <w:rPr>
          <w:i/>
          <w:iCs/>
          <w:lang w:val="en-CA"/>
        </w:rPr>
        <w:t>Legislative Summary of Bill C-10</w:t>
      </w:r>
      <w:r w:rsidRPr="00B9569A">
        <w:rPr>
          <w:lang w:val="en-CA"/>
        </w:rPr>
        <w:t xml:space="preserve">, s. 2.1.4). Indeed, Private Member Bill C-483 proposed to create such an exception but it never became law. More broadly, the amendment to the </w:t>
      </w:r>
      <w:r w:rsidRPr="00643595">
        <w:rPr>
          <w:i/>
          <w:iCs/>
          <w:lang w:val="en-CA"/>
        </w:rPr>
        <w:t>SIA</w:t>
      </w:r>
      <w:r w:rsidRPr="00B9569A">
        <w:rPr>
          <w:lang w:val="en-CA"/>
        </w:rPr>
        <w:t xml:space="preserve"> brought by Parliament in 2012 demonstrates that forum states (i.e. states providing jurisdiction) have a large and continuing role to play in determining the scope and extent of state immunity.</w:t>
      </w:r>
    </w:p>
    <w:p w14:paraId="654CE2C0" w14:textId="77777777" w:rsidR="009214E1" w:rsidRPr="00643595" w:rsidRDefault="009214E1" w:rsidP="009214E1">
      <w:pPr>
        <w:pStyle w:val="Citationenretrait"/>
        <w:spacing w:after="0"/>
        <w:rPr>
          <w:color w:val="000000"/>
          <w:u w:val="single"/>
          <w:lang w:val="en-CA"/>
        </w:rPr>
      </w:pPr>
      <w:r w:rsidRPr="00643595">
        <w:rPr>
          <w:color w:val="000000"/>
          <w:lang w:val="en-CA"/>
        </w:rPr>
        <w:t xml:space="preserve">[45] It follows that state immunity is not solely a rule of customary international law. It also reflects domestic choices made for policy reasons, particularly in matters of international relations. As Fox and Webb note, although immunity as a general rule is recognized by international law, the “precise extent and manner of [the] application” of state immunity is determined by forum states (p. 17). </w:t>
      </w:r>
      <w:r w:rsidRPr="00643595">
        <w:rPr>
          <w:color w:val="000000"/>
          <w:u w:val="single"/>
          <w:lang w:val="en-CA"/>
        </w:rPr>
        <w:t>In Canada, therefore, it is first towards Parliament that one must turn when ascertaining the contours of state immunity</w:t>
      </w:r>
      <w:r w:rsidRPr="00AD74CC">
        <w:rPr>
          <w:color w:val="000000"/>
          <w:lang w:val="en-CA"/>
        </w:rPr>
        <w:t>.</w:t>
      </w:r>
      <w:r>
        <w:rPr>
          <w:rStyle w:val="Appelnotedebasdep"/>
          <w:color w:val="000000"/>
        </w:rPr>
        <w:footnoteReference w:id="26"/>
      </w:r>
    </w:p>
    <w:p w14:paraId="51A3D743" w14:textId="77777777" w:rsidR="009214E1" w:rsidRPr="00DC39C2" w:rsidRDefault="009214E1" w:rsidP="009214E1">
      <w:pPr>
        <w:pStyle w:val="Citationenretrait"/>
        <w:spacing w:before="0"/>
        <w:jc w:val="right"/>
      </w:pPr>
      <w:r w:rsidRPr="00DC39C2">
        <w:rPr>
          <w:color w:val="000000"/>
        </w:rPr>
        <w:t>[</w:t>
      </w:r>
      <w:r>
        <w:rPr>
          <w:color w:val="000000"/>
        </w:rPr>
        <w:t>Emphasis added</w:t>
      </w:r>
      <w:r w:rsidRPr="00DC39C2">
        <w:rPr>
          <w:color w:val="000000"/>
        </w:rPr>
        <w:t>]</w:t>
      </w:r>
    </w:p>
    <w:p w14:paraId="1585F451" w14:textId="77777777" w:rsidR="009214E1" w:rsidRPr="00B93647" w:rsidRDefault="009214E1" w:rsidP="009214E1">
      <w:pPr>
        <w:pStyle w:val="Paragraphe"/>
        <w:spacing w:line="280" w:lineRule="exact"/>
        <w:rPr>
          <w:lang w:val="en-CA"/>
        </w:rPr>
      </w:pPr>
      <w:r w:rsidRPr="00B93647">
        <w:rPr>
          <w:lang w:val="en-CA"/>
        </w:rPr>
        <w:t>LeBel</w:t>
      </w:r>
      <w:r>
        <w:rPr>
          <w:lang w:val="en-CA"/>
        </w:rPr>
        <w:t>,</w:t>
      </w:r>
      <w:r w:rsidRPr="00B93647">
        <w:rPr>
          <w:lang w:val="en-CA"/>
        </w:rPr>
        <w:t xml:space="preserve"> J. did not</w:t>
      </w:r>
      <w:r>
        <w:rPr>
          <w:lang w:val="en-CA"/>
        </w:rPr>
        <w:t xml:space="preserve"> accept</w:t>
      </w:r>
      <w:r w:rsidRPr="00B93647">
        <w:rPr>
          <w:lang w:val="en-CA"/>
        </w:rPr>
        <w:t xml:space="preserve">, therefore, the </w:t>
      </w:r>
      <w:r>
        <w:rPr>
          <w:lang w:val="en-CA"/>
        </w:rPr>
        <w:t>view</w:t>
      </w:r>
      <w:r w:rsidRPr="00B93647">
        <w:rPr>
          <w:lang w:val="en-CA"/>
        </w:rPr>
        <w:t xml:space="preserve"> of </w:t>
      </w:r>
      <w:r>
        <w:rPr>
          <w:lang w:val="en-CA"/>
        </w:rPr>
        <w:t>some scholars</w:t>
      </w:r>
      <w:r w:rsidRPr="00B93647">
        <w:rPr>
          <w:lang w:val="en-CA"/>
        </w:rPr>
        <w:t xml:space="preserve"> that the SIA is not exhaustive an</w:t>
      </w:r>
      <w:r>
        <w:rPr>
          <w:lang w:val="en-CA"/>
        </w:rPr>
        <w:t>d that the</w:t>
      </w:r>
      <w:r w:rsidRPr="00B93647">
        <w:rPr>
          <w:lang w:val="en-CA"/>
        </w:rPr>
        <w:t xml:space="preserve"> common law, </w:t>
      </w:r>
      <w:r>
        <w:rPr>
          <w:lang w:val="en-CA"/>
        </w:rPr>
        <w:t xml:space="preserve">as well as international law, must inform its </w:t>
      </w:r>
      <w:r>
        <w:rPr>
          <w:lang w:val="en-CA"/>
        </w:rPr>
        <w:lastRenderedPageBreak/>
        <w:t>interpretation.</w:t>
      </w:r>
      <w:r>
        <w:rPr>
          <w:rStyle w:val="Appelnotedebasdep"/>
        </w:rPr>
        <w:footnoteReference w:id="27"/>
      </w:r>
      <w:r w:rsidRPr="00B93647">
        <w:rPr>
          <w:lang w:val="en-CA"/>
        </w:rPr>
        <w:t xml:space="preserve"> He </w:t>
      </w:r>
      <w:r>
        <w:rPr>
          <w:lang w:val="en-CA"/>
        </w:rPr>
        <w:t>wa</w:t>
      </w:r>
      <w:r w:rsidRPr="00B93647">
        <w:rPr>
          <w:lang w:val="en-CA"/>
        </w:rPr>
        <w:t>s of the opinion, rather, that the list of exceptions to state immunity</w:t>
      </w:r>
      <w:r>
        <w:rPr>
          <w:lang w:val="en-CA"/>
        </w:rPr>
        <w:t xml:space="preserve"> found in the</w:t>
      </w:r>
      <w:r w:rsidRPr="00B93647">
        <w:rPr>
          <w:lang w:val="en-CA"/>
        </w:rPr>
        <w:t xml:space="preserve"> SIA </w:t>
      </w:r>
      <w:r>
        <w:rPr>
          <w:lang w:val="en-CA"/>
        </w:rPr>
        <w:t>is</w:t>
      </w:r>
      <w:r w:rsidRPr="00B93647">
        <w:rPr>
          <w:lang w:val="en-CA"/>
        </w:rPr>
        <w:t xml:space="preserve"> exhaustive</w:t>
      </w:r>
      <w:r>
        <w:rPr>
          <w:lang w:val="en-CA"/>
        </w:rPr>
        <w:t>.</w:t>
      </w:r>
      <w:r>
        <w:rPr>
          <w:rStyle w:val="Appelnotedebasdep"/>
        </w:rPr>
        <w:footnoteReference w:id="28"/>
      </w:r>
    </w:p>
    <w:p w14:paraId="4EFA8C22" w14:textId="77777777" w:rsidR="009214E1" w:rsidRPr="00B6763C" w:rsidRDefault="009214E1" w:rsidP="009214E1">
      <w:pPr>
        <w:spacing w:before="120" w:after="120"/>
        <w:jc w:val="center"/>
        <w:rPr>
          <w:sz w:val="28"/>
          <w:szCs w:val="28"/>
        </w:rPr>
      </w:pPr>
      <w:r w:rsidRPr="00B6763C">
        <w:rPr>
          <w:sz w:val="28"/>
          <w:szCs w:val="28"/>
        </w:rPr>
        <w:t>* * *</w:t>
      </w:r>
    </w:p>
    <w:p w14:paraId="7CDEE3D7" w14:textId="77777777" w:rsidR="009214E1" w:rsidRPr="006F7597" w:rsidRDefault="009214E1" w:rsidP="009214E1">
      <w:pPr>
        <w:pStyle w:val="Titre2"/>
      </w:pPr>
      <w:r>
        <w:t>Section</w:t>
      </w:r>
      <w:r w:rsidRPr="006F7597">
        <w:t xml:space="preserve"> 6 </w:t>
      </w:r>
      <w:r>
        <w:t>of the</w:t>
      </w:r>
      <w:r w:rsidRPr="006F7597">
        <w:t xml:space="preserve"> </w:t>
      </w:r>
      <w:r>
        <w:t>SIA</w:t>
      </w:r>
    </w:p>
    <w:p w14:paraId="0DD7BA1A" w14:textId="77777777" w:rsidR="009214E1" w:rsidRPr="00C454A4" w:rsidRDefault="009214E1" w:rsidP="009214E1">
      <w:pPr>
        <w:pStyle w:val="Paragraphe"/>
        <w:keepNext/>
        <w:keepLines/>
        <w:spacing w:line="280" w:lineRule="exact"/>
        <w:rPr>
          <w:lang w:val="en-CA"/>
        </w:rPr>
      </w:pPr>
      <w:r w:rsidRPr="00C454A4">
        <w:rPr>
          <w:lang w:val="en-CA"/>
        </w:rPr>
        <w:t>The appel</w:t>
      </w:r>
      <w:r>
        <w:rPr>
          <w:lang w:val="en-CA"/>
        </w:rPr>
        <w:t>l</w:t>
      </w:r>
      <w:r w:rsidRPr="00C454A4">
        <w:rPr>
          <w:lang w:val="en-CA"/>
        </w:rPr>
        <w:t>ant submits</w:t>
      </w:r>
      <w:r>
        <w:rPr>
          <w:lang w:val="en-CA"/>
        </w:rPr>
        <w:t>, first,</w:t>
      </w:r>
      <w:r w:rsidRPr="00C454A4">
        <w:rPr>
          <w:lang w:val="en-CA"/>
        </w:rPr>
        <w:t xml:space="preserve"> that the respondent </w:t>
      </w:r>
      <w:r>
        <w:rPr>
          <w:lang w:val="en-CA"/>
        </w:rPr>
        <w:t>is not immune</w:t>
      </w:r>
      <w:r w:rsidRPr="00C454A4">
        <w:rPr>
          <w:lang w:val="en-CA"/>
        </w:rPr>
        <w:t xml:space="preserve">, </w:t>
      </w:r>
      <w:r>
        <w:rPr>
          <w:lang w:val="en-CA"/>
        </w:rPr>
        <w:t>because</w:t>
      </w:r>
      <w:r w:rsidRPr="00C454A4">
        <w:rPr>
          <w:lang w:val="en-CA"/>
        </w:rPr>
        <w:t xml:space="preserve"> s</w:t>
      </w:r>
      <w:r>
        <w:rPr>
          <w:lang w:val="en-CA"/>
        </w:rPr>
        <w:t>.</w:t>
      </w:r>
      <w:r w:rsidRPr="00C454A4">
        <w:rPr>
          <w:lang w:val="en-CA"/>
        </w:rPr>
        <w:t xml:space="preserve"> 6 of the SIA, </w:t>
      </w:r>
      <w:r>
        <w:rPr>
          <w:lang w:val="en-CA"/>
        </w:rPr>
        <w:t>which provides for an exception in proceedings that relate to death or personal or bodily injury</w:t>
      </w:r>
      <w:r w:rsidRPr="00C454A4">
        <w:rPr>
          <w:lang w:val="en-CA"/>
        </w:rPr>
        <w:t xml:space="preserve">, </w:t>
      </w:r>
      <w:r>
        <w:rPr>
          <w:lang w:val="en-CA"/>
        </w:rPr>
        <w:t>applies</w:t>
      </w:r>
      <w:r w:rsidRPr="00C454A4">
        <w:rPr>
          <w:lang w:val="en-CA"/>
        </w:rPr>
        <w:t xml:space="preserve">. </w:t>
      </w:r>
    </w:p>
    <w:p w14:paraId="280B28D3" w14:textId="77777777" w:rsidR="009214E1" w:rsidRPr="00607273" w:rsidRDefault="009214E1" w:rsidP="009214E1">
      <w:pPr>
        <w:pStyle w:val="Paragraphe"/>
        <w:spacing w:line="280" w:lineRule="exact"/>
        <w:rPr>
          <w:lang w:val="en-CA"/>
        </w:rPr>
      </w:pPr>
      <w:r w:rsidRPr="00607273">
        <w:rPr>
          <w:lang w:val="en-CA"/>
        </w:rPr>
        <w:t xml:space="preserve">She argues that the </w:t>
      </w:r>
      <w:r>
        <w:rPr>
          <w:lang w:val="en-CA"/>
        </w:rPr>
        <w:t>j</w:t>
      </w:r>
      <w:r w:rsidRPr="00607273">
        <w:rPr>
          <w:lang w:val="en-CA"/>
        </w:rPr>
        <w:t xml:space="preserve">udge erred by deciding that </w:t>
      </w:r>
      <w:r>
        <w:rPr>
          <w:lang w:val="en-CA"/>
        </w:rPr>
        <w:t xml:space="preserve">the </w:t>
      </w:r>
      <w:r w:rsidRPr="00607273">
        <w:rPr>
          <w:lang w:val="en-CA"/>
        </w:rPr>
        <w:t xml:space="preserve">SIA </w:t>
      </w:r>
      <w:r>
        <w:rPr>
          <w:lang w:val="en-CA"/>
        </w:rPr>
        <w:t xml:space="preserve">does </w:t>
      </w:r>
      <w:r w:rsidRPr="00607273">
        <w:rPr>
          <w:lang w:val="en-CA"/>
        </w:rPr>
        <w:t xml:space="preserve">not apply to the present case because the facts giving rise to the claim took place before its coming into force, in 1982. </w:t>
      </w:r>
      <w:r>
        <w:rPr>
          <w:lang w:val="en-CA"/>
        </w:rPr>
        <w:t>In her view</w:t>
      </w:r>
      <w:r w:rsidRPr="00607273">
        <w:rPr>
          <w:lang w:val="en-CA"/>
        </w:rPr>
        <w:t xml:space="preserve">, a distinction must be made between the time when the fault was committed, </w:t>
      </w:r>
      <w:r>
        <w:rPr>
          <w:lang w:val="en-CA"/>
        </w:rPr>
        <w:t>namely</w:t>
      </w:r>
      <w:r w:rsidRPr="00607273">
        <w:rPr>
          <w:lang w:val="en-CA"/>
        </w:rPr>
        <w:t xml:space="preserve"> between 1957 and 1960, </w:t>
      </w:r>
      <w:r>
        <w:rPr>
          <w:lang w:val="en-CA"/>
        </w:rPr>
        <w:t xml:space="preserve">that when the damages appeared, namely over the course of many decades, and, finally, </w:t>
      </w:r>
      <w:r w:rsidRPr="00607273">
        <w:rPr>
          <w:lang w:val="en-CA"/>
        </w:rPr>
        <w:t xml:space="preserve">the time </w:t>
      </w:r>
      <w:r>
        <w:rPr>
          <w:lang w:val="en-CA"/>
        </w:rPr>
        <w:t>when</w:t>
      </w:r>
      <w:r w:rsidRPr="00607273">
        <w:rPr>
          <w:lang w:val="en-CA"/>
        </w:rPr>
        <w:t xml:space="preserve"> the facts to establish causal connection were discovered</w:t>
      </w:r>
      <w:r>
        <w:rPr>
          <w:lang w:val="en-CA"/>
        </w:rPr>
        <w:t xml:space="preserve"> by the class members</w:t>
      </w:r>
      <w:r w:rsidRPr="00607273">
        <w:rPr>
          <w:lang w:val="en-CA"/>
        </w:rPr>
        <w:t>, around 2017-</w:t>
      </w:r>
      <w:r>
        <w:rPr>
          <w:lang w:val="en-CA"/>
        </w:rPr>
        <w:t>20</w:t>
      </w:r>
      <w:r w:rsidRPr="00607273">
        <w:rPr>
          <w:lang w:val="en-CA"/>
        </w:rPr>
        <w:t>18. Sixty years elapsed between the</w:t>
      </w:r>
      <w:r>
        <w:rPr>
          <w:lang w:val="en-CA"/>
        </w:rPr>
        <w:t xml:space="preserve"> </w:t>
      </w:r>
      <w:r w:rsidRPr="00607273">
        <w:rPr>
          <w:lang w:val="en-CA"/>
        </w:rPr>
        <w:t>fault and the crystallization of the</w:t>
      </w:r>
      <w:r>
        <w:rPr>
          <w:lang w:val="en-CA"/>
        </w:rPr>
        <w:t xml:space="preserve"> right</w:t>
      </w:r>
      <w:r w:rsidRPr="00607273">
        <w:rPr>
          <w:lang w:val="en-CA"/>
        </w:rPr>
        <w:t xml:space="preserve"> action in civil liability. </w:t>
      </w:r>
      <w:r>
        <w:rPr>
          <w:lang w:val="en-CA"/>
        </w:rPr>
        <w:t>According to the appellant, t</w:t>
      </w:r>
      <w:r w:rsidRPr="00607273">
        <w:rPr>
          <w:lang w:val="en-CA"/>
        </w:rPr>
        <w:t xml:space="preserve">he class members could not </w:t>
      </w:r>
      <w:r>
        <w:rPr>
          <w:lang w:val="en-CA"/>
        </w:rPr>
        <w:t xml:space="preserve">have </w:t>
      </w:r>
      <w:r w:rsidRPr="00607273">
        <w:rPr>
          <w:lang w:val="en-CA"/>
        </w:rPr>
        <w:t>act</w:t>
      </w:r>
      <w:r>
        <w:rPr>
          <w:lang w:val="en-CA"/>
        </w:rPr>
        <w:t>ed</w:t>
      </w:r>
      <w:r w:rsidRPr="00607273">
        <w:rPr>
          <w:lang w:val="en-CA"/>
        </w:rPr>
        <w:t xml:space="preserve"> prior to that time. The SIA would therefore apply, since their right of action arose following its coming into force, in 1982.</w:t>
      </w:r>
    </w:p>
    <w:p w14:paraId="4F29F507" w14:textId="77777777" w:rsidR="009214E1" w:rsidRPr="004B61CE" w:rsidRDefault="009214E1" w:rsidP="009214E1">
      <w:pPr>
        <w:pStyle w:val="Paragraphe"/>
        <w:spacing w:line="280" w:lineRule="exact"/>
        <w:rPr>
          <w:lang w:val="en-CA"/>
        </w:rPr>
      </w:pPr>
      <w:r w:rsidRPr="004B61CE">
        <w:rPr>
          <w:lang w:val="en-CA"/>
        </w:rPr>
        <w:t xml:space="preserve">This argument cannot be accepted. </w:t>
      </w:r>
    </w:p>
    <w:p w14:paraId="17A9E73C" w14:textId="77777777" w:rsidR="009214E1" w:rsidRPr="004652E0" w:rsidRDefault="009214E1" w:rsidP="009214E1">
      <w:pPr>
        <w:pStyle w:val="Paragraphe"/>
        <w:spacing w:line="280" w:lineRule="exact"/>
        <w:rPr>
          <w:lang w:val="en-CA"/>
        </w:rPr>
      </w:pPr>
      <w:r w:rsidRPr="004652E0">
        <w:rPr>
          <w:lang w:val="en-CA"/>
        </w:rPr>
        <w:t>I am of the view that the judge did not err by c</w:t>
      </w:r>
      <w:r>
        <w:rPr>
          <w:lang w:val="en-CA"/>
        </w:rPr>
        <w:t>onsidering, for the purpose of his analysis, that the relevant facts to determine whether the SIA applies, occurred prior to its enactment</w:t>
      </w:r>
      <w:r w:rsidRPr="004652E0">
        <w:rPr>
          <w:lang w:val="en-CA"/>
        </w:rPr>
        <w:t xml:space="preserve">, </w:t>
      </w:r>
      <w:r>
        <w:rPr>
          <w:lang w:val="en-CA"/>
        </w:rPr>
        <w:t>in</w:t>
      </w:r>
      <w:r w:rsidRPr="004652E0">
        <w:rPr>
          <w:lang w:val="en-CA"/>
        </w:rPr>
        <w:t xml:space="preserve"> 1982</w:t>
      </w:r>
      <w:r>
        <w:rPr>
          <w:lang w:val="en-CA"/>
        </w:rPr>
        <w:t>.</w:t>
      </w:r>
      <w:r>
        <w:rPr>
          <w:rStyle w:val="Appelnotedebasdep"/>
        </w:rPr>
        <w:footnoteReference w:id="29"/>
      </w:r>
    </w:p>
    <w:p w14:paraId="6C18AC88" w14:textId="77777777" w:rsidR="009214E1" w:rsidRPr="004652E0" w:rsidRDefault="009214E1" w:rsidP="009214E1">
      <w:pPr>
        <w:pStyle w:val="Paragraphe"/>
        <w:spacing w:line="280" w:lineRule="exact"/>
        <w:rPr>
          <w:lang w:val="en-CA"/>
        </w:rPr>
      </w:pPr>
      <w:r w:rsidRPr="004652E0">
        <w:rPr>
          <w:lang w:val="en-CA"/>
        </w:rPr>
        <w:t>As the respondent argue</w:t>
      </w:r>
      <w:r>
        <w:rPr>
          <w:lang w:val="en-CA"/>
        </w:rPr>
        <w:t>s</w:t>
      </w:r>
      <w:r w:rsidRPr="004652E0">
        <w:rPr>
          <w:lang w:val="en-CA"/>
        </w:rPr>
        <w:t xml:space="preserve">, the appellant conflates </w:t>
      </w:r>
      <w:r>
        <w:rPr>
          <w:lang w:val="en-CA"/>
        </w:rPr>
        <w:t xml:space="preserve">the </w:t>
      </w:r>
      <w:r w:rsidRPr="004652E0">
        <w:rPr>
          <w:lang w:val="en-CA"/>
        </w:rPr>
        <w:t>discover</w:t>
      </w:r>
      <w:r>
        <w:rPr>
          <w:lang w:val="en-CA"/>
        </w:rPr>
        <w:t xml:space="preserve">y </w:t>
      </w:r>
      <w:r w:rsidRPr="004652E0">
        <w:rPr>
          <w:lang w:val="en-CA"/>
        </w:rPr>
        <w:t>of a cause</w:t>
      </w:r>
      <w:r>
        <w:rPr>
          <w:lang w:val="en-CA"/>
        </w:rPr>
        <w:t xml:space="preserve"> </w:t>
      </w:r>
      <w:r w:rsidRPr="004652E0">
        <w:rPr>
          <w:lang w:val="en-CA"/>
        </w:rPr>
        <w:t xml:space="preserve">of action for purposes of prescription with the </w:t>
      </w:r>
      <w:r>
        <w:rPr>
          <w:lang w:val="en-CA"/>
        </w:rPr>
        <w:t>occurrence of</w:t>
      </w:r>
      <w:r w:rsidRPr="004652E0">
        <w:rPr>
          <w:lang w:val="en-CA"/>
        </w:rPr>
        <w:t xml:space="preserve"> the facts relevant to determine whether the respondent is immune. Those facts occurred in the late fifties and in the early sixties, barring the application of the SIA, unless it has a retroactive or retrospective effect, another argument submitted by the appellant. </w:t>
      </w:r>
    </w:p>
    <w:p w14:paraId="099FBF0B" w14:textId="77777777" w:rsidR="009214E1" w:rsidRPr="00110594" w:rsidRDefault="009214E1" w:rsidP="009214E1">
      <w:pPr>
        <w:pStyle w:val="Titre2"/>
        <w:rPr>
          <w:lang w:val="en-CA"/>
        </w:rPr>
      </w:pPr>
      <w:r w:rsidRPr="00110594">
        <w:rPr>
          <w:lang w:val="en-CA"/>
        </w:rPr>
        <w:t xml:space="preserve">Does the </w:t>
      </w:r>
      <w:r>
        <w:rPr>
          <w:lang w:val="en-CA"/>
        </w:rPr>
        <w:t xml:space="preserve">statute </w:t>
      </w:r>
      <w:r w:rsidRPr="00110594">
        <w:rPr>
          <w:lang w:val="en-CA"/>
        </w:rPr>
        <w:t>apply retroactively or retrospectively?</w:t>
      </w:r>
    </w:p>
    <w:p w14:paraId="5070B02F" w14:textId="3ED585F8" w:rsidR="009214E1" w:rsidRPr="00110594" w:rsidRDefault="009214E1" w:rsidP="009214E1">
      <w:pPr>
        <w:pStyle w:val="Paragraphe"/>
        <w:spacing w:line="280" w:lineRule="exact"/>
        <w:rPr>
          <w:lang w:val="en-CA"/>
        </w:rPr>
      </w:pPr>
      <w:r>
        <w:rPr>
          <w:lang w:val="en-CA"/>
        </w:rPr>
        <w:t xml:space="preserve">The appellant does </w:t>
      </w:r>
      <w:r w:rsidRPr="00D86C62">
        <w:rPr>
          <w:lang w:val="en-CA"/>
        </w:rPr>
        <w:t>not argue that the SIA is retroactive</w:t>
      </w:r>
      <w:r>
        <w:rPr>
          <w:lang w:val="en-CA"/>
        </w:rPr>
        <w:t>. She alleges that the SIA has retrospective effect, since it is of a procedural nature and jurisdiction-granting</w:t>
      </w:r>
      <w:r w:rsidRPr="00D86C62">
        <w:rPr>
          <w:lang w:val="en-CA"/>
        </w:rPr>
        <w:t xml:space="preserve">. </w:t>
      </w:r>
      <w:r>
        <w:rPr>
          <w:lang w:val="en-CA"/>
        </w:rPr>
        <w:t xml:space="preserve">She pleads that </w:t>
      </w:r>
      <w:r w:rsidRPr="00110594">
        <w:rPr>
          <w:lang w:val="en-CA"/>
        </w:rPr>
        <w:t xml:space="preserve">the judge erred by failing to distinguish </w:t>
      </w:r>
      <w:r>
        <w:rPr>
          <w:lang w:val="en-CA"/>
        </w:rPr>
        <w:t>between a retroactive statute and one that applies retrospectively</w:t>
      </w:r>
      <w:r w:rsidR="00232633">
        <w:rPr>
          <w:lang w:val="en-CA"/>
        </w:rPr>
        <w:t>.</w:t>
      </w:r>
    </w:p>
    <w:p w14:paraId="0E23D4D7" w14:textId="77777777" w:rsidR="009214E1" w:rsidRPr="00252A11" w:rsidRDefault="009214E1" w:rsidP="009214E1">
      <w:pPr>
        <w:pStyle w:val="Paragraphe"/>
        <w:spacing w:line="280" w:lineRule="exact"/>
        <w:rPr>
          <w:lang w:val="en-CA"/>
        </w:rPr>
      </w:pPr>
      <w:r w:rsidRPr="00DA1176">
        <w:rPr>
          <w:lang w:val="en-CA"/>
        </w:rPr>
        <w:lastRenderedPageBreak/>
        <w:t xml:space="preserve">For its part, the respondent is of the view that </w:t>
      </w:r>
      <w:r>
        <w:rPr>
          <w:lang w:val="en-CA"/>
        </w:rPr>
        <w:t xml:space="preserve">the judge did not err in this regard. </w:t>
      </w:r>
      <w:r w:rsidRPr="00DA1176">
        <w:rPr>
          <w:lang w:val="en-CA"/>
        </w:rPr>
        <w:t xml:space="preserve">He properly found that the statute is not retroactive with </w:t>
      </w:r>
      <w:r>
        <w:rPr>
          <w:lang w:val="en-CA"/>
        </w:rPr>
        <w:t>respect to the immunity exception for personal or bodily injury</w:t>
      </w:r>
      <w:r w:rsidRPr="00DA1176">
        <w:rPr>
          <w:lang w:val="en-CA"/>
        </w:rPr>
        <w:t xml:space="preserve">. </w:t>
      </w:r>
      <w:r w:rsidRPr="000D1AC5">
        <w:rPr>
          <w:lang w:val="en-CA"/>
        </w:rPr>
        <w:t xml:space="preserve">When Parliament </w:t>
      </w:r>
      <w:r>
        <w:rPr>
          <w:lang w:val="en-CA"/>
        </w:rPr>
        <w:t>intended</w:t>
      </w:r>
      <w:r w:rsidRPr="000D1AC5">
        <w:rPr>
          <w:lang w:val="en-CA"/>
        </w:rPr>
        <w:t xml:space="preserve"> that an exception apply retroactively, it specifically mentioned it, as was the case for the exception </w:t>
      </w:r>
      <w:r>
        <w:rPr>
          <w:lang w:val="en-CA"/>
        </w:rPr>
        <w:t>carved out for</w:t>
      </w:r>
      <w:r w:rsidRPr="000D1AC5">
        <w:rPr>
          <w:lang w:val="en-CA"/>
        </w:rPr>
        <w:t xml:space="preserve"> terrorist activities, which was added to th</w:t>
      </w:r>
      <w:r>
        <w:rPr>
          <w:lang w:val="en-CA"/>
        </w:rPr>
        <w:t>e</w:t>
      </w:r>
      <w:r w:rsidRPr="000D1AC5">
        <w:rPr>
          <w:lang w:val="en-CA"/>
        </w:rPr>
        <w:t xml:space="preserve"> SIA </w:t>
      </w:r>
      <w:r>
        <w:rPr>
          <w:lang w:val="en-CA"/>
        </w:rPr>
        <w:t>in</w:t>
      </w:r>
      <w:r w:rsidRPr="000D1AC5">
        <w:rPr>
          <w:lang w:val="en-CA"/>
        </w:rPr>
        <w:t xml:space="preserve"> 2012, </w:t>
      </w:r>
      <w:r>
        <w:rPr>
          <w:lang w:val="en-CA"/>
        </w:rPr>
        <w:t>but with a retroactive effect for acts committed on or after January 1,</w:t>
      </w:r>
      <w:r w:rsidRPr="000D1AC5">
        <w:rPr>
          <w:lang w:val="en-CA"/>
        </w:rPr>
        <w:t xml:space="preserve"> 1985 (</w:t>
      </w:r>
      <w:r>
        <w:rPr>
          <w:lang w:val="en-CA"/>
        </w:rPr>
        <w:t>s.</w:t>
      </w:r>
      <w:r w:rsidRPr="000D1AC5">
        <w:rPr>
          <w:lang w:val="en-CA"/>
        </w:rPr>
        <w:t xml:space="preserve"> 6.1 SIA). </w:t>
      </w:r>
      <w:r w:rsidRPr="00252A11">
        <w:rPr>
          <w:lang w:val="en-CA"/>
        </w:rPr>
        <w:t xml:space="preserve">Moreover, the respondent argues that the presumption against retrospectivity </w:t>
      </w:r>
      <w:r>
        <w:rPr>
          <w:lang w:val="en-CA"/>
        </w:rPr>
        <w:t>is not rebutted, since the SIA is not merely procedural, but also affects substantive rights</w:t>
      </w:r>
      <w:r w:rsidRPr="00252A11">
        <w:rPr>
          <w:lang w:val="en-CA"/>
        </w:rPr>
        <w:t>.</w:t>
      </w:r>
    </w:p>
    <w:p w14:paraId="0FA906D0" w14:textId="77777777" w:rsidR="009214E1" w:rsidRPr="00DC4B2F" w:rsidRDefault="009214E1" w:rsidP="009214E1">
      <w:pPr>
        <w:pStyle w:val="Paragraphe"/>
        <w:spacing w:line="280" w:lineRule="exact"/>
        <w:rPr>
          <w:lang w:val="en-CA"/>
        </w:rPr>
      </w:pPr>
      <w:bookmarkStart w:id="17" w:name="_Hlk139538522"/>
      <w:r>
        <w:rPr>
          <w:lang w:val="en-CA"/>
        </w:rPr>
        <w:t>The issue of the application of the</w:t>
      </w:r>
      <w:r w:rsidRPr="00DC4B2F">
        <w:rPr>
          <w:lang w:val="en-CA"/>
        </w:rPr>
        <w:t xml:space="preserve"> SIA to facts that occurred before its coming into force, in 1982, </w:t>
      </w:r>
      <w:r>
        <w:rPr>
          <w:lang w:val="en-CA"/>
        </w:rPr>
        <w:t>has not often been addressed by the courts</w:t>
      </w:r>
      <w:r w:rsidRPr="00DC4B2F">
        <w:rPr>
          <w:lang w:val="en-CA"/>
        </w:rPr>
        <w:t xml:space="preserve">. </w:t>
      </w:r>
      <w:r>
        <w:rPr>
          <w:lang w:val="en-CA"/>
        </w:rPr>
        <w:t>This requires an analysis of the</w:t>
      </w:r>
      <w:r w:rsidRPr="00DC4B2F">
        <w:rPr>
          <w:lang w:val="en-CA"/>
        </w:rPr>
        <w:t xml:space="preserve"> rules of statutory interpretation that concern th</w:t>
      </w:r>
      <w:r>
        <w:rPr>
          <w:lang w:val="en-CA"/>
        </w:rPr>
        <w:t>e temporal application of statutes</w:t>
      </w:r>
      <w:r w:rsidRPr="00DC4B2F">
        <w:rPr>
          <w:lang w:val="en-CA"/>
        </w:rPr>
        <w:t>. There</w:t>
      </w:r>
      <w:r>
        <w:rPr>
          <w:lang w:val="en-CA"/>
        </w:rPr>
        <w:t xml:space="preserve"> is a certain confusion as to</w:t>
      </w:r>
      <w:r w:rsidRPr="00DC4B2F">
        <w:rPr>
          <w:lang w:val="en-CA"/>
        </w:rPr>
        <w:t xml:space="preserve"> the interpretation to be given to the different expressions related thereto, i.e.</w:t>
      </w:r>
      <w:r>
        <w:rPr>
          <w:lang w:val="en-CA"/>
        </w:rPr>
        <w:t>,</w:t>
      </w:r>
      <w:r w:rsidRPr="00DC4B2F">
        <w:rPr>
          <w:lang w:val="en-CA"/>
        </w:rPr>
        <w:t xml:space="preserve"> a statute’s retroactive nature, its retrospective nature and, finally, </w:t>
      </w:r>
      <w:bookmarkStart w:id="18" w:name="_Ref139965588"/>
      <w:r>
        <w:rPr>
          <w:lang w:val="en-CA"/>
        </w:rPr>
        <w:t>the</w:t>
      </w:r>
      <w:r w:rsidRPr="00DC4B2F">
        <w:rPr>
          <w:lang w:val="en-CA"/>
        </w:rPr>
        <w:t xml:space="preserve"> immediate effect</w:t>
      </w:r>
      <w:r>
        <w:rPr>
          <w:lang w:val="en-CA"/>
        </w:rPr>
        <w:t xml:space="preserve"> of a purely procedural statute.</w:t>
      </w:r>
      <w:r>
        <w:rPr>
          <w:rStyle w:val="Appelnotedebasdep"/>
        </w:rPr>
        <w:footnoteReference w:id="30"/>
      </w:r>
      <w:bookmarkEnd w:id="18"/>
    </w:p>
    <w:p w14:paraId="627710B5" w14:textId="77777777" w:rsidR="009214E1" w:rsidRPr="00BD76B0" w:rsidRDefault="009214E1" w:rsidP="009214E1">
      <w:pPr>
        <w:pStyle w:val="Paragraphe"/>
        <w:spacing w:line="280" w:lineRule="exact"/>
        <w:rPr>
          <w:lang w:val="en-CA"/>
        </w:rPr>
      </w:pPr>
      <w:r w:rsidRPr="00BD76B0">
        <w:rPr>
          <w:lang w:val="en-CA"/>
        </w:rPr>
        <w:t xml:space="preserve">Professor </w:t>
      </w:r>
      <w:proofErr w:type="spellStart"/>
      <w:r w:rsidRPr="00BD76B0">
        <w:rPr>
          <w:lang w:val="en-CA"/>
        </w:rPr>
        <w:t>Driedger</w:t>
      </w:r>
      <w:proofErr w:type="spellEnd"/>
      <w:r w:rsidRPr="00BD76B0">
        <w:rPr>
          <w:lang w:val="en-CA"/>
        </w:rPr>
        <w:t xml:space="preserve"> </w:t>
      </w:r>
      <w:r>
        <w:rPr>
          <w:lang w:val="en-CA"/>
        </w:rPr>
        <w:t>considered the issue and developed a methodology echoed by Professor</w:t>
      </w:r>
      <w:r w:rsidRPr="00BD76B0">
        <w:rPr>
          <w:lang w:val="en-CA"/>
        </w:rPr>
        <w:t xml:space="preserve"> Sullivan </w:t>
      </w:r>
      <w:r>
        <w:rPr>
          <w:lang w:val="en-CA"/>
        </w:rPr>
        <w:t>in</w:t>
      </w:r>
      <w:r w:rsidRPr="00BD76B0">
        <w:rPr>
          <w:i/>
          <w:iCs/>
          <w:lang w:val="en-CA"/>
        </w:rPr>
        <w:t xml:space="preserve"> The </w:t>
      </w:r>
      <w:r>
        <w:rPr>
          <w:i/>
          <w:iCs/>
          <w:lang w:val="en-CA"/>
        </w:rPr>
        <w:t>C</w:t>
      </w:r>
      <w:r w:rsidRPr="00BD76B0">
        <w:rPr>
          <w:i/>
          <w:iCs/>
          <w:lang w:val="en-CA"/>
        </w:rPr>
        <w:t xml:space="preserve">onstruction of </w:t>
      </w:r>
      <w:r>
        <w:rPr>
          <w:i/>
          <w:iCs/>
          <w:lang w:val="en-CA"/>
        </w:rPr>
        <w:t>S</w:t>
      </w:r>
      <w:r w:rsidRPr="00BD76B0">
        <w:rPr>
          <w:i/>
          <w:iCs/>
          <w:lang w:val="en-CA"/>
        </w:rPr>
        <w:t>tatutes</w:t>
      </w:r>
      <w:r w:rsidRPr="00BD76B0">
        <w:rPr>
          <w:lang w:val="en-CA"/>
        </w:rPr>
        <w:t>. The latter explains</w:t>
      </w:r>
      <w:r>
        <w:rPr>
          <w:lang w:val="en-CA"/>
        </w:rPr>
        <w:t xml:space="preserve"> as follows the distinction between the</w:t>
      </w:r>
      <w:r w:rsidRPr="00BD76B0">
        <w:rPr>
          <w:lang w:val="en-CA"/>
        </w:rPr>
        <w:t xml:space="preserve"> retroactive nature </w:t>
      </w:r>
      <w:r>
        <w:rPr>
          <w:lang w:val="en-CA"/>
        </w:rPr>
        <w:t>and the retrospective nature of a statute</w:t>
      </w:r>
      <w:r w:rsidRPr="00BD76B0">
        <w:rPr>
          <w:lang w:val="en-CA"/>
        </w:rPr>
        <w:t xml:space="preserve">: </w:t>
      </w:r>
    </w:p>
    <w:p w14:paraId="0CC8E3F9" w14:textId="77777777" w:rsidR="009214E1" w:rsidRPr="00540D08" w:rsidRDefault="009214E1" w:rsidP="009214E1">
      <w:pPr>
        <w:pStyle w:val="Citationenretrait"/>
        <w:rPr>
          <w:lang w:val="en-CA"/>
        </w:rPr>
      </w:pPr>
      <w:r w:rsidRPr="00540D08">
        <w:rPr>
          <w:lang w:val="en-CA"/>
        </w:rPr>
        <w:t>A retroactive statute is one that “changes the law from what it was”; it deems new law to be the law applicable to facts that occurred prior to its coming into force. A retrospective statute, by contrast, is prospective but it “attaches new consequences for the future to an event that took place before the statute was enacted”.</w:t>
      </w:r>
      <w:r w:rsidRPr="00540D08">
        <w:rPr>
          <w:vertAlign w:val="superscript"/>
        </w:rPr>
        <w:footnoteReference w:id="31"/>
      </w:r>
    </w:p>
    <w:p w14:paraId="11DE705F" w14:textId="77777777" w:rsidR="009214E1" w:rsidRPr="00692159" w:rsidRDefault="009214E1" w:rsidP="009214E1">
      <w:pPr>
        <w:pStyle w:val="Paragraphe"/>
        <w:spacing w:line="280" w:lineRule="exact"/>
        <w:rPr>
          <w:lang w:val="en-CA"/>
        </w:rPr>
      </w:pPr>
      <w:r w:rsidRPr="00692159">
        <w:rPr>
          <w:lang w:val="en-CA"/>
        </w:rPr>
        <w:t xml:space="preserve">Three presumptions </w:t>
      </w:r>
      <w:r>
        <w:rPr>
          <w:lang w:val="en-CA"/>
        </w:rPr>
        <w:t>arise</w:t>
      </w:r>
      <w:r w:rsidRPr="00692159">
        <w:rPr>
          <w:lang w:val="en-CA"/>
        </w:rPr>
        <w:t xml:space="preserve"> from these</w:t>
      </w:r>
      <w:r>
        <w:rPr>
          <w:lang w:val="en-CA"/>
        </w:rPr>
        <w:t xml:space="preserve"> rules of</w:t>
      </w:r>
      <w:r w:rsidRPr="00692159">
        <w:rPr>
          <w:lang w:val="en-CA"/>
        </w:rPr>
        <w:t xml:space="preserve"> interpreta</w:t>
      </w:r>
      <w:r>
        <w:rPr>
          <w:lang w:val="en-CA"/>
        </w:rPr>
        <w:t>tion</w:t>
      </w:r>
      <w:r w:rsidRPr="00692159">
        <w:rPr>
          <w:lang w:val="en-CA"/>
        </w:rPr>
        <w:t xml:space="preserve">: </w:t>
      </w:r>
      <w:r>
        <w:rPr>
          <w:lang w:val="en-CA"/>
        </w:rPr>
        <w:t>(</w:t>
      </w:r>
      <w:r w:rsidRPr="00692159">
        <w:rPr>
          <w:lang w:val="en-CA"/>
        </w:rPr>
        <w:t xml:space="preserve">1) </w:t>
      </w:r>
      <w:bookmarkStart w:id="19" w:name="_Ref139965715"/>
      <w:r>
        <w:rPr>
          <w:lang w:val="en-CA"/>
        </w:rPr>
        <w:t>laws</w:t>
      </w:r>
      <w:r w:rsidRPr="00692159">
        <w:rPr>
          <w:lang w:val="en-CA"/>
        </w:rPr>
        <w:t xml:space="preserve"> are presumed to be non-retroactive</w:t>
      </w:r>
      <w:r>
        <w:rPr>
          <w:lang w:val="en-CA"/>
        </w:rPr>
        <w:t>;</w:t>
      </w:r>
      <w:r>
        <w:rPr>
          <w:rStyle w:val="Appelnotedebasdep"/>
        </w:rPr>
        <w:footnoteReference w:id="32"/>
      </w:r>
      <w:bookmarkEnd w:id="19"/>
      <w:r w:rsidRPr="00692159">
        <w:rPr>
          <w:lang w:val="en-CA"/>
        </w:rPr>
        <w:t xml:space="preserve"> </w:t>
      </w:r>
      <w:r>
        <w:rPr>
          <w:lang w:val="en-CA"/>
        </w:rPr>
        <w:t>(</w:t>
      </w:r>
      <w:r w:rsidRPr="00692159">
        <w:rPr>
          <w:lang w:val="en-CA"/>
        </w:rPr>
        <w:t xml:space="preserve">2) </w:t>
      </w:r>
      <w:r>
        <w:rPr>
          <w:lang w:val="en-CA"/>
        </w:rPr>
        <w:t>laws are presumed to be non-retrospective;</w:t>
      </w:r>
      <w:r>
        <w:rPr>
          <w:rStyle w:val="Appelnotedebasdep"/>
        </w:rPr>
        <w:footnoteReference w:id="33"/>
      </w:r>
      <w:r w:rsidRPr="00692159">
        <w:rPr>
          <w:lang w:val="en-CA"/>
        </w:rPr>
        <w:t xml:space="preserve"> </w:t>
      </w:r>
      <w:r>
        <w:rPr>
          <w:lang w:val="en-CA"/>
        </w:rPr>
        <w:t>and</w:t>
      </w:r>
      <w:r w:rsidRPr="00692159">
        <w:rPr>
          <w:lang w:val="en-CA"/>
        </w:rPr>
        <w:t xml:space="preserve">, </w:t>
      </w:r>
      <w:r>
        <w:rPr>
          <w:lang w:val="en-CA"/>
        </w:rPr>
        <w:t>finally,</w:t>
      </w:r>
      <w:r w:rsidRPr="00692159">
        <w:rPr>
          <w:lang w:val="en-CA"/>
        </w:rPr>
        <w:t xml:space="preserve"> </w:t>
      </w:r>
      <w:r>
        <w:rPr>
          <w:lang w:val="en-CA"/>
        </w:rPr>
        <w:t>(</w:t>
      </w:r>
      <w:r w:rsidRPr="00692159">
        <w:rPr>
          <w:lang w:val="en-CA"/>
        </w:rPr>
        <w:t xml:space="preserve">3) </w:t>
      </w:r>
      <w:bookmarkStart w:id="20" w:name="_Ref139965934"/>
      <w:r>
        <w:rPr>
          <w:lang w:val="en-CA"/>
        </w:rPr>
        <w:t>purely procedural laws are presumed to apply immediately.</w:t>
      </w:r>
      <w:r>
        <w:rPr>
          <w:rStyle w:val="Appelnotedebasdep"/>
        </w:rPr>
        <w:footnoteReference w:id="34"/>
      </w:r>
      <w:bookmarkEnd w:id="20"/>
    </w:p>
    <w:p w14:paraId="1D89A6BC" w14:textId="77777777" w:rsidR="009214E1" w:rsidRPr="00A7330A" w:rsidRDefault="009214E1" w:rsidP="009214E1">
      <w:pPr>
        <w:pStyle w:val="Paragraphe"/>
        <w:spacing w:line="280" w:lineRule="exact"/>
        <w:rPr>
          <w:lang w:val="en-CA"/>
        </w:rPr>
      </w:pPr>
      <w:r w:rsidRPr="00576737">
        <w:rPr>
          <w:lang w:val="en-CA"/>
        </w:rPr>
        <w:t>Auth</w:t>
      </w:r>
      <w:r>
        <w:rPr>
          <w:lang w:val="en-CA"/>
        </w:rPr>
        <w:t>ors</w:t>
      </w:r>
      <w:r w:rsidRPr="00576737">
        <w:rPr>
          <w:lang w:val="en-CA"/>
        </w:rPr>
        <w:t xml:space="preserve"> Côté</w:t>
      </w:r>
      <w:r>
        <w:rPr>
          <w:lang w:val="en-CA"/>
        </w:rPr>
        <w:t xml:space="preserve"> and</w:t>
      </w:r>
      <w:r w:rsidRPr="00576737">
        <w:rPr>
          <w:lang w:val="en-CA"/>
        </w:rPr>
        <w:t xml:space="preserve"> </w:t>
      </w:r>
      <w:proofErr w:type="spellStart"/>
      <w:r w:rsidRPr="00576737">
        <w:rPr>
          <w:lang w:val="en-CA"/>
        </w:rPr>
        <w:t>Devinat</w:t>
      </w:r>
      <w:proofErr w:type="spellEnd"/>
      <w:r w:rsidRPr="00576737">
        <w:rPr>
          <w:lang w:val="en-CA"/>
        </w:rPr>
        <w:t xml:space="preserve"> </w:t>
      </w:r>
      <w:r>
        <w:rPr>
          <w:lang w:val="en-CA"/>
        </w:rPr>
        <w:t>explain that the presumption against retroactivity</w:t>
      </w:r>
      <w:r w:rsidRPr="00576737">
        <w:rPr>
          <w:lang w:val="en-CA"/>
        </w:rPr>
        <w:t xml:space="preserve"> </w:t>
      </w:r>
      <w:r>
        <w:rPr>
          <w:lang w:val="en-CA"/>
        </w:rPr>
        <w:t>can be rebutted</w:t>
      </w:r>
      <w:r w:rsidRPr="00576737">
        <w:rPr>
          <w:lang w:val="en-CA"/>
        </w:rPr>
        <w:t xml:space="preserve"> </w:t>
      </w:r>
      <w:r>
        <w:rPr>
          <w:lang w:val="en-CA"/>
        </w:rPr>
        <w:t>[</w:t>
      </w:r>
      <w:r w:rsidRPr="009F6FD6">
        <w:rPr>
          <w:smallCaps/>
          <w:lang w:val="en-CA"/>
        </w:rPr>
        <w:t>translation</w:t>
      </w:r>
      <w:r>
        <w:rPr>
          <w:lang w:val="en-CA"/>
        </w:rPr>
        <w:t>] “</w:t>
      </w:r>
      <w:r w:rsidRPr="00576737">
        <w:rPr>
          <w:lang w:val="en-CA"/>
        </w:rPr>
        <w:t>when a new statute applies in such a way as to prescribe the legal regime of facts entirely accomplished prior to its commencement</w:t>
      </w:r>
      <w:bookmarkStart w:id="21" w:name="_Ref139965790"/>
      <w:r>
        <w:rPr>
          <w:lang w:val="en-CA"/>
        </w:rPr>
        <w:t>”.</w:t>
      </w:r>
      <w:r>
        <w:rPr>
          <w:rStyle w:val="Appelnotedebasdep"/>
        </w:rPr>
        <w:footnoteReference w:id="35"/>
      </w:r>
      <w:bookmarkEnd w:id="21"/>
      <w:r w:rsidRPr="00576737">
        <w:rPr>
          <w:lang w:val="en-CA"/>
        </w:rPr>
        <w:t xml:space="preserve"> </w:t>
      </w:r>
      <w:r w:rsidRPr="00A7330A">
        <w:rPr>
          <w:lang w:val="en-CA"/>
        </w:rPr>
        <w:t>They propose the following approach:</w:t>
      </w:r>
    </w:p>
    <w:p w14:paraId="44CE32F1" w14:textId="77777777" w:rsidR="009214E1" w:rsidRPr="008B1011" w:rsidRDefault="009214E1" w:rsidP="009214E1">
      <w:pPr>
        <w:pStyle w:val="Citationenretrait"/>
        <w:spacing w:after="0"/>
        <w:rPr>
          <w:u w:val="single"/>
          <w:lang w:val="en-CA"/>
        </w:rPr>
      </w:pPr>
      <w:r>
        <w:rPr>
          <w:lang w:val="en-CA"/>
        </w:rPr>
        <w:lastRenderedPageBreak/>
        <w:t>[</w:t>
      </w:r>
      <w:r w:rsidRPr="0045114A">
        <w:rPr>
          <w:smallCaps/>
          <w:lang w:val="en-CA"/>
        </w:rPr>
        <w:t>translation</w:t>
      </w:r>
      <w:r>
        <w:rPr>
          <w:lang w:val="en-CA"/>
        </w:rPr>
        <w:t xml:space="preserve">] </w:t>
      </w:r>
      <w:r w:rsidRPr="001B6BBF">
        <w:rPr>
          <w:lang w:val="en-CA"/>
        </w:rPr>
        <w:t xml:space="preserve">The first stage consists of </w:t>
      </w:r>
      <w:r w:rsidRPr="001B6BBF">
        <w:rPr>
          <w:u w:val="single"/>
          <w:lang w:val="en-CA"/>
        </w:rPr>
        <w:t>identifying the legal facts,</w:t>
      </w:r>
      <w:r w:rsidRPr="001B6BBF">
        <w:rPr>
          <w:lang w:val="en-CA"/>
        </w:rPr>
        <w:t xml:space="preserve"> th</w:t>
      </w:r>
      <w:r>
        <w:rPr>
          <w:lang w:val="en-CA"/>
        </w:rPr>
        <w:t>at is, the facts to which are attached legal consequences</w:t>
      </w:r>
      <w:r w:rsidRPr="001B6BBF">
        <w:rPr>
          <w:lang w:val="en-CA"/>
        </w:rPr>
        <w:t xml:space="preserve">. This requires the reconstitution of the legal rule expressed in the text, distinguishing between the facts which will entail the application of the statute and the legal consequences that the statute attributes to the occurrence of these facts. […] </w:t>
      </w:r>
      <w:r w:rsidRPr="001B6BBF">
        <w:rPr>
          <w:b/>
          <w:bCs/>
          <w:lang w:val="en-CA"/>
        </w:rPr>
        <w:t> </w:t>
      </w:r>
      <w:r w:rsidRPr="001B6BBF">
        <w:rPr>
          <w:lang w:val="en-CA"/>
        </w:rPr>
        <w:t xml:space="preserve">The second stage </w:t>
      </w:r>
      <w:r w:rsidRPr="001B6BBF">
        <w:rPr>
          <w:u w:val="single"/>
          <w:lang w:val="en-CA"/>
        </w:rPr>
        <w:t>consists of situating in time the concrete facts</w:t>
      </w:r>
      <w:r w:rsidRPr="001B6BBF">
        <w:rPr>
          <w:lang w:val="en-CA"/>
        </w:rPr>
        <w:t xml:space="preserve"> wh</w:t>
      </w:r>
      <w:r>
        <w:rPr>
          <w:lang w:val="en-CA"/>
        </w:rPr>
        <w:t>ich correspond to the legal facts described hypothetically by the statute</w:t>
      </w:r>
      <w:r w:rsidRPr="001B6BBF">
        <w:rPr>
          <w:lang w:val="en-CA"/>
        </w:rPr>
        <w:t>. These are the facts which generate rights and obligations</w:t>
      </w:r>
      <w:r>
        <w:rPr>
          <w:lang w:val="en-CA"/>
        </w:rPr>
        <w:t>, powers or duties,</w:t>
      </w:r>
      <w:r w:rsidRPr="001B6BBF">
        <w:rPr>
          <w:lang w:val="en-CA"/>
        </w:rPr>
        <w:t xml:space="preserve"> with respect to the legal subject in question. </w:t>
      </w:r>
      <w:r w:rsidRPr="008B1011">
        <w:rPr>
          <w:lang w:val="en-CA"/>
        </w:rPr>
        <w:t xml:space="preserve">[…] </w:t>
      </w:r>
      <w:r w:rsidRPr="008B1011">
        <w:rPr>
          <w:b/>
          <w:bCs/>
          <w:lang w:val="en-CA"/>
        </w:rPr>
        <w:t> </w:t>
      </w:r>
      <w:r w:rsidRPr="008B1011">
        <w:rPr>
          <w:u w:val="single"/>
          <w:lang w:val="en-CA"/>
        </w:rPr>
        <w:t>There is retroactive effect when the new statute defines the legal regime of a fact or group of facts that arose entirely before its commencement</w:t>
      </w:r>
      <w:r w:rsidRPr="009C5C4A">
        <w:rPr>
          <w:lang w:val="en-CA"/>
        </w:rPr>
        <w:t>.</w:t>
      </w:r>
      <w:r w:rsidRPr="009C5C4A">
        <w:rPr>
          <w:vertAlign w:val="superscript"/>
        </w:rPr>
        <w:footnoteReference w:id="36"/>
      </w:r>
    </w:p>
    <w:p w14:paraId="35852DAE" w14:textId="77777777" w:rsidR="009214E1" w:rsidRPr="00C7689A" w:rsidRDefault="009214E1" w:rsidP="009214E1">
      <w:pPr>
        <w:spacing w:after="120"/>
        <w:ind w:left="720" w:right="720"/>
        <w:jc w:val="right"/>
        <w:rPr>
          <w:kern w:val="24"/>
          <w:sz w:val="22"/>
        </w:rPr>
      </w:pPr>
      <w:r>
        <w:rPr>
          <w:kern w:val="24"/>
          <w:sz w:val="22"/>
        </w:rPr>
        <w:t>[Emphasis added]</w:t>
      </w:r>
    </w:p>
    <w:p w14:paraId="513635CA" w14:textId="77777777" w:rsidR="009214E1" w:rsidRPr="005B6C90" w:rsidRDefault="009214E1" w:rsidP="009214E1">
      <w:pPr>
        <w:pStyle w:val="Paragraphe"/>
        <w:spacing w:line="280" w:lineRule="exact"/>
        <w:rPr>
          <w:lang w:val="en-CA"/>
        </w:rPr>
      </w:pPr>
      <w:r w:rsidRPr="008B1011">
        <w:rPr>
          <w:lang w:val="en-CA"/>
        </w:rPr>
        <w:t xml:space="preserve">A statute’s retroactivity may also </w:t>
      </w:r>
      <w:r>
        <w:rPr>
          <w:lang w:val="en-CA"/>
        </w:rPr>
        <w:t>be revealed by the legislator’s explicit</w:t>
      </w:r>
      <w:r w:rsidRPr="008B1011">
        <w:rPr>
          <w:lang w:val="en-CA"/>
        </w:rPr>
        <w:t xml:space="preserve"> or impli</w:t>
      </w:r>
      <w:r>
        <w:rPr>
          <w:lang w:val="en-CA"/>
        </w:rPr>
        <w:t>cit</w:t>
      </w:r>
      <w:r w:rsidRPr="008B1011">
        <w:rPr>
          <w:lang w:val="en-CA"/>
        </w:rPr>
        <w:t xml:space="preserve"> intent</w:t>
      </w:r>
      <w:r>
        <w:rPr>
          <w:lang w:val="en-CA"/>
        </w:rPr>
        <w:t>.</w:t>
      </w:r>
      <w:r>
        <w:rPr>
          <w:rStyle w:val="Appelnotedebasdep"/>
        </w:rPr>
        <w:footnoteReference w:id="37"/>
      </w:r>
      <w:r w:rsidRPr="008B1011">
        <w:rPr>
          <w:lang w:val="en-CA"/>
        </w:rPr>
        <w:t xml:space="preserve"> </w:t>
      </w:r>
      <w:r w:rsidRPr="005B6C90">
        <w:rPr>
          <w:lang w:val="en-CA"/>
        </w:rPr>
        <w:t>It may th</w:t>
      </w:r>
      <w:r>
        <w:rPr>
          <w:lang w:val="en-CA"/>
        </w:rPr>
        <w:t>us</w:t>
      </w:r>
      <w:r w:rsidRPr="005B6C90">
        <w:rPr>
          <w:lang w:val="en-CA"/>
        </w:rPr>
        <w:t xml:space="preserve"> </w:t>
      </w:r>
      <w:r>
        <w:rPr>
          <w:lang w:val="en-CA"/>
        </w:rPr>
        <w:t>be accomplished by clear language in the statute or shown by the statute’s purpose.</w:t>
      </w:r>
      <w:r>
        <w:rPr>
          <w:rStyle w:val="Appelnotedebasdep"/>
        </w:rPr>
        <w:footnoteReference w:id="38"/>
      </w:r>
    </w:p>
    <w:p w14:paraId="27BA6E76" w14:textId="77777777" w:rsidR="009214E1" w:rsidRPr="009B2F3C" w:rsidRDefault="009214E1" w:rsidP="009214E1">
      <w:pPr>
        <w:pStyle w:val="Paragraphe"/>
        <w:spacing w:line="280" w:lineRule="exact"/>
        <w:rPr>
          <w:lang w:val="en-CA"/>
        </w:rPr>
      </w:pPr>
      <w:r w:rsidRPr="003D31CB">
        <w:rPr>
          <w:lang w:val="en-CA"/>
        </w:rPr>
        <w:t xml:space="preserve">The presumption against retrospectivity, for its part, can be rebutted by </w:t>
      </w:r>
      <w:bookmarkStart w:id="23" w:name="_Ref139965770"/>
      <w:r w:rsidRPr="003D31CB">
        <w:rPr>
          <w:lang w:val="en-CA"/>
        </w:rPr>
        <w:t>express language or necessary implication</w:t>
      </w:r>
      <w:r>
        <w:rPr>
          <w:lang w:val="en-CA"/>
        </w:rPr>
        <w:t>.</w:t>
      </w:r>
      <w:r>
        <w:rPr>
          <w:rStyle w:val="Appelnotedebasdep"/>
        </w:rPr>
        <w:footnoteReference w:id="39"/>
      </w:r>
      <w:bookmarkEnd w:id="23"/>
      <w:r w:rsidRPr="003D31CB">
        <w:rPr>
          <w:lang w:val="en-CA"/>
        </w:rPr>
        <w:t xml:space="preserve"> </w:t>
      </w:r>
      <w:r>
        <w:rPr>
          <w:lang w:val="en-CA"/>
        </w:rPr>
        <w:t>This can also be the case “</w:t>
      </w:r>
      <w:r w:rsidRPr="009B2F3C">
        <w:rPr>
          <w:lang w:val="en-CA"/>
        </w:rPr>
        <w:t>if the new prejudicial consequence at issue is designed to protect the public rather than as a punishment for a prior event</w:t>
      </w:r>
      <w:r>
        <w:rPr>
          <w:lang w:val="en-CA"/>
        </w:rPr>
        <w:t>”,</w:t>
      </w:r>
      <w:r>
        <w:rPr>
          <w:rStyle w:val="Appelnotedebasdep"/>
        </w:rPr>
        <w:footnoteReference w:id="40"/>
      </w:r>
      <w:r w:rsidRPr="009B2F3C">
        <w:rPr>
          <w:lang w:val="en-CA"/>
        </w:rPr>
        <w:t xml:space="preserve"> </w:t>
      </w:r>
      <w:r>
        <w:rPr>
          <w:lang w:val="en-CA"/>
        </w:rPr>
        <w:t>“</w:t>
      </w:r>
      <w:r w:rsidRPr="009B2F3C">
        <w:rPr>
          <w:lang w:val="en-CA"/>
        </w:rPr>
        <w:t>provided that legislative intent otherwise supports doing so</w:t>
      </w:r>
      <w:r>
        <w:rPr>
          <w:lang w:val="en-CA"/>
        </w:rPr>
        <w:t>”.</w:t>
      </w:r>
      <w:r>
        <w:rPr>
          <w:rStyle w:val="Appelnotedebasdep"/>
        </w:rPr>
        <w:footnoteReference w:id="41"/>
      </w:r>
      <w:r w:rsidRPr="009B2F3C">
        <w:rPr>
          <w:lang w:val="en-CA"/>
        </w:rPr>
        <w:t xml:space="preserve"> </w:t>
      </w:r>
      <w:r>
        <w:rPr>
          <w:lang w:val="en-CA"/>
        </w:rPr>
        <w:t>Moreover,</w:t>
      </w:r>
      <w:r w:rsidRPr="009B2F3C">
        <w:rPr>
          <w:lang w:val="en-CA"/>
        </w:rPr>
        <w:t xml:space="preserve"> </w:t>
      </w:r>
      <w:r>
        <w:rPr>
          <w:lang w:val="en-CA"/>
        </w:rPr>
        <w:t>“</w:t>
      </w:r>
      <w:r w:rsidRPr="009B2F3C">
        <w:rPr>
          <w:lang w:val="en-CA"/>
        </w:rPr>
        <w:t xml:space="preserve">the design of the penalty itself </w:t>
      </w:r>
      <w:r>
        <w:rPr>
          <w:lang w:val="en-CA"/>
        </w:rPr>
        <w:t xml:space="preserve">[must be such that it] </w:t>
      </w:r>
      <w:r w:rsidRPr="009B2F3C">
        <w:rPr>
          <w:lang w:val="en-CA"/>
        </w:rPr>
        <w:t>signals that Parliament has weighed the benefits of retrospectivity against its potential for unfairness</w:t>
      </w:r>
      <w:r>
        <w:rPr>
          <w:lang w:val="en-CA"/>
        </w:rPr>
        <w:t>”.</w:t>
      </w:r>
      <w:r>
        <w:rPr>
          <w:rStyle w:val="Appelnotedebasdep"/>
        </w:rPr>
        <w:footnoteReference w:id="42"/>
      </w:r>
    </w:p>
    <w:p w14:paraId="362C63CF" w14:textId="77777777" w:rsidR="009214E1" w:rsidRPr="003D31CB" w:rsidRDefault="009214E1" w:rsidP="009214E1">
      <w:pPr>
        <w:pStyle w:val="Paragraphe"/>
        <w:spacing w:line="280" w:lineRule="exact"/>
        <w:rPr>
          <w:lang w:val="en-CA"/>
        </w:rPr>
      </w:pPr>
      <w:r w:rsidRPr="003D31CB">
        <w:rPr>
          <w:lang w:val="en-CA"/>
        </w:rPr>
        <w:t>Finally, the presumption of immediate application applies whe</w:t>
      </w:r>
      <w:r>
        <w:rPr>
          <w:lang w:val="en-CA"/>
        </w:rPr>
        <w:t>n a statute is purely procedural in nature</w:t>
      </w:r>
      <w:r w:rsidRPr="003D31CB">
        <w:rPr>
          <w:lang w:val="en-CA"/>
        </w:rPr>
        <w:t xml:space="preserve">:  </w:t>
      </w:r>
    </w:p>
    <w:p w14:paraId="5FFDC5DA" w14:textId="77777777" w:rsidR="009214E1" w:rsidRPr="009D70F7" w:rsidRDefault="009214E1" w:rsidP="009214E1">
      <w:pPr>
        <w:pStyle w:val="Citationenretrait"/>
        <w:rPr>
          <w:lang w:val="en-CA"/>
        </w:rPr>
      </w:pPr>
      <w:r>
        <w:rPr>
          <w:lang w:val="en-CA"/>
        </w:rPr>
        <w:t>[</w:t>
      </w:r>
      <w:r w:rsidRPr="0045114A">
        <w:rPr>
          <w:smallCaps/>
          <w:lang w:val="en-CA"/>
        </w:rPr>
        <w:t>translation</w:t>
      </w:r>
      <w:r>
        <w:rPr>
          <w:lang w:val="en-CA"/>
        </w:rPr>
        <w:t xml:space="preserve">] </w:t>
      </w:r>
      <w:r w:rsidRPr="009D70F7">
        <w:rPr>
          <w:lang w:val="en-CA"/>
        </w:rPr>
        <w:t xml:space="preserve">Thus, a statute is purely procedural if its application affects only the means of exercising a right. If the application of the statute makes exercise of a right practically impossible, it goes beyond being </w:t>
      </w:r>
      <w:r>
        <w:rPr>
          <w:lang w:val="en-CA"/>
        </w:rPr>
        <w:t>“</w:t>
      </w:r>
      <w:r w:rsidRPr="009D70F7">
        <w:rPr>
          <w:lang w:val="en-CA"/>
        </w:rPr>
        <w:t>purely procedural</w:t>
      </w:r>
      <w:r>
        <w:rPr>
          <w:lang w:val="en-CA"/>
        </w:rPr>
        <w:t>”</w:t>
      </w:r>
      <w:r w:rsidRPr="009D70F7">
        <w:rPr>
          <w:lang w:val="en-CA"/>
        </w:rPr>
        <w:t xml:space="preserve"> and actually affects </w:t>
      </w:r>
      <w:r>
        <w:rPr>
          <w:lang w:val="en-CA"/>
        </w:rPr>
        <w:t>“</w:t>
      </w:r>
      <w:r w:rsidRPr="009D70F7">
        <w:rPr>
          <w:lang w:val="en-CA"/>
        </w:rPr>
        <w:t>substantive rights</w:t>
      </w:r>
      <w:r>
        <w:rPr>
          <w:lang w:val="en-CA"/>
        </w:rPr>
        <w:t>”</w:t>
      </w:r>
      <w:r w:rsidRPr="009D70F7">
        <w:rPr>
          <w:lang w:val="en-CA"/>
        </w:rPr>
        <w:t>.</w:t>
      </w:r>
      <w:r w:rsidRPr="009D70F7">
        <w:rPr>
          <w:vertAlign w:val="superscript"/>
          <w:lang w:val="en-CA"/>
        </w:rPr>
        <w:footnoteReference w:id="43"/>
      </w:r>
    </w:p>
    <w:p w14:paraId="259C2B3E" w14:textId="77777777" w:rsidR="009214E1" w:rsidRPr="00667EBD" w:rsidRDefault="009214E1" w:rsidP="009214E1">
      <w:pPr>
        <w:pStyle w:val="Paragraphe"/>
        <w:spacing w:line="280" w:lineRule="exact"/>
        <w:rPr>
          <w:lang w:val="en-CA"/>
        </w:rPr>
      </w:pPr>
      <w:r w:rsidRPr="00667EBD">
        <w:rPr>
          <w:lang w:val="en-CA"/>
        </w:rPr>
        <w:t>In the case at bar, the</w:t>
      </w:r>
      <w:r>
        <w:rPr>
          <w:lang w:val="en-CA"/>
        </w:rPr>
        <w:t xml:space="preserve"> appellant concedes that s.</w:t>
      </w:r>
      <w:r w:rsidRPr="00667EBD">
        <w:rPr>
          <w:lang w:val="en-CA"/>
        </w:rPr>
        <w:t xml:space="preserve"> 6 SIA </w:t>
      </w:r>
      <w:r>
        <w:rPr>
          <w:lang w:val="en-CA"/>
        </w:rPr>
        <w:t>is not retroactive</w:t>
      </w:r>
      <w:r w:rsidRPr="00667EBD">
        <w:rPr>
          <w:lang w:val="en-CA"/>
        </w:rPr>
        <w:t xml:space="preserve">. Rather, she argues that it has retrospective effect. </w:t>
      </w:r>
      <w:r>
        <w:rPr>
          <w:lang w:val="en-CA"/>
        </w:rPr>
        <w:t>H</w:t>
      </w:r>
      <w:r w:rsidRPr="00667EBD">
        <w:rPr>
          <w:lang w:val="en-CA"/>
        </w:rPr>
        <w:t xml:space="preserve">owever, </w:t>
      </w:r>
      <w:r>
        <w:rPr>
          <w:lang w:val="en-CA"/>
        </w:rPr>
        <w:t xml:space="preserve">it will be helpful </w:t>
      </w:r>
      <w:r w:rsidRPr="00667EBD">
        <w:rPr>
          <w:lang w:val="en-CA"/>
        </w:rPr>
        <w:t>to examine the judge’s reasoning on</w:t>
      </w:r>
      <w:r>
        <w:rPr>
          <w:lang w:val="en-CA"/>
        </w:rPr>
        <w:t xml:space="preserve"> the issue of both the presumption against retroactivity and that against retrospectivity</w:t>
      </w:r>
      <w:r w:rsidRPr="00667EBD">
        <w:rPr>
          <w:lang w:val="en-CA"/>
        </w:rPr>
        <w:t>.</w:t>
      </w:r>
    </w:p>
    <w:bookmarkEnd w:id="17"/>
    <w:p w14:paraId="7333A457" w14:textId="77777777" w:rsidR="009214E1" w:rsidRPr="0017050B" w:rsidRDefault="009214E1" w:rsidP="009214E1">
      <w:pPr>
        <w:pStyle w:val="Paragraphe"/>
        <w:spacing w:line="280" w:lineRule="exact"/>
        <w:rPr>
          <w:lang w:val="en-CA"/>
        </w:rPr>
      </w:pPr>
      <w:r w:rsidRPr="00412E9C">
        <w:rPr>
          <w:lang w:val="en-CA"/>
        </w:rPr>
        <w:lastRenderedPageBreak/>
        <w:t xml:space="preserve">In my </w:t>
      </w:r>
      <w:r>
        <w:rPr>
          <w:lang w:val="en-CA"/>
        </w:rPr>
        <w:t>view</w:t>
      </w:r>
      <w:r w:rsidRPr="00412E9C">
        <w:rPr>
          <w:lang w:val="en-CA"/>
        </w:rPr>
        <w:t xml:space="preserve">, the judge did not err in finding that </w:t>
      </w:r>
      <w:r>
        <w:rPr>
          <w:lang w:val="en-CA"/>
        </w:rPr>
        <w:t>the presumptions against retroactivity and against retrospectivity have not been rebutted</w:t>
      </w:r>
      <w:r w:rsidRPr="00412E9C">
        <w:rPr>
          <w:lang w:val="en-CA"/>
        </w:rPr>
        <w:t xml:space="preserve">. Indeed, nothing in the SIA indicates that that it </w:t>
      </w:r>
      <w:r>
        <w:rPr>
          <w:lang w:val="en-CA"/>
        </w:rPr>
        <w:t>expressly</w:t>
      </w:r>
      <w:r w:rsidRPr="00412E9C">
        <w:rPr>
          <w:lang w:val="en-CA"/>
        </w:rPr>
        <w:t xml:space="preserve"> or imp</w:t>
      </w:r>
      <w:r>
        <w:rPr>
          <w:lang w:val="en-CA"/>
        </w:rPr>
        <w:t>liedly</w:t>
      </w:r>
      <w:r w:rsidRPr="00412E9C">
        <w:rPr>
          <w:lang w:val="en-CA"/>
        </w:rPr>
        <w:t xml:space="preserve"> confers any retroactive or retrospective </w:t>
      </w:r>
      <w:r>
        <w:rPr>
          <w:lang w:val="en-CA"/>
        </w:rPr>
        <w:t>reach to</w:t>
      </w:r>
      <w:r w:rsidRPr="00412E9C">
        <w:rPr>
          <w:lang w:val="en-CA"/>
        </w:rPr>
        <w:t xml:space="preserve"> s</w:t>
      </w:r>
      <w:r>
        <w:rPr>
          <w:lang w:val="en-CA"/>
        </w:rPr>
        <w:t>.</w:t>
      </w:r>
      <w:r w:rsidRPr="00412E9C">
        <w:rPr>
          <w:lang w:val="en-CA"/>
        </w:rPr>
        <w:t xml:space="preserve"> 6 SIA</w:t>
      </w:r>
      <w:r>
        <w:rPr>
          <w:lang w:val="en-CA"/>
        </w:rPr>
        <w:t>,</w:t>
      </w:r>
      <w:r w:rsidRPr="00412E9C">
        <w:rPr>
          <w:lang w:val="en-CA"/>
        </w:rPr>
        <w:t xml:space="preserve"> </w:t>
      </w:r>
      <w:r>
        <w:rPr>
          <w:lang w:val="en-CA"/>
        </w:rPr>
        <w:t xml:space="preserve">which provides an exception to state immunity in the case of </w:t>
      </w:r>
      <w:r w:rsidRPr="0017050B">
        <w:rPr>
          <w:lang w:val="en-CA"/>
        </w:rPr>
        <w:t>personal or bodily injury</w:t>
      </w:r>
      <w:r w:rsidRPr="00412E9C">
        <w:rPr>
          <w:lang w:val="en-CA"/>
        </w:rPr>
        <w:t xml:space="preserve">. </w:t>
      </w:r>
      <w:r w:rsidRPr="0017050B">
        <w:rPr>
          <w:lang w:val="en-CA"/>
        </w:rPr>
        <w:t xml:space="preserve">Moreover, this interpretation has been adopted in a </w:t>
      </w:r>
      <w:r>
        <w:rPr>
          <w:lang w:val="en-CA"/>
        </w:rPr>
        <w:t>number of decisions by Ontario courts</w:t>
      </w:r>
      <w:r w:rsidRPr="0017050B">
        <w:rPr>
          <w:lang w:val="en-CA"/>
        </w:rPr>
        <w:t xml:space="preserve">, </w:t>
      </w:r>
      <w:r>
        <w:rPr>
          <w:lang w:val="en-CA"/>
        </w:rPr>
        <w:t>including the Court of Appeal</w:t>
      </w:r>
      <w:r w:rsidRPr="0017050B">
        <w:rPr>
          <w:lang w:val="en-CA"/>
        </w:rPr>
        <w:t xml:space="preserve">, </w:t>
      </w:r>
      <w:r>
        <w:rPr>
          <w:lang w:val="en-CA"/>
        </w:rPr>
        <w:t>namely</w:t>
      </w:r>
      <w:r w:rsidRPr="0017050B">
        <w:rPr>
          <w:lang w:val="en-CA"/>
        </w:rPr>
        <w:t xml:space="preserve"> </w:t>
      </w:r>
      <w:proofErr w:type="spellStart"/>
      <w:r w:rsidRPr="0017050B">
        <w:rPr>
          <w:i/>
          <w:iCs/>
          <w:lang w:val="en-CA"/>
        </w:rPr>
        <w:t>Carrato</w:t>
      </w:r>
      <w:proofErr w:type="spellEnd"/>
      <w:r>
        <w:rPr>
          <w:lang w:val="en-CA"/>
        </w:rPr>
        <w:t>,</w:t>
      </w:r>
      <w:r w:rsidRPr="00765EBA">
        <w:rPr>
          <w:rStyle w:val="Appelnotedebasdep"/>
        </w:rPr>
        <w:footnoteReference w:id="44"/>
      </w:r>
      <w:r w:rsidRPr="0017050B">
        <w:rPr>
          <w:lang w:val="en-CA"/>
        </w:rPr>
        <w:t xml:space="preserve"> </w:t>
      </w:r>
      <w:r w:rsidRPr="0017050B">
        <w:rPr>
          <w:i/>
          <w:iCs/>
          <w:lang w:val="en-CA"/>
        </w:rPr>
        <w:t>Jaffe</w:t>
      </w:r>
      <w:bookmarkStart w:id="26" w:name="_Ref139965945"/>
      <w:r>
        <w:rPr>
          <w:lang w:val="en-CA"/>
        </w:rPr>
        <w:t>,</w:t>
      </w:r>
      <w:r w:rsidRPr="00765EBA">
        <w:rPr>
          <w:rStyle w:val="Appelnotedebasdep"/>
        </w:rPr>
        <w:footnoteReference w:id="45"/>
      </w:r>
      <w:bookmarkEnd w:id="26"/>
      <w:r w:rsidRPr="0017050B">
        <w:rPr>
          <w:lang w:val="en-CA"/>
        </w:rPr>
        <w:t xml:space="preserve"> </w:t>
      </w:r>
      <w:proofErr w:type="spellStart"/>
      <w:r w:rsidRPr="0017050B">
        <w:rPr>
          <w:i/>
          <w:iCs/>
          <w:lang w:val="en-CA"/>
        </w:rPr>
        <w:t>Trit</w:t>
      </w:r>
      <w:proofErr w:type="spellEnd"/>
      <w:r w:rsidRPr="00765EBA">
        <w:rPr>
          <w:rStyle w:val="Appelnotedebasdep"/>
        </w:rPr>
        <w:footnoteReference w:id="46"/>
      </w:r>
      <w:r w:rsidRPr="0017050B">
        <w:rPr>
          <w:i/>
          <w:iCs/>
          <w:lang w:val="en-CA"/>
        </w:rPr>
        <w:t xml:space="preserve"> </w:t>
      </w:r>
      <w:r>
        <w:rPr>
          <w:lang w:val="en-CA"/>
        </w:rPr>
        <w:t>and, more indirectly</w:t>
      </w:r>
      <w:r w:rsidRPr="0017050B">
        <w:rPr>
          <w:lang w:val="en-CA"/>
        </w:rPr>
        <w:t xml:space="preserve">, </w:t>
      </w:r>
      <w:r w:rsidRPr="0017050B">
        <w:rPr>
          <w:i/>
          <w:iCs/>
          <w:lang w:val="en-CA"/>
        </w:rPr>
        <w:t>Tracy</w:t>
      </w:r>
      <w:bookmarkStart w:id="27" w:name="_Ref139965905"/>
      <w:r>
        <w:rPr>
          <w:lang w:val="en-CA"/>
        </w:rPr>
        <w:t>.</w:t>
      </w:r>
      <w:r w:rsidRPr="00765EBA">
        <w:rPr>
          <w:rStyle w:val="Appelnotedebasdep"/>
          <w:rFonts w:cs="Arial"/>
          <w:color w:val="000000"/>
        </w:rPr>
        <w:footnoteReference w:id="47"/>
      </w:r>
      <w:bookmarkEnd w:id="27"/>
      <w:r w:rsidRPr="0017050B">
        <w:rPr>
          <w:lang w:val="en-CA"/>
        </w:rPr>
        <w:t xml:space="preserve"> It appears that these are the only decisions ad</w:t>
      </w:r>
      <w:r>
        <w:rPr>
          <w:lang w:val="en-CA"/>
        </w:rPr>
        <w:t>d</w:t>
      </w:r>
      <w:r w:rsidRPr="0017050B">
        <w:rPr>
          <w:lang w:val="en-CA"/>
        </w:rPr>
        <w:t>ressing the issue.</w:t>
      </w:r>
      <w:r>
        <w:rPr>
          <w:lang w:val="en-CA"/>
        </w:rPr>
        <w:t xml:space="preserve"> Further, the SIA is not purely procedural in nature and therefore is not of immediate application.</w:t>
      </w:r>
    </w:p>
    <w:p w14:paraId="1F348E00" w14:textId="77777777" w:rsidR="009214E1" w:rsidRPr="00C3474E" w:rsidRDefault="009214E1" w:rsidP="009214E1">
      <w:pPr>
        <w:pStyle w:val="Paragraphe"/>
        <w:spacing w:line="280" w:lineRule="exact"/>
        <w:rPr>
          <w:lang w:val="en-CA"/>
        </w:rPr>
      </w:pPr>
      <w:r>
        <w:rPr>
          <w:lang w:val="en-CA"/>
        </w:rPr>
        <w:t xml:space="preserve">Moreover, s. </w:t>
      </w:r>
      <w:r w:rsidRPr="00211FD3">
        <w:rPr>
          <w:lang w:val="en-CA"/>
        </w:rPr>
        <w:t xml:space="preserve">6.1 (1) SIA provides </w:t>
      </w:r>
      <w:r>
        <w:rPr>
          <w:lang w:val="en-CA"/>
        </w:rPr>
        <w:t>an</w:t>
      </w:r>
      <w:r w:rsidRPr="00211FD3">
        <w:rPr>
          <w:lang w:val="en-CA"/>
        </w:rPr>
        <w:t xml:space="preserve"> example of </w:t>
      </w:r>
      <w:r>
        <w:rPr>
          <w:lang w:val="en-CA"/>
        </w:rPr>
        <w:t>a provision’s</w:t>
      </w:r>
      <w:r w:rsidRPr="00211FD3">
        <w:rPr>
          <w:lang w:val="en-CA"/>
        </w:rPr>
        <w:t xml:space="preserve"> </w:t>
      </w:r>
      <w:r w:rsidRPr="005C59D1">
        <w:rPr>
          <w:lang w:val="en-CA"/>
        </w:rPr>
        <w:t>retrospective effect</w:t>
      </w:r>
      <w:r w:rsidRPr="00211FD3">
        <w:rPr>
          <w:lang w:val="en-CA"/>
        </w:rPr>
        <w:t xml:space="preserve">. </w:t>
      </w:r>
      <w:r w:rsidRPr="00C3474E">
        <w:rPr>
          <w:lang w:val="en-CA"/>
        </w:rPr>
        <w:t xml:space="preserve">Parliament expresses </w:t>
      </w:r>
      <w:r>
        <w:rPr>
          <w:lang w:val="en-CA"/>
        </w:rPr>
        <w:t xml:space="preserve">this </w:t>
      </w:r>
      <w:r w:rsidRPr="00C3474E">
        <w:rPr>
          <w:lang w:val="en-CA"/>
        </w:rPr>
        <w:t xml:space="preserve">clearly: </w:t>
      </w:r>
    </w:p>
    <w:tbl>
      <w:tblPr>
        <w:tblW w:w="9600" w:type="dxa"/>
        <w:tblCellMar>
          <w:left w:w="70" w:type="dxa"/>
          <w:right w:w="70" w:type="dxa"/>
        </w:tblCellMar>
        <w:tblLook w:val="0000" w:firstRow="0" w:lastRow="0" w:firstColumn="0" w:lastColumn="0" w:noHBand="0" w:noVBand="0"/>
      </w:tblPr>
      <w:tblGrid>
        <w:gridCol w:w="4799"/>
        <w:gridCol w:w="4801"/>
      </w:tblGrid>
      <w:tr w:rsidR="009214E1" w:rsidRPr="00123E48" w14:paraId="1B34EDDD" w14:textId="77777777" w:rsidTr="00D80499">
        <w:trPr>
          <w:trHeight w:val="1953"/>
        </w:trPr>
        <w:tc>
          <w:tcPr>
            <w:tcW w:w="4799" w:type="dxa"/>
          </w:tcPr>
          <w:p w14:paraId="3E385B29" w14:textId="77777777" w:rsidR="009214E1" w:rsidRPr="00123E48" w:rsidRDefault="009214E1" w:rsidP="00D80499">
            <w:pPr>
              <w:ind w:left="720" w:right="142"/>
              <w:jc w:val="both"/>
              <w:rPr>
                <w:sz w:val="22"/>
                <w:lang w:val="en-CA"/>
              </w:rPr>
            </w:pPr>
            <w:r w:rsidRPr="00123E48">
              <w:rPr>
                <w:b/>
                <w:bCs/>
                <w:sz w:val="22"/>
                <w:lang w:val="en-CA"/>
              </w:rPr>
              <w:t>6.1 (1)</w:t>
            </w:r>
            <w:r w:rsidRPr="00123E48">
              <w:rPr>
                <w:sz w:val="22"/>
                <w:lang w:val="en-CA"/>
              </w:rPr>
              <w:t xml:space="preserve"> A foreign state that is set out on the list referred to in subsection (2) is not immune from the jurisdiction of a court in proceedings against it for its support of terrorism on or after January 1, 1985.</w:t>
            </w:r>
          </w:p>
        </w:tc>
        <w:tc>
          <w:tcPr>
            <w:tcW w:w="4801" w:type="dxa"/>
          </w:tcPr>
          <w:p w14:paraId="130E0079" w14:textId="77777777" w:rsidR="009214E1" w:rsidRPr="00123E48" w:rsidRDefault="009214E1" w:rsidP="00D80499">
            <w:pPr>
              <w:ind w:left="144" w:right="720"/>
              <w:jc w:val="both"/>
              <w:rPr>
                <w:color w:val="000000" w:themeColor="text1"/>
                <w:sz w:val="22"/>
              </w:rPr>
            </w:pPr>
            <w:r w:rsidRPr="00123E48">
              <w:rPr>
                <w:b/>
                <w:bCs/>
                <w:color w:val="000000" w:themeColor="text1"/>
                <w:sz w:val="22"/>
              </w:rPr>
              <w:t xml:space="preserve">6.1 (1) </w:t>
            </w:r>
            <w:r w:rsidRPr="00123E48">
              <w:rPr>
                <w:rFonts w:ascii="Helvetica" w:hAnsi="Helvetica"/>
                <w:color w:val="000000" w:themeColor="text1"/>
                <w:sz w:val="22"/>
                <w:shd w:val="clear" w:color="auto" w:fill="FFFFFF"/>
              </w:rPr>
              <w:t>L’État étranger inscrit sur la liste visée au paragraphe (2) ne bénéficie pas de l’immunité de juridiction dans les actions intentées contre lui pour avoir soutenu le terrorisme le 1er janvier 1985 ou après cette date.</w:t>
            </w:r>
          </w:p>
        </w:tc>
      </w:tr>
    </w:tbl>
    <w:p w14:paraId="5895EAD6" w14:textId="77777777" w:rsidR="009214E1" w:rsidRPr="00547366" w:rsidRDefault="009214E1" w:rsidP="009214E1">
      <w:pPr>
        <w:pStyle w:val="Paragraphe"/>
        <w:spacing w:line="280" w:lineRule="exact"/>
        <w:rPr>
          <w:lang w:val="en-CA" w:eastAsia="fr-CA"/>
        </w:rPr>
      </w:pPr>
      <w:r>
        <w:rPr>
          <w:lang w:val="en-CA"/>
        </w:rPr>
        <w:t>That provision</w:t>
      </w:r>
      <w:r w:rsidRPr="00123E48">
        <w:rPr>
          <w:lang w:val="en-CA"/>
        </w:rPr>
        <w:t xml:space="preserve">, </w:t>
      </w:r>
      <w:r>
        <w:rPr>
          <w:lang w:val="en-CA"/>
        </w:rPr>
        <w:t>enacted in</w:t>
      </w:r>
      <w:r w:rsidRPr="00123E48">
        <w:rPr>
          <w:lang w:val="en-CA"/>
        </w:rPr>
        <w:t xml:space="preserve"> 2012, </w:t>
      </w:r>
      <w:r>
        <w:rPr>
          <w:lang w:val="en-CA"/>
        </w:rPr>
        <w:t>provides that a state</w:t>
      </w:r>
      <w:r w:rsidRPr="00123E48">
        <w:rPr>
          <w:lang w:val="en-CA"/>
        </w:rPr>
        <w:t xml:space="preserve"> </w:t>
      </w:r>
      <w:r w:rsidRPr="005C59D1">
        <w:rPr>
          <w:lang w:val="en-CA"/>
        </w:rPr>
        <w:t>is not immune in proceedings against it for its support of terrorism</w:t>
      </w:r>
      <w:r w:rsidRPr="00123E48">
        <w:rPr>
          <w:lang w:val="en-CA"/>
        </w:rPr>
        <w:t xml:space="preserve"> on or after January 1, 1985. </w:t>
      </w:r>
      <w:r w:rsidRPr="005C59D1">
        <w:rPr>
          <w:lang w:val="en-CA"/>
        </w:rPr>
        <w:t>It was added to the SIA following the government’s review of the final report of the commission of inquiry into the Air India bombing that occurred on June 23, 1985.</w:t>
      </w:r>
      <w:r w:rsidRPr="005C59D1">
        <w:rPr>
          <w:rStyle w:val="Appelnotedebasdep"/>
        </w:rPr>
        <w:footnoteReference w:id="48"/>
      </w:r>
      <w:r w:rsidRPr="005C59D1">
        <w:rPr>
          <w:lang w:val="en-CA"/>
        </w:rPr>
        <w:t xml:space="preserve"> It reflects a clear legislative intent in that case. It gave that provision a retrospective </w:t>
      </w:r>
      <w:r>
        <w:rPr>
          <w:lang w:val="en-CA"/>
        </w:rPr>
        <w:t>scope</w:t>
      </w:r>
      <w:r w:rsidRPr="00547366">
        <w:rPr>
          <w:lang w:val="en-CA"/>
        </w:rPr>
        <w:t xml:space="preserve">, which is </w:t>
      </w:r>
      <w:r>
        <w:rPr>
          <w:lang w:val="en-CA"/>
        </w:rPr>
        <w:t>not</w:t>
      </w:r>
      <w:r w:rsidRPr="00547366">
        <w:rPr>
          <w:lang w:val="en-CA"/>
        </w:rPr>
        <w:t xml:space="preserve"> </w:t>
      </w:r>
      <w:r>
        <w:rPr>
          <w:lang w:val="en-CA"/>
        </w:rPr>
        <w:t>f</w:t>
      </w:r>
      <w:r w:rsidRPr="00547366">
        <w:rPr>
          <w:lang w:val="en-CA"/>
        </w:rPr>
        <w:t xml:space="preserve">ound </w:t>
      </w:r>
      <w:r>
        <w:rPr>
          <w:lang w:val="en-CA"/>
        </w:rPr>
        <w:t>in s.</w:t>
      </w:r>
      <w:r w:rsidRPr="00547366">
        <w:rPr>
          <w:lang w:val="en-CA"/>
        </w:rPr>
        <w:t xml:space="preserve"> 6 SIA. </w:t>
      </w:r>
      <w:r>
        <w:rPr>
          <w:lang w:val="en-CA"/>
        </w:rPr>
        <w:t>The</w:t>
      </w:r>
      <w:r w:rsidRPr="00547366">
        <w:rPr>
          <w:lang w:val="en-CA"/>
        </w:rPr>
        <w:t xml:space="preserve"> Legislative Summary of Bill S-7, </w:t>
      </w:r>
      <w:r w:rsidRPr="00547366">
        <w:rPr>
          <w:i/>
          <w:iCs/>
          <w:lang w:val="en-CA"/>
        </w:rPr>
        <w:t>An Act to deter terrorism and to amend the State Immunity Act</w:t>
      </w:r>
      <w:r w:rsidRPr="00547366">
        <w:rPr>
          <w:lang w:val="en-CA"/>
        </w:rPr>
        <w:t xml:space="preserve">, </w:t>
      </w:r>
      <w:r>
        <w:rPr>
          <w:lang w:val="en-CA"/>
        </w:rPr>
        <w:t>includes the following passage dealing with the nature of the amendment</w:t>
      </w:r>
      <w:r w:rsidRPr="00547366">
        <w:rPr>
          <w:lang w:val="en-CA"/>
        </w:rPr>
        <w:t>:</w:t>
      </w:r>
    </w:p>
    <w:p w14:paraId="0A5EEC63" w14:textId="77777777" w:rsidR="009214E1" w:rsidRPr="00123E48" w:rsidRDefault="009214E1" w:rsidP="009214E1">
      <w:pPr>
        <w:pStyle w:val="Citationenretrait"/>
        <w:rPr>
          <w:lang w:val="en-CA" w:eastAsia="fr-CA"/>
        </w:rPr>
      </w:pPr>
      <w:r w:rsidRPr="00123E48">
        <w:rPr>
          <w:lang w:val="en-CA" w:eastAsia="fr-CA"/>
        </w:rPr>
        <w:t xml:space="preserve">The time limit applicable to bringing this cause of action also appears to be quite broad. Clause 4(1) is retrospective in scope: it allows victims who have suffered loss or damage as a result of terrorist acts or omissions to bring an action against the perpetrators of such acts or omissions as long as they were committed on or after 1 January 1985 (it is more common for legislation to apply only to actions committed on or after the date when it is enacted). The JVTA is likely designed to operate retrospectively so that families of the victims of the bombing of Air India </w:t>
      </w:r>
      <w:r w:rsidRPr="00123E48">
        <w:rPr>
          <w:lang w:val="en-CA" w:eastAsia="fr-CA"/>
        </w:rPr>
        <w:lastRenderedPageBreak/>
        <w:t>Flight 182, which occurred on 23 June 1985, can potentially benefit from this new cause of action.</w:t>
      </w:r>
      <w:r w:rsidRPr="005B5605">
        <w:rPr>
          <w:vertAlign w:val="superscript"/>
          <w:lang w:eastAsia="fr-CA"/>
        </w:rPr>
        <w:footnoteReference w:id="49"/>
      </w:r>
    </w:p>
    <w:p w14:paraId="769F40DE" w14:textId="77777777" w:rsidR="009214E1" w:rsidRPr="00AA68CD" w:rsidRDefault="009214E1" w:rsidP="009214E1">
      <w:pPr>
        <w:pStyle w:val="Paragraphe"/>
        <w:spacing w:line="280" w:lineRule="exact"/>
        <w:rPr>
          <w:rFonts w:cs="Arial"/>
          <w:color w:val="000000"/>
          <w:lang w:val="en-CA"/>
        </w:rPr>
      </w:pPr>
      <w:r w:rsidRPr="005C59D1">
        <w:rPr>
          <w:lang w:val="en-CA"/>
        </w:rPr>
        <w:t>In the case at bar</w:t>
      </w:r>
      <w:r w:rsidRPr="00F22144">
        <w:rPr>
          <w:lang w:val="en-CA"/>
        </w:rPr>
        <w:t>, the</w:t>
      </w:r>
      <w:r w:rsidRPr="00657374">
        <w:rPr>
          <w:lang w:val="en-CA"/>
        </w:rPr>
        <w:t xml:space="preserve"> judge applied </w:t>
      </w:r>
      <w:r>
        <w:rPr>
          <w:lang w:val="en-CA"/>
        </w:rPr>
        <w:t>the principle of</w:t>
      </w:r>
      <w:r w:rsidRPr="00657374">
        <w:rPr>
          <w:lang w:val="en-CA"/>
        </w:rPr>
        <w:t xml:space="preserve"> </w:t>
      </w:r>
      <w:proofErr w:type="spellStart"/>
      <w:r w:rsidRPr="00657374">
        <w:rPr>
          <w:rFonts w:cs="Arial"/>
          <w:i/>
          <w:iCs/>
          <w:color w:val="000000"/>
          <w:lang w:val="en-CA"/>
        </w:rPr>
        <w:t>expressio</w:t>
      </w:r>
      <w:proofErr w:type="spellEnd"/>
      <w:r w:rsidRPr="00657374">
        <w:rPr>
          <w:rFonts w:cs="Arial"/>
          <w:color w:val="000000"/>
          <w:lang w:val="en-CA"/>
        </w:rPr>
        <w:t xml:space="preserve"> </w:t>
      </w:r>
      <w:proofErr w:type="spellStart"/>
      <w:r w:rsidRPr="00657374">
        <w:rPr>
          <w:rFonts w:cs="Arial"/>
          <w:i/>
          <w:iCs/>
          <w:color w:val="000000"/>
          <w:lang w:val="en-CA"/>
        </w:rPr>
        <w:t>unius</w:t>
      </w:r>
      <w:proofErr w:type="spellEnd"/>
      <w:r w:rsidRPr="00657374">
        <w:rPr>
          <w:rFonts w:cs="Arial"/>
          <w:i/>
          <w:iCs/>
          <w:color w:val="000000"/>
          <w:lang w:val="en-CA"/>
        </w:rPr>
        <w:t xml:space="preserve"> </w:t>
      </w:r>
      <w:proofErr w:type="spellStart"/>
      <w:r w:rsidRPr="00657374">
        <w:rPr>
          <w:rFonts w:cs="Arial"/>
          <w:i/>
          <w:iCs/>
          <w:color w:val="000000"/>
          <w:lang w:val="en-CA"/>
        </w:rPr>
        <w:t>est</w:t>
      </w:r>
      <w:proofErr w:type="spellEnd"/>
      <w:r w:rsidRPr="00657374">
        <w:rPr>
          <w:rFonts w:cs="Arial"/>
          <w:i/>
          <w:iCs/>
          <w:color w:val="000000"/>
          <w:lang w:val="en-CA"/>
        </w:rPr>
        <w:t xml:space="preserve"> </w:t>
      </w:r>
      <w:proofErr w:type="spellStart"/>
      <w:r w:rsidRPr="00657374">
        <w:rPr>
          <w:rFonts w:cs="Arial"/>
          <w:i/>
          <w:iCs/>
          <w:color w:val="000000"/>
          <w:lang w:val="en-CA"/>
        </w:rPr>
        <w:t>exlusio</w:t>
      </w:r>
      <w:proofErr w:type="spellEnd"/>
      <w:r w:rsidRPr="00657374">
        <w:rPr>
          <w:rFonts w:cs="Arial"/>
          <w:i/>
          <w:iCs/>
          <w:color w:val="000000"/>
          <w:lang w:val="en-CA"/>
        </w:rPr>
        <w:t xml:space="preserve"> </w:t>
      </w:r>
      <w:proofErr w:type="spellStart"/>
      <w:r w:rsidRPr="00657374">
        <w:rPr>
          <w:rFonts w:cs="Arial"/>
          <w:i/>
          <w:iCs/>
          <w:color w:val="000000"/>
          <w:lang w:val="en-CA"/>
        </w:rPr>
        <w:t>alterius</w:t>
      </w:r>
      <w:proofErr w:type="spellEnd"/>
      <w:r w:rsidRPr="00F0032B">
        <w:rPr>
          <w:rFonts w:cs="Arial"/>
          <w:color w:val="000000"/>
          <w:vertAlign w:val="superscript"/>
        </w:rPr>
        <w:footnoteReference w:id="50"/>
      </w:r>
      <w:r w:rsidRPr="00657374">
        <w:rPr>
          <w:rFonts w:cs="Arial"/>
          <w:color w:val="000000"/>
          <w:lang w:val="en-CA"/>
        </w:rPr>
        <w:t xml:space="preserve"> </w:t>
      </w:r>
      <w:r>
        <w:rPr>
          <w:rFonts w:cs="Arial"/>
          <w:color w:val="000000"/>
          <w:lang w:val="en-CA"/>
        </w:rPr>
        <w:t>in finding that s.</w:t>
      </w:r>
      <w:r w:rsidRPr="00657374">
        <w:rPr>
          <w:rFonts w:cs="Arial"/>
          <w:color w:val="000000"/>
          <w:lang w:val="en-CA"/>
        </w:rPr>
        <w:t xml:space="preserve"> 6 SIA</w:t>
      </w:r>
      <w:r>
        <w:rPr>
          <w:rFonts w:cs="Arial"/>
          <w:color w:val="000000"/>
          <w:lang w:val="en-CA"/>
        </w:rPr>
        <w:t xml:space="preserve"> did not apply retroactively</w:t>
      </w:r>
      <w:r w:rsidRPr="00657374">
        <w:rPr>
          <w:rFonts w:cs="Arial"/>
          <w:color w:val="000000"/>
          <w:lang w:val="en-CA"/>
        </w:rPr>
        <w:t xml:space="preserve">. </w:t>
      </w:r>
      <w:r>
        <w:rPr>
          <w:rFonts w:cs="Arial"/>
          <w:color w:val="000000"/>
          <w:lang w:val="en-CA"/>
        </w:rPr>
        <w:t>However, c</w:t>
      </w:r>
      <w:r w:rsidRPr="00657374">
        <w:rPr>
          <w:rFonts w:cs="Arial"/>
          <w:color w:val="000000"/>
          <w:lang w:val="en-CA"/>
        </w:rPr>
        <w:t>ourts have often noted that th</w:t>
      </w:r>
      <w:r>
        <w:rPr>
          <w:rFonts w:cs="Arial"/>
          <w:color w:val="000000"/>
          <w:lang w:val="en-CA"/>
        </w:rPr>
        <w:t>is</w:t>
      </w:r>
      <w:r w:rsidRPr="00657374">
        <w:rPr>
          <w:rFonts w:cs="Arial"/>
          <w:color w:val="000000"/>
          <w:lang w:val="en-CA"/>
        </w:rPr>
        <w:t xml:space="preserve"> principle, which</w:t>
      </w:r>
      <w:r>
        <w:rPr>
          <w:rFonts w:cs="Arial"/>
          <w:color w:val="000000"/>
          <w:lang w:val="en-CA"/>
        </w:rPr>
        <w:t xml:space="preserve"> </w:t>
      </w:r>
      <w:r w:rsidRPr="00657374">
        <w:rPr>
          <w:rFonts w:cs="Arial"/>
          <w:color w:val="000000"/>
          <w:lang w:val="en-CA"/>
        </w:rPr>
        <w:t>means “to express one thing implies the exclusion of another”</w:t>
      </w:r>
      <w:r>
        <w:rPr>
          <w:rFonts w:cs="Arial"/>
          <w:color w:val="000000"/>
          <w:lang w:val="en-CA"/>
        </w:rPr>
        <w:t>,</w:t>
      </w:r>
      <w:r w:rsidRPr="00F0032B">
        <w:rPr>
          <w:rFonts w:cs="Arial"/>
          <w:color w:val="000000"/>
          <w:vertAlign w:val="superscript"/>
        </w:rPr>
        <w:footnoteReference w:id="51"/>
      </w:r>
      <w:r w:rsidRPr="00657374">
        <w:rPr>
          <w:rFonts w:cs="Arial"/>
          <w:color w:val="000000"/>
          <w:lang w:val="en-CA"/>
        </w:rPr>
        <w:t xml:space="preserve"> must be applied with cautio</w:t>
      </w:r>
      <w:r>
        <w:rPr>
          <w:rFonts w:cs="Arial"/>
          <w:color w:val="000000"/>
          <w:lang w:val="en-CA"/>
        </w:rPr>
        <w:t>n.</w:t>
      </w:r>
      <w:r w:rsidRPr="00F0032B">
        <w:rPr>
          <w:rFonts w:cs="Arial"/>
          <w:color w:val="000000"/>
          <w:vertAlign w:val="superscript"/>
        </w:rPr>
        <w:footnoteReference w:id="52"/>
      </w:r>
      <w:r w:rsidRPr="00657374">
        <w:rPr>
          <w:rFonts w:cs="Arial"/>
          <w:color w:val="000000"/>
          <w:lang w:val="en-CA"/>
        </w:rPr>
        <w:t xml:space="preserve"> </w:t>
      </w:r>
      <w:r w:rsidRPr="00AA68CD">
        <w:rPr>
          <w:rFonts w:cs="Arial"/>
          <w:color w:val="000000"/>
          <w:lang w:val="en-CA"/>
        </w:rPr>
        <w:t xml:space="preserve">In </w:t>
      </w:r>
      <w:r>
        <w:rPr>
          <w:rFonts w:cs="Arial"/>
          <w:color w:val="000000"/>
          <w:lang w:val="en-CA"/>
        </w:rPr>
        <w:t>the</w:t>
      </w:r>
      <w:r w:rsidRPr="00AA68CD">
        <w:rPr>
          <w:rFonts w:cs="Arial"/>
          <w:color w:val="000000"/>
          <w:lang w:val="en-CA"/>
        </w:rPr>
        <w:t xml:space="preserve"> </w:t>
      </w:r>
      <w:r>
        <w:rPr>
          <w:rFonts w:cs="Arial"/>
          <w:color w:val="000000"/>
          <w:lang w:val="en-CA"/>
        </w:rPr>
        <w:t xml:space="preserve">instant </w:t>
      </w:r>
      <w:r w:rsidRPr="00AA68CD">
        <w:rPr>
          <w:rFonts w:cs="Arial"/>
          <w:color w:val="000000"/>
          <w:lang w:val="en-CA"/>
        </w:rPr>
        <w:t>case, s</w:t>
      </w:r>
      <w:r>
        <w:rPr>
          <w:rFonts w:cs="Arial"/>
          <w:color w:val="000000"/>
          <w:lang w:val="en-CA"/>
        </w:rPr>
        <w:t>.</w:t>
      </w:r>
      <w:r w:rsidRPr="00AA68CD">
        <w:rPr>
          <w:rFonts w:cs="Arial"/>
          <w:color w:val="000000"/>
          <w:lang w:val="en-CA"/>
        </w:rPr>
        <w:t xml:space="preserve"> 6.1 SIA was enacted in the context of the </w:t>
      </w:r>
      <w:r>
        <w:rPr>
          <w:rFonts w:cs="Arial"/>
          <w:color w:val="000000"/>
          <w:lang w:val="en-CA"/>
        </w:rPr>
        <w:t>fight</w:t>
      </w:r>
      <w:r w:rsidRPr="00AA68CD">
        <w:rPr>
          <w:rFonts w:cs="Arial"/>
          <w:color w:val="000000"/>
          <w:lang w:val="en-CA"/>
        </w:rPr>
        <w:t xml:space="preserve"> against terrorism</w:t>
      </w:r>
      <w:r>
        <w:rPr>
          <w:rStyle w:val="Appelnotedebasdep"/>
          <w:rFonts w:cs="Arial"/>
          <w:color w:val="000000"/>
        </w:rPr>
        <w:footnoteReference w:id="53"/>
      </w:r>
      <w:r w:rsidRPr="00AA68CD">
        <w:rPr>
          <w:rFonts w:cs="Arial"/>
          <w:color w:val="000000"/>
          <w:lang w:val="en-CA"/>
        </w:rPr>
        <w:t xml:space="preserve"> and not </w:t>
      </w:r>
      <w:r>
        <w:rPr>
          <w:rFonts w:cs="Arial"/>
          <w:color w:val="000000"/>
          <w:lang w:val="en-CA"/>
        </w:rPr>
        <w:t>pursuant to</w:t>
      </w:r>
      <w:r w:rsidRPr="00AA68CD">
        <w:rPr>
          <w:rFonts w:cs="Arial"/>
          <w:color w:val="000000"/>
          <w:lang w:val="en-CA"/>
        </w:rPr>
        <w:t xml:space="preserve"> a reform of th</w:t>
      </w:r>
      <w:r>
        <w:rPr>
          <w:rFonts w:cs="Arial"/>
          <w:color w:val="000000"/>
          <w:lang w:val="en-CA"/>
        </w:rPr>
        <w:t xml:space="preserve">e law regarding the issue of state immunity, so that the principle relied upon by the judge does not carry the weight that he ascribes to it in determining whether s. </w:t>
      </w:r>
      <w:r w:rsidRPr="00AA68CD">
        <w:rPr>
          <w:rFonts w:cs="Arial"/>
          <w:color w:val="000000"/>
          <w:lang w:val="en-CA"/>
        </w:rPr>
        <w:t xml:space="preserve">6 SIA </w:t>
      </w:r>
      <w:r>
        <w:rPr>
          <w:rFonts w:cs="Arial"/>
          <w:color w:val="000000"/>
          <w:lang w:val="en-CA"/>
        </w:rPr>
        <w:t>is retroactive in scope</w:t>
      </w:r>
      <w:r w:rsidRPr="00AA68CD">
        <w:rPr>
          <w:rFonts w:cs="Arial"/>
          <w:color w:val="000000"/>
          <w:lang w:val="en-CA"/>
        </w:rPr>
        <w:t>. Ho</w:t>
      </w:r>
      <w:r>
        <w:rPr>
          <w:rFonts w:cs="Arial"/>
          <w:color w:val="000000"/>
          <w:lang w:val="en-CA"/>
        </w:rPr>
        <w:t>wever, as</w:t>
      </w:r>
      <w:r w:rsidRPr="00AA68CD">
        <w:rPr>
          <w:rFonts w:cs="Arial"/>
          <w:color w:val="000000"/>
          <w:lang w:val="en-CA"/>
        </w:rPr>
        <w:t xml:space="preserve"> LeBel</w:t>
      </w:r>
      <w:r>
        <w:rPr>
          <w:rFonts w:cs="Arial"/>
          <w:color w:val="000000"/>
          <w:lang w:val="en-CA"/>
        </w:rPr>
        <w:t>,</w:t>
      </w:r>
      <w:r w:rsidRPr="00AA68CD">
        <w:rPr>
          <w:rFonts w:cs="Arial"/>
          <w:color w:val="000000"/>
          <w:lang w:val="en-CA"/>
        </w:rPr>
        <w:t xml:space="preserve"> </w:t>
      </w:r>
      <w:r>
        <w:rPr>
          <w:rFonts w:cs="Arial"/>
          <w:color w:val="000000"/>
          <w:lang w:val="en-CA"/>
        </w:rPr>
        <w:t xml:space="preserve">J. noted in </w:t>
      </w:r>
      <w:proofErr w:type="spellStart"/>
      <w:r w:rsidRPr="00AA68CD">
        <w:rPr>
          <w:rFonts w:cs="Arial"/>
          <w:i/>
          <w:iCs/>
          <w:color w:val="000000"/>
          <w:lang w:val="en-CA"/>
        </w:rPr>
        <w:t>Kazemi</w:t>
      </w:r>
      <w:proofErr w:type="spellEnd"/>
      <w:r w:rsidRPr="00AA68CD">
        <w:rPr>
          <w:rFonts w:cs="Arial"/>
          <w:color w:val="000000"/>
          <w:lang w:val="en-CA"/>
        </w:rPr>
        <w:t xml:space="preserve">, </w:t>
      </w:r>
      <w:r>
        <w:rPr>
          <w:rFonts w:cs="Arial"/>
          <w:color w:val="000000"/>
          <w:lang w:val="en-CA"/>
        </w:rPr>
        <w:t>addressing the</w:t>
      </w:r>
      <w:r w:rsidRPr="00AA68CD">
        <w:rPr>
          <w:rFonts w:cs="Arial"/>
          <w:color w:val="000000"/>
          <w:lang w:val="en-CA"/>
        </w:rPr>
        <w:t xml:space="preserve"> 2012</w:t>
      </w:r>
      <w:r>
        <w:rPr>
          <w:rFonts w:cs="Arial"/>
          <w:color w:val="000000"/>
          <w:lang w:val="en-CA"/>
        </w:rPr>
        <w:t xml:space="preserve"> amendment</w:t>
      </w:r>
      <w:r w:rsidRPr="00AA68CD">
        <w:rPr>
          <w:rFonts w:cs="Arial"/>
          <w:color w:val="000000"/>
          <w:lang w:val="en-CA"/>
        </w:rPr>
        <w:t xml:space="preserve">, </w:t>
      </w:r>
      <w:r>
        <w:rPr>
          <w:rFonts w:cs="Arial"/>
          <w:color w:val="000000"/>
          <w:lang w:val="en-CA"/>
        </w:rPr>
        <w:t>this demonstrates</w:t>
      </w:r>
      <w:r w:rsidRPr="00AA68CD">
        <w:rPr>
          <w:rFonts w:cs="Arial"/>
          <w:color w:val="000000"/>
          <w:lang w:val="en-CA"/>
        </w:rPr>
        <w:t xml:space="preserve"> that Parliament </w:t>
      </w:r>
      <w:r>
        <w:rPr>
          <w:rFonts w:cs="Arial"/>
          <w:color w:val="000000"/>
          <w:lang w:val="en-CA"/>
        </w:rPr>
        <w:t>“</w:t>
      </w:r>
      <w:r w:rsidRPr="00AA68CD">
        <w:rPr>
          <w:rFonts w:cs="Arial"/>
          <w:color w:val="000000"/>
          <w:lang w:val="en-CA"/>
        </w:rPr>
        <w:t>c</w:t>
      </w:r>
      <w:r>
        <w:rPr>
          <w:rFonts w:cs="Arial"/>
          <w:color w:val="000000"/>
          <w:lang w:val="en-CA"/>
        </w:rPr>
        <w:t>a</w:t>
      </w:r>
      <w:r w:rsidRPr="00AA68CD">
        <w:rPr>
          <w:rFonts w:cs="Arial"/>
          <w:color w:val="000000"/>
          <w:lang w:val="en-CA"/>
        </w:rPr>
        <w:t>n and does take active steps to address, and in this case pre-empt, emergent international challenges</w:t>
      </w:r>
      <w:r>
        <w:rPr>
          <w:rFonts w:cs="Arial"/>
          <w:color w:val="000000"/>
          <w:lang w:val="en-CA"/>
        </w:rPr>
        <w:t>”.</w:t>
      </w:r>
      <w:r>
        <w:rPr>
          <w:rStyle w:val="Appelnotedebasdep"/>
          <w:rFonts w:cs="Arial"/>
          <w:color w:val="000000"/>
        </w:rPr>
        <w:footnoteReference w:id="54"/>
      </w:r>
      <w:r w:rsidRPr="00AA68CD">
        <w:rPr>
          <w:rFonts w:cs="Arial"/>
          <w:color w:val="000000"/>
          <w:lang w:val="en-CA"/>
        </w:rPr>
        <w:t xml:space="preserve">  It could have amended s</w:t>
      </w:r>
      <w:r>
        <w:rPr>
          <w:rFonts w:cs="Arial"/>
          <w:color w:val="000000"/>
          <w:lang w:val="en-CA"/>
        </w:rPr>
        <w:t>.</w:t>
      </w:r>
      <w:r w:rsidRPr="00AA68CD">
        <w:rPr>
          <w:rFonts w:cs="Arial"/>
          <w:color w:val="000000"/>
          <w:lang w:val="en-CA"/>
        </w:rPr>
        <w:t xml:space="preserve"> 6 SIA to extend its </w:t>
      </w:r>
      <w:r>
        <w:rPr>
          <w:rFonts w:cs="Arial"/>
          <w:color w:val="000000"/>
          <w:lang w:val="en-CA"/>
        </w:rPr>
        <w:t>reach</w:t>
      </w:r>
      <w:r w:rsidRPr="00AA68CD">
        <w:rPr>
          <w:rFonts w:cs="Arial"/>
          <w:color w:val="000000"/>
          <w:lang w:val="en-CA"/>
        </w:rPr>
        <w:t xml:space="preserve"> and give it retroacti</w:t>
      </w:r>
      <w:r>
        <w:rPr>
          <w:rFonts w:cs="Arial"/>
          <w:color w:val="000000"/>
          <w:lang w:val="en-CA"/>
        </w:rPr>
        <w:t>ve or retrospective scope</w:t>
      </w:r>
      <w:r w:rsidRPr="00AA68CD">
        <w:rPr>
          <w:rFonts w:cs="Arial"/>
          <w:color w:val="000000"/>
          <w:lang w:val="en-CA"/>
        </w:rPr>
        <w:t xml:space="preserve">, </w:t>
      </w:r>
      <w:r>
        <w:rPr>
          <w:rFonts w:cs="Arial"/>
          <w:color w:val="000000"/>
          <w:lang w:val="en-CA"/>
        </w:rPr>
        <w:t>but it did not do so</w:t>
      </w:r>
      <w:r w:rsidRPr="00AA68CD">
        <w:rPr>
          <w:rFonts w:cs="Arial"/>
          <w:color w:val="000000"/>
          <w:lang w:val="en-CA"/>
        </w:rPr>
        <w:t>.</w:t>
      </w:r>
    </w:p>
    <w:p w14:paraId="5688799C" w14:textId="77777777" w:rsidR="009214E1" w:rsidRPr="006D2AE7" w:rsidRDefault="009214E1" w:rsidP="009214E1">
      <w:pPr>
        <w:pStyle w:val="Paragraphe"/>
        <w:spacing w:line="280" w:lineRule="exact"/>
        <w:rPr>
          <w:lang w:val="en-CA"/>
        </w:rPr>
      </w:pPr>
      <w:r>
        <w:rPr>
          <w:lang w:val="en-CA"/>
        </w:rPr>
        <w:t>Turning</w:t>
      </w:r>
      <w:r w:rsidRPr="006D2AE7">
        <w:rPr>
          <w:lang w:val="en-CA"/>
        </w:rPr>
        <w:t xml:space="preserve"> to the presumption again</w:t>
      </w:r>
      <w:r>
        <w:rPr>
          <w:lang w:val="en-CA"/>
        </w:rPr>
        <w:t>st retrospectivity</w:t>
      </w:r>
      <w:r w:rsidRPr="006D2AE7">
        <w:rPr>
          <w:lang w:val="en-CA"/>
        </w:rPr>
        <w:t xml:space="preserve">, </w:t>
      </w:r>
      <w:r>
        <w:rPr>
          <w:lang w:val="en-CA"/>
        </w:rPr>
        <w:t>the judge noted</w:t>
      </w:r>
      <w:r w:rsidRPr="006D2AE7">
        <w:rPr>
          <w:lang w:val="en-CA"/>
        </w:rPr>
        <w:t xml:space="preserve">: </w:t>
      </w:r>
    </w:p>
    <w:p w14:paraId="4CAE4457" w14:textId="77777777" w:rsidR="009214E1" w:rsidRPr="0045090E" w:rsidRDefault="009214E1" w:rsidP="009214E1">
      <w:pPr>
        <w:pStyle w:val="Citationenretrait"/>
        <w:rPr>
          <w:lang w:val="en-CA"/>
        </w:rPr>
      </w:pPr>
      <w:r>
        <w:rPr>
          <w:lang w:val="en-CA"/>
        </w:rPr>
        <w:t>[48]</w:t>
      </w:r>
      <w:r>
        <w:rPr>
          <w:lang w:val="en-CA"/>
        </w:rPr>
        <w:tab/>
        <w:t xml:space="preserve">Both Representative Applicant and the AGC argue that regardless of retroactivity, the </w:t>
      </w:r>
      <w:r w:rsidRPr="0045090E">
        <w:rPr>
          <w:lang w:val="en-CA"/>
        </w:rPr>
        <w:t>SIA is retrospective, intended to apply presently and in the future, by imposing new consequences for the future to both past and future events, such as those at the heart of the proposed class action.</w:t>
      </w:r>
    </w:p>
    <w:p w14:paraId="5480A24F" w14:textId="77777777" w:rsidR="009214E1" w:rsidRPr="0045090E" w:rsidRDefault="009214E1" w:rsidP="009214E1">
      <w:pPr>
        <w:pStyle w:val="Citationenretrait"/>
        <w:rPr>
          <w:lang w:val="en-CA"/>
        </w:rPr>
      </w:pPr>
      <w:r w:rsidRPr="0045090E">
        <w:rPr>
          <w:lang w:val="en-CA"/>
        </w:rPr>
        <w:t>[49]</w:t>
      </w:r>
      <w:r w:rsidRPr="0045090E">
        <w:rPr>
          <w:lang w:val="en-CA"/>
        </w:rPr>
        <w:tab/>
        <w:t>In other words, going forward from the coming into force of the SIA, a foreign state would no longer have the same jurisdictional immunity it may have had in the past.</w:t>
      </w:r>
    </w:p>
    <w:p w14:paraId="65DF8F55" w14:textId="77777777" w:rsidR="009214E1" w:rsidRPr="0045090E" w:rsidRDefault="009214E1" w:rsidP="009214E1">
      <w:pPr>
        <w:pStyle w:val="Citationenretrait"/>
        <w:rPr>
          <w:lang w:val="en-CA"/>
        </w:rPr>
      </w:pPr>
      <w:r w:rsidRPr="0045090E">
        <w:rPr>
          <w:lang w:val="en-CA"/>
        </w:rPr>
        <w:t>[50]</w:t>
      </w:r>
      <w:r w:rsidRPr="0045090E">
        <w:rPr>
          <w:lang w:val="en-CA"/>
        </w:rPr>
        <w:tab/>
        <w:t>The Representative Applicant therefore asserts that the critical date for analysis is the time that the action is filed, not when the events took place which gave rise to the cause of action.</w:t>
      </w:r>
    </w:p>
    <w:p w14:paraId="4C8A9987" w14:textId="77777777" w:rsidR="009214E1" w:rsidRPr="0045090E" w:rsidRDefault="009214E1" w:rsidP="009214E1">
      <w:pPr>
        <w:pStyle w:val="Citationenretrait"/>
        <w:rPr>
          <w:lang w:val="en-CA"/>
        </w:rPr>
      </w:pPr>
      <w:r w:rsidRPr="0045090E">
        <w:rPr>
          <w:lang w:val="en-CA"/>
        </w:rPr>
        <w:t>[51]</w:t>
      </w:r>
      <w:r w:rsidRPr="0045090E">
        <w:rPr>
          <w:lang w:val="en-CA"/>
        </w:rPr>
        <w:tab/>
        <w:t>In this regard, the SIA states clearly that what a foreign state is immune from in Canada is “the jurisdiction” of any domestic court.</w:t>
      </w:r>
    </w:p>
    <w:p w14:paraId="7C30AE39" w14:textId="77777777" w:rsidR="009214E1" w:rsidRPr="0045090E" w:rsidRDefault="009214E1" w:rsidP="009214E1">
      <w:pPr>
        <w:pStyle w:val="Citationenretrait"/>
        <w:rPr>
          <w:lang w:val="en-CA"/>
        </w:rPr>
      </w:pPr>
      <w:r w:rsidRPr="0045090E">
        <w:rPr>
          <w:lang w:val="en-CA"/>
        </w:rPr>
        <w:lastRenderedPageBreak/>
        <w:t>[52]</w:t>
      </w:r>
      <w:r w:rsidRPr="0045090E">
        <w:rPr>
          <w:lang w:val="en-CA"/>
        </w:rPr>
        <w:tab/>
        <w:t xml:space="preserve">As confirmed by the majority of the Supreme Court of Canada in </w:t>
      </w:r>
      <w:proofErr w:type="spellStart"/>
      <w:r w:rsidRPr="00765EBA">
        <w:rPr>
          <w:i/>
          <w:iCs/>
          <w:lang w:val="en-CA"/>
        </w:rPr>
        <w:t>Kazemi</w:t>
      </w:r>
      <w:proofErr w:type="spellEnd"/>
      <w:r w:rsidRPr="0045090E">
        <w:rPr>
          <w:lang w:val="en-CA"/>
        </w:rPr>
        <w:t>, state immunity is “a ‘procedural bar’ which stops domestic courts from exercising jurisdiction over foreign states” and “operates to prohibit national courts from weighing the merits of a claim against a foreign state or its agents”.</w:t>
      </w:r>
    </w:p>
    <w:p w14:paraId="7298CD45" w14:textId="77777777" w:rsidR="009214E1" w:rsidRPr="0045090E" w:rsidRDefault="009214E1" w:rsidP="009214E1">
      <w:pPr>
        <w:pStyle w:val="Citationenretrait"/>
        <w:rPr>
          <w:lang w:val="en-CA"/>
        </w:rPr>
      </w:pPr>
      <w:r w:rsidRPr="0045090E">
        <w:rPr>
          <w:lang w:val="en-CA"/>
        </w:rPr>
        <w:t>[53]</w:t>
      </w:r>
      <w:r w:rsidRPr="0045090E">
        <w:rPr>
          <w:lang w:val="en-CA"/>
        </w:rPr>
        <w:tab/>
        <w:t xml:space="preserve">In </w:t>
      </w:r>
      <w:r w:rsidRPr="00765EBA">
        <w:rPr>
          <w:i/>
          <w:iCs/>
          <w:lang w:val="en-CA"/>
        </w:rPr>
        <w:t>Angus v. Sun Alliance Insurance Co.</w:t>
      </w:r>
      <w:r w:rsidRPr="0045090E">
        <w:rPr>
          <w:lang w:val="en-CA"/>
        </w:rPr>
        <w:t>, the Supreme Court of Canada states that although there exists a presumption to the effect that statutes do not operate with retrospective effect, “procedural provisions” are not subject to that presumption. In other words, argues Representative Applicant, procedural provisions are more likely to be retrospective.</w:t>
      </w:r>
    </w:p>
    <w:p w14:paraId="6B07C6FA" w14:textId="77777777" w:rsidR="009214E1" w:rsidRPr="0045090E" w:rsidRDefault="009214E1" w:rsidP="009214E1">
      <w:pPr>
        <w:pStyle w:val="Citationenretrait"/>
        <w:rPr>
          <w:lang w:val="en-CA"/>
        </w:rPr>
      </w:pPr>
      <w:r w:rsidRPr="0045090E">
        <w:rPr>
          <w:lang w:val="en-CA"/>
        </w:rPr>
        <w:t>[54]</w:t>
      </w:r>
      <w:r w:rsidRPr="0045090E">
        <w:rPr>
          <w:lang w:val="en-CA"/>
        </w:rPr>
        <w:tab/>
        <w:t xml:space="preserve">However, years later, in its 2012 decision in </w:t>
      </w:r>
      <w:r w:rsidRPr="00765EBA">
        <w:rPr>
          <w:i/>
          <w:iCs/>
          <w:lang w:val="en-CA"/>
        </w:rPr>
        <w:t xml:space="preserve">R. v. </w:t>
      </w:r>
      <w:proofErr w:type="spellStart"/>
      <w:r w:rsidRPr="00765EBA">
        <w:rPr>
          <w:i/>
          <w:iCs/>
          <w:lang w:val="en-CA"/>
        </w:rPr>
        <w:t>Dineley</w:t>
      </w:r>
      <w:proofErr w:type="spellEnd"/>
      <w:r w:rsidRPr="0045090E">
        <w:rPr>
          <w:lang w:val="en-CA"/>
        </w:rPr>
        <w:t>, the Supreme Court confirms that the retrospective application of statutory provisions is exceptional and that not all procedural provisions apply retrospectively, stating that the analysis should be based not on whether provisions are procedural or substantive in nature but rather “in discerning whether they affect substantive rights”.</w:t>
      </w:r>
    </w:p>
    <w:p w14:paraId="246948DA" w14:textId="77777777" w:rsidR="009214E1" w:rsidRPr="0045090E" w:rsidRDefault="009214E1" w:rsidP="009214E1">
      <w:pPr>
        <w:pStyle w:val="Citationenretrait"/>
        <w:rPr>
          <w:lang w:val="en-CA"/>
        </w:rPr>
      </w:pPr>
      <w:r w:rsidRPr="0045090E">
        <w:rPr>
          <w:lang w:val="en-CA"/>
        </w:rPr>
        <w:t>[55]</w:t>
      </w:r>
      <w:r w:rsidRPr="0045090E">
        <w:rPr>
          <w:lang w:val="en-CA"/>
        </w:rPr>
        <w:tab/>
        <w:t>The Court then offered same</w:t>
      </w:r>
      <w:r>
        <w:rPr>
          <w:lang w:val="en-CA"/>
        </w:rPr>
        <w:t xml:space="preserve"> [</w:t>
      </w:r>
      <w:r w:rsidRPr="00295924">
        <w:rPr>
          <w:i/>
          <w:iCs/>
          <w:lang w:val="en-CA"/>
        </w:rPr>
        <w:t>sic</w:t>
      </w:r>
      <w:r>
        <w:rPr>
          <w:lang w:val="en-CA"/>
        </w:rPr>
        <w:t>]</w:t>
      </w:r>
      <w:r w:rsidRPr="0045090E">
        <w:rPr>
          <w:lang w:val="en-CA"/>
        </w:rPr>
        <w:t xml:space="preserve"> insight into the question of whether substantive rights are affected by citing the following statement of Justice La Forest in </w:t>
      </w:r>
      <w:r w:rsidRPr="007B0623">
        <w:rPr>
          <w:i/>
          <w:iCs/>
          <w:lang w:val="en-CA"/>
        </w:rPr>
        <w:t>Angus</w:t>
      </w:r>
      <w:r w:rsidRPr="0045090E">
        <w:rPr>
          <w:lang w:val="en-CA"/>
        </w:rPr>
        <w:t>:</w:t>
      </w:r>
    </w:p>
    <w:p w14:paraId="761C998D" w14:textId="77777777" w:rsidR="009214E1" w:rsidRPr="0045090E" w:rsidRDefault="009214E1" w:rsidP="009214E1">
      <w:pPr>
        <w:pStyle w:val="Citationenretrait"/>
        <w:ind w:left="1418" w:right="1424"/>
        <w:rPr>
          <w:lang w:val="en-CA"/>
        </w:rPr>
      </w:pPr>
      <w:r w:rsidRPr="0045090E">
        <w:rPr>
          <w:lang w:val="en-CA"/>
        </w:rPr>
        <w:t>Normally, rules of procedure do not affect the content or existence of an action or defence (or right, obligation, or whatever else is the subject of the legislation), but only the manner of its enforcement or use. […] Alteration of a "mode" of procedure in the conduct of a defence is a very different thing from the removal of the defence entirely.</w:t>
      </w:r>
    </w:p>
    <w:p w14:paraId="423BA591" w14:textId="77777777" w:rsidR="009214E1" w:rsidRPr="0045090E" w:rsidRDefault="009214E1" w:rsidP="009214E1">
      <w:pPr>
        <w:pStyle w:val="Citationenretrait"/>
        <w:rPr>
          <w:lang w:val="en-CA"/>
        </w:rPr>
      </w:pPr>
      <w:r w:rsidRPr="0045090E">
        <w:rPr>
          <w:lang w:val="en-CA"/>
        </w:rPr>
        <w:t>[56]</w:t>
      </w:r>
      <w:r w:rsidRPr="0045090E">
        <w:rPr>
          <w:lang w:val="en-CA"/>
        </w:rPr>
        <w:tab/>
        <w:t xml:space="preserve">In this regard, Justice LeBel of the Supreme Court of Canada, in </w:t>
      </w:r>
      <w:r w:rsidRPr="00765EBA">
        <w:rPr>
          <w:i/>
          <w:iCs/>
          <w:lang w:val="en-CA"/>
        </w:rPr>
        <w:t>Kuwait Airways Corp. v. Iraq</w:t>
      </w:r>
      <w:r w:rsidRPr="0045090E">
        <w:rPr>
          <w:lang w:val="en-CA"/>
        </w:rPr>
        <w:t>, observed that the SIA “is not solely procedural in nature”.</w:t>
      </w:r>
    </w:p>
    <w:p w14:paraId="054B8286" w14:textId="77777777" w:rsidR="009214E1" w:rsidRPr="0045090E" w:rsidRDefault="009214E1" w:rsidP="009214E1">
      <w:pPr>
        <w:pStyle w:val="Citationenretrait"/>
        <w:rPr>
          <w:lang w:val="en-CA"/>
        </w:rPr>
      </w:pPr>
      <w:r w:rsidRPr="0045090E">
        <w:rPr>
          <w:lang w:val="en-CA"/>
        </w:rPr>
        <w:t>[57]</w:t>
      </w:r>
      <w:r w:rsidRPr="0045090E">
        <w:rPr>
          <w:lang w:val="en-CA"/>
        </w:rPr>
        <w:tab/>
        <w:t>Clearly, the application of state immunity or an exclusion thereto is not simply a “mode” of procedure.  Although foreign state immunity is a “procedural bar” in the sense that the court is not to weigh the merits of a claim, the plaintiff’s substantive rights can be completely neutralized, as if they no longer existed. So too the rights of the foreign state if it were to entirely lose its claim to immunity as a result of any stipulated exceptions. It is the existence of the action at law that is directly affected.</w:t>
      </w:r>
    </w:p>
    <w:p w14:paraId="3CDAEFCC" w14:textId="77777777" w:rsidR="009214E1" w:rsidRPr="0045090E" w:rsidRDefault="009214E1" w:rsidP="009214E1">
      <w:pPr>
        <w:pStyle w:val="Citationenretrait"/>
        <w:rPr>
          <w:lang w:val="en-CA"/>
        </w:rPr>
      </w:pPr>
      <w:r w:rsidRPr="0045090E">
        <w:rPr>
          <w:lang w:val="en-CA"/>
        </w:rPr>
        <w:t>[58]</w:t>
      </w:r>
      <w:r w:rsidRPr="0045090E">
        <w:rPr>
          <w:lang w:val="en-CA"/>
        </w:rPr>
        <w:tab/>
        <w:t xml:space="preserve">The Quebec Court of Appeal, in the matter of </w:t>
      </w:r>
      <w:r w:rsidRPr="00765EBA">
        <w:rPr>
          <w:i/>
          <w:iCs/>
          <w:lang w:val="en-CA"/>
        </w:rPr>
        <w:t>Carrier</w:t>
      </w:r>
      <w:r w:rsidRPr="0045090E">
        <w:rPr>
          <w:lang w:val="en-CA"/>
        </w:rPr>
        <w:t xml:space="preserve">, qualified local state immunity at common law as a means of defence. Albeit that that case can clearly be distinguished in various ways, particularly in that it did not involve jurisdictional foreign state immunity and accordingly has a different test as to the how and when </w:t>
      </w:r>
      <w:r w:rsidRPr="0045090E">
        <w:rPr>
          <w:lang w:val="en-CA"/>
        </w:rPr>
        <w:lastRenderedPageBreak/>
        <w:t>of its application, the Court nevertheless refers to it because it demonstrates the substantive importance of immunity by distinguishing it from a simple “mode” of procedure issue.</w:t>
      </w:r>
    </w:p>
    <w:p w14:paraId="362E49E4" w14:textId="77777777" w:rsidR="009214E1" w:rsidRDefault="009214E1" w:rsidP="009214E1">
      <w:pPr>
        <w:pStyle w:val="Citationenretrait"/>
        <w:spacing w:after="0"/>
        <w:rPr>
          <w:lang w:val="en-CA"/>
        </w:rPr>
      </w:pPr>
      <w:r w:rsidRPr="0045090E">
        <w:rPr>
          <w:lang w:val="en-CA"/>
        </w:rPr>
        <w:t>[59]</w:t>
      </w:r>
      <w:r w:rsidRPr="0045090E">
        <w:rPr>
          <w:lang w:val="en-CA"/>
        </w:rPr>
        <w:tab/>
        <w:t>Under the circumstances, the Court concludes that foreign state immunity under the SIA affects substantive rights, that accordingly the presumption against retrospective application applies and that it has not been rebutted in the present case.</w:t>
      </w:r>
      <w:r>
        <w:rPr>
          <w:rStyle w:val="Appelnotedebasdep"/>
        </w:rPr>
        <w:footnoteReference w:id="55"/>
      </w:r>
    </w:p>
    <w:p w14:paraId="28D56F12" w14:textId="77777777" w:rsidR="009214E1" w:rsidRPr="0045090E" w:rsidRDefault="009214E1" w:rsidP="009214E1">
      <w:pPr>
        <w:pStyle w:val="Citationenretrait"/>
        <w:spacing w:before="0"/>
        <w:ind w:left="6523"/>
        <w:rPr>
          <w:lang w:val="en-CA"/>
        </w:rPr>
      </w:pPr>
      <w:r>
        <w:rPr>
          <w:lang w:val="en-CA"/>
        </w:rPr>
        <w:t>[References omitted]</w:t>
      </w:r>
    </w:p>
    <w:p w14:paraId="1F12C4B5" w14:textId="77777777" w:rsidR="009214E1" w:rsidRPr="00F47C89" w:rsidRDefault="009214E1" w:rsidP="009214E1">
      <w:pPr>
        <w:pStyle w:val="Paragraphe"/>
        <w:spacing w:line="280" w:lineRule="exact"/>
        <w:rPr>
          <w:lang w:val="en-CA"/>
        </w:rPr>
      </w:pPr>
      <w:r w:rsidRPr="00533B27">
        <w:rPr>
          <w:lang w:val="en-CA"/>
        </w:rPr>
        <w:t xml:space="preserve">In my view, the judge </w:t>
      </w:r>
      <w:r>
        <w:rPr>
          <w:lang w:val="en-CA"/>
        </w:rPr>
        <w:t>made no</w:t>
      </w:r>
      <w:r w:rsidRPr="00533B27">
        <w:rPr>
          <w:lang w:val="en-CA"/>
        </w:rPr>
        <w:t xml:space="preserve"> error </w:t>
      </w:r>
      <w:r>
        <w:rPr>
          <w:lang w:val="en-CA"/>
        </w:rPr>
        <w:t>on this issue</w:t>
      </w:r>
      <w:r w:rsidRPr="00533B27">
        <w:rPr>
          <w:lang w:val="en-CA"/>
        </w:rPr>
        <w:t xml:space="preserve">. </w:t>
      </w:r>
      <w:r>
        <w:rPr>
          <w:lang w:val="en-CA"/>
        </w:rPr>
        <w:t>The SIA does not have retrospective effect and t</w:t>
      </w:r>
      <w:r w:rsidRPr="00533B27">
        <w:rPr>
          <w:lang w:val="en-CA"/>
        </w:rPr>
        <w:t>he appellant’s argument that the SIA is of a purely procedural na</w:t>
      </w:r>
      <w:r>
        <w:rPr>
          <w:lang w:val="en-CA"/>
        </w:rPr>
        <w:t>ture</w:t>
      </w:r>
      <w:r w:rsidRPr="00533B27">
        <w:rPr>
          <w:lang w:val="en-CA"/>
        </w:rPr>
        <w:t xml:space="preserve">, </w:t>
      </w:r>
      <w:r>
        <w:rPr>
          <w:lang w:val="en-CA"/>
        </w:rPr>
        <w:t>and thus of immediate application</w:t>
      </w:r>
      <w:r w:rsidRPr="00533B27">
        <w:rPr>
          <w:lang w:val="en-CA"/>
        </w:rPr>
        <w:t xml:space="preserve">, </w:t>
      </w:r>
      <w:r>
        <w:rPr>
          <w:lang w:val="en-CA"/>
        </w:rPr>
        <w:t>cannot be sustained</w:t>
      </w:r>
      <w:r w:rsidRPr="00533B27">
        <w:rPr>
          <w:lang w:val="en-CA"/>
        </w:rPr>
        <w:t xml:space="preserve">. </w:t>
      </w:r>
      <w:r>
        <w:rPr>
          <w:lang w:val="en-CA"/>
        </w:rPr>
        <w:t>Indeed, as the judge noted</w:t>
      </w:r>
      <w:r w:rsidRPr="00533B27">
        <w:rPr>
          <w:lang w:val="en-CA"/>
        </w:rPr>
        <w:t xml:space="preserve">, </w:t>
      </w:r>
      <w:r>
        <w:rPr>
          <w:lang w:val="en-CA"/>
        </w:rPr>
        <w:t>the Supreme Court</w:t>
      </w:r>
      <w:r w:rsidRPr="00533B27">
        <w:rPr>
          <w:lang w:val="en-CA"/>
        </w:rPr>
        <w:t xml:space="preserve">, </w:t>
      </w:r>
      <w:r>
        <w:rPr>
          <w:lang w:val="en-CA"/>
        </w:rPr>
        <w:t>in</w:t>
      </w:r>
      <w:r w:rsidRPr="00533B27">
        <w:rPr>
          <w:lang w:val="en-CA"/>
        </w:rPr>
        <w:t xml:space="preserve"> </w:t>
      </w:r>
      <w:r>
        <w:rPr>
          <w:lang w:val="en-CA"/>
        </w:rPr>
        <w:t xml:space="preserve">its decision in </w:t>
      </w:r>
      <w:r w:rsidRPr="00533B27">
        <w:rPr>
          <w:i/>
          <w:iCs/>
          <w:lang w:val="en-CA"/>
        </w:rPr>
        <w:t>R.</w:t>
      </w:r>
      <w:r>
        <w:rPr>
          <w:i/>
          <w:iCs/>
          <w:lang w:val="en-CA"/>
        </w:rPr>
        <w:t> v</w:t>
      </w:r>
      <w:r w:rsidRPr="00533B27">
        <w:rPr>
          <w:i/>
          <w:iCs/>
          <w:lang w:val="en-CA"/>
        </w:rPr>
        <w:t xml:space="preserve">. </w:t>
      </w:r>
      <w:proofErr w:type="spellStart"/>
      <w:r w:rsidRPr="00533B27">
        <w:rPr>
          <w:i/>
          <w:iCs/>
          <w:lang w:val="en-CA"/>
        </w:rPr>
        <w:t>Dineley</w:t>
      </w:r>
      <w:proofErr w:type="spellEnd"/>
      <w:r w:rsidRPr="00533B27">
        <w:rPr>
          <w:lang w:val="en-CA"/>
        </w:rPr>
        <w:t xml:space="preserve">, </w:t>
      </w:r>
      <w:r>
        <w:rPr>
          <w:lang w:val="en-CA"/>
        </w:rPr>
        <w:t>explained that</w:t>
      </w:r>
      <w:r w:rsidRPr="00533B27">
        <w:rPr>
          <w:lang w:val="en-CA"/>
        </w:rPr>
        <w:t xml:space="preserve"> </w:t>
      </w:r>
      <w:r>
        <w:rPr>
          <w:lang w:val="en-CA"/>
        </w:rPr>
        <w:t>“</w:t>
      </w:r>
      <w:r w:rsidRPr="00533B27">
        <w:rPr>
          <w:lang w:val="en-CA"/>
        </w:rPr>
        <w:t>courts have long recognized that the cases in which legislation has retrospective effect must be exceptional</w:t>
      </w:r>
      <w:r>
        <w:rPr>
          <w:lang w:val="en-CA"/>
        </w:rPr>
        <w:t>”.</w:t>
      </w:r>
      <w:r>
        <w:rPr>
          <w:rStyle w:val="Appelnotedebasdep"/>
        </w:rPr>
        <w:footnoteReference w:id="56"/>
      </w:r>
      <w:r w:rsidRPr="00533B27">
        <w:rPr>
          <w:lang w:val="en-CA"/>
        </w:rPr>
        <w:t xml:space="preserve"> </w:t>
      </w:r>
      <w:r w:rsidRPr="00F47C89">
        <w:rPr>
          <w:lang w:val="en-CA"/>
        </w:rPr>
        <w:t>Deschamps</w:t>
      </w:r>
      <w:r>
        <w:rPr>
          <w:lang w:val="en-CA"/>
        </w:rPr>
        <w:t>,</w:t>
      </w:r>
      <w:r w:rsidRPr="00F47C89">
        <w:rPr>
          <w:lang w:val="en-CA"/>
        </w:rPr>
        <w:t xml:space="preserve"> </w:t>
      </w:r>
      <w:r>
        <w:rPr>
          <w:lang w:val="en-CA"/>
        </w:rPr>
        <w:t>J.</w:t>
      </w:r>
      <w:r w:rsidRPr="00F47C89">
        <w:rPr>
          <w:lang w:val="en-CA"/>
        </w:rPr>
        <w:t xml:space="preserve">, </w:t>
      </w:r>
      <w:r>
        <w:rPr>
          <w:lang w:val="en-CA"/>
        </w:rPr>
        <w:t>for the Court</w:t>
      </w:r>
      <w:r w:rsidRPr="00F47C89">
        <w:rPr>
          <w:lang w:val="en-CA"/>
        </w:rPr>
        <w:t xml:space="preserve">, </w:t>
      </w:r>
      <w:r>
        <w:rPr>
          <w:lang w:val="en-CA"/>
        </w:rPr>
        <w:t>added that</w:t>
      </w:r>
      <w:r w:rsidRPr="00F47C89">
        <w:rPr>
          <w:lang w:val="en-CA"/>
        </w:rPr>
        <w:t xml:space="preserve"> </w:t>
      </w:r>
      <w:r>
        <w:rPr>
          <w:lang w:val="en-CA"/>
        </w:rPr>
        <w:t>n</w:t>
      </w:r>
      <w:r w:rsidRPr="00F47C89">
        <w:rPr>
          <w:lang w:val="en-CA"/>
        </w:rPr>
        <w:t>ot all provisions dealing with procedure will have retrospective effect.  That is not the case if the</w:t>
      </w:r>
      <w:r>
        <w:rPr>
          <w:lang w:val="en-CA"/>
        </w:rPr>
        <w:t>y</w:t>
      </w:r>
      <w:r w:rsidRPr="00F47C89">
        <w:rPr>
          <w:lang w:val="en-CA"/>
        </w:rPr>
        <w:t xml:space="preserve"> affect substantive rights:</w:t>
      </w:r>
    </w:p>
    <w:p w14:paraId="2E110BF4" w14:textId="77777777" w:rsidR="009214E1" w:rsidRPr="007927FC" w:rsidRDefault="009214E1" w:rsidP="009214E1">
      <w:pPr>
        <w:pStyle w:val="Citationenretrait"/>
        <w:rPr>
          <w:lang w:val="en-CA"/>
        </w:rPr>
      </w:pPr>
      <w:r w:rsidRPr="007927FC">
        <w:rPr>
          <w:lang w:val="en-CA"/>
        </w:rPr>
        <w:t xml:space="preserve">[11] Not all provisions dealing with procedure will have retrospective effect. Procedural provisions may, in their application, </w:t>
      </w:r>
      <w:bookmarkStart w:id="28" w:name="_Hlk141362346"/>
      <w:r w:rsidRPr="007927FC">
        <w:rPr>
          <w:lang w:val="en-CA"/>
        </w:rPr>
        <w:t>affect substantive rights</w:t>
      </w:r>
      <w:bookmarkEnd w:id="28"/>
      <w:r w:rsidRPr="007927FC">
        <w:rPr>
          <w:lang w:val="en-CA"/>
        </w:rPr>
        <w:t xml:space="preserve">. If they do, they are not purely procedural and do not apply immediately (P.-A. Côté, in collaboration with S. </w:t>
      </w:r>
      <w:proofErr w:type="spellStart"/>
      <w:r w:rsidRPr="007927FC">
        <w:rPr>
          <w:lang w:val="en-CA"/>
        </w:rPr>
        <w:t>Beaulac</w:t>
      </w:r>
      <w:proofErr w:type="spellEnd"/>
      <w:r w:rsidRPr="007927FC">
        <w:rPr>
          <w:lang w:val="en-CA"/>
        </w:rPr>
        <w:t xml:space="preserve"> and M. </w:t>
      </w:r>
      <w:proofErr w:type="spellStart"/>
      <w:r w:rsidRPr="007927FC">
        <w:rPr>
          <w:lang w:val="en-CA"/>
        </w:rPr>
        <w:t>Devinat</w:t>
      </w:r>
      <w:proofErr w:type="spellEnd"/>
      <w:r w:rsidRPr="007927FC">
        <w:rPr>
          <w:lang w:val="en-CA"/>
        </w:rPr>
        <w:t xml:space="preserve">, </w:t>
      </w:r>
      <w:r w:rsidRPr="007927FC">
        <w:rPr>
          <w:i/>
          <w:iCs/>
          <w:lang w:val="en-CA"/>
        </w:rPr>
        <w:t>The Interpretation of Legislation in Canada</w:t>
      </w:r>
      <w:r w:rsidRPr="007927FC">
        <w:rPr>
          <w:lang w:val="en-CA"/>
        </w:rPr>
        <w:t xml:space="preserve"> (4th ed. 2011), at p. 191). Thus, the key task in determining the temporal application of the Amendments at issue in the instant case lies not in labelling the provisions “procedural” or “substantive”, but in discerning whether they affect substantive rights.</w:t>
      </w:r>
      <w:r>
        <w:rPr>
          <w:rStyle w:val="Appelnotedebasdep"/>
        </w:rPr>
        <w:footnoteReference w:id="57"/>
      </w:r>
    </w:p>
    <w:p w14:paraId="5F044BF5" w14:textId="77777777" w:rsidR="009214E1" w:rsidRPr="000103F0" w:rsidRDefault="009214E1" w:rsidP="009214E1">
      <w:pPr>
        <w:pStyle w:val="Paragraphe"/>
        <w:spacing w:line="280" w:lineRule="exact"/>
        <w:rPr>
          <w:lang w:val="en-CA"/>
        </w:rPr>
      </w:pPr>
      <w:r w:rsidRPr="000103F0">
        <w:rPr>
          <w:lang w:val="en-CA"/>
        </w:rPr>
        <w:t xml:space="preserve">Here, the SIA affects substantive rights. Indeed, it affects a defence, namely that of state immunity, </w:t>
      </w:r>
      <w:r>
        <w:rPr>
          <w:lang w:val="en-CA"/>
        </w:rPr>
        <w:t>since before the</w:t>
      </w:r>
      <w:r w:rsidRPr="000103F0">
        <w:rPr>
          <w:lang w:val="en-CA"/>
        </w:rPr>
        <w:t xml:space="preserve"> SIA</w:t>
      </w:r>
      <w:r>
        <w:rPr>
          <w:lang w:val="en-CA"/>
        </w:rPr>
        <w:t xml:space="preserve"> came into effect</w:t>
      </w:r>
      <w:r w:rsidRPr="000103F0">
        <w:rPr>
          <w:lang w:val="en-CA"/>
        </w:rPr>
        <w:t xml:space="preserve">, </w:t>
      </w:r>
      <w:r>
        <w:rPr>
          <w:lang w:val="en-CA"/>
        </w:rPr>
        <w:t>in</w:t>
      </w:r>
      <w:r w:rsidRPr="000103F0">
        <w:rPr>
          <w:lang w:val="en-CA"/>
        </w:rPr>
        <w:t xml:space="preserve"> 1982, </w:t>
      </w:r>
      <w:r>
        <w:rPr>
          <w:lang w:val="en-CA"/>
        </w:rPr>
        <w:t xml:space="preserve">such immunity for </w:t>
      </w:r>
      <w:r w:rsidRPr="000103F0">
        <w:rPr>
          <w:lang w:val="en-CA"/>
        </w:rPr>
        <w:t>personal or bodily injury</w:t>
      </w:r>
      <w:r>
        <w:rPr>
          <w:lang w:val="en-CA"/>
        </w:rPr>
        <w:t xml:space="preserve"> existed</w:t>
      </w:r>
      <w:r w:rsidRPr="000103F0">
        <w:rPr>
          <w:lang w:val="en-CA"/>
        </w:rPr>
        <w:t xml:space="preserve">. The Supreme Court, in </w:t>
      </w:r>
      <w:r w:rsidRPr="000103F0">
        <w:rPr>
          <w:i/>
          <w:iCs/>
          <w:lang w:val="en-CA"/>
        </w:rPr>
        <w:t>Kuwait Airways,</w:t>
      </w:r>
      <w:r w:rsidRPr="000103F0">
        <w:rPr>
          <w:lang w:val="en-CA"/>
        </w:rPr>
        <w:t xml:space="preserve"> mentioned that the SIA </w:t>
      </w:r>
      <w:bookmarkStart w:id="29" w:name="_Ref139966008"/>
      <w:r w:rsidRPr="000103F0">
        <w:rPr>
          <w:lang w:val="en-CA"/>
        </w:rPr>
        <w:t>w</w:t>
      </w:r>
      <w:r>
        <w:rPr>
          <w:lang w:val="en-CA"/>
        </w:rPr>
        <w:t>a</w:t>
      </w:r>
      <w:r w:rsidRPr="000103F0">
        <w:rPr>
          <w:lang w:val="en-CA"/>
        </w:rPr>
        <w:t>s not solely procedural in nature</w:t>
      </w:r>
      <w:r>
        <w:rPr>
          <w:lang w:val="en-CA"/>
        </w:rPr>
        <w:t>.</w:t>
      </w:r>
      <w:r>
        <w:rPr>
          <w:rStyle w:val="Appelnotedebasdep"/>
        </w:rPr>
        <w:footnoteReference w:id="58"/>
      </w:r>
      <w:bookmarkEnd w:id="29"/>
      <w:r w:rsidRPr="000103F0">
        <w:rPr>
          <w:lang w:val="en-CA"/>
        </w:rPr>
        <w:t xml:space="preserve"> </w:t>
      </w:r>
    </w:p>
    <w:p w14:paraId="42E2D84F" w14:textId="77777777" w:rsidR="009214E1" w:rsidRPr="00B26DD3" w:rsidRDefault="009214E1" w:rsidP="009214E1">
      <w:pPr>
        <w:pStyle w:val="Paragraphe"/>
        <w:spacing w:line="280" w:lineRule="exact"/>
        <w:rPr>
          <w:lang w:val="en-CA"/>
        </w:rPr>
      </w:pPr>
      <w:r w:rsidRPr="00B26DD3">
        <w:rPr>
          <w:lang w:val="en-CA"/>
        </w:rPr>
        <w:t xml:space="preserve">Moreover, as </w:t>
      </w:r>
      <w:r>
        <w:rPr>
          <w:lang w:val="en-CA"/>
        </w:rPr>
        <w:t>mentioned</w:t>
      </w:r>
      <w:r w:rsidRPr="00B26DD3">
        <w:rPr>
          <w:lang w:val="en-CA"/>
        </w:rPr>
        <w:t xml:space="preserve"> above, </w:t>
      </w:r>
      <w:r>
        <w:rPr>
          <w:lang w:val="en-CA"/>
        </w:rPr>
        <w:t xml:space="preserve">the </w:t>
      </w:r>
      <w:r w:rsidRPr="00B26DD3">
        <w:rPr>
          <w:lang w:val="en-CA"/>
        </w:rPr>
        <w:t xml:space="preserve">Canadian </w:t>
      </w:r>
      <w:r>
        <w:rPr>
          <w:lang w:val="en-CA"/>
        </w:rPr>
        <w:t>c</w:t>
      </w:r>
      <w:r w:rsidRPr="00B26DD3">
        <w:rPr>
          <w:lang w:val="en-CA"/>
        </w:rPr>
        <w:t xml:space="preserve">ourts </w:t>
      </w:r>
      <w:r>
        <w:rPr>
          <w:lang w:val="en-CA"/>
        </w:rPr>
        <w:t>that</w:t>
      </w:r>
      <w:r w:rsidRPr="00B26DD3">
        <w:rPr>
          <w:lang w:val="en-CA"/>
        </w:rPr>
        <w:t xml:space="preserve"> have addressed the issue </w:t>
      </w:r>
      <w:r>
        <w:rPr>
          <w:lang w:val="en-CA"/>
        </w:rPr>
        <w:t xml:space="preserve">have </w:t>
      </w:r>
      <w:r w:rsidRPr="00B26DD3">
        <w:rPr>
          <w:lang w:val="en-CA"/>
        </w:rPr>
        <w:t>all concluded that th</w:t>
      </w:r>
      <w:r>
        <w:rPr>
          <w:lang w:val="en-CA"/>
        </w:rPr>
        <w:t>e</w:t>
      </w:r>
      <w:r w:rsidRPr="00B26DD3">
        <w:rPr>
          <w:lang w:val="en-CA"/>
        </w:rPr>
        <w:t xml:space="preserve"> SIA </w:t>
      </w:r>
      <w:r>
        <w:rPr>
          <w:lang w:val="en-CA"/>
        </w:rPr>
        <w:t>does not apply when the impugned conduct took place prior to its coming into force</w:t>
      </w:r>
      <w:r w:rsidRPr="00B26DD3">
        <w:rPr>
          <w:lang w:val="en-CA"/>
        </w:rPr>
        <w:t xml:space="preserve">, </w:t>
      </w:r>
      <w:r>
        <w:rPr>
          <w:lang w:val="en-CA"/>
        </w:rPr>
        <w:t>in</w:t>
      </w:r>
      <w:r w:rsidRPr="00B26DD3">
        <w:rPr>
          <w:lang w:val="en-CA"/>
        </w:rPr>
        <w:t xml:space="preserve"> 1982. In </w:t>
      </w:r>
      <w:r w:rsidRPr="00B26DD3">
        <w:rPr>
          <w:i/>
          <w:iCs/>
          <w:lang w:val="en-CA"/>
        </w:rPr>
        <w:t>Jaffe</w:t>
      </w:r>
      <w:r w:rsidRPr="00B26DD3">
        <w:rPr>
          <w:lang w:val="en-CA"/>
        </w:rPr>
        <w:t>,</w:t>
      </w:r>
      <w:r w:rsidRPr="00B26DD3">
        <w:rPr>
          <w:i/>
          <w:iCs/>
          <w:lang w:val="en-CA"/>
        </w:rPr>
        <w:t xml:space="preserve"> </w:t>
      </w:r>
      <w:r w:rsidRPr="00B26DD3">
        <w:rPr>
          <w:lang w:val="en-CA"/>
        </w:rPr>
        <w:t xml:space="preserve">a decision of the </w:t>
      </w:r>
      <w:r>
        <w:rPr>
          <w:lang w:val="en-CA"/>
        </w:rPr>
        <w:t xml:space="preserve">Ontario </w:t>
      </w:r>
      <w:r w:rsidRPr="00B26DD3">
        <w:rPr>
          <w:lang w:val="en-CA"/>
        </w:rPr>
        <w:t xml:space="preserve">Court of Appeal, it </w:t>
      </w:r>
      <w:r>
        <w:rPr>
          <w:lang w:val="en-CA"/>
        </w:rPr>
        <w:t>w</w:t>
      </w:r>
      <w:r w:rsidRPr="00B26DD3">
        <w:rPr>
          <w:lang w:val="en-CA"/>
        </w:rPr>
        <w:t>as determined that the exception provided in s</w:t>
      </w:r>
      <w:r>
        <w:rPr>
          <w:lang w:val="en-CA"/>
        </w:rPr>
        <w:t>.</w:t>
      </w:r>
      <w:r w:rsidRPr="00B26DD3">
        <w:rPr>
          <w:lang w:val="en-CA"/>
        </w:rPr>
        <w:t xml:space="preserve"> 6 SIA di</w:t>
      </w:r>
      <w:r>
        <w:rPr>
          <w:lang w:val="en-CA"/>
        </w:rPr>
        <w:t xml:space="preserve">d not apply because, </w:t>
      </w:r>
      <w:r w:rsidRPr="00FF24DE">
        <w:rPr>
          <w:i/>
          <w:iCs/>
          <w:lang w:val="en-CA"/>
        </w:rPr>
        <w:t>inter alia</w:t>
      </w:r>
      <w:r>
        <w:rPr>
          <w:lang w:val="en-CA"/>
        </w:rPr>
        <w:t>,</w:t>
      </w:r>
      <w:r w:rsidRPr="00B26DD3">
        <w:rPr>
          <w:lang w:val="en-CA"/>
        </w:rPr>
        <w:t xml:space="preserve"> </w:t>
      </w:r>
      <w:r>
        <w:rPr>
          <w:lang w:val="en-CA"/>
        </w:rPr>
        <w:t>the actions that caused the injuries had taken place before its coming into force</w:t>
      </w:r>
      <w:r w:rsidRPr="00B26DD3">
        <w:rPr>
          <w:lang w:val="en-CA"/>
        </w:rPr>
        <w:t xml:space="preserve">. </w:t>
      </w:r>
      <w:r>
        <w:rPr>
          <w:lang w:val="en-CA"/>
        </w:rPr>
        <w:t>The Court explained</w:t>
      </w:r>
      <w:r w:rsidRPr="00B26DD3">
        <w:rPr>
          <w:lang w:val="en-CA"/>
        </w:rPr>
        <w:t xml:space="preserve">: </w:t>
      </w:r>
    </w:p>
    <w:p w14:paraId="13913488" w14:textId="77777777" w:rsidR="009214E1" w:rsidRPr="001717BE" w:rsidRDefault="009214E1" w:rsidP="009214E1">
      <w:pPr>
        <w:pStyle w:val="Citationenretrait"/>
        <w:rPr>
          <w:lang w:val="en-CA"/>
        </w:rPr>
      </w:pPr>
      <w:r>
        <w:rPr>
          <w:color w:val="000000"/>
          <w:lang w:val="en-CA"/>
        </w:rPr>
        <w:lastRenderedPageBreak/>
        <w:t xml:space="preserve">[53] </w:t>
      </w:r>
      <w:r w:rsidRPr="001717BE">
        <w:rPr>
          <w:color w:val="000000"/>
          <w:lang w:val="en-CA"/>
        </w:rPr>
        <w:t xml:space="preserve">Since it is conceded that personal injuries were not excepted from state immunity at common law, the appellants must come within the </w:t>
      </w:r>
      <w:r w:rsidRPr="00705454">
        <w:rPr>
          <w:color w:val="000000"/>
          <w:lang w:val="en-CA"/>
        </w:rPr>
        <w:t>State Immunity Act</w:t>
      </w:r>
      <w:r w:rsidRPr="001717BE">
        <w:rPr>
          <w:color w:val="000000"/>
          <w:lang w:val="en-CA"/>
        </w:rPr>
        <w:t xml:space="preserve"> to succeed. Counsel for the appellants submitted that Sutherland J. was wrong in holding that s. 6 of the Act had no application because the alleged kidnapping and personal injury to the appellant</w:t>
      </w:r>
      <w:r>
        <w:rPr>
          <w:color w:val="000000"/>
          <w:lang w:val="en-CA"/>
        </w:rPr>
        <w:t xml:space="preserve"> </w:t>
      </w:r>
      <w:r w:rsidRPr="001717BE">
        <w:rPr>
          <w:rStyle w:val="solexhl"/>
          <w:color w:val="000000"/>
          <w:lang w:val="en-CA"/>
        </w:rPr>
        <w:t>Jaffe</w:t>
      </w:r>
      <w:r>
        <w:rPr>
          <w:color w:val="000000"/>
          <w:lang w:val="en-CA"/>
        </w:rPr>
        <w:t xml:space="preserve"> </w:t>
      </w:r>
      <w:r w:rsidRPr="001717BE">
        <w:rPr>
          <w:color w:val="000000"/>
          <w:lang w:val="en-CA"/>
        </w:rPr>
        <w:t xml:space="preserve">took place prior to the </w:t>
      </w:r>
      <w:r w:rsidRPr="00705454">
        <w:rPr>
          <w:color w:val="000000"/>
          <w:lang w:val="en-CA"/>
        </w:rPr>
        <w:t>Act</w:t>
      </w:r>
      <w:r w:rsidRPr="001717BE">
        <w:rPr>
          <w:color w:val="000000"/>
          <w:lang w:val="en-CA"/>
        </w:rPr>
        <w:t xml:space="preserve"> coming into force. Her first argument was that the immunity of a foreign state took effect only when it was claimed and was subject to whatever rules that were applicable at that time. She could provide no authority for this proposition and it flies in the face of s. 3(1) and (2) of the Act set out above. It is clear from these subsections that a foreign state is immune from the jurisdiction of any court in Canada and that in any proceedings the court shall give effect to this immunity notwithstanding that the state has failed to take any step in the proceedings. The immunity attaches when the foreign state is permitted to exercise a presence in the host country and is subject to whatever terms are recognized at the time of such entry. The entry alleged in the case on appeal occurred in September of 1981 when the alleged kidnapping took place in Toronto. Accordingly, the appellants are not entitled to rely upon exceptions legislated after the date upon which this tort is said to have occurred.</w:t>
      </w:r>
      <w:r>
        <w:rPr>
          <w:rStyle w:val="Appelnotedebasdep"/>
          <w:color w:val="000000"/>
        </w:rPr>
        <w:footnoteReference w:id="59"/>
      </w:r>
    </w:p>
    <w:p w14:paraId="4498F31D" w14:textId="77777777" w:rsidR="009214E1" w:rsidRPr="00267A94" w:rsidRDefault="009214E1" w:rsidP="009214E1">
      <w:pPr>
        <w:pStyle w:val="Paragraphe"/>
        <w:spacing w:line="280" w:lineRule="exact"/>
        <w:rPr>
          <w:lang w:val="en-CA"/>
        </w:rPr>
      </w:pPr>
      <w:r w:rsidRPr="00267A94">
        <w:rPr>
          <w:lang w:val="en-CA"/>
        </w:rPr>
        <w:t xml:space="preserve">In the case at bar, the </w:t>
      </w:r>
      <w:r>
        <w:rPr>
          <w:lang w:val="en-CA"/>
        </w:rPr>
        <w:t>alleged facts</w:t>
      </w:r>
      <w:r w:rsidRPr="00267A94">
        <w:rPr>
          <w:lang w:val="en-CA"/>
        </w:rPr>
        <w:t>, namely the treatments administered by Dr</w:t>
      </w:r>
      <w:r>
        <w:rPr>
          <w:lang w:val="en-CA"/>
        </w:rPr>
        <w:t>. </w:t>
      </w:r>
      <w:r w:rsidRPr="00267A94">
        <w:rPr>
          <w:lang w:val="en-CA"/>
        </w:rPr>
        <w:t>Cameron wi</w:t>
      </w:r>
      <w:r>
        <w:rPr>
          <w:lang w:val="en-CA"/>
        </w:rPr>
        <w:t>th the financial support of the</w:t>
      </w:r>
      <w:r w:rsidRPr="00267A94">
        <w:rPr>
          <w:lang w:val="en-CA"/>
        </w:rPr>
        <w:t xml:space="preserve"> CIA, </w:t>
      </w:r>
      <w:r>
        <w:rPr>
          <w:lang w:val="en-CA"/>
        </w:rPr>
        <w:t>took place well before the coming into force of the</w:t>
      </w:r>
      <w:r w:rsidRPr="00267A94">
        <w:rPr>
          <w:lang w:val="en-CA"/>
        </w:rPr>
        <w:t xml:space="preserve"> SIA, </w:t>
      </w:r>
      <w:r>
        <w:rPr>
          <w:lang w:val="en-CA"/>
        </w:rPr>
        <w:t>i</w:t>
      </w:r>
      <w:r w:rsidRPr="00267A94">
        <w:rPr>
          <w:lang w:val="en-CA"/>
        </w:rPr>
        <w:t>n 1982. The exception to state immunity, found at s</w:t>
      </w:r>
      <w:r>
        <w:rPr>
          <w:lang w:val="en-CA"/>
        </w:rPr>
        <w:t>.</w:t>
      </w:r>
      <w:r w:rsidRPr="00267A94">
        <w:rPr>
          <w:lang w:val="en-CA"/>
        </w:rPr>
        <w:t xml:space="preserve"> 6 SIA</w:t>
      </w:r>
      <w:r>
        <w:rPr>
          <w:lang w:val="en-CA"/>
        </w:rPr>
        <w:t>,</w:t>
      </w:r>
      <w:r w:rsidRPr="00267A94">
        <w:rPr>
          <w:lang w:val="en-CA"/>
        </w:rPr>
        <w:t xml:space="preserve"> does not</w:t>
      </w:r>
      <w:r>
        <w:rPr>
          <w:lang w:val="en-CA"/>
        </w:rPr>
        <w:t xml:space="preserve"> apply since the statute has no retroactive or retrospective effect</w:t>
      </w:r>
      <w:r w:rsidRPr="00267A94">
        <w:rPr>
          <w:lang w:val="en-CA"/>
        </w:rPr>
        <w:t xml:space="preserve">. </w:t>
      </w:r>
    </w:p>
    <w:p w14:paraId="3AB371BB" w14:textId="77777777" w:rsidR="009214E1" w:rsidRPr="00FA1A07" w:rsidRDefault="009214E1" w:rsidP="009214E1">
      <w:pPr>
        <w:pStyle w:val="Paragraphe"/>
        <w:spacing w:line="280" w:lineRule="exact"/>
        <w:rPr>
          <w:lang w:val="en-CA"/>
        </w:rPr>
      </w:pPr>
      <w:r w:rsidRPr="00FA1A07">
        <w:rPr>
          <w:lang w:val="en-CA"/>
        </w:rPr>
        <w:t>The appellant further argues that, if the SIA does not apply, th</w:t>
      </w:r>
      <w:r>
        <w:rPr>
          <w:lang w:val="en-CA"/>
        </w:rPr>
        <w:t>e respondent does not benefit from any immunity at common law for commercial activity</w:t>
      </w:r>
      <w:r w:rsidRPr="00FA1A07">
        <w:rPr>
          <w:lang w:val="en-CA"/>
        </w:rPr>
        <w:t xml:space="preserve">. </w:t>
      </w:r>
      <w:r w:rsidRPr="00FA3E4F">
        <w:rPr>
          <w:lang w:val="en-CA"/>
        </w:rPr>
        <w:t xml:space="preserve">She cites author François Larocque to explain that European civil law jurisdictions had moved away from the principle of absolute state immunity </w:t>
      </w:r>
      <w:r>
        <w:rPr>
          <w:lang w:val="en-CA"/>
        </w:rPr>
        <w:t xml:space="preserve">as early as the late nineteenth century </w:t>
      </w:r>
      <w:r w:rsidRPr="00FA3E4F">
        <w:rPr>
          <w:lang w:val="en-CA"/>
        </w:rPr>
        <w:t>to</w:t>
      </w:r>
      <w:r>
        <w:rPr>
          <w:lang w:val="en-CA"/>
        </w:rPr>
        <w:t xml:space="preserve"> adopt that of restrictive immunity.</w:t>
      </w:r>
      <w:r w:rsidRPr="00DC7B2F">
        <w:rPr>
          <w:rStyle w:val="Appelnotedebasdep"/>
        </w:rPr>
        <w:footnoteReference w:id="60"/>
      </w:r>
      <w:r w:rsidRPr="00FA3E4F">
        <w:rPr>
          <w:lang w:val="en-CA"/>
        </w:rPr>
        <w:t xml:space="preserve"> She also refers to various decisions in support of the view that in Quebec also</w:t>
      </w:r>
      <w:r>
        <w:rPr>
          <w:lang w:val="en-CA"/>
        </w:rPr>
        <w:t>, the principle of restrictive immunity is recognized for commercial activity</w:t>
      </w:r>
      <w:bookmarkStart w:id="30" w:name="_Ref139965966"/>
      <w:r>
        <w:rPr>
          <w:lang w:val="en-CA"/>
        </w:rPr>
        <w:t>.</w:t>
      </w:r>
      <w:r>
        <w:rPr>
          <w:rStyle w:val="Appelnotedebasdep"/>
        </w:rPr>
        <w:footnoteReference w:id="61"/>
      </w:r>
      <w:bookmarkEnd w:id="30"/>
      <w:r w:rsidRPr="00FA3E4F">
        <w:rPr>
          <w:lang w:val="en-CA"/>
        </w:rPr>
        <w:t xml:space="preserve"> </w:t>
      </w:r>
      <w:r w:rsidRPr="00FA1A07">
        <w:rPr>
          <w:lang w:val="en-CA"/>
        </w:rPr>
        <w:t>The appel</w:t>
      </w:r>
      <w:r>
        <w:rPr>
          <w:lang w:val="en-CA"/>
        </w:rPr>
        <w:t>l</w:t>
      </w:r>
      <w:r w:rsidRPr="00FA1A07">
        <w:rPr>
          <w:lang w:val="en-CA"/>
        </w:rPr>
        <w:t>ant does not however disp</w:t>
      </w:r>
      <w:r>
        <w:rPr>
          <w:lang w:val="en-CA"/>
        </w:rPr>
        <w:t xml:space="preserve">ute that the exception to immunity for </w:t>
      </w:r>
      <w:r w:rsidRPr="00FA1A07">
        <w:rPr>
          <w:lang w:val="en-CA"/>
        </w:rPr>
        <w:t xml:space="preserve">personal or bodily injury </w:t>
      </w:r>
      <w:r>
        <w:rPr>
          <w:lang w:val="en-CA"/>
        </w:rPr>
        <w:t xml:space="preserve">and </w:t>
      </w:r>
      <w:r w:rsidRPr="00FA1A07">
        <w:rPr>
          <w:lang w:val="en-CA"/>
        </w:rPr>
        <w:t>death did not exist prior to the coming into force of the SIA.</w:t>
      </w:r>
    </w:p>
    <w:p w14:paraId="111EF6BE" w14:textId="77777777" w:rsidR="009214E1" w:rsidRPr="002C7AB8" w:rsidRDefault="009214E1" w:rsidP="009214E1">
      <w:pPr>
        <w:pStyle w:val="Paragraphe"/>
        <w:spacing w:line="280" w:lineRule="exact"/>
        <w:rPr>
          <w:lang w:val="en-CA"/>
        </w:rPr>
      </w:pPr>
      <w:r w:rsidRPr="002C7AB8">
        <w:rPr>
          <w:lang w:val="en-CA"/>
        </w:rPr>
        <w:t>The responde</w:t>
      </w:r>
      <w:r>
        <w:rPr>
          <w:lang w:val="en-CA"/>
        </w:rPr>
        <w:t>nt</w:t>
      </w:r>
      <w:r w:rsidRPr="002C7AB8">
        <w:rPr>
          <w:lang w:val="en-CA"/>
        </w:rPr>
        <w:t xml:space="preserve"> replies that the appellant acknowledges in her </w:t>
      </w:r>
      <w:r>
        <w:rPr>
          <w:lang w:val="en-CA"/>
        </w:rPr>
        <w:t>brief</w:t>
      </w:r>
      <w:r w:rsidRPr="002C7AB8">
        <w:rPr>
          <w:lang w:val="en-CA"/>
        </w:rPr>
        <w:t xml:space="preserve"> that at the time of the events, namely between 1957 and 1960, absolute state immunity had been </w:t>
      </w:r>
      <w:r w:rsidRPr="002C7AB8">
        <w:rPr>
          <w:lang w:val="en-CA"/>
        </w:rPr>
        <w:lastRenderedPageBreak/>
        <w:t xml:space="preserve">recognized by the Supreme Court in </w:t>
      </w:r>
      <w:proofErr w:type="spellStart"/>
      <w:r w:rsidRPr="002C7AB8">
        <w:rPr>
          <w:i/>
          <w:iCs/>
          <w:lang w:val="en-CA"/>
        </w:rPr>
        <w:t>Dessaulle</w:t>
      </w:r>
      <w:proofErr w:type="spellEnd"/>
      <w:r w:rsidRPr="002C7AB8">
        <w:rPr>
          <w:i/>
          <w:iCs/>
          <w:lang w:val="en-CA"/>
        </w:rPr>
        <w:t xml:space="preserve"> v. Republic of Poland</w:t>
      </w:r>
      <w:r w:rsidRPr="002C7AB8">
        <w:rPr>
          <w:lang w:val="en-CA"/>
        </w:rPr>
        <w:t xml:space="preserve"> </w:t>
      </w:r>
      <w:r>
        <w:rPr>
          <w:rStyle w:val="Appelnotedebasdep"/>
        </w:rPr>
        <w:footnoteReference w:id="62"/>
      </w:r>
      <w:r w:rsidRPr="002C7AB8">
        <w:rPr>
          <w:lang w:val="en-CA"/>
        </w:rPr>
        <w:t xml:space="preserve"> </w:t>
      </w:r>
      <w:r>
        <w:rPr>
          <w:lang w:val="en-CA"/>
        </w:rPr>
        <w:t xml:space="preserve">and that the latter did not revisit its position before </w:t>
      </w:r>
      <w:r w:rsidRPr="002C7AB8">
        <w:rPr>
          <w:lang w:val="en-CA"/>
        </w:rPr>
        <w:t xml:space="preserve">1983, </w:t>
      </w:r>
      <w:r>
        <w:rPr>
          <w:lang w:val="en-CA"/>
        </w:rPr>
        <w:t>in the matter of</w:t>
      </w:r>
      <w:r w:rsidRPr="002C7AB8">
        <w:rPr>
          <w:lang w:val="en-CA"/>
        </w:rPr>
        <w:t xml:space="preserve"> </w:t>
      </w:r>
      <w:proofErr w:type="spellStart"/>
      <w:r w:rsidRPr="002C7AB8">
        <w:rPr>
          <w:i/>
          <w:iCs/>
          <w:lang w:val="en-CA"/>
        </w:rPr>
        <w:t>Zodiak</w:t>
      </w:r>
      <w:proofErr w:type="spellEnd"/>
      <w:r w:rsidRPr="002C7AB8">
        <w:rPr>
          <w:i/>
          <w:iCs/>
          <w:lang w:val="en-CA"/>
        </w:rPr>
        <w:t xml:space="preserve"> International Productions Inc. </w:t>
      </w:r>
      <w:r>
        <w:rPr>
          <w:i/>
          <w:iCs/>
          <w:lang w:val="en-CA"/>
        </w:rPr>
        <w:t>v</w:t>
      </w:r>
      <w:r w:rsidRPr="002C7AB8">
        <w:rPr>
          <w:i/>
          <w:iCs/>
          <w:lang w:val="en-CA"/>
        </w:rPr>
        <w:t xml:space="preserve">. The Polish People’s Republic, </w:t>
      </w:r>
      <w:r>
        <w:rPr>
          <w:lang w:val="en-CA"/>
        </w:rPr>
        <w:t>by confirming the decision of the</w:t>
      </w:r>
      <w:r w:rsidRPr="002C7AB8">
        <w:rPr>
          <w:lang w:val="en-CA"/>
        </w:rPr>
        <w:t xml:space="preserve"> Cour</w:t>
      </w:r>
      <w:r>
        <w:rPr>
          <w:lang w:val="en-CA"/>
        </w:rPr>
        <w:t>t of Appeal.</w:t>
      </w:r>
      <w:r>
        <w:rPr>
          <w:rStyle w:val="Appelnotedebasdep"/>
        </w:rPr>
        <w:footnoteReference w:id="63"/>
      </w:r>
    </w:p>
    <w:p w14:paraId="6BEC8866" w14:textId="77777777" w:rsidR="009214E1" w:rsidRPr="00DA0664" w:rsidRDefault="009214E1" w:rsidP="009214E1">
      <w:pPr>
        <w:pStyle w:val="Paragraphe"/>
        <w:spacing w:line="280" w:lineRule="exact"/>
        <w:rPr>
          <w:lang w:val="en-CA"/>
        </w:rPr>
      </w:pPr>
      <w:r w:rsidRPr="00DA0664">
        <w:rPr>
          <w:lang w:val="en-CA"/>
        </w:rPr>
        <w:t>The first question is</w:t>
      </w:r>
      <w:r>
        <w:rPr>
          <w:lang w:val="en-CA"/>
        </w:rPr>
        <w:t xml:space="preserve"> to determine whether the respondent’s impugned activities were commercial in nature</w:t>
      </w:r>
      <w:r w:rsidRPr="00DA0664">
        <w:rPr>
          <w:lang w:val="en-CA"/>
        </w:rPr>
        <w:t xml:space="preserve">. If </w:t>
      </w:r>
      <w:r>
        <w:rPr>
          <w:lang w:val="en-CA"/>
        </w:rPr>
        <w:t>they were not</w:t>
      </w:r>
      <w:r w:rsidRPr="00DA0664">
        <w:rPr>
          <w:lang w:val="en-CA"/>
        </w:rPr>
        <w:t xml:space="preserve">, the </w:t>
      </w:r>
      <w:r>
        <w:rPr>
          <w:lang w:val="en-CA"/>
        </w:rPr>
        <w:t>inquiry</w:t>
      </w:r>
      <w:r w:rsidRPr="00DA0664">
        <w:rPr>
          <w:lang w:val="en-CA"/>
        </w:rPr>
        <w:t xml:space="preserve"> can end</w:t>
      </w:r>
      <w:r>
        <w:rPr>
          <w:lang w:val="en-CA"/>
        </w:rPr>
        <w:t xml:space="preserve"> there</w:t>
      </w:r>
      <w:r w:rsidRPr="00DA0664">
        <w:rPr>
          <w:lang w:val="en-CA"/>
        </w:rPr>
        <w:t xml:space="preserve"> and it is un</w:t>
      </w:r>
      <w:r>
        <w:rPr>
          <w:lang w:val="en-CA"/>
        </w:rPr>
        <w:t>n</w:t>
      </w:r>
      <w:r w:rsidRPr="00DA0664">
        <w:rPr>
          <w:lang w:val="en-CA"/>
        </w:rPr>
        <w:t xml:space="preserve">ecessary to determine </w:t>
      </w:r>
      <w:r>
        <w:rPr>
          <w:lang w:val="en-CA"/>
        </w:rPr>
        <w:t>whether</w:t>
      </w:r>
      <w:r w:rsidRPr="00DA0664">
        <w:rPr>
          <w:lang w:val="en-CA"/>
        </w:rPr>
        <w:t xml:space="preserve">, for the period in question, </w:t>
      </w:r>
      <w:r>
        <w:rPr>
          <w:lang w:val="en-CA"/>
        </w:rPr>
        <w:t>state immunity was absolute or restrictive in Canada</w:t>
      </w:r>
      <w:r w:rsidRPr="00DA0664">
        <w:rPr>
          <w:lang w:val="en-CA"/>
        </w:rPr>
        <w:t>.</w:t>
      </w:r>
    </w:p>
    <w:p w14:paraId="6C39A5CA" w14:textId="77777777" w:rsidR="009214E1" w:rsidRPr="008D50CB" w:rsidRDefault="009214E1" w:rsidP="009214E1">
      <w:pPr>
        <w:pStyle w:val="Paragraphe"/>
        <w:spacing w:line="280" w:lineRule="exact"/>
        <w:rPr>
          <w:lang w:val="en-CA"/>
        </w:rPr>
      </w:pPr>
      <w:r w:rsidRPr="00974A90">
        <w:rPr>
          <w:lang w:val="en-CA"/>
        </w:rPr>
        <w:t xml:space="preserve">In </w:t>
      </w:r>
      <w:r w:rsidRPr="00974A90">
        <w:rPr>
          <w:i/>
          <w:iCs/>
          <w:lang w:val="en-CA"/>
        </w:rPr>
        <w:t>Re Cana</w:t>
      </w:r>
      <w:r>
        <w:rPr>
          <w:i/>
          <w:iCs/>
          <w:lang w:val="en-CA"/>
        </w:rPr>
        <w:t>da</w:t>
      </w:r>
      <w:r w:rsidRPr="00974A90">
        <w:rPr>
          <w:i/>
          <w:iCs/>
          <w:lang w:val="en-CA"/>
        </w:rPr>
        <w:t xml:space="preserve"> Labour Code</w:t>
      </w:r>
      <w:r w:rsidRPr="00974A90">
        <w:rPr>
          <w:lang w:val="en-CA"/>
        </w:rPr>
        <w:t xml:space="preserve">, the Supreme Court set out the principles </w:t>
      </w:r>
      <w:r>
        <w:rPr>
          <w:lang w:val="en-CA"/>
        </w:rPr>
        <w:t>for</w:t>
      </w:r>
      <w:r w:rsidRPr="00974A90">
        <w:rPr>
          <w:lang w:val="en-CA"/>
        </w:rPr>
        <w:t xml:space="preserve"> determin</w:t>
      </w:r>
      <w:r>
        <w:rPr>
          <w:lang w:val="en-CA"/>
        </w:rPr>
        <w:t>ing</w:t>
      </w:r>
      <w:r w:rsidRPr="00974A90">
        <w:rPr>
          <w:lang w:val="en-CA"/>
        </w:rPr>
        <w:t xml:space="preserve"> whether an activity can </w:t>
      </w:r>
      <w:r>
        <w:rPr>
          <w:lang w:val="en-CA"/>
        </w:rPr>
        <w:t>be classified as commercial</w:t>
      </w:r>
      <w:r w:rsidRPr="00974A90">
        <w:rPr>
          <w:lang w:val="en-CA"/>
        </w:rPr>
        <w:t xml:space="preserve">. That decision was rendered in 1992, </w:t>
      </w:r>
      <w:r>
        <w:rPr>
          <w:lang w:val="en-CA"/>
        </w:rPr>
        <w:t>that is after</w:t>
      </w:r>
      <w:r w:rsidRPr="00974A90">
        <w:rPr>
          <w:lang w:val="en-CA"/>
        </w:rPr>
        <w:t xml:space="preserve"> </w:t>
      </w:r>
      <w:r>
        <w:rPr>
          <w:lang w:val="en-CA"/>
        </w:rPr>
        <w:t>the</w:t>
      </w:r>
      <w:r w:rsidRPr="00974A90">
        <w:rPr>
          <w:lang w:val="en-CA"/>
        </w:rPr>
        <w:t xml:space="preserve"> SIA</w:t>
      </w:r>
      <w:r>
        <w:rPr>
          <w:lang w:val="en-CA"/>
        </w:rPr>
        <w:t xml:space="preserve"> came into force</w:t>
      </w:r>
      <w:r w:rsidRPr="00974A90">
        <w:rPr>
          <w:lang w:val="en-CA"/>
        </w:rPr>
        <w:t xml:space="preserve">. However, the </w:t>
      </w:r>
      <w:r>
        <w:rPr>
          <w:lang w:val="en-CA"/>
        </w:rPr>
        <w:t xml:space="preserve">Supreme </w:t>
      </w:r>
      <w:r w:rsidRPr="00974A90">
        <w:rPr>
          <w:lang w:val="en-CA"/>
        </w:rPr>
        <w:t xml:space="preserve">Court </w:t>
      </w:r>
      <w:r>
        <w:rPr>
          <w:lang w:val="en-CA"/>
        </w:rPr>
        <w:t>noted</w:t>
      </w:r>
      <w:r w:rsidRPr="00974A90">
        <w:rPr>
          <w:lang w:val="en-CA"/>
        </w:rPr>
        <w:t xml:space="preserve"> that that statute clarifies and continues th</w:t>
      </w:r>
      <w:r>
        <w:rPr>
          <w:lang w:val="en-CA"/>
        </w:rPr>
        <w:t>e theory of restrictive immunity</w:t>
      </w:r>
      <w:r w:rsidRPr="00974A90">
        <w:rPr>
          <w:lang w:val="en-CA"/>
        </w:rPr>
        <w:t xml:space="preserve">. </w:t>
      </w:r>
      <w:r w:rsidRPr="008D50CB">
        <w:rPr>
          <w:lang w:val="en-CA"/>
        </w:rPr>
        <w:t xml:space="preserve">It does not alter its substance: </w:t>
      </w:r>
    </w:p>
    <w:p w14:paraId="7A9A3695" w14:textId="77777777" w:rsidR="009214E1" w:rsidRPr="007927FC" w:rsidRDefault="009214E1" w:rsidP="009214E1">
      <w:pPr>
        <w:pStyle w:val="Citationenretrait"/>
        <w:rPr>
          <w:lang w:val="en-CA"/>
        </w:rPr>
      </w:pPr>
      <w:r w:rsidRPr="007927FC">
        <w:rPr>
          <w:lang w:val="en-CA"/>
        </w:rPr>
        <w:t xml:space="preserve">I view the Canadian </w:t>
      </w:r>
      <w:r w:rsidRPr="007927FC">
        <w:rPr>
          <w:i/>
          <w:iCs/>
          <w:lang w:val="en-CA"/>
        </w:rPr>
        <w:t>State Immunity Act</w:t>
      </w:r>
      <w:r w:rsidRPr="007927FC">
        <w:rPr>
          <w:lang w:val="en-CA"/>
        </w:rPr>
        <w:t xml:space="preserve"> as a codification that is intended to clarify and continue the theory of restrictive immunity, rather than to alter its substance.  The relevant provisions of the Act, ss. 2 and 5, focus on the nature and character of the activity in question, just as the common law did.</w:t>
      </w:r>
      <w:bookmarkStart w:id="31" w:name="_Ref139965988"/>
      <w:r w:rsidRPr="00145CA6">
        <w:rPr>
          <w:vertAlign w:val="superscript"/>
        </w:rPr>
        <w:footnoteReference w:id="64"/>
      </w:r>
      <w:bookmarkEnd w:id="31"/>
    </w:p>
    <w:p w14:paraId="092CEA3E" w14:textId="77777777" w:rsidR="009214E1" w:rsidRPr="008D7469" w:rsidRDefault="009214E1" w:rsidP="009214E1">
      <w:pPr>
        <w:pStyle w:val="Paragraphe"/>
        <w:spacing w:line="280" w:lineRule="exact"/>
        <w:rPr>
          <w:lang w:val="en-CA"/>
        </w:rPr>
      </w:pPr>
      <w:r w:rsidRPr="008609D4">
        <w:rPr>
          <w:lang w:val="en-CA"/>
        </w:rPr>
        <w:t>In that case, the Supreme Court distinguished between a government’s public acts (</w:t>
      </w:r>
      <w:r w:rsidRPr="008609D4">
        <w:rPr>
          <w:i/>
          <w:iCs/>
          <w:lang w:val="en-CA"/>
        </w:rPr>
        <w:t xml:space="preserve">jure </w:t>
      </w:r>
      <w:proofErr w:type="spellStart"/>
      <w:r w:rsidRPr="008609D4">
        <w:rPr>
          <w:i/>
          <w:iCs/>
          <w:lang w:val="en-CA"/>
        </w:rPr>
        <w:t>emperii</w:t>
      </w:r>
      <w:proofErr w:type="spellEnd"/>
      <w:r w:rsidRPr="008609D4">
        <w:rPr>
          <w:lang w:val="en-CA"/>
        </w:rPr>
        <w:t xml:space="preserve">), </w:t>
      </w:r>
      <w:r>
        <w:rPr>
          <w:lang w:val="en-CA"/>
        </w:rPr>
        <w:t>to which immunity applies</w:t>
      </w:r>
      <w:r w:rsidRPr="008609D4">
        <w:rPr>
          <w:lang w:val="en-CA"/>
        </w:rPr>
        <w:t xml:space="preserve">, </w:t>
      </w:r>
      <w:r>
        <w:rPr>
          <w:lang w:val="en-CA"/>
        </w:rPr>
        <w:t>and private acts</w:t>
      </w:r>
      <w:r w:rsidRPr="008609D4">
        <w:rPr>
          <w:lang w:val="en-CA"/>
        </w:rPr>
        <w:t xml:space="preserve"> (</w:t>
      </w:r>
      <w:r w:rsidRPr="008609D4">
        <w:rPr>
          <w:i/>
          <w:iCs/>
          <w:lang w:val="en-CA"/>
        </w:rPr>
        <w:t xml:space="preserve">jure </w:t>
      </w:r>
      <w:proofErr w:type="spellStart"/>
      <w:r w:rsidRPr="008609D4">
        <w:rPr>
          <w:i/>
          <w:iCs/>
          <w:lang w:val="en-CA"/>
        </w:rPr>
        <w:t>gestionis</w:t>
      </w:r>
      <w:proofErr w:type="spellEnd"/>
      <w:r w:rsidRPr="008609D4">
        <w:rPr>
          <w:lang w:val="en-CA"/>
        </w:rPr>
        <w:t xml:space="preserve">), </w:t>
      </w:r>
      <w:r>
        <w:rPr>
          <w:lang w:val="en-CA"/>
        </w:rPr>
        <w:t>to which it does not.</w:t>
      </w:r>
      <w:r>
        <w:rPr>
          <w:rStyle w:val="Appelnotedebasdep"/>
        </w:rPr>
        <w:footnoteReference w:id="65"/>
      </w:r>
      <w:r w:rsidRPr="008609D4">
        <w:rPr>
          <w:lang w:val="en-CA"/>
        </w:rPr>
        <w:t xml:space="preserve"> It note</w:t>
      </w:r>
      <w:r>
        <w:rPr>
          <w:lang w:val="en-CA"/>
        </w:rPr>
        <w:t>d</w:t>
      </w:r>
      <w:r w:rsidRPr="008609D4">
        <w:rPr>
          <w:lang w:val="en-CA"/>
        </w:rPr>
        <w:t xml:space="preserve"> that a contextual approach must prevail to determine whether</w:t>
      </w:r>
      <w:r>
        <w:rPr>
          <w:lang w:val="en-CA"/>
        </w:rPr>
        <w:t xml:space="preserve"> or not</w:t>
      </w:r>
      <w:r w:rsidRPr="008609D4">
        <w:rPr>
          <w:lang w:val="en-CA"/>
        </w:rPr>
        <w:t xml:space="preserve"> </w:t>
      </w:r>
      <w:r>
        <w:rPr>
          <w:lang w:val="en-CA"/>
        </w:rPr>
        <w:t>the</w:t>
      </w:r>
      <w:r w:rsidRPr="008609D4">
        <w:rPr>
          <w:lang w:val="en-CA"/>
        </w:rPr>
        <w:t xml:space="preserve"> fo</w:t>
      </w:r>
      <w:r>
        <w:rPr>
          <w:lang w:val="en-CA"/>
        </w:rPr>
        <w:t>reign state’s action</w:t>
      </w:r>
      <w:r w:rsidRPr="008609D4">
        <w:rPr>
          <w:lang w:val="en-CA"/>
        </w:rPr>
        <w:t xml:space="preserve"> </w:t>
      </w:r>
      <w:r>
        <w:rPr>
          <w:lang w:val="en-CA"/>
        </w:rPr>
        <w:t>is of a commercial character</w:t>
      </w:r>
      <w:r w:rsidRPr="008609D4">
        <w:rPr>
          <w:lang w:val="en-CA"/>
        </w:rPr>
        <w:t xml:space="preserve">. </w:t>
      </w:r>
      <w:r w:rsidRPr="008D7469">
        <w:rPr>
          <w:lang w:val="en-CA"/>
        </w:rPr>
        <w:t>La Forest</w:t>
      </w:r>
      <w:r>
        <w:rPr>
          <w:lang w:val="en-CA"/>
        </w:rPr>
        <w:t>,</w:t>
      </w:r>
      <w:r w:rsidRPr="008D7469">
        <w:rPr>
          <w:lang w:val="en-CA"/>
        </w:rPr>
        <w:t xml:space="preserve"> J. wrote: </w:t>
      </w:r>
    </w:p>
    <w:p w14:paraId="1B230698" w14:textId="77777777" w:rsidR="009214E1" w:rsidRPr="007927FC" w:rsidRDefault="009214E1" w:rsidP="009214E1">
      <w:pPr>
        <w:pStyle w:val="Citationenretrait"/>
        <w:rPr>
          <w:lang w:val="en-CA"/>
        </w:rPr>
      </w:pPr>
      <w:r w:rsidRPr="007927FC">
        <w:rPr>
          <w:lang w:val="en-CA"/>
        </w:rPr>
        <w:t xml:space="preserve">It seems to me that a contextual approach is the only reasonable basis of applying the doctrine of restrictive immunity. The alternative is to attempt the impossible </w:t>
      </w:r>
      <w:r w:rsidRPr="007927FC">
        <w:rPr>
          <w:rFonts w:ascii="Cambria Math" w:hAnsi="Cambria Math" w:cs="Cambria Math"/>
          <w:lang w:val="en-CA"/>
        </w:rPr>
        <w:t>‑‑</w:t>
      </w:r>
      <w:r w:rsidRPr="007927FC">
        <w:rPr>
          <w:lang w:val="en-CA"/>
        </w:rPr>
        <w:t xml:space="preserve"> an antiseptic distillation of a "once-and-for-all" characterization of the activity in question, entirely divorced from its purpose. It is true that purpose should not predominate, as this approach would convert virtually every act by commercial agents of the state into an act </w:t>
      </w:r>
      <w:r w:rsidRPr="007927FC">
        <w:rPr>
          <w:i/>
          <w:iCs/>
          <w:lang w:val="en-CA"/>
        </w:rPr>
        <w:t xml:space="preserve">jure </w:t>
      </w:r>
      <w:proofErr w:type="spellStart"/>
      <w:r w:rsidRPr="007927FC">
        <w:rPr>
          <w:i/>
          <w:iCs/>
          <w:lang w:val="en-CA"/>
        </w:rPr>
        <w:t>imperii</w:t>
      </w:r>
      <w:proofErr w:type="spellEnd"/>
      <w:r w:rsidRPr="007927FC">
        <w:rPr>
          <w:lang w:val="en-CA"/>
        </w:rPr>
        <w:t xml:space="preserve">. However, the converse is also true.  Rigid adherence to the "nature" of an act to the exclusion of purpose would render innumerable government activities </w:t>
      </w:r>
      <w:r w:rsidRPr="007927FC">
        <w:rPr>
          <w:i/>
          <w:iCs/>
          <w:lang w:val="en-CA"/>
        </w:rPr>
        <w:t xml:space="preserve">jure </w:t>
      </w:r>
      <w:proofErr w:type="spellStart"/>
      <w:r w:rsidRPr="007927FC">
        <w:rPr>
          <w:i/>
          <w:iCs/>
          <w:lang w:val="en-CA"/>
        </w:rPr>
        <w:t>gestionis</w:t>
      </w:r>
      <w:proofErr w:type="spellEnd"/>
      <w:r w:rsidRPr="007927FC">
        <w:rPr>
          <w:lang w:val="en-CA"/>
        </w:rPr>
        <w:t>.</w:t>
      </w:r>
      <w:r w:rsidRPr="00145CA6">
        <w:rPr>
          <w:vertAlign w:val="superscript"/>
        </w:rPr>
        <w:footnoteReference w:id="66"/>
      </w:r>
    </w:p>
    <w:p w14:paraId="29C0C64B" w14:textId="77777777" w:rsidR="009214E1" w:rsidRDefault="009214E1" w:rsidP="009214E1">
      <w:pPr>
        <w:pStyle w:val="Paragraphe"/>
        <w:spacing w:line="280" w:lineRule="exact"/>
      </w:pPr>
      <w:r>
        <w:rPr>
          <w:lang w:val="en-CA"/>
        </w:rPr>
        <w:lastRenderedPageBreak/>
        <w:t>B</w:t>
      </w:r>
      <w:r w:rsidRPr="008C03C5">
        <w:rPr>
          <w:lang w:val="en-CA"/>
        </w:rPr>
        <w:t>oth the nature and the purpose of the act</w:t>
      </w:r>
      <w:r>
        <w:rPr>
          <w:lang w:val="en-CA"/>
        </w:rPr>
        <w:t xml:space="preserve"> must be considered</w:t>
      </w:r>
      <w:r w:rsidRPr="008C03C5">
        <w:rPr>
          <w:lang w:val="en-CA"/>
        </w:rPr>
        <w:t xml:space="preserve"> to</w:t>
      </w:r>
      <w:r>
        <w:rPr>
          <w:lang w:val="en-CA"/>
        </w:rPr>
        <w:t xml:space="preserve"> determine whether it is a commercial activity</w:t>
      </w:r>
      <w:r w:rsidRPr="008C03C5">
        <w:rPr>
          <w:lang w:val="en-CA"/>
        </w:rPr>
        <w:t xml:space="preserve">. </w:t>
      </w:r>
      <w:r>
        <w:rPr>
          <w:lang w:val="en-CA"/>
        </w:rPr>
        <w:t>In the instant case</w:t>
      </w:r>
      <w:r w:rsidRPr="008C03C5">
        <w:rPr>
          <w:lang w:val="en-CA"/>
        </w:rPr>
        <w:t xml:space="preserve">, </w:t>
      </w:r>
      <w:r>
        <w:rPr>
          <w:lang w:val="en-CA"/>
        </w:rPr>
        <w:t>what the</w:t>
      </w:r>
      <w:r w:rsidRPr="008C03C5">
        <w:rPr>
          <w:lang w:val="en-CA"/>
        </w:rPr>
        <w:t xml:space="preserve"> respondent</w:t>
      </w:r>
      <w:r>
        <w:rPr>
          <w:lang w:val="en-CA"/>
        </w:rPr>
        <w:t xml:space="preserve"> is being blamed for are its</w:t>
      </w:r>
      <w:r w:rsidRPr="008C03C5">
        <w:rPr>
          <w:lang w:val="en-CA"/>
        </w:rPr>
        <w:t xml:space="preserve"> fu</w:t>
      </w:r>
      <w:r>
        <w:rPr>
          <w:lang w:val="en-CA"/>
        </w:rPr>
        <w:t>nding activities related to the</w:t>
      </w:r>
      <w:r w:rsidRPr="008C03C5">
        <w:rPr>
          <w:lang w:val="en-CA"/>
        </w:rPr>
        <w:t xml:space="preserve"> Montreal Experiments</w:t>
      </w:r>
      <w:r>
        <w:rPr>
          <w:lang w:val="en-CA"/>
        </w:rPr>
        <w:t>.</w:t>
      </w:r>
      <w:r>
        <w:rPr>
          <w:rStyle w:val="Appelnotedebasdep"/>
        </w:rPr>
        <w:footnoteReference w:id="67"/>
      </w:r>
      <w:r w:rsidRPr="008C03C5">
        <w:rPr>
          <w:lang w:val="en-CA"/>
        </w:rPr>
        <w:t xml:space="preserve"> </w:t>
      </w:r>
      <w:r>
        <w:rPr>
          <w:lang w:val="en-CA"/>
        </w:rPr>
        <w:t>What was at issue here were</w:t>
      </w:r>
      <w:r w:rsidRPr="008F34B6">
        <w:rPr>
          <w:lang w:val="en-CA"/>
        </w:rPr>
        <w:t xml:space="preserve"> </w:t>
      </w:r>
      <w:r>
        <w:rPr>
          <w:lang w:val="en-CA"/>
        </w:rPr>
        <w:t>not mere</w:t>
      </w:r>
      <w:r w:rsidRPr="008F34B6">
        <w:rPr>
          <w:lang w:val="en-CA"/>
        </w:rPr>
        <w:t xml:space="preserve"> grants. I agree with the judge that such funding </w:t>
      </w:r>
      <w:r>
        <w:rPr>
          <w:lang w:val="en-CA"/>
        </w:rPr>
        <w:t>was</w:t>
      </w:r>
      <w:r w:rsidRPr="008F34B6">
        <w:rPr>
          <w:lang w:val="en-CA"/>
        </w:rPr>
        <w:t xml:space="preserve"> not commercial in nature. The experiments were conducted to address national security concerns in the wake of the Second World War. </w:t>
      </w:r>
      <w:r>
        <w:t>The judge stated the following:</w:t>
      </w:r>
    </w:p>
    <w:p w14:paraId="6383F340" w14:textId="77777777" w:rsidR="009214E1" w:rsidRPr="00AC6286" w:rsidRDefault="009214E1" w:rsidP="009214E1">
      <w:pPr>
        <w:pStyle w:val="Citationenretrait"/>
        <w:rPr>
          <w:lang w:val="en-CA"/>
        </w:rPr>
      </w:pPr>
      <w:r w:rsidRPr="00AC6286">
        <w:rPr>
          <w:lang w:val="en-CA"/>
        </w:rPr>
        <w:t>[79]</w:t>
      </w:r>
      <w:r w:rsidRPr="00AC6286">
        <w:rPr>
          <w:lang w:val="en-CA"/>
        </w:rPr>
        <w:tab/>
        <w:t>In the Court’s view, the nature of such funding is not commercial in nature. This is not akin, for example, to hiring employees to cook food or manage non-military duties on an air-force base. The class action proposed by Representative Applicant only incidentally relates to money being paid for a service.</w:t>
      </w:r>
    </w:p>
    <w:p w14:paraId="5817CD71" w14:textId="77777777" w:rsidR="009214E1" w:rsidRPr="00AC6286" w:rsidRDefault="009214E1" w:rsidP="009214E1">
      <w:pPr>
        <w:pStyle w:val="Citationenretrait"/>
        <w:rPr>
          <w:lang w:val="en-CA"/>
        </w:rPr>
      </w:pPr>
      <w:r w:rsidRPr="00AC6286">
        <w:rPr>
          <w:lang w:val="en-CA"/>
        </w:rPr>
        <w:t>[80]</w:t>
      </w:r>
      <w:r w:rsidRPr="00AC6286">
        <w:rPr>
          <w:lang w:val="en-CA"/>
        </w:rPr>
        <w:tab/>
        <w:t>The true nature and essence of the claim is the alleged extreme mind-control brainwashing experimentation of “unwitting” patients, and that this research was allegedly done to address Cold War national security concerns.</w:t>
      </w:r>
    </w:p>
    <w:p w14:paraId="2431572C" w14:textId="77777777" w:rsidR="009214E1" w:rsidRDefault="009214E1" w:rsidP="009214E1">
      <w:pPr>
        <w:pStyle w:val="Citationenretrait"/>
        <w:spacing w:after="0"/>
        <w:rPr>
          <w:lang w:val="en-CA"/>
        </w:rPr>
      </w:pPr>
      <w:r w:rsidRPr="00AC6286">
        <w:rPr>
          <w:lang w:val="en-CA"/>
        </w:rPr>
        <w:t>[81]</w:t>
      </w:r>
      <w:r w:rsidRPr="00AC6286">
        <w:rPr>
          <w:lang w:val="en-CA"/>
        </w:rPr>
        <w:tab/>
        <w:t xml:space="preserve">To adopt the commercial activity notion advanced by the Representative Applicant would, in the words of Justice La Forest in </w:t>
      </w:r>
      <w:r w:rsidRPr="00765EBA">
        <w:rPr>
          <w:i/>
          <w:iCs/>
          <w:lang w:val="en-CA"/>
        </w:rPr>
        <w:t>Re Canada Labour Code</w:t>
      </w:r>
      <w:r w:rsidRPr="00AC6286">
        <w:rPr>
          <w:lang w:val="en-CA"/>
        </w:rPr>
        <w:t xml:space="preserve"> “broaden the ‘commercial activity’ exception to the point of depriving sovereign immunity of any meaning”. In this regard, and as mentioned above, the focus of commercial activity as adopted by the SIA was the same as it had been under the common law.</w:t>
      </w:r>
      <w:r>
        <w:rPr>
          <w:rStyle w:val="Appelnotedebasdep"/>
        </w:rPr>
        <w:footnoteReference w:id="68"/>
      </w:r>
    </w:p>
    <w:p w14:paraId="13E9F4C6" w14:textId="77777777" w:rsidR="009214E1" w:rsidRPr="00AC6286" w:rsidRDefault="009214E1" w:rsidP="009214E1">
      <w:pPr>
        <w:pStyle w:val="Citationenretrait"/>
        <w:spacing w:before="0"/>
        <w:ind w:left="6523"/>
        <w:rPr>
          <w:lang w:val="en-CA"/>
        </w:rPr>
      </w:pPr>
      <w:r>
        <w:rPr>
          <w:lang w:val="en-CA"/>
        </w:rPr>
        <w:t>[References omitted]</w:t>
      </w:r>
    </w:p>
    <w:p w14:paraId="116015D7" w14:textId="77777777" w:rsidR="009214E1" w:rsidRPr="00B60109" w:rsidRDefault="009214E1" w:rsidP="009214E1">
      <w:pPr>
        <w:pStyle w:val="Paragraphe"/>
        <w:spacing w:line="280" w:lineRule="exact"/>
        <w:rPr>
          <w:lang w:val="en-CA"/>
        </w:rPr>
      </w:pPr>
      <w:r w:rsidRPr="00B60109">
        <w:rPr>
          <w:lang w:val="en-CA"/>
        </w:rPr>
        <w:t xml:space="preserve">The contextual inquiry leads to the conclusion that by reason of </w:t>
      </w:r>
      <w:r>
        <w:rPr>
          <w:lang w:val="en-CA"/>
        </w:rPr>
        <w:t>both its</w:t>
      </w:r>
      <w:r w:rsidRPr="00B60109">
        <w:rPr>
          <w:lang w:val="en-CA"/>
        </w:rPr>
        <w:t xml:space="preserve"> nature and </w:t>
      </w:r>
      <w:r>
        <w:rPr>
          <w:lang w:val="en-CA"/>
        </w:rPr>
        <w:t>its</w:t>
      </w:r>
      <w:r w:rsidRPr="00B60109">
        <w:rPr>
          <w:lang w:val="en-CA"/>
        </w:rPr>
        <w:t xml:space="preserve"> purpose, the activity </w:t>
      </w:r>
      <w:r>
        <w:rPr>
          <w:lang w:val="en-CA"/>
        </w:rPr>
        <w:t>was not of a commercial character</w:t>
      </w:r>
      <w:r w:rsidRPr="00B60109">
        <w:rPr>
          <w:lang w:val="en-CA"/>
        </w:rPr>
        <w:t>. It is thus unnecessary to determine whether</w:t>
      </w:r>
      <w:r>
        <w:rPr>
          <w:lang w:val="en-CA"/>
        </w:rPr>
        <w:t>,</w:t>
      </w:r>
      <w:r w:rsidRPr="00B60109">
        <w:rPr>
          <w:lang w:val="en-CA"/>
        </w:rPr>
        <w:t xml:space="preserve"> at the time </w:t>
      </w:r>
      <w:r>
        <w:rPr>
          <w:lang w:val="en-CA"/>
        </w:rPr>
        <w:t xml:space="preserve">of </w:t>
      </w:r>
      <w:r w:rsidRPr="00B60109">
        <w:rPr>
          <w:lang w:val="en-CA"/>
        </w:rPr>
        <w:t>the eve</w:t>
      </w:r>
      <w:r>
        <w:rPr>
          <w:lang w:val="en-CA"/>
        </w:rPr>
        <w:t>nts, there existed an absolute or restrictive immunity in Canada for the commercial activitie</w:t>
      </w:r>
      <w:r w:rsidRPr="00B60109">
        <w:rPr>
          <w:lang w:val="en-CA"/>
        </w:rPr>
        <w:t>s</w:t>
      </w:r>
      <w:r>
        <w:rPr>
          <w:lang w:val="en-CA"/>
        </w:rPr>
        <w:t xml:space="preserve"> of states</w:t>
      </w:r>
      <w:r w:rsidRPr="00B60109">
        <w:rPr>
          <w:lang w:val="en-CA"/>
        </w:rPr>
        <w:t>.</w:t>
      </w:r>
    </w:p>
    <w:p w14:paraId="2E329EA4" w14:textId="77777777" w:rsidR="009214E1" w:rsidRPr="00152103" w:rsidRDefault="009214E1" w:rsidP="009214E1">
      <w:pPr>
        <w:pStyle w:val="Paragraphe"/>
        <w:spacing w:line="280" w:lineRule="exact"/>
        <w:rPr>
          <w:lang w:val="en-CA"/>
        </w:rPr>
      </w:pPr>
      <w:r w:rsidRPr="00152103">
        <w:rPr>
          <w:lang w:val="en-CA"/>
        </w:rPr>
        <w:t>Nor do I accept the appellant’s submission that the respondent, ha</w:t>
      </w:r>
      <w:r>
        <w:rPr>
          <w:lang w:val="en-CA"/>
        </w:rPr>
        <w:t>ving acted under the guise of a private party</w:t>
      </w:r>
      <w:r w:rsidRPr="00152103">
        <w:rPr>
          <w:lang w:val="en-CA"/>
        </w:rPr>
        <w:t xml:space="preserve"> (</w:t>
      </w:r>
      <w:r>
        <w:rPr>
          <w:lang w:val="en-CA"/>
        </w:rPr>
        <w:t xml:space="preserve">the </w:t>
      </w:r>
      <w:r w:rsidRPr="00152103">
        <w:rPr>
          <w:lang w:val="en-CA"/>
        </w:rPr>
        <w:t xml:space="preserve">Human Ecology Fund) </w:t>
      </w:r>
      <w:r>
        <w:rPr>
          <w:lang w:val="en-CA"/>
        </w:rPr>
        <w:t>to fund</w:t>
      </w:r>
      <w:r w:rsidRPr="00152103">
        <w:rPr>
          <w:lang w:val="en-CA"/>
        </w:rPr>
        <w:t xml:space="preserve"> Dr</w:t>
      </w:r>
      <w:r>
        <w:rPr>
          <w:lang w:val="en-CA"/>
        </w:rPr>
        <w:t>.</w:t>
      </w:r>
      <w:r w:rsidRPr="00152103">
        <w:rPr>
          <w:lang w:val="en-CA"/>
        </w:rPr>
        <w:t xml:space="preserve"> Cameron</w:t>
      </w:r>
      <w:r>
        <w:rPr>
          <w:lang w:val="en-CA"/>
        </w:rPr>
        <w:t>’s activities</w:t>
      </w:r>
      <w:r w:rsidRPr="00152103">
        <w:rPr>
          <w:lang w:val="en-CA"/>
        </w:rPr>
        <w:t xml:space="preserve">, </w:t>
      </w:r>
      <w:r>
        <w:rPr>
          <w:lang w:val="en-CA"/>
        </w:rPr>
        <w:t>cannot therefore invoke immunity</w:t>
      </w:r>
      <w:r w:rsidRPr="00152103">
        <w:rPr>
          <w:lang w:val="en-CA"/>
        </w:rPr>
        <w:t>. In my view, no matter what the vehicle used, the activities con</w:t>
      </w:r>
      <w:r>
        <w:rPr>
          <w:lang w:val="en-CA"/>
        </w:rPr>
        <w:t>ducted by the respondent were not commercial in nature</w:t>
      </w:r>
      <w:r w:rsidRPr="00152103">
        <w:rPr>
          <w:lang w:val="en-CA"/>
        </w:rPr>
        <w:t>.</w:t>
      </w:r>
    </w:p>
    <w:p w14:paraId="66FCC2A2" w14:textId="77777777" w:rsidR="009214E1" w:rsidRPr="00173344" w:rsidRDefault="009214E1" w:rsidP="009214E1">
      <w:pPr>
        <w:pStyle w:val="Paragraphe"/>
        <w:spacing w:line="280" w:lineRule="exact"/>
        <w:rPr>
          <w:lang w:val="en-CA"/>
        </w:rPr>
      </w:pPr>
      <w:r w:rsidRPr="00152103">
        <w:rPr>
          <w:lang w:val="en-CA"/>
        </w:rPr>
        <w:t>Moreover, the appellant argues that, since the respondent’s activities were illegal, it cannot</w:t>
      </w:r>
      <w:r>
        <w:rPr>
          <w:lang w:val="en-CA"/>
        </w:rPr>
        <w:t xml:space="preserve"> benefit from immunity</w:t>
      </w:r>
      <w:r w:rsidRPr="00152103">
        <w:rPr>
          <w:lang w:val="en-CA"/>
        </w:rPr>
        <w:t xml:space="preserve">. </w:t>
      </w:r>
      <w:r w:rsidRPr="0059321B">
        <w:rPr>
          <w:lang w:val="en-CA"/>
        </w:rPr>
        <w:t xml:space="preserve">This argument must also fail. </w:t>
      </w:r>
      <w:r w:rsidRPr="00152103">
        <w:rPr>
          <w:lang w:val="en-CA"/>
        </w:rPr>
        <w:t>There exists no such exception in the SIA that would bar the res</w:t>
      </w:r>
      <w:r>
        <w:rPr>
          <w:lang w:val="en-CA"/>
        </w:rPr>
        <w:t>pondent from benefitting from immunity</w:t>
      </w:r>
      <w:r w:rsidRPr="00152103">
        <w:rPr>
          <w:lang w:val="en-CA"/>
        </w:rPr>
        <w:t xml:space="preserve">. </w:t>
      </w:r>
      <w:r>
        <w:rPr>
          <w:lang w:val="en-CA"/>
        </w:rPr>
        <w:t>The same holds true</w:t>
      </w:r>
      <w:r w:rsidRPr="00152103">
        <w:rPr>
          <w:lang w:val="en-CA"/>
        </w:rPr>
        <w:t xml:space="preserve"> at common law or under customary internati</w:t>
      </w:r>
      <w:r>
        <w:rPr>
          <w:lang w:val="en-CA"/>
        </w:rPr>
        <w:t>onal law</w:t>
      </w:r>
      <w:r w:rsidRPr="00152103">
        <w:rPr>
          <w:lang w:val="en-CA"/>
        </w:rPr>
        <w:t xml:space="preserve">. </w:t>
      </w:r>
      <w:r w:rsidRPr="00173344">
        <w:rPr>
          <w:lang w:val="en-CA"/>
        </w:rPr>
        <w:t xml:space="preserve">The trial judge wrote: </w:t>
      </w:r>
    </w:p>
    <w:p w14:paraId="09C39E84" w14:textId="77777777" w:rsidR="009214E1" w:rsidRPr="00E57519" w:rsidRDefault="009214E1" w:rsidP="009214E1">
      <w:pPr>
        <w:pStyle w:val="Citationenretrait"/>
        <w:rPr>
          <w:lang w:val="en-CA"/>
        </w:rPr>
      </w:pPr>
      <w:r w:rsidRPr="00E57519">
        <w:rPr>
          <w:lang w:val="en-CA"/>
        </w:rPr>
        <w:lastRenderedPageBreak/>
        <w:t>[92]</w:t>
      </w:r>
      <w:r w:rsidRPr="00E57519">
        <w:rPr>
          <w:lang w:val="en-CA"/>
        </w:rPr>
        <w:tab/>
        <w:t>Albeit that the Canadian government was allegedly not aware of the specific activity in question, the principle if applied as suggested by Representative Applicant would always constitute a bar to foreign state immunity in relation to any and all undeclared illegal activities.</w:t>
      </w:r>
    </w:p>
    <w:p w14:paraId="30A4E361" w14:textId="77777777" w:rsidR="009214E1" w:rsidRPr="00E57519" w:rsidRDefault="009214E1" w:rsidP="009214E1">
      <w:pPr>
        <w:pStyle w:val="Citationenretrait"/>
        <w:rPr>
          <w:lang w:val="en-CA"/>
        </w:rPr>
      </w:pPr>
      <w:r w:rsidRPr="00E57519">
        <w:rPr>
          <w:lang w:val="en-CA"/>
        </w:rPr>
        <w:t>[93]</w:t>
      </w:r>
      <w:r w:rsidRPr="00E57519">
        <w:rPr>
          <w:lang w:val="en-CA"/>
        </w:rPr>
        <w:tab/>
        <w:t>However, more recent case law is not consistent with that position, nor is the decision of the Legislator to specifically exclude torture under the SIA but not other acts that could qualify as illegal or criminal.</w:t>
      </w:r>
    </w:p>
    <w:p w14:paraId="40B3C745" w14:textId="77777777" w:rsidR="009214E1" w:rsidRPr="00E57519" w:rsidRDefault="009214E1" w:rsidP="009214E1">
      <w:pPr>
        <w:pStyle w:val="Citationenretrait"/>
        <w:rPr>
          <w:lang w:val="en-CA"/>
        </w:rPr>
      </w:pPr>
      <w:r w:rsidRPr="00E57519">
        <w:rPr>
          <w:lang w:val="en-CA"/>
        </w:rPr>
        <w:t>[94]</w:t>
      </w:r>
      <w:r w:rsidRPr="00E57519">
        <w:rPr>
          <w:lang w:val="en-CA"/>
        </w:rPr>
        <w:tab/>
        <w:t xml:space="preserve">In the 1983 House of Lords decision in </w:t>
      </w:r>
      <w:r w:rsidRPr="00765EBA">
        <w:rPr>
          <w:i/>
          <w:iCs/>
          <w:lang w:val="en-CA"/>
        </w:rPr>
        <w:t>I Congress del Partido</w:t>
      </w:r>
      <w:r w:rsidRPr="00E57519">
        <w:rPr>
          <w:lang w:val="en-CA"/>
        </w:rPr>
        <w:t>, Lord Wilberforce writes that “the whole purpose of the doctrine of state immunity is to prevent such issues (acts contrary to international law, or to good faith, or were discriminatory, or penal) being canvassed in the courts of one state as to the acts of another”.</w:t>
      </w:r>
    </w:p>
    <w:p w14:paraId="4BF08366" w14:textId="77777777" w:rsidR="009214E1" w:rsidRPr="00E57519" w:rsidRDefault="009214E1" w:rsidP="009214E1">
      <w:pPr>
        <w:pStyle w:val="Citationenretrait"/>
        <w:rPr>
          <w:lang w:val="en-CA"/>
        </w:rPr>
      </w:pPr>
      <w:r w:rsidRPr="00E57519">
        <w:rPr>
          <w:lang w:val="en-CA"/>
        </w:rPr>
        <w:t>[95]</w:t>
      </w:r>
      <w:r w:rsidRPr="00E57519">
        <w:rPr>
          <w:lang w:val="en-CA"/>
        </w:rPr>
        <w:tab/>
        <w:t>Although he was in the minority as to the application of restricted immunity to the commercial activity before it, Lord Wilberforce’s overall views as to foreign state immunity were shared by the majority.</w:t>
      </w:r>
    </w:p>
    <w:p w14:paraId="64EDB805" w14:textId="77777777" w:rsidR="009214E1" w:rsidRDefault="009214E1" w:rsidP="009214E1">
      <w:pPr>
        <w:pStyle w:val="Citationenretrait"/>
        <w:spacing w:after="0"/>
        <w:rPr>
          <w:lang w:val="en-CA"/>
        </w:rPr>
      </w:pPr>
      <w:r w:rsidRPr="00E57519">
        <w:rPr>
          <w:lang w:val="en-CA"/>
        </w:rPr>
        <w:t>[96]</w:t>
      </w:r>
      <w:r w:rsidRPr="00E57519">
        <w:rPr>
          <w:lang w:val="en-CA"/>
        </w:rPr>
        <w:tab/>
        <w:t xml:space="preserve">In Canada, the Supreme Court, in its 2014 </w:t>
      </w:r>
      <w:proofErr w:type="spellStart"/>
      <w:r w:rsidRPr="00765EBA">
        <w:rPr>
          <w:i/>
          <w:iCs/>
          <w:lang w:val="en-CA"/>
        </w:rPr>
        <w:t>Kazemi</w:t>
      </w:r>
      <w:proofErr w:type="spellEnd"/>
      <w:r w:rsidRPr="00E57519">
        <w:rPr>
          <w:lang w:val="en-CA"/>
        </w:rPr>
        <w:t xml:space="preserve"> decision, found that foreign state sovereign immunity applied to a civil claim for damages resulting from alleged torture.</w:t>
      </w:r>
      <w:r>
        <w:rPr>
          <w:rStyle w:val="Appelnotedebasdep"/>
        </w:rPr>
        <w:footnoteReference w:id="69"/>
      </w:r>
    </w:p>
    <w:p w14:paraId="0EB97B1A" w14:textId="77777777" w:rsidR="009214E1" w:rsidRPr="00E57519" w:rsidRDefault="009214E1" w:rsidP="009214E1">
      <w:pPr>
        <w:pStyle w:val="Citationenretrait"/>
        <w:spacing w:before="0"/>
        <w:ind w:left="6523"/>
        <w:rPr>
          <w:lang w:val="en-CA"/>
        </w:rPr>
      </w:pPr>
      <w:r>
        <w:rPr>
          <w:lang w:val="en-CA"/>
        </w:rPr>
        <w:t>[References omitted]</w:t>
      </w:r>
    </w:p>
    <w:p w14:paraId="7CB43B68" w14:textId="77777777" w:rsidR="009214E1" w:rsidRDefault="009214E1" w:rsidP="009214E1">
      <w:pPr>
        <w:pStyle w:val="Paragraphe"/>
        <w:spacing w:line="280" w:lineRule="exact"/>
      </w:pPr>
      <w:r>
        <w:t>I agree.</w:t>
      </w:r>
    </w:p>
    <w:p w14:paraId="2957F001" w14:textId="77777777" w:rsidR="009214E1" w:rsidRPr="00EA19F7" w:rsidRDefault="009214E1" w:rsidP="009214E1">
      <w:pPr>
        <w:pStyle w:val="Titre4"/>
        <w:rPr>
          <w:lang w:val="en-CA"/>
        </w:rPr>
      </w:pPr>
      <w:r w:rsidRPr="00EA19F7">
        <w:rPr>
          <w:lang w:val="en-CA"/>
        </w:rPr>
        <w:t>3)</w:t>
      </w:r>
      <w:r w:rsidRPr="00EA19F7">
        <w:rPr>
          <w:lang w:val="en-CA"/>
        </w:rPr>
        <w:tab/>
        <w:t>If so, do the family members of victims of the Montreal Experiments also benefit from the exceptions to state immunity?</w:t>
      </w:r>
    </w:p>
    <w:p w14:paraId="2D9F2D82" w14:textId="77777777" w:rsidR="009214E1" w:rsidRPr="00D835FE" w:rsidRDefault="009214E1" w:rsidP="009214E1">
      <w:pPr>
        <w:pStyle w:val="Paragraphe"/>
        <w:spacing w:line="280" w:lineRule="exact"/>
        <w:rPr>
          <w:lang w:val="en-CA"/>
        </w:rPr>
      </w:pPr>
      <w:r w:rsidRPr="00D835FE">
        <w:rPr>
          <w:lang w:val="en-CA"/>
        </w:rPr>
        <w:t xml:space="preserve">I have found, as </w:t>
      </w:r>
      <w:r>
        <w:rPr>
          <w:lang w:val="en-CA"/>
        </w:rPr>
        <w:t>did</w:t>
      </w:r>
      <w:r w:rsidRPr="00D835FE">
        <w:rPr>
          <w:lang w:val="en-CA"/>
        </w:rPr>
        <w:t xml:space="preserve"> the trial judge, that the exceptions enacte</w:t>
      </w:r>
      <w:r>
        <w:rPr>
          <w:lang w:val="en-CA"/>
        </w:rPr>
        <w:t>d in s. 6 SIA are not applicable in this case</w:t>
      </w:r>
      <w:r w:rsidRPr="00D835FE">
        <w:rPr>
          <w:lang w:val="en-CA"/>
        </w:rPr>
        <w:t xml:space="preserve">. </w:t>
      </w:r>
      <w:r>
        <w:rPr>
          <w:lang w:val="en-CA"/>
        </w:rPr>
        <w:t>As a result, it is not necessary to decide this issue</w:t>
      </w:r>
      <w:r w:rsidRPr="00D835FE">
        <w:rPr>
          <w:lang w:val="en-CA"/>
        </w:rPr>
        <w:t>.</w:t>
      </w:r>
    </w:p>
    <w:p w14:paraId="674991F0" w14:textId="3184F52A" w:rsidR="00310DDC" w:rsidRPr="00310DDC" w:rsidRDefault="009214E1" w:rsidP="00310DDC">
      <w:pPr>
        <w:pStyle w:val="Paragraphe"/>
        <w:spacing w:line="280" w:lineRule="exact"/>
        <w:rPr>
          <w:lang w:val="en-CA"/>
        </w:rPr>
      </w:pPr>
      <w:r>
        <w:rPr>
          <w:lang w:val="en-CA"/>
        </w:rPr>
        <w:t>Consequently</w:t>
      </w:r>
      <w:r w:rsidRPr="007D1586">
        <w:rPr>
          <w:lang w:val="en-CA"/>
        </w:rPr>
        <w:t xml:space="preserve">, I </w:t>
      </w:r>
      <w:r>
        <w:rPr>
          <w:lang w:val="en-CA"/>
        </w:rPr>
        <w:t>propose that</w:t>
      </w:r>
      <w:r w:rsidRPr="007D1586">
        <w:rPr>
          <w:lang w:val="en-CA"/>
        </w:rPr>
        <w:t xml:space="preserve"> the appeal</w:t>
      </w:r>
      <w:r>
        <w:rPr>
          <w:lang w:val="en-CA"/>
        </w:rPr>
        <w:t xml:space="preserve"> be dismissed</w:t>
      </w:r>
      <w:r w:rsidRPr="007D1586">
        <w:rPr>
          <w:lang w:val="en-CA"/>
        </w:rPr>
        <w:t xml:space="preserve">, </w:t>
      </w:r>
      <w:r>
        <w:rPr>
          <w:lang w:val="en-CA"/>
        </w:rPr>
        <w:t>with legal costs</w:t>
      </w:r>
      <w:r w:rsidRPr="007D1586">
        <w:rPr>
          <w:lang w:val="en-CA"/>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735"/>
        <w:gridCol w:w="4625"/>
      </w:tblGrid>
      <w:tr w:rsidR="00310DDC" w:rsidRPr="00455D82" w14:paraId="53717AC6" w14:textId="77777777" w:rsidTr="006B064B">
        <w:trPr>
          <w:cantSplit/>
          <w:trHeight w:val="513"/>
        </w:trPr>
        <w:tc>
          <w:tcPr>
            <w:tcW w:w="9360" w:type="dxa"/>
            <w:gridSpan w:val="2"/>
          </w:tcPr>
          <w:p w14:paraId="0C708380" w14:textId="77777777" w:rsidR="00310DDC" w:rsidRPr="00455D82" w:rsidRDefault="00310DDC" w:rsidP="006B064B">
            <w:pPr>
              <w:rPr>
                <w:lang w:val="en-CA"/>
              </w:rPr>
            </w:pPr>
          </w:p>
        </w:tc>
      </w:tr>
      <w:tr w:rsidR="00310DDC" w:rsidRPr="00455D82" w14:paraId="5B1D6D59" w14:textId="77777777" w:rsidTr="006B064B">
        <w:tblPrEx>
          <w:tblCellMar>
            <w:left w:w="0" w:type="dxa"/>
            <w:right w:w="0" w:type="dxa"/>
          </w:tblCellMar>
        </w:tblPrEx>
        <w:trPr>
          <w:cantSplit/>
          <w:trHeight w:val="277"/>
        </w:trPr>
        <w:tc>
          <w:tcPr>
            <w:tcW w:w="4735" w:type="dxa"/>
            <w:vMerge w:val="restart"/>
          </w:tcPr>
          <w:p w14:paraId="437FDD63" w14:textId="77777777" w:rsidR="00310DDC" w:rsidRPr="00455D82" w:rsidRDefault="00310DDC" w:rsidP="006B064B">
            <w:pPr>
              <w:rPr>
                <w:lang w:val="en-CA"/>
              </w:rPr>
            </w:pPr>
          </w:p>
        </w:tc>
        <w:tc>
          <w:tcPr>
            <w:tcW w:w="4625" w:type="dxa"/>
            <w:tcBorders>
              <w:bottom w:val="single" w:sz="8" w:space="0" w:color="auto"/>
            </w:tcBorders>
          </w:tcPr>
          <w:p w14:paraId="1B5D088B" w14:textId="77777777" w:rsidR="00310DDC" w:rsidRPr="00455D82" w:rsidRDefault="00310DDC" w:rsidP="006B064B">
            <w:pPr>
              <w:rPr>
                <w:lang w:val="en-CA"/>
              </w:rPr>
            </w:pPr>
          </w:p>
        </w:tc>
      </w:tr>
      <w:tr w:rsidR="00310DDC" w14:paraId="2006FC5E" w14:textId="77777777" w:rsidTr="006B064B">
        <w:tblPrEx>
          <w:tblCellMar>
            <w:left w:w="0" w:type="dxa"/>
            <w:right w:w="0" w:type="dxa"/>
          </w:tblCellMar>
        </w:tblPrEx>
        <w:trPr>
          <w:cantSplit/>
          <w:trHeight w:val="276"/>
        </w:trPr>
        <w:tc>
          <w:tcPr>
            <w:tcW w:w="4735" w:type="dxa"/>
            <w:vMerge/>
          </w:tcPr>
          <w:p w14:paraId="12F8D9A9" w14:textId="77777777" w:rsidR="00310DDC" w:rsidRPr="00455D82" w:rsidRDefault="00310DDC" w:rsidP="006B064B">
            <w:pPr>
              <w:rPr>
                <w:lang w:val="en-CA"/>
              </w:rPr>
            </w:pPr>
          </w:p>
        </w:tc>
        <w:tc>
          <w:tcPr>
            <w:tcW w:w="4625" w:type="dxa"/>
          </w:tcPr>
          <w:p w14:paraId="6FC2D234" w14:textId="45F922ED" w:rsidR="00310DDC" w:rsidRDefault="002A24F0" w:rsidP="006B064B">
            <w:r>
              <w:t>JULIE DUTIL, J.A.</w:t>
            </w:r>
          </w:p>
        </w:tc>
      </w:tr>
      <w:bookmarkEnd w:id="5"/>
    </w:tbl>
    <w:p w14:paraId="470C7625" w14:textId="77777777" w:rsidR="00310DDC" w:rsidRDefault="00310DDC" w:rsidP="00310DDC"/>
    <w:sectPr w:rsidR="00310DDC" w:rsidSect="009214E1">
      <w:headerReference w:type="default" r:id="rId9"/>
      <w:pgSz w:w="12242" w:h="15842" w:code="1"/>
      <w:pgMar w:top="1440" w:right="1008" w:bottom="1440"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EF8E" w14:textId="77777777" w:rsidR="00A66824" w:rsidRDefault="00A66824">
      <w:r>
        <w:separator/>
      </w:r>
    </w:p>
  </w:endnote>
  <w:endnote w:type="continuationSeparator" w:id="0">
    <w:p w14:paraId="7C48EFA6" w14:textId="77777777" w:rsidR="00A66824" w:rsidRDefault="00A6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627D" w14:textId="77777777" w:rsidR="00A66824" w:rsidRDefault="00A66824">
      <w:r>
        <w:separator/>
      </w:r>
    </w:p>
  </w:footnote>
  <w:footnote w:type="continuationSeparator" w:id="0">
    <w:p w14:paraId="0B6F70C0" w14:textId="77777777" w:rsidR="00A66824" w:rsidRDefault="00A66824">
      <w:r>
        <w:continuationSeparator/>
      </w:r>
    </w:p>
  </w:footnote>
  <w:footnote w:id="1">
    <w:p w14:paraId="029896B0" w14:textId="77777777" w:rsidR="009214E1" w:rsidRPr="007E7859" w:rsidRDefault="009214E1" w:rsidP="009214E1">
      <w:pPr>
        <w:pStyle w:val="Notedebasdepage"/>
        <w:rPr>
          <w:lang w:val="en-CA"/>
        </w:rPr>
      </w:pPr>
      <w:r>
        <w:rPr>
          <w:rStyle w:val="Appelnotedebasdep"/>
        </w:rPr>
        <w:footnoteRef/>
      </w:r>
      <w:r w:rsidRPr="007E7859">
        <w:rPr>
          <w:lang w:val="en-CA"/>
        </w:rPr>
        <w:t xml:space="preserve"> </w:t>
      </w:r>
      <w:r>
        <w:rPr>
          <w:lang w:val="en-CA"/>
        </w:rPr>
        <w:tab/>
      </w:r>
      <w:r w:rsidRPr="007E7859">
        <w:rPr>
          <w:i/>
          <w:iCs/>
          <w:lang w:val="en-CA"/>
        </w:rPr>
        <w:t xml:space="preserve">Tanny </w:t>
      </w:r>
      <w:r>
        <w:rPr>
          <w:i/>
          <w:iCs/>
          <w:lang w:val="en-CA"/>
        </w:rPr>
        <w:t>c</w:t>
      </w:r>
      <w:r w:rsidRPr="007E7859">
        <w:rPr>
          <w:i/>
          <w:iCs/>
          <w:lang w:val="en-CA"/>
        </w:rPr>
        <w:t>. Royal Victoria Hospital</w:t>
      </w:r>
      <w:r w:rsidRPr="007E7859">
        <w:rPr>
          <w:lang w:val="en-CA"/>
        </w:rPr>
        <w:t>, 2022 QCCS 3258 [</w:t>
      </w:r>
      <w:r>
        <w:rPr>
          <w:lang w:val="en-CA"/>
        </w:rPr>
        <w:t>J</w:t>
      </w:r>
      <w:r w:rsidRPr="007E7859">
        <w:rPr>
          <w:lang w:val="en-CA"/>
        </w:rPr>
        <w:t xml:space="preserve">udgment </w:t>
      </w:r>
      <w:r>
        <w:rPr>
          <w:lang w:val="en-CA"/>
        </w:rPr>
        <w:t>under appeal</w:t>
      </w:r>
      <w:r w:rsidRPr="007E7859">
        <w:rPr>
          <w:lang w:val="en-CA"/>
        </w:rPr>
        <w:t>].</w:t>
      </w:r>
    </w:p>
  </w:footnote>
  <w:footnote w:id="2">
    <w:p w14:paraId="32D97D42" w14:textId="77777777" w:rsidR="009214E1" w:rsidRPr="0016098F" w:rsidRDefault="009214E1" w:rsidP="009214E1">
      <w:pPr>
        <w:pStyle w:val="Notedebasdepage"/>
        <w:rPr>
          <w:lang w:val="en-CA"/>
        </w:rPr>
      </w:pPr>
      <w:r>
        <w:rPr>
          <w:rStyle w:val="Appelnotedebasdep"/>
        </w:rPr>
        <w:footnoteRef/>
      </w:r>
      <w:r w:rsidRPr="0016098F">
        <w:rPr>
          <w:lang w:val="en-CA"/>
        </w:rPr>
        <w:t xml:space="preserve"> </w:t>
      </w:r>
      <w:r>
        <w:rPr>
          <w:lang w:val="en-CA"/>
        </w:rPr>
        <w:tab/>
      </w:r>
      <w:r w:rsidRPr="0016098F">
        <w:rPr>
          <w:i/>
          <w:iCs/>
          <w:lang w:val="en-CA"/>
        </w:rPr>
        <w:t>State Immunity Act</w:t>
      </w:r>
      <w:r w:rsidRPr="0016098F">
        <w:rPr>
          <w:lang w:val="en-CA"/>
        </w:rPr>
        <w:t xml:space="preserve">, </w:t>
      </w:r>
      <w:r>
        <w:rPr>
          <w:lang w:val="en-CA"/>
        </w:rPr>
        <w:t>R.S</w:t>
      </w:r>
      <w:r w:rsidRPr="0016098F">
        <w:rPr>
          <w:lang w:val="en-CA"/>
        </w:rPr>
        <w:t>.C. 1985, c. S-18 [SIA].</w:t>
      </w:r>
    </w:p>
    <w:p w14:paraId="5CA723F8" w14:textId="77777777" w:rsidR="009214E1" w:rsidRPr="0016098F" w:rsidRDefault="009214E1" w:rsidP="009214E1">
      <w:pPr>
        <w:pStyle w:val="Notedebasdepage"/>
        <w:rPr>
          <w:lang w:val="en-CA"/>
        </w:rPr>
      </w:pPr>
    </w:p>
  </w:footnote>
  <w:footnote w:id="3">
    <w:p w14:paraId="131BCD85" w14:textId="7777777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Judgment </w:t>
      </w:r>
      <w:r>
        <w:rPr>
          <w:lang w:val="en-CA"/>
        </w:rPr>
        <w:t>under appeal</w:t>
      </w:r>
      <w:r w:rsidRPr="00CF2190">
        <w:rPr>
          <w:lang w:val="en-CA"/>
        </w:rPr>
        <w:t>, paras. 3-13.</w:t>
      </w:r>
    </w:p>
  </w:footnote>
  <w:footnote w:id="4">
    <w:p w14:paraId="2CA8146D" w14:textId="7777777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i/>
          <w:iCs/>
          <w:lang w:val="en-CA"/>
        </w:rPr>
        <w:t>Id.</w:t>
      </w:r>
      <w:r w:rsidRPr="00CF2190">
        <w:rPr>
          <w:lang w:val="en-CA"/>
        </w:rPr>
        <w:t>, paras. 22-32.</w:t>
      </w:r>
    </w:p>
  </w:footnote>
  <w:footnote w:id="5">
    <w:p w14:paraId="47245A69" w14:textId="77777777" w:rsidR="009214E1" w:rsidRPr="00B6463F" w:rsidRDefault="009214E1" w:rsidP="009214E1">
      <w:pPr>
        <w:pStyle w:val="Notedebasdepage"/>
        <w:rPr>
          <w:lang w:val="en-CA"/>
        </w:rPr>
      </w:pPr>
      <w:r>
        <w:rPr>
          <w:rStyle w:val="Appelnotedebasdep"/>
        </w:rPr>
        <w:footnoteRef/>
      </w:r>
      <w:r w:rsidRPr="00B6463F">
        <w:rPr>
          <w:lang w:val="en-CA"/>
        </w:rPr>
        <w:t xml:space="preserve"> </w:t>
      </w:r>
      <w:r>
        <w:rPr>
          <w:lang w:val="en-CA"/>
        </w:rPr>
        <w:tab/>
      </w:r>
      <w:r w:rsidRPr="00B6463F">
        <w:rPr>
          <w:lang w:val="en-CA"/>
        </w:rPr>
        <w:t>Th</w:t>
      </w:r>
      <w:r>
        <w:rPr>
          <w:lang w:val="en-CA"/>
        </w:rPr>
        <w:t>is is the period of</w:t>
      </w:r>
      <w:r w:rsidRPr="00B6463F">
        <w:rPr>
          <w:lang w:val="en-CA"/>
        </w:rPr>
        <w:t xml:space="preserve"> the respondent’s alleged involvement in the Montreal Experiments.</w:t>
      </w:r>
    </w:p>
  </w:footnote>
  <w:footnote w:id="6">
    <w:p w14:paraId="58AD4C8E" w14:textId="7777777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Judgment </w:t>
      </w:r>
      <w:r>
        <w:rPr>
          <w:lang w:val="en-CA"/>
        </w:rPr>
        <w:t>under appeal</w:t>
      </w:r>
      <w:r w:rsidRPr="00CF2190">
        <w:rPr>
          <w:lang w:val="en-CA"/>
        </w:rPr>
        <w:t>, para. 45.</w:t>
      </w:r>
    </w:p>
  </w:footnote>
  <w:footnote w:id="7">
    <w:p w14:paraId="0B5EB855" w14:textId="7777777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75833">
        <w:rPr>
          <w:i/>
          <w:iCs/>
          <w:lang w:val="en-CA"/>
        </w:rPr>
        <w:t>Id</w:t>
      </w:r>
      <w:r>
        <w:rPr>
          <w:lang w:val="en-CA"/>
        </w:rPr>
        <w:t>.</w:t>
      </w:r>
      <w:r w:rsidRPr="00CF2190">
        <w:rPr>
          <w:lang w:val="en-CA"/>
        </w:rPr>
        <w:t>, para. 59.</w:t>
      </w:r>
    </w:p>
  </w:footnote>
  <w:footnote w:id="8">
    <w:p w14:paraId="4BD25910" w14:textId="7BBDD6AA"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SIA, </w:t>
      </w:r>
      <w:r w:rsidRPr="00CF2190">
        <w:rPr>
          <w:i/>
          <w:iCs/>
          <w:lang w:val="en-CA"/>
        </w:rPr>
        <w:t>supra</w:t>
      </w:r>
      <w:r w:rsidRPr="00CF2190">
        <w:rPr>
          <w:lang w:val="en-CA"/>
        </w:rPr>
        <w:t xml:space="preserve">, note </w:t>
      </w:r>
      <w:r>
        <w:fldChar w:fldCharType="begin"/>
      </w:r>
      <w:r w:rsidRPr="00CF2190">
        <w:rPr>
          <w:lang w:val="en-CA"/>
        </w:rPr>
        <w:instrText xml:space="preserve"> NOTEREF _Ref139380918 \h </w:instrText>
      </w:r>
      <w:r>
        <w:fldChar w:fldCharType="separate"/>
      </w:r>
      <w:r w:rsidR="002A24F0">
        <w:rPr>
          <w:lang w:val="en-CA"/>
        </w:rPr>
        <w:t>2</w:t>
      </w:r>
      <w:r>
        <w:fldChar w:fldCharType="end"/>
      </w:r>
      <w:r w:rsidRPr="00CF2190">
        <w:rPr>
          <w:lang w:val="en-CA"/>
        </w:rPr>
        <w:t>, s. 6.1 (1).</w:t>
      </w:r>
    </w:p>
  </w:footnote>
  <w:footnote w:id="9">
    <w:p w14:paraId="5FAF9FE4" w14:textId="77777777" w:rsidR="009214E1" w:rsidRPr="00355D29"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Judgment </w:t>
      </w:r>
      <w:r>
        <w:rPr>
          <w:lang w:val="en-CA"/>
        </w:rPr>
        <w:t>under appeal</w:t>
      </w:r>
      <w:r w:rsidRPr="00CF2190">
        <w:rPr>
          <w:lang w:val="en-CA"/>
        </w:rPr>
        <w:t xml:space="preserve">, paras. </w:t>
      </w:r>
      <w:r w:rsidRPr="00355D29">
        <w:rPr>
          <w:lang w:val="en-CA"/>
        </w:rPr>
        <w:t>42-47.</w:t>
      </w:r>
    </w:p>
  </w:footnote>
  <w:footnote w:id="10">
    <w:p w14:paraId="6F95C8F0" w14:textId="77777777" w:rsidR="009214E1" w:rsidRPr="00355D29" w:rsidRDefault="009214E1" w:rsidP="009214E1">
      <w:pPr>
        <w:pStyle w:val="Notedebasdepage"/>
        <w:rPr>
          <w:lang w:val="en-CA"/>
        </w:rPr>
      </w:pPr>
      <w:r>
        <w:rPr>
          <w:rStyle w:val="Appelnotedebasdep"/>
        </w:rPr>
        <w:footnoteRef/>
      </w:r>
      <w:r w:rsidRPr="00355D29">
        <w:rPr>
          <w:lang w:val="en-CA"/>
        </w:rPr>
        <w:t xml:space="preserve"> </w:t>
      </w:r>
      <w:r>
        <w:rPr>
          <w:lang w:val="en-CA"/>
        </w:rPr>
        <w:tab/>
      </w:r>
      <w:r w:rsidRPr="001D4830">
        <w:rPr>
          <w:i/>
          <w:iCs/>
          <w:lang w:val="en-CA"/>
        </w:rPr>
        <w:t>Id.</w:t>
      </w:r>
      <w:r w:rsidRPr="00355D29">
        <w:rPr>
          <w:lang w:val="en-CA"/>
        </w:rPr>
        <w:t>, para. 74.</w:t>
      </w:r>
    </w:p>
  </w:footnote>
  <w:footnote w:id="11">
    <w:p w14:paraId="604A9A98" w14:textId="77777777" w:rsidR="009214E1" w:rsidRPr="00355D29" w:rsidRDefault="009214E1" w:rsidP="009214E1">
      <w:pPr>
        <w:pStyle w:val="Notedebasdepage"/>
        <w:rPr>
          <w:lang w:val="en-CA"/>
        </w:rPr>
      </w:pPr>
      <w:r>
        <w:rPr>
          <w:rStyle w:val="Appelnotedebasdep"/>
        </w:rPr>
        <w:footnoteRef/>
      </w:r>
      <w:r w:rsidRPr="00355D29">
        <w:rPr>
          <w:lang w:val="en-CA"/>
        </w:rPr>
        <w:t xml:space="preserve"> </w:t>
      </w:r>
      <w:r>
        <w:rPr>
          <w:lang w:val="en-CA"/>
        </w:rPr>
        <w:tab/>
      </w:r>
      <w:r w:rsidRPr="001D4830">
        <w:rPr>
          <w:i/>
          <w:iCs/>
          <w:lang w:val="en-CA"/>
        </w:rPr>
        <w:t>Id.</w:t>
      </w:r>
      <w:r w:rsidRPr="00355D29">
        <w:rPr>
          <w:lang w:val="en-CA"/>
        </w:rPr>
        <w:t>, para. 79.</w:t>
      </w:r>
    </w:p>
  </w:footnote>
  <w:footnote w:id="12">
    <w:p w14:paraId="2919995A" w14:textId="77777777" w:rsidR="009214E1" w:rsidRPr="00C137AA" w:rsidRDefault="009214E1" w:rsidP="009214E1">
      <w:pPr>
        <w:pStyle w:val="Notedebasdepage"/>
      </w:pPr>
      <w:r>
        <w:rPr>
          <w:rStyle w:val="Appelnotedebasdep"/>
        </w:rPr>
        <w:footnoteRef/>
      </w:r>
      <w:r w:rsidRPr="00355D29">
        <w:rPr>
          <w:lang w:val="en-CA"/>
        </w:rPr>
        <w:t xml:space="preserve"> </w:t>
      </w:r>
      <w:r>
        <w:rPr>
          <w:lang w:val="en-CA"/>
        </w:rPr>
        <w:tab/>
      </w:r>
      <w:r w:rsidRPr="001D4830">
        <w:rPr>
          <w:i/>
          <w:iCs/>
          <w:lang w:val="en-CA"/>
        </w:rPr>
        <w:t>Id.</w:t>
      </w:r>
      <w:r w:rsidRPr="00355D29">
        <w:rPr>
          <w:lang w:val="en-CA"/>
        </w:rPr>
        <w:t xml:space="preserve">, para. </w:t>
      </w:r>
      <w:r w:rsidRPr="00C137AA">
        <w:t>98.</w:t>
      </w:r>
    </w:p>
  </w:footnote>
  <w:footnote w:id="13">
    <w:p w14:paraId="561CED42" w14:textId="77777777" w:rsidR="009214E1" w:rsidRDefault="009214E1" w:rsidP="009214E1">
      <w:pPr>
        <w:pStyle w:val="Notedebasdepage"/>
      </w:pPr>
      <w:r>
        <w:rPr>
          <w:rStyle w:val="Appelnotedebasdep"/>
        </w:rPr>
        <w:footnoteRef/>
      </w:r>
      <w:r w:rsidRPr="00C137AA">
        <w:t xml:space="preserve"> </w:t>
      </w:r>
      <w:r>
        <w:tab/>
      </w:r>
      <w:r w:rsidRPr="00C137AA">
        <w:rPr>
          <w:i/>
          <w:iCs/>
        </w:rPr>
        <w:t>Id.</w:t>
      </w:r>
      <w:r w:rsidRPr="00C137AA">
        <w:t xml:space="preserve">, paras. </w:t>
      </w:r>
      <w:r>
        <w:t>100-102.</w:t>
      </w:r>
    </w:p>
  </w:footnote>
  <w:footnote w:id="14">
    <w:p w14:paraId="2EC6D578" w14:textId="77777777" w:rsidR="009214E1" w:rsidRPr="000019E2" w:rsidRDefault="009214E1" w:rsidP="009214E1">
      <w:pPr>
        <w:pStyle w:val="Notedebasdepage"/>
      </w:pPr>
      <w:r>
        <w:rPr>
          <w:rStyle w:val="Appelnotedebasdep"/>
        </w:rPr>
        <w:footnoteRef/>
      </w:r>
      <w:r>
        <w:t xml:space="preserve"> </w:t>
      </w:r>
      <w:r>
        <w:tab/>
      </w:r>
      <w:r w:rsidRPr="004F07BA">
        <w:rPr>
          <w:i/>
          <w:iCs/>
        </w:rPr>
        <w:t>Canada (</w:t>
      </w:r>
      <w:r>
        <w:rPr>
          <w:i/>
          <w:iCs/>
        </w:rPr>
        <w:t>Attorney General</w:t>
      </w:r>
      <w:r w:rsidRPr="004F07BA">
        <w:rPr>
          <w:i/>
          <w:iCs/>
        </w:rPr>
        <w:t xml:space="preserve">) </w:t>
      </w:r>
      <w:r>
        <w:rPr>
          <w:i/>
          <w:iCs/>
        </w:rPr>
        <w:t>v</w:t>
      </w:r>
      <w:r w:rsidRPr="004F07BA">
        <w:rPr>
          <w:i/>
          <w:iCs/>
        </w:rPr>
        <w:t>. Confédération des syndicats nationaux</w:t>
      </w:r>
      <w:r w:rsidRPr="004F07BA">
        <w:t xml:space="preserve">, 2014 </w:t>
      </w:r>
      <w:r>
        <w:t>SCC</w:t>
      </w:r>
      <w:r w:rsidRPr="004F07BA">
        <w:t xml:space="preserve"> 49</w:t>
      </w:r>
      <w:r>
        <w:t xml:space="preserve">, para. </w:t>
      </w:r>
      <w:r w:rsidRPr="000019E2">
        <w:t>17.</w:t>
      </w:r>
    </w:p>
  </w:footnote>
  <w:footnote w:id="15">
    <w:p w14:paraId="1CF823EE" w14:textId="77777777" w:rsidR="009214E1" w:rsidRPr="00765EBA" w:rsidRDefault="009214E1" w:rsidP="009214E1">
      <w:pPr>
        <w:pStyle w:val="Notedebasdepage"/>
        <w:rPr>
          <w:lang w:val="en-CA"/>
        </w:rPr>
      </w:pPr>
      <w:r>
        <w:rPr>
          <w:rStyle w:val="Appelnotedebasdep"/>
        </w:rPr>
        <w:footnoteRef/>
      </w:r>
      <w:r>
        <w:t xml:space="preserve"> </w:t>
      </w:r>
      <w:r>
        <w:tab/>
      </w:r>
      <w:r w:rsidRPr="00456576">
        <w:rPr>
          <w:i/>
          <w:iCs/>
        </w:rPr>
        <w:t xml:space="preserve">Propane Nord-Ouest </w:t>
      </w:r>
      <w:r>
        <w:rPr>
          <w:i/>
          <w:iCs/>
        </w:rPr>
        <w:t>v</w:t>
      </w:r>
      <w:r w:rsidRPr="00456576">
        <w:rPr>
          <w:i/>
          <w:iCs/>
        </w:rPr>
        <w:t>. Galarneau</w:t>
      </w:r>
      <w:r w:rsidRPr="00456576">
        <w:t>, 2015 QCCA 1688, para. 17</w:t>
      </w:r>
      <w:r>
        <w:t xml:space="preserve">. See also: </w:t>
      </w:r>
      <w:r w:rsidRPr="000B409A">
        <w:rPr>
          <w:i/>
          <w:iCs/>
        </w:rPr>
        <w:t xml:space="preserve">Société de l'assurance automobile du Québec </w:t>
      </w:r>
      <w:r>
        <w:rPr>
          <w:i/>
          <w:iCs/>
        </w:rPr>
        <w:t>v</w:t>
      </w:r>
      <w:r w:rsidRPr="000B409A">
        <w:rPr>
          <w:i/>
          <w:iCs/>
        </w:rPr>
        <w:t>. Ville de Montréal</w:t>
      </w:r>
      <w:r w:rsidRPr="000B409A">
        <w:t>, 2022 QCCA 1165</w:t>
      </w:r>
      <w:r>
        <w:t xml:space="preserve">, para. 19; </w:t>
      </w:r>
      <w:r w:rsidRPr="003F5012">
        <w:rPr>
          <w:i/>
          <w:iCs/>
        </w:rPr>
        <w:t xml:space="preserve">B.J. </w:t>
      </w:r>
      <w:r>
        <w:rPr>
          <w:i/>
          <w:iCs/>
        </w:rPr>
        <w:t>v</w:t>
      </w:r>
      <w:r w:rsidRPr="003F5012">
        <w:rPr>
          <w:i/>
          <w:iCs/>
        </w:rPr>
        <w:t xml:space="preserve">. La Capitale assureur de l'administration publique inc., </w:t>
      </w:r>
      <w:r w:rsidRPr="00226ABE">
        <w:t>2020 QCCA 615</w:t>
      </w:r>
      <w:r w:rsidRPr="003F5012">
        <w:t>, par</w:t>
      </w:r>
      <w:r>
        <w:t>a</w:t>
      </w:r>
      <w:r w:rsidRPr="003F5012">
        <w:t>. 36</w:t>
      </w:r>
      <w:r>
        <w:t xml:space="preserve">; </w:t>
      </w:r>
      <w:r w:rsidRPr="003F5012">
        <w:rPr>
          <w:i/>
          <w:iCs/>
        </w:rPr>
        <w:t xml:space="preserve">3952851 Canada inc. </w:t>
      </w:r>
      <w:r>
        <w:rPr>
          <w:i/>
          <w:iCs/>
        </w:rPr>
        <w:t>v</w:t>
      </w:r>
      <w:r w:rsidRPr="003F5012">
        <w:rPr>
          <w:i/>
          <w:iCs/>
        </w:rPr>
        <w:t>. Groupe Montoni (1995) division construction inc.</w:t>
      </w:r>
      <w:r w:rsidRPr="003F5012">
        <w:t>, 2017 QCCA 620, par</w:t>
      </w:r>
      <w:r>
        <w:t>a.</w:t>
      </w:r>
      <w:r w:rsidRPr="003F5012">
        <w:t xml:space="preserve"> 32</w:t>
      </w:r>
      <w:r>
        <w:t xml:space="preserve">; </w:t>
      </w:r>
      <w:r w:rsidRPr="003F5012">
        <w:rPr>
          <w:i/>
          <w:iCs/>
        </w:rPr>
        <w:t xml:space="preserve">9213-1705 Québec inc. </w:t>
      </w:r>
      <w:r>
        <w:rPr>
          <w:i/>
          <w:iCs/>
        </w:rPr>
        <w:t>v</w:t>
      </w:r>
      <w:r w:rsidRPr="003F5012">
        <w:rPr>
          <w:i/>
          <w:iCs/>
        </w:rPr>
        <w:t>. Geitzen</w:t>
      </w:r>
      <w:r w:rsidRPr="003F5012">
        <w:t>, 2016 QCCA 71, par</w:t>
      </w:r>
      <w:r>
        <w:t>a.</w:t>
      </w:r>
      <w:r w:rsidRPr="003F5012">
        <w:t xml:space="preserve"> 11</w:t>
      </w:r>
      <w:r>
        <w:t xml:space="preserve">; </w:t>
      </w:r>
      <w:r w:rsidRPr="003F5012">
        <w:rPr>
          <w:i/>
          <w:iCs/>
        </w:rPr>
        <w:t xml:space="preserve">Entrepôt International Québec, s.e.c. </w:t>
      </w:r>
      <w:r>
        <w:rPr>
          <w:i/>
          <w:iCs/>
        </w:rPr>
        <w:t>v</w:t>
      </w:r>
      <w:r w:rsidRPr="003F5012">
        <w:rPr>
          <w:i/>
          <w:iCs/>
        </w:rPr>
        <w:t>. Protection incendie de la Capitale inc.</w:t>
      </w:r>
      <w:r w:rsidRPr="003F5012">
        <w:t>, 2014 QCCA 617, par</w:t>
      </w:r>
      <w:r>
        <w:t>a.</w:t>
      </w:r>
      <w:r w:rsidRPr="003F5012">
        <w:t xml:space="preserve"> </w:t>
      </w:r>
      <w:r w:rsidRPr="00872015">
        <w:rPr>
          <w:lang w:val="en-CA"/>
        </w:rPr>
        <w:t>1.</w:t>
      </w:r>
    </w:p>
  </w:footnote>
  <w:footnote w:id="16">
    <w:p w14:paraId="768711F0" w14:textId="2D19400E" w:rsidR="009214E1" w:rsidRPr="00765EBA" w:rsidRDefault="009214E1" w:rsidP="009214E1">
      <w:pPr>
        <w:pStyle w:val="Notedebasdepage"/>
        <w:rPr>
          <w:lang w:val="en-CA"/>
        </w:rPr>
      </w:pPr>
      <w:r>
        <w:rPr>
          <w:rStyle w:val="Appelnotedebasdep"/>
        </w:rPr>
        <w:footnoteRef/>
      </w:r>
      <w:r w:rsidRPr="00295924">
        <w:rPr>
          <w:lang w:val="en-CA"/>
        </w:rPr>
        <w:t xml:space="preserve"> </w:t>
      </w:r>
      <w:r>
        <w:rPr>
          <w:lang w:val="en-CA"/>
        </w:rPr>
        <w:tab/>
      </w:r>
      <w:r w:rsidRPr="00295924">
        <w:rPr>
          <w:i/>
          <w:iCs/>
          <w:lang w:val="en-CA"/>
        </w:rPr>
        <w:t>Dostie v. Procureur général du Canada</w:t>
      </w:r>
      <w:r w:rsidRPr="00295924">
        <w:rPr>
          <w:lang w:val="en-CA"/>
        </w:rPr>
        <w:t xml:space="preserve">, 2022 QCCA 1652, para. </w:t>
      </w:r>
      <w:r w:rsidRPr="00C21668">
        <w:rPr>
          <w:lang w:val="en-CA"/>
        </w:rPr>
        <w:t>22</w:t>
      </w:r>
      <w:r w:rsidR="000072EF">
        <w:rPr>
          <w:lang w:val="en-CA"/>
        </w:rPr>
        <w:t>,</w:t>
      </w:r>
      <w:r w:rsidRPr="00C21668">
        <w:rPr>
          <w:lang w:val="en-CA"/>
        </w:rPr>
        <w:t xml:space="preserve"> cit</w:t>
      </w:r>
      <w:r>
        <w:rPr>
          <w:lang w:val="en-CA"/>
        </w:rPr>
        <w:t>ing</w:t>
      </w:r>
      <w:r w:rsidRPr="00C21668">
        <w:rPr>
          <w:lang w:val="en-CA"/>
        </w:rPr>
        <w:t xml:space="preserve">: </w:t>
      </w:r>
      <w:r w:rsidRPr="00007FC5">
        <w:rPr>
          <w:i/>
          <w:iCs/>
          <w:lang w:val="en-CA"/>
        </w:rPr>
        <w:t xml:space="preserve">Kazemi </w:t>
      </w:r>
      <w:r>
        <w:rPr>
          <w:i/>
          <w:iCs/>
          <w:lang w:val="en-CA"/>
        </w:rPr>
        <w:t>Estate v</w:t>
      </w:r>
      <w:r w:rsidRPr="00007FC5">
        <w:rPr>
          <w:i/>
          <w:iCs/>
          <w:lang w:val="en-CA"/>
        </w:rPr>
        <w:t xml:space="preserve">. </w:t>
      </w:r>
      <w:r>
        <w:rPr>
          <w:i/>
          <w:iCs/>
          <w:lang w:val="en-CA"/>
        </w:rPr>
        <w:t>Islamic Republic of I</w:t>
      </w:r>
      <w:r w:rsidRPr="00007FC5">
        <w:rPr>
          <w:i/>
          <w:iCs/>
          <w:lang w:val="en-CA"/>
        </w:rPr>
        <w:t>ran</w:t>
      </w:r>
      <w:r w:rsidRPr="00007FC5">
        <w:rPr>
          <w:lang w:val="en-CA"/>
        </w:rPr>
        <w:t xml:space="preserve">, 2014 </w:t>
      </w:r>
      <w:r>
        <w:rPr>
          <w:lang w:val="en-CA"/>
        </w:rPr>
        <w:t>SCC</w:t>
      </w:r>
      <w:r w:rsidRPr="00007FC5">
        <w:rPr>
          <w:lang w:val="en-CA"/>
        </w:rPr>
        <w:t xml:space="preserve"> 62</w:t>
      </w:r>
      <w:r>
        <w:rPr>
          <w:lang w:val="en-CA"/>
        </w:rPr>
        <w:t xml:space="preserve"> </w:t>
      </w:r>
      <w:r w:rsidRPr="00725D6E">
        <w:rPr>
          <w:lang w:val="en-CA"/>
        </w:rPr>
        <w:t>[</w:t>
      </w:r>
      <w:r w:rsidRPr="00725D6E">
        <w:rPr>
          <w:i/>
          <w:iCs/>
          <w:lang w:val="en-CA"/>
        </w:rPr>
        <w:t>Kazemi</w:t>
      </w:r>
      <w:r w:rsidRPr="00725D6E">
        <w:rPr>
          <w:lang w:val="en-CA"/>
        </w:rPr>
        <w:t>]</w:t>
      </w:r>
      <w:r w:rsidRPr="00007FC5">
        <w:rPr>
          <w:lang w:val="en-CA"/>
        </w:rPr>
        <w:t>, confirm</w:t>
      </w:r>
      <w:r>
        <w:rPr>
          <w:lang w:val="en-CA"/>
        </w:rPr>
        <w:t>ing</w:t>
      </w:r>
      <w:r w:rsidRPr="00007FC5">
        <w:rPr>
          <w:lang w:val="en-CA"/>
        </w:rPr>
        <w:t xml:space="preserve"> </w:t>
      </w:r>
      <w:r w:rsidRPr="00007FC5">
        <w:rPr>
          <w:i/>
          <w:iCs/>
          <w:lang w:val="en-CA"/>
        </w:rPr>
        <w:t xml:space="preserve">Islamic Republic of Iran </w:t>
      </w:r>
      <w:r>
        <w:rPr>
          <w:i/>
          <w:iCs/>
          <w:lang w:val="en-CA"/>
        </w:rPr>
        <w:t>v</w:t>
      </w:r>
      <w:r w:rsidRPr="00007FC5">
        <w:rPr>
          <w:i/>
          <w:iCs/>
          <w:lang w:val="en-CA"/>
        </w:rPr>
        <w:t>. Hashemi</w:t>
      </w:r>
      <w:r w:rsidRPr="00007FC5">
        <w:rPr>
          <w:lang w:val="en-CA"/>
        </w:rPr>
        <w:t>, 2012 QCCA 1449</w:t>
      </w:r>
      <w:r w:rsidRPr="00007FC5">
        <w:rPr>
          <w:i/>
          <w:iCs/>
          <w:lang w:val="en-CA"/>
        </w:rPr>
        <w:t xml:space="preserve">; New Jersey (Department of the Treasury of the State of), Division of Investment </w:t>
      </w:r>
      <w:r>
        <w:rPr>
          <w:i/>
          <w:iCs/>
          <w:lang w:val="en-CA"/>
        </w:rPr>
        <w:t>v</w:t>
      </w:r>
      <w:r w:rsidRPr="00007FC5">
        <w:rPr>
          <w:i/>
          <w:iCs/>
          <w:lang w:val="en-CA"/>
        </w:rPr>
        <w:t>. Trudel</w:t>
      </w:r>
      <w:r w:rsidRPr="00007FC5">
        <w:rPr>
          <w:lang w:val="en-CA"/>
        </w:rPr>
        <w:t>, 2009 QCCA 86</w:t>
      </w:r>
      <w:r>
        <w:rPr>
          <w:lang w:val="en-CA"/>
        </w:rPr>
        <w:t xml:space="preserve"> [</w:t>
      </w:r>
      <w:r w:rsidRPr="00765EBA">
        <w:rPr>
          <w:i/>
          <w:iCs/>
          <w:lang w:val="en-CA"/>
        </w:rPr>
        <w:t>Trudel</w:t>
      </w:r>
      <w:r>
        <w:rPr>
          <w:lang w:val="en-CA"/>
        </w:rPr>
        <w:t>]</w:t>
      </w:r>
      <w:r w:rsidRPr="00007FC5">
        <w:rPr>
          <w:lang w:val="en-CA"/>
        </w:rPr>
        <w:t>.</w:t>
      </w:r>
    </w:p>
  </w:footnote>
  <w:footnote w:id="17">
    <w:p w14:paraId="36C81209" w14:textId="25B41AFC"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i/>
          <w:iCs/>
          <w:lang w:val="en-CA"/>
        </w:rPr>
        <w:t>Kazemi</w:t>
      </w:r>
      <w:r w:rsidRPr="00CF2190">
        <w:rPr>
          <w:lang w:val="en-CA"/>
        </w:rPr>
        <w:t xml:space="preserve">, </w:t>
      </w:r>
      <w:r w:rsidRPr="00CF2190">
        <w:rPr>
          <w:i/>
          <w:iCs/>
          <w:lang w:val="en-CA"/>
        </w:rPr>
        <w:t>supra</w:t>
      </w:r>
      <w:r w:rsidRPr="00CF2190">
        <w:rPr>
          <w:lang w:val="en-CA"/>
        </w:rPr>
        <w:t xml:space="preserve">, note </w:t>
      </w:r>
      <w:r>
        <w:fldChar w:fldCharType="begin"/>
      </w:r>
      <w:r w:rsidRPr="00CF2190">
        <w:rPr>
          <w:lang w:val="en-CA"/>
        </w:rPr>
        <w:instrText xml:space="preserve"> NOTEREF _Ref139965220 \h </w:instrText>
      </w:r>
      <w:r>
        <w:fldChar w:fldCharType="separate"/>
      </w:r>
      <w:r w:rsidR="002A24F0">
        <w:rPr>
          <w:lang w:val="en-CA"/>
        </w:rPr>
        <w:t>16</w:t>
      </w:r>
      <w:r>
        <w:fldChar w:fldCharType="end"/>
      </w:r>
      <w:r w:rsidRPr="00CF2190">
        <w:rPr>
          <w:lang w:val="en-CA"/>
        </w:rPr>
        <w:t>, para. 105</w:t>
      </w:r>
      <w:r w:rsidRPr="00CF2190">
        <w:rPr>
          <w:i/>
          <w:iCs/>
          <w:lang w:val="en-CA"/>
        </w:rPr>
        <w:t>.</w:t>
      </w:r>
    </w:p>
  </w:footnote>
  <w:footnote w:id="18">
    <w:p w14:paraId="3468A1D6" w14:textId="720078D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i/>
          <w:iCs/>
          <w:lang w:val="en-CA"/>
        </w:rPr>
        <w:t>Trudel</w:t>
      </w:r>
      <w:r w:rsidRPr="00CF2190">
        <w:rPr>
          <w:lang w:val="en-CA"/>
        </w:rPr>
        <w:t xml:space="preserve">, </w:t>
      </w:r>
      <w:r w:rsidRPr="00CF2190">
        <w:rPr>
          <w:i/>
          <w:iCs/>
          <w:lang w:val="en-CA"/>
        </w:rPr>
        <w:t>supra</w:t>
      </w:r>
      <w:r w:rsidRPr="00CF2190">
        <w:rPr>
          <w:lang w:val="en-CA"/>
        </w:rPr>
        <w:t xml:space="preserve">, note </w:t>
      </w:r>
      <w:r>
        <w:fldChar w:fldCharType="begin"/>
      </w:r>
      <w:r w:rsidRPr="00CF2190">
        <w:rPr>
          <w:lang w:val="en-CA"/>
        </w:rPr>
        <w:instrText xml:space="preserve"> NOTEREF _Ref139965220 \h </w:instrText>
      </w:r>
      <w:r>
        <w:fldChar w:fldCharType="separate"/>
      </w:r>
      <w:r w:rsidR="002A24F0">
        <w:rPr>
          <w:lang w:val="en-CA"/>
        </w:rPr>
        <w:t>16</w:t>
      </w:r>
      <w:r>
        <w:fldChar w:fldCharType="end"/>
      </w:r>
      <w:r w:rsidRPr="00CF2190">
        <w:rPr>
          <w:lang w:val="en-CA"/>
        </w:rPr>
        <w:t>.</w:t>
      </w:r>
    </w:p>
  </w:footnote>
  <w:footnote w:id="19">
    <w:p w14:paraId="2D155BEB" w14:textId="77777777" w:rsidR="009214E1" w:rsidRPr="00D41739" w:rsidRDefault="009214E1" w:rsidP="009214E1">
      <w:pPr>
        <w:pStyle w:val="Notedebasdepage"/>
        <w:rPr>
          <w:lang w:val="en-CA"/>
        </w:rPr>
      </w:pPr>
      <w:r>
        <w:rPr>
          <w:rStyle w:val="Appelnotedebasdep"/>
        </w:rPr>
        <w:footnoteRef/>
      </w:r>
      <w:r w:rsidRPr="00D41739">
        <w:rPr>
          <w:lang w:val="en-CA"/>
        </w:rPr>
        <w:t xml:space="preserve"> </w:t>
      </w:r>
      <w:r>
        <w:rPr>
          <w:lang w:val="en-CA"/>
        </w:rPr>
        <w:tab/>
      </w:r>
      <w:r w:rsidRPr="00D41739">
        <w:rPr>
          <w:i/>
          <w:iCs/>
          <w:lang w:val="en-CA"/>
        </w:rPr>
        <w:t>Schreiber v. Canada (Attorney General)</w:t>
      </w:r>
      <w:r w:rsidRPr="00D41739">
        <w:rPr>
          <w:lang w:val="en-CA"/>
        </w:rPr>
        <w:t xml:space="preserve">, 2002 </w:t>
      </w:r>
      <w:r>
        <w:rPr>
          <w:lang w:val="en-CA"/>
        </w:rPr>
        <w:t>SCC</w:t>
      </w:r>
      <w:r w:rsidRPr="00D41739">
        <w:rPr>
          <w:lang w:val="en-CA"/>
        </w:rPr>
        <w:t xml:space="preserve"> 6 [</w:t>
      </w:r>
      <w:r w:rsidRPr="00D41739">
        <w:rPr>
          <w:i/>
          <w:iCs/>
          <w:lang w:val="en-CA"/>
        </w:rPr>
        <w:t>Schreiber</w:t>
      </w:r>
      <w:r w:rsidRPr="00D41739">
        <w:rPr>
          <w:lang w:val="en-CA"/>
        </w:rPr>
        <w:t>].</w:t>
      </w:r>
    </w:p>
  </w:footnote>
  <w:footnote w:id="20">
    <w:p w14:paraId="277423A9" w14:textId="50A931A9" w:rsidR="009214E1" w:rsidRPr="00CF2190" w:rsidRDefault="009214E1" w:rsidP="009214E1">
      <w:pPr>
        <w:pStyle w:val="Notedebasdepage"/>
        <w:rPr>
          <w:lang w:val="en-CA"/>
        </w:rPr>
      </w:pPr>
      <w:r>
        <w:rPr>
          <w:rStyle w:val="Appelnotedebasdep"/>
        </w:rPr>
        <w:footnoteRef/>
      </w:r>
      <w:r w:rsidRPr="00E15063">
        <w:rPr>
          <w:lang w:val="en-CA"/>
        </w:rPr>
        <w:t xml:space="preserve"> </w:t>
      </w:r>
      <w:bookmarkStart w:id="13" w:name="_Hlk126658014"/>
      <w:r>
        <w:rPr>
          <w:lang w:val="en-CA"/>
        </w:rPr>
        <w:tab/>
      </w:r>
      <w:r>
        <w:rPr>
          <w:i/>
          <w:iCs/>
          <w:lang w:val="en-CA"/>
        </w:rPr>
        <w:t>Trudel</w:t>
      </w:r>
      <w:r w:rsidRPr="00912F1D">
        <w:rPr>
          <w:lang w:val="en-CA"/>
        </w:rPr>
        <w:t xml:space="preserve">, </w:t>
      </w:r>
      <w:r w:rsidRPr="00845963">
        <w:rPr>
          <w:i/>
          <w:iCs/>
          <w:lang w:val="en-CA"/>
        </w:rPr>
        <w:t>supra</w:t>
      </w:r>
      <w:r w:rsidRPr="00845963">
        <w:rPr>
          <w:lang w:val="en-CA"/>
        </w:rPr>
        <w:t>, note</w:t>
      </w:r>
      <w:r>
        <w:rPr>
          <w:lang w:val="en-CA"/>
        </w:rPr>
        <w:t xml:space="preserve"> </w:t>
      </w:r>
      <w:r>
        <w:rPr>
          <w:lang w:val="en-CA"/>
        </w:rPr>
        <w:fldChar w:fldCharType="begin"/>
      </w:r>
      <w:r>
        <w:rPr>
          <w:lang w:val="en-CA"/>
        </w:rPr>
        <w:instrText xml:space="preserve"> NOTEREF _Ref139965220 \h </w:instrText>
      </w:r>
      <w:r>
        <w:rPr>
          <w:lang w:val="en-CA"/>
        </w:rPr>
      </w:r>
      <w:r>
        <w:rPr>
          <w:lang w:val="en-CA"/>
        </w:rPr>
        <w:fldChar w:fldCharType="separate"/>
      </w:r>
      <w:r w:rsidR="002A24F0">
        <w:rPr>
          <w:lang w:val="en-CA"/>
        </w:rPr>
        <w:t>16</w:t>
      </w:r>
      <w:r>
        <w:rPr>
          <w:lang w:val="en-CA"/>
        </w:rPr>
        <w:fldChar w:fldCharType="end"/>
      </w:r>
      <w:r>
        <w:rPr>
          <w:lang w:val="en-CA"/>
        </w:rPr>
        <w:t xml:space="preserve">, para. </w:t>
      </w:r>
      <w:r w:rsidRPr="00765EBA">
        <w:rPr>
          <w:lang w:val="en-CA"/>
        </w:rPr>
        <w:t xml:space="preserve">22; </w:t>
      </w:r>
      <w:r w:rsidRPr="00145BB4">
        <w:rPr>
          <w:i/>
          <w:iCs/>
          <w:lang w:val="en-CA"/>
        </w:rPr>
        <w:t>Schreiber v. Federal Republic of Germany</w:t>
      </w:r>
      <w:r w:rsidRPr="00145BB4">
        <w:rPr>
          <w:lang w:val="en-CA"/>
        </w:rPr>
        <w:t xml:space="preserve">, </w:t>
      </w:r>
      <w:r w:rsidRPr="00657820">
        <w:rPr>
          <w:lang w:val="en-CA"/>
        </w:rPr>
        <w:t>152 CCC (3d) 205</w:t>
      </w:r>
      <w:r>
        <w:rPr>
          <w:lang w:val="en-CA"/>
        </w:rPr>
        <w:t xml:space="preserve">, </w:t>
      </w:r>
      <w:r w:rsidRPr="00145BB4">
        <w:rPr>
          <w:lang w:val="en-CA"/>
        </w:rPr>
        <w:t xml:space="preserve">para. </w:t>
      </w:r>
      <w:r w:rsidRPr="00CF2190">
        <w:rPr>
          <w:lang w:val="en-CA"/>
        </w:rPr>
        <w:t>16 (Ont.</w:t>
      </w:r>
      <w:r>
        <w:rPr>
          <w:lang w:val="en-CA"/>
        </w:rPr>
        <w:t xml:space="preserve"> </w:t>
      </w:r>
      <w:r w:rsidRPr="00CF2190">
        <w:rPr>
          <w:lang w:val="en-CA"/>
        </w:rPr>
        <w:t xml:space="preserve">C.A.), confirmed by </w:t>
      </w:r>
      <w:r w:rsidRPr="00CF2190">
        <w:rPr>
          <w:i/>
          <w:iCs/>
          <w:lang w:val="en-CA"/>
        </w:rPr>
        <w:t>Schreiber</w:t>
      </w:r>
      <w:r w:rsidRPr="00CF2190">
        <w:rPr>
          <w:lang w:val="en-CA"/>
        </w:rPr>
        <w:t xml:space="preserve">, </w:t>
      </w:r>
      <w:r w:rsidRPr="00CF2190">
        <w:rPr>
          <w:i/>
          <w:iCs/>
          <w:lang w:val="en-CA"/>
        </w:rPr>
        <w:t>supra</w:t>
      </w:r>
      <w:r w:rsidRPr="00CF2190">
        <w:rPr>
          <w:lang w:val="en-CA"/>
        </w:rPr>
        <w:t xml:space="preserve">, note </w:t>
      </w:r>
      <w:r>
        <w:fldChar w:fldCharType="begin"/>
      </w:r>
      <w:r w:rsidRPr="00CF2190">
        <w:rPr>
          <w:lang w:val="en-CA"/>
        </w:rPr>
        <w:instrText xml:space="preserve"> NOTEREF _Ref139965274 \h </w:instrText>
      </w:r>
      <w:r>
        <w:fldChar w:fldCharType="separate"/>
      </w:r>
      <w:r w:rsidR="002A24F0">
        <w:rPr>
          <w:lang w:val="en-CA"/>
        </w:rPr>
        <w:t>19</w:t>
      </w:r>
      <w:r>
        <w:fldChar w:fldCharType="end"/>
      </w:r>
      <w:r w:rsidRPr="00CF2190">
        <w:rPr>
          <w:lang w:val="en-CA"/>
        </w:rPr>
        <w:t>.</w:t>
      </w:r>
      <w:bookmarkEnd w:id="13"/>
    </w:p>
  </w:footnote>
  <w:footnote w:id="21">
    <w:p w14:paraId="2D88C357" w14:textId="6DE91583" w:rsidR="009214E1" w:rsidRPr="00765EBA" w:rsidRDefault="009214E1" w:rsidP="009214E1">
      <w:pPr>
        <w:pStyle w:val="Notedebasdepage"/>
        <w:rPr>
          <w:lang w:val="en-CA"/>
        </w:rPr>
      </w:pPr>
      <w:r>
        <w:rPr>
          <w:rStyle w:val="Appelnotedebasdep"/>
        </w:rPr>
        <w:footnoteRef/>
      </w:r>
      <w:r w:rsidRPr="00CF2190">
        <w:rPr>
          <w:i/>
          <w:iCs/>
          <w:lang w:val="en-CA"/>
        </w:rPr>
        <w:t xml:space="preserve"> </w:t>
      </w:r>
      <w:r>
        <w:rPr>
          <w:i/>
          <w:iCs/>
          <w:lang w:val="en-CA"/>
        </w:rPr>
        <w:tab/>
      </w:r>
      <w:r w:rsidRPr="00CF2190">
        <w:rPr>
          <w:i/>
          <w:iCs/>
          <w:lang w:val="en-CA"/>
        </w:rPr>
        <w:t>Kazemi</w:t>
      </w:r>
      <w:r w:rsidRPr="00CF2190">
        <w:rPr>
          <w:lang w:val="en-CA"/>
        </w:rPr>
        <w:t xml:space="preserve">, </w:t>
      </w:r>
      <w:r w:rsidRPr="00CF2190">
        <w:rPr>
          <w:i/>
          <w:iCs/>
          <w:lang w:val="en-CA"/>
        </w:rPr>
        <w:t>supra</w:t>
      </w:r>
      <w:r w:rsidRPr="00CF2190">
        <w:rPr>
          <w:lang w:val="en-CA"/>
        </w:rPr>
        <w:t xml:space="preserve">, note </w:t>
      </w:r>
      <w:r>
        <w:fldChar w:fldCharType="begin"/>
      </w:r>
      <w:r w:rsidRPr="00CF2190">
        <w:rPr>
          <w:lang w:val="en-CA"/>
        </w:rPr>
        <w:instrText xml:space="preserve"> NOTEREF _Ref139965220 \h </w:instrText>
      </w:r>
      <w:r>
        <w:fldChar w:fldCharType="separate"/>
      </w:r>
      <w:r w:rsidR="002A24F0">
        <w:rPr>
          <w:lang w:val="en-CA"/>
        </w:rPr>
        <w:t>16</w:t>
      </w:r>
      <w:r>
        <w:fldChar w:fldCharType="end"/>
      </w:r>
      <w:r w:rsidRPr="00CF2190">
        <w:rPr>
          <w:lang w:val="en-CA"/>
        </w:rPr>
        <w:t xml:space="preserve">, para. </w:t>
      </w:r>
      <w:r w:rsidRPr="00765EBA">
        <w:rPr>
          <w:lang w:val="en-CA"/>
        </w:rPr>
        <w:t>35.</w:t>
      </w:r>
    </w:p>
  </w:footnote>
  <w:footnote w:id="22">
    <w:p w14:paraId="72BABC3D"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para. 37.</w:t>
      </w:r>
    </w:p>
  </w:footnote>
  <w:footnote w:id="23">
    <w:p w14:paraId="00D475FC"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para. 38</w:t>
      </w:r>
      <w:r>
        <w:rPr>
          <w:lang w:val="en-CA"/>
        </w:rPr>
        <w:t>.</w:t>
      </w:r>
    </w:p>
  </w:footnote>
  <w:footnote w:id="24">
    <w:p w14:paraId="71BF07E8"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para</w:t>
      </w:r>
      <w:r>
        <w:rPr>
          <w:lang w:val="en-CA"/>
        </w:rPr>
        <w:t>s</w:t>
      </w:r>
      <w:r w:rsidRPr="00765EBA">
        <w:rPr>
          <w:lang w:val="en-CA"/>
        </w:rPr>
        <w:t>. 39-41.</w:t>
      </w:r>
    </w:p>
  </w:footnote>
  <w:footnote w:id="25">
    <w:p w14:paraId="489F346F"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para. 54.</w:t>
      </w:r>
    </w:p>
  </w:footnote>
  <w:footnote w:id="26">
    <w:p w14:paraId="1EAB73F2"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para</w:t>
      </w:r>
      <w:r>
        <w:rPr>
          <w:lang w:val="en-CA"/>
        </w:rPr>
        <w:t>s</w:t>
      </w:r>
      <w:r w:rsidRPr="00765EBA">
        <w:rPr>
          <w:lang w:val="en-CA"/>
        </w:rPr>
        <w:t>. 44-45.</w:t>
      </w:r>
    </w:p>
  </w:footnote>
  <w:footnote w:id="27">
    <w:p w14:paraId="328BDACA" w14:textId="77777777" w:rsidR="009214E1" w:rsidRPr="00CF2190" w:rsidRDefault="009214E1" w:rsidP="009214E1">
      <w:pPr>
        <w:pStyle w:val="Notedebasdepage"/>
        <w:rPr>
          <w:lang w:val="en-CA"/>
        </w:rPr>
      </w:pPr>
      <w:r>
        <w:rPr>
          <w:rStyle w:val="Appelnotedebasdep"/>
        </w:rPr>
        <w:footnoteRef/>
      </w:r>
      <w:r w:rsidRPr="001D4830">
        <w:rPr>
          <w:lang w:val="en-CA"/>
        </w:rPr>
        <w:t xml:space="preserve"> </w:t>
      </w:r>
      <w:r>
        <w:rPr>
          <w:lang w:val="en-CA"/>
        </w:rPr>
        <w:tab/>
      </w:r>
      <w:r w:rsidRPr="001D4830">
        <w:rPr>
          <w:i/>
          <w:iCs/>
          <w:lang w:val="en-CA"/>
        </w:rPr>
        <w:t>Id.</w:t>
      </w:r>
      <w:r w:rsidRPr="001D4830">
        <w:rPr>
          <w:lang w:val="en-CA"/>
        </w:rPr>
        <w:t xml:space="preserve">, para. </w:t>
      </w:r>
      <w:r w:rsidRPr="00CF2190">
        <w:rPr>
          <w:lang w:val="en-CA"/>
        </w:rPr>
        <w:t>55.</w:t>
      </w:r>
    </w:p>
  </w:footnote>
  <w:footnote w:id="28">
    <w:p w14:paraId="3A5542FC" w14:textId="77777777" w:rsidR="009214E1" w:rsidRPr="00CF2190"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i/>
          <w:iCs/>
          <w:lang w:val="en-CA"/>
        </w:rPr>
        <w:t>Id.</w:t>
      </w:r>
      <w:r w:rsidRPr="00CF2190">
        <w:rPr>
          <w:lang w:val="en-CA"/>
        </w:rPr>
        <w:t>, para. 56.</w:t>
      </w:r>
    </w:p>
  </w:footnote>
  <w:footnote w:id="29">
    <w:p w14:paraId="73F7A1F3" w14:textId="77777777" w:rsidR="009214E1" w:rsidRPr="00022621"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Judgment </w:t>
      </w:r>
      <w:r>
        <w:rPr>
          <w:lang w:val="en-CA"/>
        </w:rPr>
        <w:t>under appeal</w:t>
      </w:r>
      <w:r w:rsidRPr="00CF2190">
        <w:rPr>
          <w:lang w:val="en-CA"/>
        </w:rPr>
        <w:t xml:space="preserve">, para. </w:t>
      </w:r>
      <w:r w:rsidRPr="00022621">
        <w:rPr>
          <w:lang w:val="en-CA"/>
        </w:rPr>
        <w:t>41.</w:t>
      </w:r>
    </w:p>
  </w:footnote>
  <w:footnote w:id="30">
    <w:p w14:paraId="7E0CD066" w14:textId="77777777" w:rsidR="009214E1" w:rsidRPr="00B15EFF" w:rsidRDefault="009214E1" w:rsidP="009214E1">
      <w:pPr>
        <w:pStyle w:val="Notedebasdepage"/>
        <w:rPr>
          <w:lang w:val="en-CA"/>
        </w:rPr>
      </w:pPr>
      <w:r>
        <w:rPr>
          <w:rStyle w:val="Appelnotedebasdep"/>
        </w:rPr>
        <w:footnoteRef/>
      </w:r>
      <w:r w:rsidRPr="00201B6E">
        <w:rPr>
          <w:lang w:val="en-CA"/>
        </w:rPr>
        <w:t xml:space="preserve"> </w:t>
      </w:r>
      <w:r>
        <w:rPr>
          <w:lang w:val="en-CA"/>
        </w:rPr>
        <w:tab/>
      </w:r>
      <w:r w:rsidRPr="00201B6E">
        <w:rPr>
          <w:i/>
          <w:iCs/>
          <w:lang w:val="en-CA"/>
        </w:rPr>
        <w:t xml:space="preserve">R. </w:t>
      </w:r>
      <w:r>
        <w:rPr>
          <w:i/>
          <w:iCs/>
          <w:lang w:val="en-CA"/>
        </w:rPr>
        <w:t>v</w:t>
      </w:r>
      <w:r w:rsidRPr="00201B6E">
        <w:rPr>
          <w:i/>
          <w:iCs/>
          <w:lang w:val="en-CA"/>
        </w:rPr>
        <w:t>. Dineley</w:t>
      </w:r>
      <w:r w:rsidRPr="00201B6E">
        <w:rPr>
          <w:lang w:val="en-CA"/>
        </w:rPr>
        <w:t xml:space="preserve">, 2012 </w:t>
      </w:r>
      <w:r>
        <w:rPr>
          <w:lang w:val="en-CA"/>
        </w:rPr>
        <w:t>SCC</w:t>
      </w:r>
      <w:r w:rsidRPr="00201B6E">
        <w:rPr>
          <w:lang w:val="en-CA"/>
        </w:rPr>
        <w:t xml:space="preserve"> 58, para. </w:t>
      </w:r>
      <w:r>
        <w:rPr>
          <w:lang w:val="en-CA"/>
        </w:rPr>
        <w:t xml:space="preserve">9; Ruth Sullivan, </w:t>
      </w:r>
      <w:r w:rsidRPr="005B2C7F">
        <w:rPr>
          <w:i/>
          <w:iCs/>
          <w:lang w:val="en-CA"/>
        </w:rPr>
        <w:t xml:space="preserve">The </w:t>
      </w:r>
      <w:r>
        <w:rPr>
          <w:i/>
          <w:iCs/>
          <w:lang w:val="en-CA"/>
        </w:rPr>
        <w:t>C</w:t>
      </w:r>
      <w:r w:rsidRPr="005B2C7F">
        <w:rPr>
          <w:i/>
          <w:iCs/>
          <w:lang w:val="en-CA"/>
        </w:rPr>
        <w:t xml:space="preserve">onstruction of </w:t>
      </w:r>
      <w:r>
        <w:rPr>
          <w:i/>
          <w:iCs/>
          <w:lang w:val="en-CA"/>
        </w:rPr>
        <w:t>S</w:t>
      </w:r>
      <w:r w:rsidRPr="005B2C7F">
        <w:rPr>
          <w:i/>
          <w:iCs/>
          <w:lang w:val="en-CA"/>
        </w:rPr>
        <w:t>tatutes</w:t>
      </w:r>
      <w:r>
        <w:rPr>
          <w:lang w:val="en-CA"/>
        </w:rPr>
        <w:t>, 7</w:t>
      </w:r>
      <w:r w:rsidRPr="00E94146">
        <w:rPr>
          <w:lang w:val="en-CA"/>
        </w:rPr>
        <w:t>th</w:t>
      </w:r>
      <w:r>
        <w:rPr>
          <w:lang w:val="en-CA"/>
        </w:rPr>
        <w:t xml:space="preserve"> ed., Toronto, Lexis Nexis, 2022, p. 734.</w:t>
      </w:r>
    </w:p>
  </w:footnote>
  <w:footnote w:id="31">
    <w:p w14:paraId="4CA3D343" w14:textId="73B78A1D" w:rsidR="009214E1" w:rsidRPr="00692159" w:rsidRDefault="009214E1" w:rsidP="009214E1">
      <w:pPr>
        <w:pStyle w:val="Notedebasdepage"/>
        <w:rPr>
          <w:lang w:val="en-CA"/>
        </w:rPr>
      </w:pPr>
      <w:r>
        <w:rPr>
          <w:rStyle w:val="Appelnotedebasdep"/>
        </w:rPr>
        <w:footnoteRef/>
      </w:r>
      <w:r w:rsidRPr="003D31CB">
        <w:rPr>
          <w:lang w:val="en-CA"/>
        </w:rPr>
        <w:t xml:space="preserve"> </w:t>
      </w:r>
      <w:r>
        <w:rPr>
          <w:lang w:val="en-CA"/>
        </w:rPr>
        <w:tab/>
      </w:r>
      <w:r w:rsidRPr="00692159">
        <w:rPr>
          <w:lang w:val="en-CA"/>
        </w:rPr>
        <w:t xml:space="preserve">R. Sullivan, </w:t>
      </w:r>
      <w:r w:rsidRPr="00692159">
        <w:rPr>
          <w:i/>
          <w:iCs/>
          <w:lang w:val="en-CA"/>
        </w:rPr>
        <w:t>supra</w:t>
      </w:r>
      <w:r w:rsidRPr="00692159">
        <w:rPr>
          <w:lang w:val="en-CA"/>
        </w:rPr>
        <w:t xml:space="preserve">, note </w:t>
      </w:r>
      <w:r w:rsidRPr="00692159">
        <w:rPr>
          <w:lang w:val="en-CA"/>
        </w:rPr>
        <w:fldChar w:fldCharType="begin"/>
      </w:r>
      <w:r w:rsidRPr="00692159">
        <w:rPr>
          <w:lang w:val="en-CA"/>
        </w:rPr>
        <w:instrText xml:space="preserve"> NOTEREF _Ref139965588 \h </w:instrText>
      </w:r>
      <w:r w:rsidRPr="00692159">
        <w:rPr>
          <w:lang w:val="en-CA"/>
        </w:rPr>
      </w:r>
      <w:r w:rsidRPr="00692159">
        <w:rPr>
          <w:lang w:val="en-CA"/>
        </w:rPr>
        <w:fldChar w:fldCharType="separate"/>
      </w:r>
      <w:r w:rsidR="002A24F0">
        <w:rPr>
          <w:lang w:val="en-CA"/>
        </w:rPr>
        <w:t>30</w:t>
      </w:r>
      <w:r w:rsidRPr="00692159">
        <w:rPr>
          <w:lang w:val="en-CA"/>
        </w:rPr>
        <w:fldChar w:fldCharType="end"/>
      </w:r>
      <w:r w:rsidRPr="00692159">
        <w:rPr>
          <w:lang w:val="en-CA"/>
        </w:rPr>
        <w:t>, p. 734</w:t>
      </w:r>
      <w:r w:rsidR="000072EF">
        <w:rPr>
          <w:lang w:val="en-CA"/>
        </w:rPr>
        <w:t>,</w:t>
      </w:r>
      <w:r w:rsidRPr="00692159">
        <w:rPr>
          <w:lang w:val="en-CA"/>
        </w:rPr>
        <w:t xml:space="preserve"> citing Elmer A. Driedger, </w:t>
      </w:r>
      <w:r>
        <w:rPr>
          <w:lang w:val="en-CA"/>
        </w:rPr>
        <w:t>“</w:t>
      </w:r>
      <w:r w:rsidRPr="00692159">
        <w:rPr>
          <w:lang w:val="en-CA"/>
        </w:rPr>
        <w:t xml:space="preserve">Statutes: </w:t>
      </w:r>
      <w:r w:rsidRPr="0045114A">
        <w:rPr>
          <w:i/>
          <w:iCs/>
          <w:lang w:val="en-CA"/>
        </w:rPr>
        <w:t>Retroactive retrospective reflections</w:t>
      </w:r>
      <w:r>
        <w:rPr>
          <w:lang w:val="en-CA"/>
        </w:rPr>
        <w:t>”</w:t>
      </w:r>
      <w:r w:rsidRPr="00692159">
        <w:rPr>
          <w:lang w:val="en-CA"/>
        </w:rPr>
        <w:t xml:space="preserve">, (1978) 56 </w:t>
      </w:r>
      <w:r w:rsidRPr="00692159">
        <w:rPr>
          <w:i/>
          <w:iCs/>
          <w:lang w:val="en-CA"/>
        </w:rPr>
        <w:t xml:space="preserve">Can. Bar Rev. </w:t>
      </w:r>
      <w:r w:rsidRPr="00692159">
        <w:rPr>
          <w:lang w:val="en-CA"/>
        </w:rPr>
        <w:t xml:space="preserve">264, </w:t>
      </w:r>
      <w:r>
        <w:rPr>
          <w:lang w:val="en-CA"/>
        </w:rPr>
        <w:t>p</w:t>
      </w:r>
      <w:r w:rsidRPr="00692159">
        <w:rPr>
          <w:lang w:val="en-CA"/>
        </w:rPr>
        <w:t>p. 268-269.</w:t>
      </w:r>
    </w:p>
  </w:footnote>
  <w:footnote w:id="32">
    <w:p w14:paraId="43EC9512" w14:textId="57ABFFD5" w:rsidR="009214E1" w:rsidRPr="003D31CB" w:rsidRDefault="009214E1" w:rsidP="009214E1">
      <w:pPr>
        <w:pStyle w:val="Notedebasdepage"/>
        <w:rPr>
          <w:lang w:val="en-CA"/>
        </w:rPr>
      </w:pPr>
      <w:r>
        <w:rPr>
          <w:rStyle w:val="Appelnotedebasdep"/>
        </w:rPr>
        <w:footnoteRef/>
      </w:r>
      <w:r w:rsidRPr="003D31CB">
        <w:rPr>
          <w:lang w:val="en-CA"/>
        </w:rPr>
        <w:t xml:space="preserve"> </w:t>
      </w:r>
      <w:r>
        <w:rPr>
          <w:lang w:val="en-CA"/>
        </w:rPr>
        <w:tab/>
      </w:r>
      <w:r w:rsidRPr="003D31CB">
        <w:rPr>
          <w:i/>
          <w:iCs/>
          <w:lang w:val="en-CA"/>
        </w:rPr>
        <w:t>Brosseau v. Alberta Securities Commission</w:t>
      </w:r>
      <w:r w:rsidRPr="003D31CB">
        <w:rPr>
          <w:lang w:val="en-CA"/>
        </w:rPr>
        <w:t xml:space="preserve">, [1989] 1 S.C.R. 301, p. 317; </w:t>
      </w:r>
      <w:r w:rsidRPr="003D31CB">
        <w:rPr>
          <w:i/>
          <w:iCs/>
          <w:lang w:val="en-CA"/>
        </w:rPr>
        <w:t>Angus v. Sun Alliance Insurance Co.</w:t>
      </w:r>
      <w:r w:rsidRPr="003D31CB">
        <w:rPr>
          <w:lang w:val="en-CA"/>
        </w:rPr>
        <w:t xml:space="preserve">, [1988] 2 S.C.R. 256, para. 14; R. Sullivan, </w:t>
      </w:r>
      <w:r w:rsidRPr="003D31CB">
        <w:rPr>
          <w:i/>
          <w:iCs/>
          <w:lang w:val="en-CA"/>
        </w:rPr>
        <w:t>supra</w:t>
      </w:r>
      <w:r w:rsidRPr="003D31CB">
        <w:rPr>
          <w:lang w:val="en-CA"/>
        </w:rPr>
        <w:t xml:space="preserve">, note </w:t>
      </w:r>
      <w:r>
        <w:fldChar w:fldCharType="begin"/>
      </w:r>
      <w:r w:rsidRPr="003D31CB">
        <w:rPr>
          <w:lang w:val="en-CA"/>
        </w:rPr>
        <w:instrText xml:space="preserve"> NOTEREF _Ref139965588 \h </w:instrText>
      </w:r>
      <w:r>
        <w:fldChar w:fldCharType="separate"/>
      </w:r>
      <w:r w:rsidR="002A24F0">
        <w:rPr>
          <w:lang w:val="en-CA"/>
        </w:rPr>
        <w:t>30</w:t>
      </w:r>
      <w:r>
        <w:fldChar w:fldCharType="end"/>
      </w:r>
      <w:r w:rsidRPr="003D31CB">
        <w:rPr>
          <w:lang w:val="en-CA"/>
        </w:rPr>
        <w:t xml:space="preserve">, </w:t>
      </w:r>
      <w:r>
        <w:rPr>
          <w:lang w:val="en-CA"/>
        </w:rPr>
        <w:t>p</w:t>
      </w:r>
      <w:r w:rsidRPr="003D31CB">
        <w:rPr>
          <w:lang w:val="en-CA"/>
        </w:rPr>
        <w:t>p. 737-738</w:t>
      </w:r>
      <w:r>
        <w:rPr>
          <w:lang w:val="en-CA"/>
        </w:rPr>
        <w:t>.</w:t>
      </w:r>
    </w:p>
  </w:footnote>
  <w:footnote w:id="33">
    <w:p w14:paraId="661FA44F" w14:textId="5C31B676" w:rsidR="009214E1" w:rsidRPr="003D31CB" w:rsidRDefault="009214E1" w:rsidP="009214E1">
      <w:pPr>
        <w:pStyle w:val="Notedebasdepage"/>
        <w:rPr>
          <w:lang w:val="en-CA"/>
        </w:rPr>
      </w:pPr>
      <w:r>
        <w:rPr>
          <w:rStyle w:val="Appelnotedebasdep"/>
        </w:rPr>
        <w:footnoteRef/>
      </w:r>
      <w:r w:rsidRPr="003D31CB">
        <w:rPr>
          <w:lang w:val="en-CA"/>
        </w:rPr>
        <w:t xml:space="preserve"> </w:t>
      </w:r>
      <w:r>
        <w:rPr>
          <w:lang w:val="en-CA"/>
        </w:rPr>
        <w:tab/>
      </w:r>
      <w:r w:rsidRPr="003D31CB">
        <w:rPr>
          <w:i/>
          <w:iCs/>
          <w:lang w:val="en-CA"/>
        </w:rPr>
        <w:t>R. v. Dineley</w:t>
      </w:r>
      <w:r w:rsidRPr="003D31CB">
        <w:rPr>
          <w:lang w:val="en-CA"/>
        </w:rPr>
        <w:t xml:space="preserve">, </w:t>
      </w:r>
      <w:r w:rsidRPr="003D31CB">
        <w:rPr>
          <w:i/>
          <w:iCs/>
          <w:lang w:val="en-CA"/>
        </w:rPr>
        <w:t>supra</w:t>
      </w:r>
      <w:r w:rsidRPr="003D31CB">
        <w:rPr>
          <w:lang w:val="en-CA"/>
        </w:rPr>
        <w:t xml:space="preserve">, note </w:t>
      </w:r>
      <w:r>
        <w:fldChar w:fldCharType="begin"/>
      </w:r>
      <w:r w:rsidRPr="003D31CB">
        <w:rPr>
          <w:lang w:val="en-CA"/>
        </w:rPr>
        <w:instrText xml:space="preserve"> NOTEREF _Ref139965588 \h </w:instrText>
      </w:r>
      <w:r>
        <w:fldChar w:fldCharType="separate"/>
      </w:r>
      <w:r w:rsidR="002A24F0">
        <w:rPr>
          <w:lang w:val="en-CA"/>
        </w:rPr>
        <w:t>30</w:t>
      </w:r>
      <w:r>
        <w:fldChar w:fldCharType="end"/>
      </w:r>
      <w:r w:rsidRPr="003D31CB">
        <w:rPr>
          <w:lang w:val="en-CA"/>
        </w:rPr>
        <w:t xml:space="preserve">, para. 10; R. Sullivan, </w:t>
      </w:r>
      <w:r w:rsidRPr="003D31CB">
        <w:rPr>
          <w:i/>
          <w:iCs/>
          <w:lang w:val="en-CA"/>
        </w:rPr>
        <w:t>supra</w:t>
      </w:r>
      <w:r w:rsidRPr="003D31CB">
        <w:rPr>
          <w:lang w:val="en-CA"/>
        </w:rPr>
        <w:t xml:space="preserve">, note </w:t>
      </w:r>
      <w:r>
        <w:fldChar w:fldCharType="begin"/>
      </w:r>
      <w:r w:rsidRPr="003D31CB">
        <w:rPr>
          <w:lang w:val="en-CA"/>
        </w:rPr>
        <w:instrText xml:space="preserve"> NOTEREF _Ref139965588 \h </w:instrText>
      </w:r>
      <w:r>
        <w:fldChar w:fldCharType="separate"/>
      </w:r>
      <w:r w:rsidR="002A24F0">
        <w:rPr>
          <w:lang w:val="en-CA"/>
        </w:rPr>
        <w:t>30</w:t>
      </w:r>
      <w:r>
        <w:fldChar w:fldCharType="end"/>
      </w:r>
      <w:r w:rsidRPr="003D31CB">
        <w:rPr>
          <w:lang w:val="en-CA"/>
        </w:rPr>
        <w:t>, p. 750.</w:t>
      </w:r>
    </w:p>
  </w:footnote>
  <w:footnote w:id="34">
    <w:p w14:paraId="66EF638E" w14:textId="7618CCE9" w:rsidR="009214E1" w:rsidRPr="001D4830" w:rsidRDefault="009214E1" w:rsidP="009214E1">
      <w:pPr>
        <w:pStyle w:val="Notedebasdepage"/>
        <w:rPr>
          <w:lang w:val="en-CA"/>
        </w:rPr>
      </w:pPr>
      <w:r>
        <w:rPr>
          <w:rStyle w:val="Appelnotedebasdep"/>
        </w:rPr>
        <w:footnoteRef/>
      </w:r>
      <w:r w:rsidRPr="00576737">
        <w:rPr>
          <w:lang w:val="en-CA"/>
        </w:rPr>
        <w:t xml:space="preserve"> </w:t>
      </w:r>
      <w:r>
        <w:rPr>
          <w:lang w:val="en-CA"/>
        </w:rPr>
        <w:tab/>
      </w:r>
      <w:r w:rsidRPr="00576737">
        <w:rPr>
          <w:i/>
          <w:iCs/>
          <w:lang w:val="en-CA"/>
        </w:rPr>
        <w:t>Angus v. Sun Alliance Insurance Co.</w:t>
      </w:r>
      <w:r w:rsidRPr="00576737">
        <w:rPr>
          <w:lang w:val="en-CA"/>
        </w:rPr>
        <w:t xml:space="preserve">, </w:t>
      </w:r>
      <w:r w:rsidRPr="00576737">
        <w:rPr>
          <w:i/>
          <w:iCs/>
          <w:lang w:val="en-CA"/>
        </w:rPr>
        <w:t>supra</w:t>
      </w:r>
      <w:r w:rsidRPr="00576737">
        <w:rPr>
          <w:lang w:val="en-CA"/>
        </w:rPr>
        <w:t xml:space="preserve">, note </w:t>
      </w:r>
      <w:r>
        <w:fldChar w:fldCharType="begin"/>
      </w:r>
      <w:r w:rsidRPr="00576737">
        <w:rPr>
          <w:lang w:val="en-CA"/>
        </w:rPr>
        <w:instrText xml:space="preserve"> NOTEREF _Ref139965715 \h </w:instrText>
      </w:r>
      <w:r>
        <w:fldChar w:fldCharType="separate"/>
      </w:r>
      <w:r w:rsidR="002A24F0">
        <w:rPr>
          <w:lang w:val="en-CA"/>
        </w:rPr>
        <w:t>32</w:t>
      </w:r>
      <w:r>
        <w:fldChar w:fldCharType="end"/>
      </w:r>
      <w:r w:rsidRPr="00576737">
        <w:rPr>
          <w:lang w:val="en-CA"/>
        </w:rPr>
        <w:t xml:space="preserve">, para. </w:t>
      </w:r>
      <w:r w:rsidRPr="001C616E">
        <w:rPr>
          <w:lang w:val="en-CA"/>
        </w:rPr>
        <w:t xml:space="preserve">19; </w:t>
      </w:r>
      <w:r w:rsidRPr="001C616E">
        <w:rPr>
          <w:i/>
          <w:iCs/>
          <w:lang w:val="en-CA"/>
        </w:rPr>
        <w:t>Wildman </w:t>
      </w:r>
      <w:r>
        <w:rPr>
          <w:i/>
          <w:iCs/>
          <w:lang w:val="en-CA"/>
        </w:rPr>
        <w:t>v</w:t>
      </w:r>
      <w:r w:rsidRPr="001C616E">
        <w:rPr>
          <w:i/>
          <w:iCs/>
          <w:lang w:val="en-CA"/>
        </w:rPr>
        <w:t>. R.</w:t>
      </w:r>
      <w:r w:rsidRPr="001C616E">
        <w:rPr>
          <w:lang w:val="en-CA"/>
        </w:rPr>
        <w:t xml:space="preserve">, [1984] 2 </w:t>
      </w:r>
      <w:r>
        <w:rPr>
          <w:lang w:val="en-CA"/>
        </w:rPr>
        <w:t>S.C.R</w:t>
      </w:r>
      <w:r w:rsidRPr="001C616E">
        <w:rPr>
          <w:lang w:val="en-CA"/>
        </w:rPr>
        <w:t>. 311, p.</w:t>
      </w:r>
      <w:r>
        <w:rPr>
          <w:lang w:val="en-CA"/>
        </w:rPr>
        <w:t> </w:t>
      </w:r>
      <w:r w:rsidRPr="001C616E">
        <w:rPr>
          <w:lang w:val="en-CA"/>
        </w:rPr>
        <w:t xml:space="preserve">331; </w:t>
      </w:r>
      <w:r>
        <w:rPr>
          <w:lang w:val="en-CA"/>
        </w:rPr>
        <w:t>R.</w:t>
      </w:r>
      <w:r w:rsidRPr="001C616E">
        <w:rPr>
          <w:lang w:val="en-CA"/>
        </w:rPr>
        <w:t xml:space="preserve"> Sullivan, </w:t>
      </w:r>
      <w:r w:rsidRPr="00845963">
        <w:rPr>
          <w:i/>
          <w:iCs/>
          <w:lang w:val="en-CA"/>
        </w:rPr>
        <w:t>supra</w:t>
      </w:r>
      <w:r w:rsidRPr="00845963">
        <w:rPr>
          <w:lang w:val="en-CA"/>
        </w:rPr>
        <w:t>, note</w:t>
      </w:r>
      <w:r>
        <w:rPr>
          <w:lang w:val="en-CA"/>
        </w:rPr>
        <w:t xml:space="preserve"> </w:t>
      </w:r>
      <w:r>
        <w:rPr>
          <w:lang w:val="en-CA"/>
        </w:rPr>
        <w:fldChar w:fldCharType="begin"/>
      </w:r>
      <w:r>
        <w:rPr>
          <w:lang w:val="en-CA"/>
        </w:rPr>
        <w:instrText xml:space="preserve"> NOTEREF _Ref139965588 \h </w:instrText>
      </w:r>
      <w:r>
        <w:rPr>
          <w:lang w:val="en-CA"/>
        </w:rPr>
      </w:r>
      <w:r>
        <w:rPr>
          <w:lang w:val="en-CA"/>
        </w:rPr>
        <w:fldChar w:fldCharType="separate"/>
      </w:r>
      <w:r w:rsidR="002A24F0">
        <w:rPr>
          <w:lang w:val="en-CA"/>
        </w:rPr>
        <w:t>30</w:t>
      </w:r>
      <w:r>
        <w:rPr>
          <w:lang w:val="en-CA"/>
        </w:rPr>
        <w:fldChar w:fldCharType="end"/>
      </w:r>
      <w:r w:rsidRPr="00845963">
        <w:rPr>
          <w:lang w:val="en-CA"/>
        </w:rPr>
        <w:t xml:space="preserve">, p. </w:t>
      </w:r>
      <w:r>
        <w:rPr>
          <w:lang w:val="en-CA"/>
        </w:rPr>
        <w:t>784</w:t>
      </w:r>
      <w:r w:rsidRPr="001C616E">
        <w:rPr>
          <w:lang w:val="en-CA"/>
        </w:rPr>
        <w:t>.</w:t>
      </w:r>
    </w:p>
  </w:footnote>
  <w:footnote w:id="35">
    <w:p w14:paraId="08CB3E44" w14:textId="77777777" w:rsidR="009214E1" w:rsidRPr="005363F4" w:rsidRDefault="009214E1" w:rsidP="009214E1">
      <w:pPr>
        <w:pStyle w:val="Notedebasdepage"/>
      </w:pPr>
      <w:r>
        <w:rPr>
          <w:rStyle w:val="Appelnotedebasdep"/>
        </w:rPr>
        <w:footnoteRef/>
      </w:r>
      <w:r w:rsidRPr="003D31CB">
        <w:t xml:space="preserve"> </w:t>
      </w:r>
      <w:r>
        <w:tab/>
        <w:t xml:space="preserve">Pierre-André Côté et Mathieu Devinat, </w:t>
      </w:r>
      <w:r w:rsidRPr="002A724A">
        <w:rPr>
          <w:i/>
          <w:iCs/>
        </w:rPr>
        <w:t>Interprétation des lois</w:t>
      </w:r>
      <w:r>
        <w:t>, 5</w:t>
      </w:r>
      <w:r w:rsidRPr="00CB3720">
        <w:rPr>
          <w:vertAlign w:val="superscript"/>
        </w:rPr>
        <w:t>e</w:t>
      </w:r>
      <w:r>
        <w:t xml:space="preserve"> éd., Montréal, Thémis, 2021, </w:t>
      </w:r>
      <w:r w:rsidRPr="00125C9E">
        <w:rPr>
          <w:rFonts w:cs="Arial"/>
          <w:color w:val="000000"/>
          <w:shd w:val="clear" w:color="auto" w:fill="FFFFFF"/>
        </w:rPr>
        <w:t>n</w:t>
      </w:r>
      <w:r w:rsidRPr="001D4784">
        <w:rPr>
          <w:rFonts w:cs="Arial"/>
          <w:color w:val="000000"/>
          <w:shd w:val="clear" w:color="auto" w:fill="FFFFFF"/>
          <w:vertAlign w:val="superscript"/>
        </w:rPr>
        <w:t>o</w:t>
      </w:r>
      <w:r>
        <w:t xml:space="preserve"> 484.</w:t>
      </w:r>
    </w:p>
  </w:footnote>
  <w:footnote w:id="36">
    <w:p w14:paraId="78207DF5" w14:textId="77777777" w:rsidR="009214E1" w:rsidRPr="001D4830" w:rsidRDefault="009214E1" w:rsidP="009214E1">
      <w:pPr>
        <w:pStyle w:val="Notedebasdepage"/>
        <w:rPr>
          <w:lang w:val="en-CA"/>
        </w:rPr>
      </w:pPr>
      <w:r>
        <w:rPr>
          <w:rStyle w:val="Appelnotedebasdep"/>
        </w:rPr>
        <w:footnoteRef/>
      </w:r>
      <w:r w:rsidRPr="001D4830">
        <w:rPr>
          <w:lang w:val="en-CA"/>
        </w:rPr>
        <w:t xml:space="preserve"> </w:t>
      </w:r>
      <w:r>
        <w:rPr>
          <w:lang w:val="en-CA"/>
        </w:rPr>
        <w:tab/>
      </w:r>
      <w:r w:rsidRPr="001D4830">
        <w:rPr>
          <w:i/>
          <w:iCs/>
          <w:lang w:val="en-CA"/>
        </w:rPr>
        <w:t>Id.</w:t>
      </w:r>
      <w:r w:rsidRPr="001D4830">
        <w:rPr>
          <w:lang w:val="en-CA"/>
        </w:rPr>
        <w:t xml:space="preserve">, </w:t>
      </w:r>
      <w:r w:rsidRPr="009E6750">
        <w:rPr>
          <w:rFonts w:cs="Arial"/>
          <w:color w:val="000000"/>
          <w:shd w:val="clear" w:color="auto" w:fill="FFFFFF"/>
          <w:lang w:val="en-CA"/>
        </w:rPr>
        <w:t>n</w:t>
      </w:r>
      <w:r w:rsidRPr="009E6750">
        <w:rPr>
          <w:rFonts w:cs="Arial"/>
          <w:color w:val="000000"/>
          <w:shd w:val="clear" w:color="auto" w:fill="FFFFFF"/>
          <w:vertAlign w:val="superscript"/>
          <w:lang w:val="en-CA"/>
        </w:rPr>
        <w:t>o</w:t>
      </w:r>
      <w:r w:rsidRPr="009E6750">
        <w:rPr>
          <w:lang w:val="en-CA"/>
        </w:rPr>
        <w:t xml:space="preserve"> 485-493</w:t>
      </w:r>
      <w:r w:rsidRPr="001D4830">
        <w:rPr>
          <w:lang w:val="en-CA"/>
        </w:rPr>
        <w:t>.</w:t>
      </w:r>
    </w:p>
  </w:footnote>
  <w:footnote w:id="37">
    <w:p w14:paraId="118D163E"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r>
        <w:rPr>
          <w:lang w:val="en-CA"/>
        </w:rPr>
        <w:tab/>
      </w:r>
      <w:r w:rsidRPr="00765EBA">
        <w:rPr>
          <w:i/>
          <w:iCs/>
          <w:lang w:val="en-CA"/>
        </w:rPr>
        <w:t>Id.</w:t>
      </w:r>
      <w:r w:rsidRPr="00765EBA">
        <w:rPr>
          <w:lang w:val="en-CA"/>
        </w:rPr>
        <w:t xml:space="preserve">, </w:t>
      </w:r>
      <w:r w:rsidRPr="009E6750">
        <w:rPr>
          <w:rFonts w:cs="Arial"/>
          <w:color w:val="000000"/>
          <w:shd w:val="clear" w:color="auto" w:fill="FFFFFF"/>
          <w:lang w:val="en-CA"/>
        </w:rPr>
        <w:t>n</w:t>
      </w:r>
      <w:r w:rsidRPr="009E6750">
        <w:rPr>
          <w:rFonts w:cs="Arial"/>
          <w:color w:val="000000"/>
          <w:shd w:val="clear" w:color="auto" w:fill="FFFFFF"/>
          <w:vertAlign w:val="superscript"/>
          <w:lang w:val="en-CA"/>
        </w:rPr>
        <w:t>o</w:t>
      </w:r>
      <w:r w:rsidRPr="009E6750">
        <w:rPr>
          <w:rFonts w:cs="Arial"/>
          <w:color w:val="000000"/>
          <w:shd w:val="clear" w:color="auto" w:fill="FFFFFF"/>
          <w:lang w:val="en-CA"/>
        </w:rPr>
        <w:t xml:space="preserve"> </w:t>
      </w:r>
      <w:r w:rsidRPr="009E6750">
        <w:rPr>
          <w:lang w:val="en-CA"/>
        </w:rPr>
        <w:t>577</w:t>
      </w:r>
      <w:r w:rsidRPr="00765EBA">
        <w:rPr>
          <w:lang w:val="en-CA"/>
        </w:rPr>
        <w:t>.</w:t>
      </w:r>
    </w:p>
  </w:footnote>
  <w:footnote w:id="38">
    <w:p w14:paraId="6C9B1446" w14:textId="77777777" w:rsidR="009214E1" w:rsidRPr="00765EBA" w:rsidRDefault="009214E1" w:rsidP="009214E1">
      <w:pPr>
        <w:pStyle w:val="Notedebasdepage"/>
        <w:rPr>
          <w:lang w:val="en-CA"/>
        </w:rPr>
      </w:pPr>
      <w:r>
        <w:rPr>
          <w:rStyle w:val="Appelnotedebasdep"/>
        </w:rPr>
        <w:footnoteRef/>
      </w:r>
      <w:r w:rsidRPr="00765EBA">
        <w:rPr>
          <w:lang w:val="en-CA"/>
        </w:rPr>
        <w:t xml:space="preserve"> </w:t>
      </w:r>
      <w:bookmarkStart w:id="22" w:name="_Hlk126662028"/>
      <w:r>
        <w:rPr>
          <w:lang w:val="en-CA"/>
        </w:rPr>
        <w:tab/>
      </w:r>
      <w:r w:rsidRPr="00765EBA">
        <w:rPr>
          <w:i/>
          <w:iCs/>
          <w:lang w:val="en-CA"/>
        </w:rPr>
        <w:t>Id.</w:t>
      </w:r>
      <w:r w:rsidRPr="00765EBA">
        <w:rPr>
          <w:lang w:val="en-CA"/>
        </w:rPr>
        <w:t xml:space="preserve">, </w:t>
      </w:r>
      <w:r w:rsidRPr="009E6750">
        <w:rPr>
          <w:rFonts w:cs="Arial"/>
          <w:color w:val="000000"/>
          <w:shd w:val="clear" w:color="auto" w:fill="FFFFFF"/>
          <w:lang w:val="en-CA"/>
        </w:rPr>
        <w:t>n</w:t>
      </w:r>
      <w:r w:rsidRPr="009E6750">
        <w:rPr>
          <w:rFonts w:cs="Arial"/>
          <w:color w:val="000000"/>
          <w:shd w:val="clear" w:color="auto" w:fill="FFFFFF"/>
          <w:vertAlign w:val="superscript"/>
          <w:lang w:val="en-CA"/>
        </w:rPr>
        <w:t>o</w:t>
      </w:r>
      <w:r w:rsidRPr="009E6750">
        <w:rPr>
          <w:lang w:val="en-CA"/>
        </w:rPr>
        <w:t xml:space="preserve"> 579</w:t>
      </w:r>
      <w:r w:rsidRPr="00765EBA">
        <w:rPr>
          <w:lang w:val="en-CA"/>
        </w:rPr>
        <w:t>.</w:t>
      </w:r>
      <w:bookmarkEnd w:id="22"/>
    </w:p>
  </w:footnote>
  <w:footnote w:id="39">
    <w:p w14:paraId="1465B3C6" w14:textId="77777777" w:rsidR="009214E1" w:rsidRPr="00657374" w:rsidRDefault="009214E1" w:rsidP="009214E1">
      <w:pPr>
        <w:pStyle w:val="Notedebasdepage"/>
        <w:rPr>
          <w:lang w:val="en-CA"/>
        </w:rPr>
      </w:pPr>
      <w:r>
        <w:rPr>
          <w:rStyle w:val="Appelnotedebasdep"/>
        </w:rPr>
        <w:footnoteRef/>
      </w:r>
      <w:r w:rsidRPr="009B2F3C">
        <w:rPr>
          <w:lang w:val="en-CA"/>
        </w:rPr>
        <w:t xml:space="preserve"> </w:t>
      </w:r>
      <w:r>
        <w:rPr>
          <w:lang w:val="en-CA"/>
        </w:rPr>
        <w:tab/>
      </w:r>
      <w:r w:rsidRPr="009B2F3C">
        <w:rPr>
          <w:i/>
          <w:iCs/>
          <w:lang w:val="en-CA"/>
        </w:rPr>
        <w:t>Tran v. Canada (</w:t>
      </w:r>
      <w:bookmarkStart w:id="24" w:name="_Hlk141360660"/>
      <w:r w:rsidRPr="009B2F3C">
        <w:rPr>
          <w:i/>
          <w:iCs/>
          <w:lang w:val="en-CA"/>
        </w:rPr>
        <w:t>Public Safety and Emergency Prepar</w:t>
      </w:r>
      <w:r>
        <w:rPr>
          <w:i/>
          <w:iCs/>
          <w:lang w:val="en-CA"/>
        </w:rPr>
        <w:t>edness</w:t>
      </w:r>
      <w:bookmarkEnd w:id="24"/>
      <w:r w:rsidRPr="009B2F3C">
        <w:rPr>
          <w:i/>
          <w:iCs/>
          <w:lang w:val="en-CA"/>
        </w:rPr>
        <w:t>)</w:t>
      </w:r>
      <w:r w:rsidRPr="009B2F3C">
        <w:rPr>
          <w:lang w:val="en-CA"/>
        </w:rPr>
        <w:t xml:space="preserve">, 2017 </w:t>
      </w:r>
      <w:r>
        <w:rPr>
          <w:lang w:val="en-CA"/>
        </w:rPr>
        <w:t>SCC</w:t>
      </w:r>
      <w:r w:rsidRPr="009B2F3C">
        <w:rPr>
          <w:lang w:val="en-CA"/>
        </w:rPr>
        <w:t xml:space="preserve"> 50, para</w:t>
      </w:r>
      <w:r>
        <w:rPr>
          <w:lang w:val="en-CA"/>
        </w:rPr>
        <w:t>s</w:t>
      </w:r>
      <w:r w:rsidRPr="009B2F3C">
        <w:rPr>
          <w:lang w:val="en-CA"/>
        </w:rPr>
        <w:t xml:space="preserve">. </w:t>
      </w:r>
      <w:r w:rsidRPr="00657374">
        <w:rPr>
          <w:lang w:val="en-CA"/>
        </w:rPr>
        <w:t>48-49.</w:t>
      </w:r>
    </w:p>
  </w:footnote>
  <w:footnote w:id="40">
    <w:p w14:paraId="1CAE6D9A" w14:textId="552EBB86" w:rsidR="009214E1" w:rsidRPr="00DC4B2F" w:rsidRDefault="009214E1" w:rsidP="009214E1">
      <w:pPr>
        <w:pStyle w:val="Notedebasdepage"/>
        <w:rPr>
          <w:lang w:val="en-CA"/>
        </w:rPr>
      </w:pPr>
      <w:r>
        <w:rPr>
          <w:rStyle w:val="Appelnotedebasdep"/>
        </w:rPr>
        <w:footnoteRef/>
      </w:r>
      <w:r w:rsidRPr="00DC4B2F">
        <w:rPr>
          <w:lang w:val="en-CA"/>
        </w:rPr>
        <w:t xml:space="preserve"> </w:t>
      </w:r>
      <w:r>
        <w:rPr>
          <w:lang w:val="en-CA"/>
        </w:rPr>
        <w:tab/>
      </w:r>
      <w:r w:rsidRPr="00DC4B2F">
        <w:rPr>
          <w:i/>
          <w:iCs/>
          <w:lang w:val="en-CA"/>
        </w:rPr>
        <w:t>Id.</w:t>
      </w:r>
      <w:r w:rsidRPr="00DC4B2F">
        <w:rPr>
          <w:lang w:val="en-CA"/>
        </w:rPr>
        <w:t xml:space="preserve">, para. 47; </w:t>
      </w:r>
      <w:r w:rsidRPr="00DC4B2F">
        <w:rPr>
          <w:i/>
          <w:iCs/>
          <w:lang w:val="en-CA"/>
        </w:rPr>
        <w:t>Brosseau v. Alberta Securities Commission</w:t>
      </w:r>
      <w:r w:rsidRPr="00DC4B2F">
        <w:rPr>
          <w:lang w:val="en-CA"/>
        </w:rPr>
        <w:t xml:space="preserve">, </w:t>
      </w:r>
      <w:r w:rsidRPr="00DC4B2F">
        <w:rPr>
          <w:i/>
          <w:iCs/>
          <w:lang w:val="en-CA"/>
        </w:rPr>
        <w:t>supra</w:t>
      </w:r>
      <w:r w:rsidRPr="00DC4B2F">
        <w:rPr>
          <w:lang w:val="en-CA"/>
        </w:rPr>
        <w:t xml:space="preserve">, note </w:t>
      </w:r>
      <w:r>
        <w:fldChar w:fldCharType="begin"/>
      </w:r>
      <w:r w:rsidRPr="00DC4B2F">
        <w:rPr>
          <w:lang w:val="en-CA"/>
        </w:rPr>
        <w:instrText xml:space="preserve"> NOTEREF _Ref139965715 \h </w:instrText>
      </w:r>
      <w:r>
        <w:fldChar w:fldCharType="separate"/>
      </w:r>
      <w:r w:rsidR="002A24F0">
        <w:rPr>
          <w:lang w:val="en-CA"/>
        </w:rPr>
        <w:t>32</w:t>
      </w:r>
      <w:r>
        <w:fldChar w:fldCharType="end"/>
      </w:r>
      <w:r w:rsidRPr="00DC4B2F">
        <w:rPr>
          <w:lang w:val="en-CA"/>
        </w:rPr>
        <w:t>, p. 319.</w:t>
      </w:r>
    </w:p>
  </w:footnote>
  <w:footnote w:id="41">
    <w:p w14:paraId="6AAF6909" w14:textId="43E83DEC" w:rsidR="009214E1" w:rsidRPr="005363F4" w:rsidRDefault="009214E1" w:rsidP="009214E1">
      <w:pPr>
        <w:pStyle w:val="Notedebasdepage"/>
      </w:pPr>
      <w:r>
        <w:rPr>
          <w:rStyle w:val="Appelnotedebasdep"/>
        </w:rPr>
        <w:footnoteRef/>
      </w:r>
      <w:r w:rsidRPr="009B2F3C">
        <w:rPr>
          <w:lang w:val="en-CA"/>
        </w:rPr>
        <w:t xml:space="preserve"> </w:t>
      </w:r>
      <w:r>
        <w:rPr>
          <w:lang w:val="en-CA"/>
        </w:rPr>
        <w:tab/>
      </w:r>
      <w:r w:rsidRPr="009B2F3C">
        <w:rPr>
          <w:i/>
          <w:iCs/>
          <w:lang w:val="en-CA"/>
        </w:rPr>
        <w:t>Tran v. Canada (Public Safety and Emergency Preparedness)</w:t>
      </w:r>
      <w:r w:rsidRPr="009B2F3C">
        <w:rPr>
          <w:lang w:val="en-CA"/>
        </w:rPr>
        <w:t xml:space="preserve">, </w:t>
      </w:r>
      <w:r w:rsidRPr="009B2F3C">
        <w:rPr>
          <w:i/>
          <w:iCs/>
          <w:lang w:val="en-CA"/>
        </w:rPr>
        <w:t>supra</w:t>
      </w:r>
      <w:r w:rsidRPr="009B2F3C">
        <w:rPr>
          <w:lang w:val="en-CA"/>
        </w:rPr>
        <w:t xml:space="preserve">, note </w:t>
      </w:r>
      <w:r>
        <w:fldChar w:fldCharType="begin"/>
      </w:r>
      <w:r w:rsidRPr="009B2F3C">
        <w:rPr>
          <w:lang w:val="en-CA"/>
        </w:rPr>
        <w:instrText xml:space="preserve"> NOTEREF _Ref139965770 \h </w:instrText>
      </w:r>
      <w:r>
        <w:fldChar w:fldCharType="separate"/>
      </w:r>
      <w:r w:rsidR="002A24F0">
        <w:rPr>
          <w:lang w:val="en-CA"/>
        </w:rPr>
        <w:t>39</w:t>
      </w:r>
      <w:r>
        <w:fldChar w:fldCharType="end"/>
      </w:r>
      <w:r w:rsidRPr="009B2F3C">
        <w:rPr>
          <w:lang w:val="en-CA"/>
        </w:rPr>
        <w:t xml:space="preserve">, para. </w:t>
      </w:r>
      <w:r w:rsidRPr="005363F4">
        <w:t>50.</w:t>
      </w:r>
    </w:p>
  </w:footnote>
  <w:footnote w:id="42">
    <w:p w14:paraId="665D7208" w14:textId="77777777" w:rsidR="009214E1" w:rsidRPr="005363F4" w:rsidRDefault="009214E1" w:rsidP="009214E1">
      <w:pPr>
        <w:pStyle w:val="Notedebasdepage"/>
      </w:pPr>
      <w:r>
        <w:rPr>
          <w:rStyle w:val="Appelnotedebasdep"/>
        </w:rPr>
        <w:footnoteRef/>
      </w:r>
      <w:r w:rsidRPr="005363F4">
        <w:t xml:space="preserve"> </w:t>
      </w:r>
      <w:r>
        <w:tab/>
      </w:r>
      <w:r w:rsidRPr="005363F4">
        <w:rPr>
          <w:i/>
          <w:iCs/>
        </w:rPr>
        <w:t>Ibid.</w:t>
      </w:r>
    </w:p>
  </w:footnote>
  <w:footnote w:id="43">
    <w:p w14:paraId="29EC8F19" w14:textId="6E73AA96" w:rsidR="009214E1" w:rsidRPr="005363F4" w:rsidRDefault="009214E1" w:rsidP="009214E1">
      <w:pPr>
        <w:pStyle w:val="Notedebasdepage"/>
      </w:pPr>
      <w:r>
        <w:rPr>
          <w:rStyle w:val="Appelnotedebasdep"/>
        </w:rPr>
        <w:footnoteRef/>
      </w:r>
      <w:r w:rsidRPr="005363F4">
        <w:t xml:space="preserve"> </w:t>
      </w:r>
      <w:bookmarkStart w:id="25" w:name="_Hlk140589039"/>
      <w:r>
        <w:tab/>
        <w:t>P.-A. Côté</w:t>
      </w:r>
      <w:r w:rsidRPr="007C50DB">
        <w:t xml:space="preserve"> </w:t>
      </w:r>
      <w:r>
        <w:t>et</w:t>
      </w:r>
      <w:r w:rsidRPr="007C50DB">
        <w:t xml:space="preserve"> </w:t>
      </w:r>
      <w:r>
        <w:t>M.</w:t>
      </w:r>
      <w:r w:rsidRPr="007C50DB">
        <w:t xml:space="preserve"> Devinat, </w:t>
      </w:r>
      <w:r>
        <w:rPr>
          <w:i/>
          <w:iCs/>
        </w:rPr>
        <w:t>supra</w:t>
      </w:r>
      <w:r w:rsidRPr="007C50DB">
        <w:t>,</w:t>
      </w:r>
      <w:r>
        <w:t xml:space="preserve"> note </w:t>
      </w:r>
      <w:r>
        <w:fldChar w:fldCharType="begin"/>
      </w:r>
      <w:r>
        <w:instrText xml:space="preserve"> NOTEREF _Ref139965790 \h </w:instrText>
      </w:r>
      <w:r>
        <w:fldChar w:fldCharType="separate"/>
      </w:r>
      <w:r w:rsidR="002A24F0">
        <w:t>35</w:t>
      </w:r>
      <w:r>
        <w:fldChar w:fldCharType="end"/>
      </w:r>
      <w:r>
        <w:t>,</w:t>
      </w:r>
      <w:r w:rsidRPr="007C50DB">
        <w:t xml:space="preserve"> </w:t>
      </w:r>
      <w:r>
        <w:t>n</w:t>
      </w:r>
      <w:r w:rsidRPr="00614A65">
        <w:rPr>
          <w:vertAlign w:val="superscript"/>
        </w:rPr>
        <w:t>o</w:t>
      </w:r>
      <w:r>
        <w:t xml:space="preserve"> </w:t>
      </w:r>
      <w:bookmarkEnd w:id="25"/>
      <w:r>
        <w:t>709</w:t>
      </w:r>
      <w:r w:rsidRPr="005363F4">
        <w:t>.</w:t>
      </w:r>
    </w:p>
  </w:footnote>
  <w:footnote w:id="44">
    <w:p w14:paraId="733A8506" w14:textId="77777777" w:rsidR="009214E1" w:rsidRPr="00657374" w:rsidRDefault="009214E1" w:rsidP="009214E1">
      <w:pPr>
        <w:pStyle w:val="Notedebasdepage"/>
        <w:rPr>
          <w:lang w:val="en-CA"/>
        </w:rPr>
      </w:pPr>
      <w:r>
        <w:rPr>
          <w:rStyle w:val="Appelnotedebasdep"/>
        </w:rPr>
        <w:footnoteRef/>
      </w:r>
      <w:r w:rsidRPr="00D40675">
        <w:rPr>
          <w:lang w:val="en-CA"/>
        </w:rPr>
        <w:t xml:space="preserve"> </w:t>
      </w:r>
      <w:r>
        <w:rPr>
          <w:lang w:val="en-CA"/>
        </w:rPr>
        <w:tab/>
      </w:r>
      <w:r w:rsidRPr="00D40675">
        <w:rPr>
          <w:i/>
          <w:iCs/>
          <w:lang w:val="en-CA"/>
        </w:rPr>
        <w:t>Carrato v. United States</w:t>
      </w:r>
      <w:r w:rsidRPr="00D40675">
        <w:rPr>
          <w:lang w:val="en-CA"/>
        </w:rPr>
        <w:t xml:space="preserve"> (1982), 40 O</w:t>
      </w:r>
      <w:r>
        <w:rPr>
          <w:lang w:val="en-CA"/>
        </w:rPr>
        <w:t>.</w:t>
      </w:r>
      <w:r w:rsidRPr="00D40675">
        <w:rPr>
          <w:lang w:val="en-CA"/>
        </w:rPr>
        <w:t>R</w:t>
      </w:r>
      <w:r>
        <w:rPr>
          <w:lang w:val="en-CA"/>
        </w:rPr>
        <w:t>.</w:t>
      </w:r>
      <w:r w:rsidRPr="00D40675">
        <w:rPr>
          <w:lang w:val="en-CA"/>
        </w:rPr>
        <w:t xml:space="preserve"> (2d) 459 (Ont.</w:t>
      </w:r>
      <w:r>
        <w:rPr>
          <w:lang w:val="en-CA"/>
        </w:rPr>
        <w:t xml:space="preserve"> Sup. Ct</w:t>
      </w:r>
      <w:r w:rsidRPr="00D40675">
        <w:rPr>
          <w:lang w:val="en-CA"/>
        </w:rPr>
        <w:t xml:space="preserve">.) </w:t>
      </w:r>
      <w:r w:rsidRPr="00657374">
        <w:rPr>
          <w:lang w:val="en-CA"/>
        </w:rPr>
        <w:t>[</w:t>
      </w:r>
      <w:r w:rsidRPr="00657374">
        <w:rPr>
          <w:i/>
          <w:iCs/>
          <w:lang w:val="en-CA"/>
        </w:rPr>
        <w:t>Carrato</w:t>
      </w:r>
      <w:r w:rsidRPr="00657374">
        <w:rPr>
          <w:lang w:val="en-CA"/>
        </w:rPr>
        <w:t>].</w:t>
      </w:r>
    </w:p>
  </w:footnote>
  <w:footnote w:id="45">
    <w:p w14:paraId="270E3A4E" w14:textId="77777777" w:rsidR="009214E1" w:rsidRPr="00216379" w:rsidRDefault="009214E1" w:rsidP="009214E1">
      <w:pPr>
        <w:pStyle w:val="Notedebasdepage"/>
        <w:rPr>
          <w:lang w:val="en-CA"/>
        </w:rPr>
      </w:pPr>
      <w:r>
        <w:rPr>
          <w:rStyle w:val="Appelnotedebasdep"/>
        </w:rPr>
        <w:footnoteRef/>
      </w:r>
      <w:r w:rsidRPr="00216379">
        <w:rPr>
          <w:lang w:val="en-CA"/>
        </w:rPr>
        <w:t xml:space="preserve"> </w:t>
      </w:r>
      <w:r>
        <w:rPr>
          <w:lang w:val="en-CA"/>
        </w:rPr>
        <w:tab/>
      </w:r>
      <w:r w:rsidRPr="00216379">
        <w:rPr>
          <w:i/>
          <w:iCs/>
          <w:lang w:val="en-CA"/>
        </w:rPr>
        <w:t>Jaffe v. Miller</w:t>
      </w:r>
      <w:r w:rsidRPr="00216379">
        <w:rPr>
          <w:lang w:val="en-CA"/>
        </w:rPr>
        <w:t xml:space="preserve"> (1993), 13 O.R. (3d) 745 (Ont.</w:t>
      </w:r>
      <w:r>
        <w:rPr>
          <w:lang w:val="en-CA"/>
        </w:rPr>
        <w:t xml:space="preserve"> </w:t>
      </w:r>
      <w:r w:rsidRPr="00216379">
        <w:rPr>
          <w:lang w:val="en-CA"/>
        </w:rPr>
        <w:t xml:space="preserve">C.A.), application for leave to appeal to the Supreme Court </w:t>
      </w:r>
      <w:r>
        <w:rPr>
          <w:lang w:val="en-CA"/>
        </w:rPr>
        <w:t>dismissed</w:t>
      </w:r>
      <w:r w:rsidRPr="00216379">
        <w:rPr>
          <w:lang w:val="en-CA"/>
        </w:rPr>
        <w:t xml:space="preserve">, </w:t>
      </w:r>
      <w:r>
        <w:rPr>
          <w:lang w:val="en-CA"/>
        </w:rPr>
        <w:t>No.</w:t>
      </w:r>
      <w:r w:rsidRPr="00216379">
        <w:rPr>
          <w:lang w:val="en-CA"/>
        </w:rPr>
        <w:t xml:space="preserve"> 24971 [</w:t>
      </w:r>
      <w:r w:rsidRPr="00216379">
        <w:rPr>
          <w:i/>
          <w:iCs/>
          <w:lang w:val="en-CA"/>
        </w:rPr>
        <w:t>Jaffe</w:t>
      </w:r>
      <w:r w:rsidRPr="00216379">
        <w:rPr>
          <w:lang w:val="en-CA"/>
        </w:rPr>
        <w:t>].</w:t>
      </w:r>
    </w:p>
  </w:footnote>
  <w:footnote w:id="46">
    <w:p w14:paraId="67DF9761" w14:textId="77777777" w:rsidR="009214E1" w:rsidRPr="00C137AA" w:rsidRDefault="009214E1" w:rsidP="009214E1">
      <w:pPr>
        <w:pStyle w:val="Notedebasdepage"/>
        <w:rPr>
          <w:lang w:val="en-CA"/>
        </w:rPr>
      </w:pPr>
      <w:r>
        <w:rPr>
          <w:rStyle w:val="Appelnotedebasdep"/>
        </w:rPr>
        <w:footnoteRef/>
      </w:r>
      <w:r w:rsidRPr="006C07E6">
        <w:rPr>
          <w:lang w:val="en-CA"/>
        </w:rPr>
        <w:t xml:space="preserve"> </w:t>
      </w:r>
      <w:r>
        <w:rPr>
          <w:lang w:val="en-CA"/>
        </w:rPr>
        <w:tab/>
      </w:r>
      <w:r w:rsidRPr="006C07E6">
        <w:rPr>
          <w:i/>
          <w:iCs/>
          <w:lang w:val="en-CA"/>
        </w:rPr>
        <w:t>Tritt v. United States of America (H.C.J.)</w:t>
      </w:r>
      <w:r>
        <w:rPr>
          <w:lang w:val="en-CA"/>
        </w:rPr>
        <w:t xml:space="preserve"> </w:t>
      </w:r>
      <w:r w:rsidRPr="00386610">
        <w:t>(1989), 68 O.R. (2d) 284 (</w:t>
      </w:r>
      <w:r w:rsidRPr="00A93ABE">
        <w:t>Ont. S</w:t>
      </w:r>
      <w:r>
        <w:t>up</w:t>
      </w:r>
      <w:r w:rsidRPr="00A93ABE">
        <w:t>.</w:t>
      </w:r>
      <w:r>
        <w:t xml:space="preserve"> </w:t>
      </w:r>
      <w:r w:rsidRPr="00A93ABE">
        <w:t>C</w:t>
      </w:r>
      <w:r>
        <w:t>t</w:t>
      </w:r>
      <w:r w:rsidRPr="00386610">
        <w:t xml:space="preserve">.) </w:t>
      </w:r>
      <w:r w:rsidRPr="00C137AA">
        <w:rPr>
          <w:lang w:val="en-CA"/>
        </w:rPr>
        <w:t>[</w:t>
      </w:r>
      <w:r w:rsidRPr="00C137AA">
        <w:rPr>
          <w:i/>
          <w:iCs/>
          <w:lang w:val="en-CA"/>
        </w:rPr>
        <w:t>Tritt</w:t>
      </w:r>
      <w:r w:rsidRPr="00C137AA">
        <w:rPr>
          <w:lang w:val="en-CA"/>
        </w:rPr>
        <w:t>].</w:t>
      </w:r>
    </w:p>
  </w:footnote>
  <w:footnote w:id="47">
    <w:p w14:paraId="07BF444D" w14:textId="77777777" w:rsidR="009214E1" w:rsidRPr="00657374" w:rsidRDefault="009214E1" w:rsidP="009214E1">
      <w:pPr>
        <w:pStyle w:val="Notedebasdepage"/>
        <w:rPr>
          <w:lang w:val="en-CA"/>
        </w:rPr>
      </w:pPr>
      <w:r>
        <w:rPr>
          <w:rStyle w:val="Appelnotedebasdep"/>
        </w:rPr>
        <w:footnoteRef/>
      </w:r>
      <w:r w:rsidRPr="00822EBD">
        <w:rPr>
          <w:lang w:val="en-CA"/>
        </w:rPr>
        <w:t xml:space="preserve"> </w:t>
      </w:r>
      <w:r>
        <w:rPr>
          <w:lang w:val="en-CA"/>
        </w:rPr>
        <w:tab/>
      </w:r>
      <w:r w:rsidRPr="00822EBD">
        <w:rPr>
          <w:i/>
          <w:iCs/>
          <w:lang w:val="en-CA"/>
        </w:rPr>
        <w:t>Tracy v. Iran (Information and Security)</w:t>
      </w:r>
      <w:r w:rsidRPr="00822EBD">
        <w:rPr>
          <w:lang w:val="en-CA"/>
        </w:rPr>
        <w:t>, 2017 ONCA 549</w:t>
      </w:r>
      <w:r>
        <w:rPr>
          <w:lang w:val="en-CA"/>
        </w:rPr>
        <w:t xml:space="preserve">, paras. </w:t>
      </w:r>
      <w:r w:rsidRPr="00657374">
        <w:rPr>
          <w:lang w:val="en-CA"/>
        </w:rPr>
        <w:t>56 and 131 [</w:t>
      </w:r>
      <w:r w:rsidRPr="00657374">
        <w:rPr>
          <w:i/>
          <w:iCs/>
          <w:lang w:val="en-CA"/>
        </w:rPr>
        <w:t>Tracy</w:t>
      </w:r>
      <w:r w:rsidRPr="00657374">
        <w:rPr>
          <w:lang w:val="en-CA"/>
        </w:rPr>
        <w:t>].</w:t>
      </w:r>
    </w:p>
  </w:footnote>
  <w:footnote w:id="48">
    <w:p w14:paraId="4FABEC34" w14:textId="77777777" w:rsidR="009214E1" w:rsidRPr="005C59D1" w:rsidRDefault="009214E1" w:rsidP="009214E1">
      <w:pPr>
        <w:pStyle w:val="Notedebasdepage"/>
        <w:rPr>
          <w:lang w:val="en-CA"/>
        </w:rPr>
      </w:pPr>
      <w:r w:rsidRPr="00F22144">
        <w:rPr>
          <w:rStyle w:val="Appelnotedebasdep"/>
        </w:rPr>
        <w:footnoteRef/>
      </w:r>
      <w:r w:rsidRPr="005C59D1">
        <w:rPr>
          <w:lang w:val="en-CA"/>
        </w:rPr>
        <w:t xml:space="preserve"> </w:t>
      </w:r>
      <w:r>
        <w:rPr>
          <w:lang w:val="en-CA"/>
        </w:rPr>
        <w:tab/>
      </w:r>
      <w:r w:rsidRPr="005C59D1">
        <w:rPr>
          <w:lang w:val="en-CA"/>
        </w:rPr>
        <w:t xml:space="preserve">House of Commons, </w:t>
      </w:r>
      <w:r w:rsidRPr="005C59D1">
        <w:rPr>
          <w:i/>
          <w:iCs/>
          <w:lang w:val="en-CA"/>
        </w:rPr>
        <w:t>House of Commons Debates</w:t>
      </w:r>
      <w:r w:rsidRPr="005C59D1">
        <w:rPr>
          <w:lang w:val="en-CA"/>
        </w:rPr>
        <w:t>, 41</w:t>
      </w:r>
      <w:r>
        <w:rPr>
          <w:lang w:val="en-CA"/>
        </w:rPr>
        <w:t>st</w:t>
      </w:r>
      <w:r w:rsidRPr="005C59D1">
        <w:rPr>
          <w:lang w:val="en-CA"/>
        </w:rPr>
        <w:t xml:space="preserve"> Parl., 1st</w:t>
      </w:r>
      <w:r>
        <w:rPr>
          <w:lang w:val="en-CA"/>
        </w:rPr>
        <w:t xml:space="preserve"> </w:t>
      </w:r>
      <w:r w:rsidRPr="005C59D1">
        <w:rPr>
          <w:lang w:val="en-CA"/>
        </w:rPr>
        <w:t xml:space="preserve">Sess., </w:t>
      </w:r>
      <w:r>
        <w:rPr>
          <w:lang w:val="en-CA"/>
        </w:rPr>
        <w:t>V</w:t>
      </w:r>
      <w:r w:rsidRPr="005C59D1">
        <w:rPr>
          <w:lang w:val="en-CA"/>
        </w:rPr>
        <w:t>ol. 146, No. 56, November</w:t>
      </w:r>
      <w:r>
        <w:rPr>
          <w:lang w:val="en-CA"/>
        </w:rPr>
        <w:t xml:space="preserve"> 29</w:t>
      </w:r>
      <w:r w:rsidRPr="005C59D1">
        <w:rPr>
          <w:lang w:val="en-CA"/>
        </w:rPr>
        <w:t>, 2011, p. 3748 (B. Rathgeber).</w:t>
      </w:r>
    </w:p>
  </w:footnote>
  <w:footnote w:id="49">
    <w:p w14:paraId="11916381" w14:textId="77777777" w:rsidR="009214E1" w:rsidRPr="005C59D1" w:rsidRDefault="009214E1" w:rsidP="009214E1">
      <w:pPr>
        <w:pStyle w:val="Notedebasdepage"/>
        <w:rPr>
          <w:lang w:val="en-CA"/>
        </w:rPr>
      </w:pPr>
      <w:r>
        <w:rPr>
          <w:rStyle w:val="Appelnotedebasdep"/>
        </w:rPr>
        <w:footnoteRef/>
      </w:r>
      <w:r w:rsidRPr="004270E2">
        <w:rPr>
          <w:lang w:val="en-CA"/>
        </w:rPr>
        <w:t xml:space="preserve"> </w:t>
      </w:r>
      <w:r>
        <w:rPr>
          <w:lang w:val="en-CA"/>
        </w:rPr>
        <w:tab/>
      </w:r>
      <w:r w:rsidRPr="005C59D1">
        <w:rPr>
          <w:lang w:val="en-CA"/>
        </w:rPr>
        <w:t>Jennifer Bird and Julia Nicol, “</w:t>
      </w:r>
      <w:r w:rsidRPr="005C59D1">
        <w:rPr>
          <w:i/>
          <w:iCs/>
          <w:lang w:val="en-CA"/>
        </w:rPr>
        <w:t>Bill S-7: An Act to deter terrorism and to amend the State Immunity Act</w:t>
      </w:r>
      <w:r w:rsidRPr="005C59D1">
        <w:rPr>
          <w:lang w:val="en-CA"/>
        </w:rPr>
        <w:t xml:space="preserve">”, in </w:t>
      </w:r>
      <w:r w:rsidRPr="005C59D1">
        <w:rPr>
          <w:i/>
          <w:iCs/>
          <w:lang w:val="en-CA"/>
        </w:rPr>
        <w:t>Library of Parliament</w:t>
      </w:r>
      <w:r w:rsidRPr="005C59D1">
        <w:rPr>
          <w:lang w:val="en-CA"/>
        </w:rPr>
        <w:t xml:space="preserve">, Ottawa, April </w:t>
      </w:r>
      <w:r>
        <w:rPr>
          <w:lang w:val="en-CA"/>
        </w:rPr>
        <w:t xml:space="preserve">26, </w:t>
      </w:r>
      <w:r w:rsidRPr="005C59D1">
        <w:rPr>
          <w:lang w:val="en-CA"/>
        </w:rPr>
        <w:t>2010, online:</w:t>
      </w:r>
      <w:r>
        <w:rPr>
          <w:lang w:val="en-CA"/>
        </w:rPr>
        <w:t xml:space="preserve"> </w:t>
      </w:r>
      <w:r w:rsidRPr="001E689A">
        <w:rPr>
          <w:lang w:val="en-CA"/>
        </w:rPr>
        <w:t>https://publications.gc.ca/collections/collection_2011/bdp-lop/ls/40-3-s7-1-eng.pdf</w:t>
      </w:r>
      <w:r w:rsidRPr="005C59D1">
        <w:rPr>
          <w:lang w:val="en-CA"/>
        </w:rPr>
        <w:t>.</w:t>
      </w:r>
    </w:p>
  </w:footnote>
  <w:footnote w:id="50">
    <w:p w14:paraId="11A312D3" w14:textId="77777777" w:rsidR="009214E1" w:rsidRPr="002C7AB8" w:rsidRDefault="009214E1" w:rsidP="009214E1">
      <w:pPr>
        <w:pStyle w:val="Notedebasdepage"/>
      </w:pPr>
      <w:r w:rsidRPr="006D2AE7">
        <w:rPr>
          <w:rStyle w:val="Appelnotedebasdep"/>
          <w:lang w:val="en-CA"/>
        </w:rPr>
        <w:footnoteRef/>
      </w:r>
      <w:r w:rsidRPr="00C137AA">
        <w:t xml:space="preserve"> </w:t>
      </w:r>
      <w:r>
        <w:tab/>
      </w:r>
      <w:r w:rsidRPr="00C137AA">
        <w:t xml:space="preserve">Judgment under appeal, para. </w:t>
      </w:r>
      <w:r w:rsidRPr="002C7AB8">
        <w:t>47.</w:t>
      </w:r>
    </w:p>
  </w:footnote>
  <w:footnote w:id="51">
    <w:p w14:paraId="3815DCA7" w14:textId="77777777" w:rsidR="009214E1" w:rsidRPr="002C7AB8" w:rsidRDefault="009214E1" w:rsidP="009214E1">
      <w:pPr>
        <w:pStyle w:val="Notedebasdepage"/>
      </w:pPr>
      <w:r w:rsidRPr="006D2AE7">
        <w:rPr>
          <w:rStyle w:val="Appelnotedebasdep"/>
          <w:lang w:val="en-CA"/>
        </w:rPr>
        <w:footnoteRef/>
      </w:r>
      <w:r w:rsidRPr="002C7AB8">
        <w:t xml:space="preserve"> </w:t>
      </w:r>
      <w:r>
        <w:tab/>
      </w:r>
      <w:r w:rsidRPr="002C7AB8">
        <w:t xml:space="preserve">Albert Mayrand, </w:t>
      </w:r>
      <w:r w:rsidRPr="002C7AB8">
        <w:rPr>
          <w:i/>
          <w:iCs/>
        </w:rPr>
        <w:t>Dictionnaire de maximes et locutions latines utilisées en droit</w:t>
      </w:r>
      <w:r w:rsidRPr="002C7AB8">
        <w:t>, 4</w:t>
      </w:r>
      <w:r w:rsidRPr="009A3A05">
        <w:t>th</w:t>
      </w:r>
      <w:r w:rsidRPr="002C7AB8">
        <w:t xml:space="preserve"> ed., Cowansville, Yvon Blais, 2007, “</w:t>
      </w:r>
      <w:r w:rsidRPr="002C7AB8">
        <w:rPr>
          <w:rFonts w:cs="Arial"/>
          <w:i/>
          <w:iCs/>
          <w:color w:val="000000"/>
        </w:rPr>
        <w:t>expressio</w:t>
      </w:r>
      <w:r w:rsidRPr="002C7AB8">
        <w:rPr>
          <w:rFonts w:cs="Arial"/>
          <w:color w:val="000000"/>
        </w:rPr>
        <w:t> </w:t>
      </w:r>
      <w:r w:rsidRPr="002C7AB8">
        <w:rPr>
          <w:rFonts w:cs="Arial"/>
          <w:i/>
          <w:iCs/>
          <w:color w:val="000000"/>
        </w:rPr>
        <w:t>unius est exlusio alterius”</w:t>
      </w:r>
      <w:r w:rsidRPr="002C7AB8">
        <w:rPr>
          <w:rFonts w:cs="Arial"/>
          <w:color w:val="000000"/>
        </w:rPr>
        <w:t>.</w:t>
      </w:r>
    </w:p>
  </w:footnote>
  <w:footnote w:id="52">
    <w:p w14:paraId="39BECEC1" w14:textId="0CB68A64" w:rsidR="009214E1" w:rsidRPr="006D2AE7" w:rsidRDefault="009214E1" w:rsidP="009214E1">
      <w:pPr>
        <w:pStyle w:val="Notedebasdepage"/>
        <w:rPr>
          <w:lang w:val="en-CA"/>
        </w:rPr>
      </w:pPr>
      <w:r w:rsidRPr="006D2AE7">
        <w:rPr>
          <w:rStyle w:val="Appelnotedebasdep"/>
          <w:lang w:val="en-CA"/>
        </w:rPr>
        <w:footnoteRef/>
      </w:r>
      <w:r w:rsidRPr="002C7AB8">
        <w:t xml:space="preserve"> </w:t>
      </w:r>
      <w:r>
        <w:tab/>
      </w:r>
      <w:r w:rsidRPr="00531B0D">
        <w:t xml:space="preserve">P.-A. Côté et M. Devinat, </w:t>
      </w:r>
      <w:r w:rsidRPr="00531B0D">
        <w:rPr>
          <w:i/>
          <w:iCs/>
        </w:rPr>
        <w:t>supra</w:t>
      </w:r>
      <w:r w:rsidRPr="00531B0D">
        <w:t xml:space="preserve">, note 35, </w:t>
      </w:r>
      <w:r w:rsidRPr="00125C9E">
        <w:rPr>
          <w:rFonts w:cs="Arial"/>
          <w:color w:val="000000"/>
          <w:shd w:val="clear" w:color="auto" w:fill="FFFFFF"/>
        </w:rPr>
        <w:t>n</w:t>
      </w:r>
      <w:r w:rsidRPr="001D4784">
        <w:rPr>
          <w:rFonts w:cs="Arial"/>
          <w:color w:val="000000"/>
          <w:shd w:val="clear" w:color="auto" w:fill="FFFFFF"/>
          <w:vertAlign w:val="superscript"/>
        </w:rPr>
        <w:t>o</w:t>
      </w:r>
      <w:r w:rsidRPr="007C50DB">
        <w:t xml:space="preserve"> </w:t>
      </w:r>
      <w:r w:rsidRPr="00AF2125">
        <w:t>1165</w:t>
      </w:r>
      <w:r w:rsidRPr="002C7AB8">
        <w:t xml:space="preserve">; </w:t>
      </w:r>
      <w:r w:rsidRPr="002C7AB8">
        <w:rPr>
          <w:rFonts w:cs="Arial"/>
          <w:i/>
          <w:iCs/>
          <w:color w:val="000000"/>
        </w:rPr>
        <w:t>Alimport</w:t>
      </w:r>
      <w:r w:rsidR="00232633">
        <w:rPr>
          <w:rFonts w:cs="Arial"/>
          <w:color w:val="000000"/>
          <w:shd w:val="clear" w:color="auto" w:fill="FFFFFF"/>
        </w:rPr>
        <w:t xml:space="preserve"> </w:t>
      </w:r>
      <w:r w:rsidRPr="00232633">
        <w:rPr>
          <w:rFonts w:cs="Arial"/>
          <w:i/>
          <w:iCs/>
          <w:color w:val="000000"/>
          <w:shd w:val="clear" w:color="auto" w:fill="FFFFFF"/>
        </w:rPr>
        <w:t>v.</w:t>
      </w:r>
      <w:r w:rsidR="00232633">
        <w:rPr>
          <w:rFonts w:cs="Arial"/>
          <w:color w:val="000000"/>
          <w:shd w:val="clear" w:color="auto" w:fill="FFFFFF"/>
        </w:rPr>
        <w:t xml:space="preserve"> </w:t>
      </w:r>
      <w:r w:rsidRPr="002C7AB8">
        <w:rPr>
          <w:rFonts w:cs="Arial"/>
          <w:i/>
          <w:iCs/>
          <w:color w:val="000000"/>
        </w:rPr>
        <w:t>Victoria Transport Ltd.</w:t>
      </w:r>
      <w:r w:rsidRPr="002C7AB8">
        <w:rPr>
          <w:rFonts w:cs="Arial"/>
          <w:color w:val="000000"/>
          <w:shd w:val="clear" w:color="auto" w:fill="FFFFFF"/>
        </w:rPr>
        <w:t xml:space="preserve">, [1977] 2 S.C.R. 858, p. 862; </w:t>
      </w:r>
      <w:r w:rsidRPr="002C7AB8">
        <w:rPr>
          <w:rFonts w:cs="Arial"/>
          <w:i/>
          <w:iCs/>
          <w:color w:val="000000"/>
          <w:shd w:val="clear" w:color="auto" w:fill="FFFFFF"/>
        </w:rPr>
        <w:t xml:space="preserve">Verreault (J.E.) </w:t>
      </w:r>
      <w:r w:rsidRPr="006D2AE7">
        <w:rPr>
          <w:rFonts w:cs="Arial"/>
          <w:i/>
          <w:iCs/>
          <w:color w:val="000000"/>
          <w:shd w:val="clear" w:color="auto" w:fill="FFFFFF"/>
          <w:lang w:val="en-CA"/>
        </w:rPr>
        <w:t xml:space="preserve">&amp; Fils Ltée </w:t>
      </w:r>
      <w:r>
        <w:rPr>
          <w:rFonts w:cs="Arial"/>
          <w:i/>
          <w:iCs/>
          <w:color w:val="000000"/>
          <w:shd w:val="clear" w:color="auto" w:fill="FFFFFF"/>
          <w:lang w:val="en-CA"/>
        </w:rPr>
        <w:t>v</w:t>
      </w:r>
      <w:r w:rsidRPr="006D2AE7">
        <w:rPr>
          <w:rFonts w:cs="Arial"/>
          <w:i/>
          <w:iCs/>
          <w:color w:val="000000"/>
          <w:shd w:val="clear" w:color="auto" w:fill="FFFFFF"/>
          <w:lang w:val="en-CA"/>
        </w:rPr>
        <w:t>. Qu</w:t>
      </w:r>
      <w:r>
        <w:rPr>
          <w:rFonts w:cs="Arial"/>
          <w:i/>
          <w:iCs/>
          <w:color w:val="000000"/>
          <w:shd w:val="clear" w:color="auto" w:fill="FFFFFF"/>
          <w:lang w:val="en-CA"/>
        </w:rPr>
        <w:t>e</w:t>
      </w:r>
      <w:r w:rsidRPr="006D2AE7">
        <w:rPr>
          <w:rFonts w:cs="Arial"/>
          <w:i/>
          <w:iCs/>
          <w:color w:val="000000"/>
          <w:shd w:val="clear" w:color="auto" w:fill="FFFFFF"/>
          <w:lang w:val="en-CA"/>
        </w:rPr>
        <w:t>bec (</w:t>
      </w:r>
      <w:r>
        <w:rPr>
          <w:rFonts w:cs="Arial"/>
          <w:i/>
          <w:iCs/>
          <w:color w:val="000000"/>
          <w:shd w:val="clear" w:color="auto" w:fill="FFFFFF"/>
          <w:lang w:val="en-CA"/>
        </w:rPr>
        <w:t>Attorney General</w:t>
      </w:r>
      <w:r w:rsidRPr="006D2AE7">
        <w:rPr>
          <w:rFonts w:cs="Arial"/>
          <w:i/>
          <w:iCs/>
          <w:color w:val="000000"/>
          <w:shd w:val="clear" w:color="auto" w:fill="FFFFFF"/>
          <w:lang w:val="en-CA"/>
        </w:rPr>
        <w:t>)</w:t>
      </w:r>
      <w:r w:rsidRPr="006D2AE7">
        <w:rPr>
          <w:rFonts w:cs="Arial"/>
          <w:color w:val="000000"/>
          <w:shd w:val="clear" w:color="auto" w:fill="FFFFFF"/>
          <w:lang w:val="en-CA"/>
        </w:rPr>
        <w:t xml:space="preserve">, [1977] </w:t>
      </w:r>
      <w:r>
        <w:rPr>
          <w:rFonts w:cs="Arial"/>
          <w:color w:val="000000"/>
          <w:shd w:val="clear" w:color="auto" w:fill="FFFFFF"/>
          <w:lang w:val="en-CA"/>
        </w:rPr>
        <w:t>S.C.R</w:t>
      </w:r>
      <w:r w:rsidRPr="006D2AE7">
        <w:rPr>
          <w:rFonts w:cs="Arial"/>
          <w:color w:val="000000"/>
          <w:shd w:val="clear" w:color="auto" w:fill="FFFFFF"/>
          <w:lang w:val="en-CA"/>
        </w:rPr>
        <w:t xml:space="preserve">. 41, </w:t>
      </w:r>
      <w:r>
        <w:rPr>
          <w:rFonts w:cs="Arial"/>
          <w:color w:val="000000"/>
          <w:shd w:val="clear" w:color="auto" w:fill="FFFFFF"/>
          <w:lang w:val="en-CA"/>
        </w:rPr>
        <w:t>p</w:t>
      </w:r>
      <w:r w:rsidRPr="006D2AE7">
        <w:rPr>
          <w:rFonts w:cs="Arial"/>
          <w:color w:val="000000"/>
          <w:shd w:val="clear" w:color="auto" w:fill="FFFFFF"/>
          <w:lang w:val="en-CA"/>
        </w:rPr>
        <w:t xml:space="preserve">p. 45-46; </w:t>
      </w:r>
      <w:r w:rsidRPr="006D2AE7">
        <w:rPr>
          <w:rFonts w:cs="Arial"/>
          <w:i/>
          <w:iCs/>
          <w:color w:val="000000"/>
          <w:shd w:val="clear" w:color="auto" w:fill="FFFFFF"/>
          <w:lang w:val="en-CA"/>
        </w:rPr>
        <w:t xml:space="preserve">Jones </w:t>
      </w:r>
      <w:r>
        <w:rPr>
          <w:rFonts w:cs="Arial"/>
          <w:i/>
          <w:iCs/>
          <w:color w:val="000000"/>
          <w:shd w:val="clear" w:color="auto" w:fill="FFFFFF"/>
          <w:lang w:val="en-CA"/>
        </w:rPr>
        <w:t>v</w:t>
      </w:r>
      <w:r w:rsidRPr="006D2AE7">
        <w:rPr>
          <w:rFonts w:cs="Arial"/>
          <w:i/>
          <w:iCs/>
          <w:color w:val="000000"/>
          <w:shd w:val="clear" w:color="auto" w:fill="FFFFFF"/>
          <w:lang w:val="en-CA"/>
        </w:rPr>
        <w:t xml:space="preserve">. </w:t>
      </w:r>
      <w:r>
        <w:rPr>
          <w:rFonts w:cs="Arial"/>
          <w:i/>
          <w:iCs/>
          <w:color w:val="000000"/>
          <w:shd w:val="clear" w:color="auto" w:fill="FFFFFF"/>
          <w:lang w:val="en-CA"/>
        </w:rPr>
        <w:t>A</w:t>
      </w:r>
      <w:r w:rsidRPr="006D2AE7">
        <w:rPr>
          <w:rFonts w:cs="Arial"/>
          <w:i/>
          <w:iCs/>
          <w:color w:val="000000"/>
          <w:shd w:val="clear" w:color="auto" w:fill="FFFFFF"/>
          <w:lang w:val="en-CA"/>
        </w:rPr>
        <w:t xml:space="preserve">.G. </w:t>
      </w:r>
      <w:r>
        <w:rPr>
          <w:rFonts w:cs="Arial"/>
          <w:i/>
          <w:iCs/>
          <w:color w:val="000000"/>
          <w:shd w:val="clear" w:color="auto" w:fill="FFFFFF"/>
          <w:lang w:val="en-CA"/>
        </w:rPr>
        <w:t xml:space="preserve">of New </w:t>
      </w:r>
      <w:r w:rsidRPr="006D2AE7">
        <w:rPr>
          <w:rFonts w:cs="Arial"/>
          <w:i/>
          <w:iCs/>
          <w:color w:val="000000"/>
          <w:shd w:val="clear" w:color="auto" w:fill="FFFFFF"/>
          <w:lang w:val="en-CA"/>
        </w:rPr>
        <w:t>Brunswick</w:t>
      </w:r>
      <w:r w:rsidRPr="006D2AE7">
        <w:rPr>
          <w:rFonts w:cs="Arial"/>
          <w:color w:val="000000"/>
          <w:shd w:val="clear" w:color="auto" w:fill="FFFFFF"/>
          <w:lang w:val="en-CA"/>
        </w:rPr>
        <w:t xml:space="preserve">, [1975] 2 </w:t>
      </w:r>
      <w:r>
        <w:rPr>
          <w:rFonts w:cs="Arial"/>
          <w:color w:val="000000"/>
          <w:shd w:val="clear" w:color="auto" w:fill="FFFFFF"/>
          <w:lang w:val="en-CA"/>
        </w:rPr>
        <w:t>S.C.R</w:t>
      </w:r>
      <w:r w:rsidRPr="006D2AE7">
        <w:rPr>
          <w:rFonts w:cs="Arial"/>
          <w:color w:val="000000"/>
          <w:shd w:val="clear" w:color="auto" w:fill="FFFFFF"/>
          <w:lang w:val="en-CA"/>
        </w:rPr>
        <w:t xml:space="preserve">. 182, </w:t>
      </w:r>
      <w:r>
        <w:rPr>
          <w:rFonts w:cs="Arial"/>
          <w:color w:val="000000"/>
          <w:shd w:val="clear" w:color="auto" w:fill="FFFFFF"/>
          <w:lang w:val="en-CA"/>
        </w:rPr>
        <w:t>p</w:t>
      </w:r>
      <w:r w:rsidRPr="006D2AE7">
        <w:rPr>
          <w:rFonts w:cs="Arial"/>
          <w:color w:val="000000"/>
          <w:shd w:val="clear" w:color="auto" w:fill="FFFFFF"/>
          <w:lang w:val="en-CA"/>
        </w:rPr>
        <w:t>p. 195-196.</w:t>
      </w:r>
    </w:p>
  </w:footnote>
  <w:footnote w:id="53">
    <w:p w14:paraId="680EA504" w14:textId="2E3A0D42" w:rsidR="009214E1" w:rsidRPr="006D2AE7" w:rsidRDefault="009214E1" w:rsidP="009214E1">
      <w:pPr>
        <w:pStyle w:val="Notedebasdepage"/>
        <w:rPr>
          <w:lang w:val="en-CA"/>
        </w:rPr>
      </w:pPr>
      <w:r w:rsidRPr="006D2AE7">
        <w:rPr>
          <w:rStyle w:val="Appelnotedebasdep"/>
          <w:lang w:val="en-CA"/>
        </w:rPr>
        <w:footnoteRef/>
      </w:r>
      <w:r w:rsidRPr="006D2AE7">
        <w:rPr>
          <w:lang w:val="en-CA"/>
        </w:rPr>
        <w:t xml:space="preserve"> </w:t>
      </w:r>
      <w:r>
        <w:rPr>
          <w:lang w:val="en-CA"/>
        </w:rPr>
        <w:tab/>
      </w:r>
      <w:r w:rsidRPr="00A968AE">
        <w:rPr>
          <w:i/>
          <w:iCs/>
          <w:lang w:val="en-CA"/>
        </w:rPr>
        <w:t>Justice for Victims of Terrorism Act</w:t>
      </w:r>
      <w:r w:rsidRPr="006D2AE7">
        <w:rPr>
          <w:lang w:val="en-CA"/>
        </w:rPr>
        <w:t xml:space="preserve">, </w:t>
      </w:r>
      <w:r>
        <w:rPr>
          <w:lang w:val="en-CA"/>
        </w:rPr>
        <w:t>S</w:t>
      </w:r>
      <w:r w:rsidRPr="006D2AE7">
        <w:rPr>
          <w:lang w:val="en-CA"/>
        </w:rPr>
        <w:t xml:space="preserve">.C. 2012, c. 1, </w:t>
      </w:r>
      <w:r>
        <w:rPr>
          <w:lang w:val="en-CA"/>
        </w:rPr>
        <w:t>s.</w:t>
      </w:r>
      <w:r w:rsidRPr="006D2AE7">
        <w:rPr>
          <w:lang w:val="en-CA"/>
        </w:rPr>
        <w:t xml:space="preserve"> 2; </w:t>
      </w:r>
      <w:r w:rsidRPr="006D2AE7">
        <w:rPr>
          <w:i/>
          <w:iCs/>
          <w:lang w:val="en-CA"/>
        </w:rPr>
        <w:t>Tracy</w:t>
      </w:r>
      <w:r w:rsidRPr="006D2AE7">
        <w:rPr>
          <w:lang w:val="en-CA"/>
        </w:rPr>
        <w:t xml:space="preserve">, </w:t>
      </w:r>
      <w:r w:rsidRPr="006D2AE7">
        <w:rPr>
          <w:i/>
          <w:iCs/>
          <w:lang w:val="en-CA"/>
        </w:rPr>
        <w:t>supra</w:t>
      </w:r>
      <w:r w:rsidRPr="006D2AE7">
        <w:rPr>
          <w:lang w:val="en-CA"/>
        </w:rPr>
        <w:t xml:space="preserve">, note </w:t>
      </w:r>
      <w:r w:rsidRPr="006D2AE7">
        <w:rPr>
          <w:lang w:val="en-CA"/>
        </w:rPr>
        <w:fldChar w:fldCharType="begin"/>
      </w:r>
      <w:r w:rsidRPr="006D2AE7">
        <w:rPr>
          <w:lang w:val="en-CA"/>
        </w:rPr>
        <w:instrText xml:space="preserve"> NOTEREF _Ref139965905 \h </w:instrText>
      </w:r>
      <w:r w:rsidRPr="006D2AE7">
        <w:rPr>
          <w:lang w:val="en-CA"/>
        </w:rPr>
      </w:r>
      <w:r w:rsidRPr="006D2AE7">
        <w:rPr>
          <w:lang w:val="en-CA"/>
        </w:rPr>
        <w:fldChar w:fldCharType="separate"/>
      </w:r>
      <w:r w:rsidR="002A24F0">
        <w:rPr>
          <w:lang w:val="en-CA"/>
        </w:rPr>
        <w:t>47</w:t>
      </w:r>
      <w:r w:rsidRPr="006D2AE7">
        <w:rPr>
          <w:lang w:val="en-CA"/>
        </w:rPr>
        <w:fldChar w:fldCharType="end"/>
      </w:r>
      <w:r w:rsidRPr="006D2AE7">
        <w:rPr>
          <w:lang w:val="en-CA"/>
        </w:rPr>
        <w:t>, para. 1.</w:t>
      </w:r>
    </w:p>
  </w:footnote>
  <w:footnote w:id="54">
    <w:p w14:paraId="14DD81AB" w14:textId="29FB0082" w:rsidR="009214E1" w:rsidRPr="006D2AE7" w:rsidRDefault="009214E1" w:rsidP="009214E1">
      <w:pPr>
        <w:pStyle w:val="Notedebasdepage"/>
        <w:rPr>
          <w:lang w:val="en-CA"/>
        </w:rPr>
      </w:pPr>
      <w:r w:rsidRPr="006D2AE7">
        <w:rPr>
          <w:rStyle w:val="Appelnotedebasdep"/>
          <w:lang w:val="en-CA"/>
        </w:rPr>
        <w:footnoteRef/>
      </w:r>
      <w:r w:rsidRPr="006D2AE7">
        <w:rPr>
          <w:lang w:val="en-CA"/>
        </w:rPr>
        <w:t xml:space="preserve"> </w:t>
      </w:r>
      <w:r>
        <w:rPr>
          <w:lang w:val="en-CA"/>
        </w:rPr>
        <w:tab/>
      </w:r>
      <w:r w:rsidRPr="006D2AE7">
        <w:rPr>
          <w:i/>
          <w:iCs/>
          <w:lang w:val="en-CA"/>
        </w:rPr>
        <w:t>Kazemi</w:t>
      </w:r>
      <w:r w:rsidRPr="006D2AE7">
        <w:rPr>
          <w:lang w:val="en-CA"/>
        </w:rPr>
        <w:t xml:space="preserve">, </w:t>
      </w:r>
      <w:r w:rsidRPr="006D2AE7">
        <w:rPr>
          <w:i/>
          <w:iCs/>
          <w:lang w:val="en-CA"/>
        </w:rPr>
        <w:t>supra</w:t>
      </w:r>
      <w:r w:rsidRPr="006D2AE7">
        <w:rPr>
          <w:lang w:val="en-CA"/>
        </w:rPr>
        <w:t xml:space="preserve">, note </w:t>
      </w:r>
      <w:r w:rsidRPr="006D2AE7">
        <w:rPr>
          <w:lang w:val="en-CA"/>
        </w:rPr>
        <w:fldChar w:fldCharType="begin"/>
      </w:r>
      <w:r w:rsidRPr="006D2AE7">
        <w:rPr>
          <w:lang w:val="en-CA"/>
        </w:rPr>
        <w:instrText xml:space="preserve"> NOTEREF _Ref139965220 \h </w:instrText>
      </w:r>
      <w:r w:rsidRPr="006D2AE7">
        <w:rPr>
          <w:lang w:val="en-CA"/>
        </w:rPr>
      </w:r>
      <w:r w:rsidRPr="006D2AE7">
        <w:rPr>
          <w:lang w:val="en-CA"/>
        </w:rPr>
        <w:fldChar w:fldCharType="separate"/>
      </w:r>
      <w:r w:rsidR="002A24F0">
        <w:rPr>
          <w:lang w:val="en-CA"/>
        </w:rPr>
        <w:t>16</w:t>
      </w:r>
      <w:r w:rsidRPr="006D2AE7">
        <w:rPr>
          <w:lang w:val="en-CA"/>
        </w:rPr>
        <w:fldChar w:fldCharType="end"/>
      </w:r>
      <w:r w:rsidRPr="006D2AE7">
        <w:rPr>
          <w:lang w:val="en-CA"/>
        </w:rPr>
        <w:t>, para. 44.</w:t>
      </w:r>
    </w:p>
  </w:footnote>
  <w:footnote w:id="55">
    <w:p w14:paraId="10C4303A" w14:textId="77777777" w:rsidR="009214E1" w:rsidRPr="00DC4B2F" w:rsidRDefault="009214E1" w:rsidP="009214E1">
      <w:pPr>
        <w:pStyle w:val="Notedebasdepage"/>
        <w:rPr>
          <w:lang w:val="en-CA"/>
        </w:rPr>
      </w:pPr>
      <w:r>
        <w:rPr>
          <w:rStyle w:val="Appelnotedebasdep"/>
        </w:rPr>
        <w:footnoteRef/>
      </w:r>
      <w:r w:rsidRPr="00CF2190">
        <w:rPr>
          <w:lang w:val="en-CA"/>
        </w:rPr>
        <w:t xml:space="preserve"> </w:t>
      </w:r>
      <w:r>
        <w:rPr>
          <w:lang w:val="en-CA"/>
        </w:rPr>
        <w:tab/>
      </w:r>
      <w:r w:rsidRPr="00CF2190">
        <w:rPr>
          <w:lang w:val="en-CA"/>
        </w:rPr>
        <w:t xml:space="preserve">Judgment </w:t>
      </w:r>
      <w:r>
        <w:rPr>
          <w:lang w:val="en-CA"/>
        </w:rPr>
        <w:t>under appeal</w:t>
      </w:r>
      <w:r w:rsidRPr="00CF2190">
        <w:rPr>
          <w:lang w:val="en-CA"/>
        </w:rPr>
        <w:t>, para</w:t>
      </w:r>
      <w:r>
        <w:rPr>
          <w:lang w:val="en-CA"/>
        </w:rPr>
        <w:t>s</w:t>
      </w:r>
      <w:r w:rsidRPr="00CF2190">
        <w:rPr>
          <w:lang w:val="en-CA"/>
        </w:rPr>
        <w:t xml:space="preserve">. </w:t>
      </w:r>
      <w:r w:rsidRPr="00DC4B2F">
        <w:rPr>
          <w:lang w:val="en-CA"/>
        </w:rPr>
        <w:t>48-59.</w:t>
      </w:r>
    </w:p>
  </w:footnote>
  <w:footnote w:id="56">
    <w:p w14:paraId="517ACFE6" w14:textId="058DF53A" w:rsidR="009214E1" w:rsidRPr="002C7AB8" w:rsidRDefault="009214E1" w:rsidP="009214E1">
      <w:pPr>
        <w:pStyle w:val="Notedebasdepage"/>
        <w:rPr>
          <w:lang w:val="en-CA"/>
        </w:rPr>
      </w:pPr>
      <w:r>
        <w:rPr>
          <w:rStyle w:val="Appelnotedebasdep"/>
        </w:rPr>
        <w:footnoteRef/>
      </w:r>
      <w:r w:rsidRPr="00DC4B2F">
        <w:rPr>
          <w:lang w:val="en-CA"/>
        </w:rPr>
        <w:t xml:space="preserve"> </w:t>
      </w:r>
      <w:r>
        <w:rPr>
          <w:lang w:val="en-CA"/>
        </w:rPr>
        <w:tab/>
      </w:r>
      <w:r w:rsidRPr="00DC4B2F">
        <w:rPr>
          <w:i/>
          <w:iCs/>
          <w:lang w:val="en-CA"/>
        </w:rPr>
        <w:t xml:space="preserve">R. </w:t>
      </w:r>
      <w:r>
        <w:rPr>
          <w:i/>
          <w:iCs/>
          <w:lang w:val="en-CA"/>
        </w:rPr>
        <w:t>v</w:t>
      </w:r>
      <w:r w:rsidRPr="00DC4B2F">
        <w:rPr>
          <w:i/>
          <w:iCs/>
          <w:lang w:val="en-CA"/>
        </w:rPr>
        <w:t>. Dineley</w:t>
      </w:r>
      <w:r w:rsidRPr="00DC4B2F">
        <w:rPr>
          <w:lang w:val="en-CA"/>
        </w:rPr>
        <w:t xml:space="preserve">, </w:t>
      </w:r>
      <w:r w:rsidRPr="00DC4B2F">
        <w:rPr>
          <w:i/>
          <w:iCs/>
          <w:lang w:val="en-CA"/>
        </w:rPr>
        <w:t>supra</w:t>
      </w:r>
      <w:r w:rsidRPr="00DC4B2F">
        <w:rPr>
          <w:lang w:val="en-CA"/>
        </w:rPr>
        <w:t xml:space="preserve">, note </w:t>
      </w:r>
      <w:r>
        <w:fldChar w:fldCharType="begin"/>
      </w:r>
      <w:r w:rsidRPr="00DC4B2F">
        <w:rPr>
          <w:lang w:val="en-CA"/>
        </w:rPr>
        <w:instrText xml:space="preserve"> NOTEREF _Ref139965588 \h </w:instrText>
      </w:r>
      <w:r>
        <w:fldChar w:fldCharType="separate"/>
      </w:r>
      <w:r w:rsidR="002A24F0">
        <w:rPr>
          <w:lang w:val="en-CA"/>
        </w:rPr>
        <w:t>30</w:t>
      </w:r>
      <w:r>
        <w:fldChar w:fldCharType="end"/>
      </w:r>
      <w:r w:rsidRPr="00DC4B2F">
        <w:rPr>
          <w:lang w:val="en-CA"/>
        </w:rPr>
        <w:t xml:space="preserve">, para. </w:t>
      </w:r>
      <w:r w:rsidRPr="002C7AB8">
        <w:rPr>
          <w:lang w:val="en-CA"/>
        </w:rPr>
        <w:t>10.</w:t>
      </w:r>
    </w:p>
  </w:footnote>
  <w:footnote w:id="57">
    <w:p w14:paraId="6F86988C" w14:textId="119FF9DB" w:rsidR="009214E1" w:rsidRPr="00FF24DE" w:rsidRDefault="009214E1" w:rsidP="009214E1">
      <w:pPr>
        <w:pStyle w:val="Notedebasdepage"/>
        <w:rPr>
          <w:lang w:val="en-CA"/>
        </w:rPr>
      </w:pPr>
      <w:r>
        <w:rPr>
          <w:rStyle w:val="Appelnotedebasdep"/>
        </w:rPr>
        <w:footnoteRef/>
      </w:r>
      <w:r w:rsidRPr="002C7AB8">
        <w:rPr>
          <w:lang w:val="en-CA"/>
        </w:rPr>
        <w:t xml:space="preserve"> </w:t>
      </w:r>
      <w:r>
        <w:rPr>
          <w:lang w:val="en-CA"/>
        </w:rPr>
        <w:tab/>
      </w:r>
      <w:r w:rsidRPr="002C7AB8">
        <w:rPr>
          <w:i/>
          <w:iCs/>
          <w:lang w:val="en-CA"/>
        </w:rPr>
        <w:t>Id.</w:t>
      </w:r>
      <w:r w:rsidR="00232633">
        <w:rPr>
          <w:lang w:val="en-CA"/>
        </w:rPr>
        <w:t>,</w:t>
      </w:r>
      <w:r w:rsidRPr="002C7AB8">
        <w:rPr>
          <w:lang w:val="en-CA"/>
        </w:rPr>
        <w:t xml:space="preserve"> para. </w:t>
      </w:r>
      <w:r w:rsidRPr="00FF24DE">
        <w:rPr>
          <w:lang w:val="en-CA"/>
        </w:rPr>
        <w:t>11</w:t>
      </w:r>
      <w:r>
        <w:rPr>
          <w:lang w:val="en-CA"/>
        </w:rPr>
        <w:t>.</w:t>
      </w:r>
      <w:r w:rsidRPr="00FF24DE">
        <w:rPr>
          <w:lang w:val="en-CA"/>
        </w:rPr>
        <w:t xml:space="preserve"> See also</w:t>
      </w:r>
      <w:r>
        <w:rPr>
          <w:lang w:val="en-CA"/>
        </w:rPr>
        <w:t>:</w:t>
      </w:r>
      <w:r w:rsidRPr="00FF24DE">
        <w:rPr>
          <w:lang w:val="en-CA"/>
        </w:rPr>
        <w:t xml:space="preserve"> </w:t>
      </w:r>
      <w:r w:rsidRPr="00FF24DE">
        <w:rPr>
          <w:i/>
          <w:iCs/>
          <w:lang w:val="en-CA"/>
        </w:rPr>
        <w:t>Angus v. Sun Alliance Insurance Co.</w:t>
      </w:r>
      <w:r w:rsidRPr="00FF24DE">
        <w:rPr>
          <w:lang w:val="en-CA"/>
        </w:rPr>
        <w:t xml:space="preserve">, </w:t>
      </w:r>
      <w:r w:rsidRPr="00FF24DE">
        <w:rPr>
          <w:i/>
          <w:iCs/>
          <w:lang w:val="en-CA"/>
        </w:rPr>
        <w:t>supra</w:t>
      </w:r>
      <w:r w:rsidRPr="00FF24DE">
        <w:rPr>
          <w:lang w:val="en-CA"/>
        </w:rPr>
        <w:t xml:space="preserve">, note </w:t>
      </w:r>
      <w:r>
        <w:fldChar w:fldCharType="begin"/>
      </w:r>
      <w:r w:rsidRPr="00FF24DE">
        <w:rPr>
          <w:lang w:val="en-CA"/>
        </w:rPr>
        <w:instrText xml:space="preserve"> NOTEREF _Ref139965934 \h </w:instrText>
      </w:r>
      <w:r>
        <w:fldChar w:fldCharType="separate"/>
      </w:r>
      <w:r w:rsidR="002A24F0">
        <w:rPr>
          <w:lang w:val="en-CA"/>
        </w:rPr>
        <w:t>34</w:t>
      </w:r>
      <w:r>
        <w:fldChar w:fldCharType="end"/>
      </w:r>
      <w:r w:rsidRPr="00FF24DE">
        <w:rPr>
          <w:lang w:val="en-CA"/>
        </w:rPr>
        <w:t xml:space="preserve">, </w:t>
      </w:r>
      <w:r>
        <w:rPr>
          <w:lang w:val="en-CA"/>
        </w:rPr>
        <w:t>p</w:t>
      </w:r>
      <w:r w:rsidRPr="00FF24DE">
        <w:rPr>
          <w:lang w:val="en-CA"/>
        </w:rPr>
        <w:t>p. 266-267.</w:t>
      </w:r>
    </w:p>
  </w:footnote>
  <w:footnote w:id="58">
    <w:p w14:paraId="19972594" w14:textId="77777777" w:rsidR="009214E1" w:rsidRPr="00C137AA" w:rsidRDefault="009214E1" w:rsidP="009214E1">
      <w:pPr>
        <w:pStyle w:val="Notedebasdepage"/>
      </w:pPr>
      <w:r>
        <w:rPr>
          <w:rStyle w:val="Appelnotedebasdep"/>
        </w:rPr>
        <w:footnoteRef/>
      </w:r>
      <w:r>
        <w:t xml:space="preserve"> </w:t>
      </w:r>
      <w:r>
        <w:tab/>
      </w:r>
      <w:r w:rsidRPr="00B12ACF">
        <w:rPr>
          <w:i/>
          <w:iCs/>
        </w:rPr>
        <w:t xml:space="preserve">Kuwait Airways Corp. </w:t>
      </w:r>
      <w:r>
        <w:rPr>
          <w:i/>
          <w:iCs/>
        </w:rPr>
        <w:t>v</w:t>
      </w:r>
      <w:r w:rsidRPr="00B12ACF">
        <w:rPr>
          <w:i/>
          <w:iCs/>
        </w:rPr>
        <w:t>. Irak</w:t>
      </w:r>
      <w:r>
        <w:t xml:space="preserve">, </w:t>
      </w:r>
      <w:r w:rsidRPr="00B12ACF">
        <w:t xml:space="preserve">2010 </w:t>
      </w:r>
      <w:r>
        <w:t>SCC</w:t>
      </w:r>
      <w:r w:rsidRPr="00B12ACF">
        <w:t xml:space="preserve"> 40</w:t>
      </w:r>
      <w:r>
        <w:t>, para.1</w:t>
      </w:r>
      <w:r w:rsidRPr="00C137AA">
        <w:t>2 [</w:t>
      </w:r>
      <w:r w:rsidRPr="00C137AA">
        <w:rPr>
          <w:i/>
          <w:iCs/>
        </w:rPr>
        <w:t>Kuwait Airways</w:t>
      </w:r>
      <w:r w:rsidRPr="00C137AA">
        <w:t>]</w:t>
      </w:r>
      <w:r>
        <w:t>.</w:t>
      </w:r>
    </w:p>
  </w:footnote>
  <w:footnote w:id="59">
    <w:p w14:paraId="568955D6" w14:textId="77B8FAED" w:rsidR="009214E1" w:rsidRPr="001D4830" w:rsidRDefault="009214E1" w:rsidP="009214E1">
      <w:pPr>
        <w:pStyle w:val="Notedebasdepage"/>
        <w:rPr>
          <w:lang w:val="en-CA"/>
        </w:rPr>
      </w:pPr>
      <w:r>
        <w:rPr>
          <w:rStyle w:val="Appelnotedebasdep"/>
        </w:rPr>
        <w:footnoteRef/>
      </w:r>
      <w:r w:rsidRPr="001D4830">
        <w:rPr>
          <w:lang w:val="en-CA"/>
        </w:rPr>
        <w:t xml:space="preserve"> </w:t>
      </w:r>
      <w:r>
        <w:rPr>
          <w:lang w:val="en-CA"/>
        </w:rPr>
        <w:tab/>
      </w:r>
      <w:r w:rsidRPr="001D4830">
        <w:rPr>
          <w:i/>
          <w:iCs/>
          <w:lang w:val="en-CA"/>
        </w:rPr>
        <w:t>Jaffe</w:t>
      </w:r>
      <w:r w:rsidRPr="001D4830">
        <w:rPr>
          <w:lang w:val="en-CA"/>
        </w:rPr>
        <w:t xml:space="preserve">, </w:t>
      </w:r>
      <w:r w:rsidRPr="001D4830">
        <w:rPr>
          <w:i/>
          <w:iCs/>
          <w:lang w:val="en-CA"/>
        </w:rPr>
        <w:t>supra</w:t>
      </w:r>
      <w:r w:rsidRPr="001D4830">
        <w:rPr>
          <w:lang w:val="en-CA"/>
        </w:rPr>
        <w:t xml:space="preserve">, note </w:t>
      </w:r>
      <w:r>
        <w:rPr>
          <w:lang w:val="en-CA"/>
        </w:rPr>
        <w:fldChar w:fldCharType="begin"/>
      </w:r>
      <w:r>
        <w:rPr>
          <w:lang w:val="en-CA"/>
        </w:rPr>
        <w:instrText xml:space="preserve"> NOTEREF _Ref139965945 \h </w:instrText>
      </w:r>
      <w:r>
        <w:rPr>
          <w:lang w:val="en-CA"/>
        </w:rPr>
      </w:r>
      <w:r>
        <w:rPr>
          <w:lang w:val="en-CA"/>
        </w:rPr>
        <w:fldChar w:fldCharType="separate"/>
      </w:r>
      <w:r w:rsidR="002A24F0">
        <w:rPr>
          <w:lang w:val="en-CA"/>
        </w:rPr>
        <w:t>45</w:t>
      </w:r>
      <w:r>
        <w:rPr>
          <w:lang w:val="en-CA"/>
        </w:rPr>
        <w:fldChar w:fldCharType="end"/>
      </w:r>
      <w:r w:rsidRPr="001D4830">
        <w:rPr>
          <w:lang w:val="en-CA"/>
        </w:rPr>
        <w:t>, para. 53.</w:t>
      </w:r>
    </w:p>
  </w:footnote>
  <w:footnote w:id="60">
    <w:p w14:paraId="6DAEDFFC" w14:textId="77777777" w:rsidR="009214E1" w:rsidRPr="00167BF1" w:rsidRDefault="009214E1" w:rsidP="009214E1">
      <w:pPr>
        <w:pStyle w:val="Notedebasdepage"/>
        <w:rPr>
          <w:lang w:val="en-CA"/>
        </w:rPr>
      </w:pPr>
      <w:r>
        <w:rPr>
          <w:rStyle w:val="Appelnotedebasdep"/>
        </w:rPr>
        <w:footnoteRef/>
      </w:r>
      <w:r w:rsidRPr="00167BF1">
        <w:rPr>
          <w:lang w:val="en-CA"/>
        </w:rPr>
        <w:t xml:space="preserve"> </w:t>
      </w:r>
      <w:r>
        <w:rPr>
          <w:lang w:val="en-CA"/>
        </w:rPr>
        <w:tab/>
      </w:r>
      <w:r w:rsidRPr="00167BF1">
        <w:rPr>
          <w:lang w:val="en-CA"/>
        </w:rPr>
        <w:t xml:space="preserve">François Larocque, </w:t>
      </w:r>
      <w:r w:rsidRPr="00167BF1">
        <w:rPr>
          <w:i/>
          <w:iCs/>
          <w:lang w:val="en-CA"/>
        </w:rPr>
        <w:t>Civil Actions for Uncivilized Acts: Th</w:t>
      </w:r>
      <w:r>
        <w:rPr>
          <w:i/>
          <w:iCs/>
          <w:lang w:val="en-CA"/>
        </w:rPr>
        <w:t>e Adjudicative Jurisdiction of Common Law Courts in Transnational Human Rights Proceedings</w:t>
      </w:r>
      <w:r w:rsidRPr="00167BF1">
        <w:rPr>
          <w:lang w:val="en-CA"/>
        </w:rPr>
        <w:t>, 2010</w:t>
      </w:r>
      <w:r>
        <w:rPr>
          <w:lang w:val="en-CA"/>
        </w:rPr>
        <w:t>, Toronto,</w:t>
      </w:r>
      <w:r w:rsidRPr="00167BF1">
        <w:rPr>
          <w:lang w:val="en-CA"/>
        </w:rPr>
        <w:t xml:space="preserve"> </w:t>
      </w:r>
      <w:r>
        <w:rPr>
          <w:lang w:val="en-CA"/>
        </w:rPr>
        <w:t>Irwin Law, 2010, pp. 240-241.</w:t>
      </w:r>
    </w:p>
  </w:footnote>
  <w:footnote w:id="61">
    <w:p w14:paraId="68D3C04E" w14:textId="77777777" w:rsidR="009214E1" w:rsidRPr="007B532B" w:rsidRDefault="009214E1" w:rsidP="009214E1">
      <w:pPr>
        <w:pStyle w:val="Notedebasdepage"/>
        <w:rPr>
          <w:lang w:val="en-CA"/>
        </w:rPr>
      </w:pPr>
      <w:r>
        <w:rPr>
          <w:rStyle w:val="Appelnotedebasdep"/>
        </w:rPr>
        <w:footnoteRef/>
      </w:r>
      <w:r w:rsidRPr="007B532B">
        <w:rPr>
          <w:lang w:val="en-CA"/>
        </w:rPr>
        <w:t xml:space="preserve"> </w:t>
      </w:r>
      <w:r>
        <w:rPr>
          <w:lang w:val="en-CA"/>
        </w:rPr>
        <w:tab/>
      </w:r>
      <w:r w:rsidRPr="006F7C84">
        <w:rPr>
          <w:i/>
          <w:iCs/>
          <w:lang w:val="en-CA"/>
        </w:rPr>
        <w:t>Zodiac International Products Inc.</w:t>
      </w:r>
      <w:r>
        <w:rPr>
          <w:lang w:val="en-CA"/>
        </w:rPr>
        <w:t xml:space="preserve"> </w:t>
      </w:r>
      <w:r w:rsidRPr="00232633">
        <w:rPr>
          <w:i/>
          <w:iCs/>
          <w:lang w:val="en-CA"/>
        </w:rPr>
        <w:t>v.</w:t>
      </w:r>
      <w:r>
        <w:rPr>
          <w:lang w:val="en-CA"/>
        </w:rPr>
        <w:t xml:space="preserve"> </w:t>
      </w:r>
      <w:r w:rsidRPr="006F7C84">
        <w:rPr>
          <w:i/>
          <w:iCs/>
          <w:lang w:val="en-CA"/>
        </w:rPr>
        <w:t>The Polish People’s Republic</w:t>
      </w:r>
      <w:r w:rsidRPr="006F7C84">
        <w:rPr>
          <w:lang w:val="en-CA"/>
        </w:rPr>
        <w:t xml:space="preserve">, [1977] C.A. 366, p. 663, </w:t>
      </w:r>
      <w:r>
        <w:rPr>
          <w:lang w:val="en-CA"/>
        </w:rPr>
        <w:t>confirmed by</w:t>
      </w:r>
      <w:r w:rsidRPr="006F7C84">
        <w:rPr>
          <w:lang w:val="en-CA"/>
        </w:rPr>
        <w:t xml:space="preserve"> </w:t>
      </w:r>
      <w:r w:rsidRPr="006F7C84">
        <w:rPr>
          <w:i/>
          <w:iCs/>
          <w:lang w:val="en-CA"/>
        </w:rPr>
        <w:t xml:space="preserve">Zodiak International </w:t>
      </w:r>
      <w:r>
        <w:rPr>
          <w:i/>
          <w:iCs/>
          <w:lang w:val="en-CA"/>
        </w:rPr>
        <w:t>v</w:t>
      </w:r>
      <w:r w:rsidRPr="006F7C84">
        <w:rPr>
          <w:i/>
          <w:iCs/>
          <w:lang w:val="en-CA"/>
        </w:rPr>
        <w:t>. Polish People's Republic</w:t>
      </w:r>
      <w:r w:rsidRPr="006F7C84">
        <w:rPr>
          <w:lang w:val="en-CA"/>
        </w:rPr>
        <w:t xml:space="preserve">, [1983] 1 </w:t>
      </w:r>
      <w:r>
        <w:rPr>
          <w:lang w:val="en-CA"/>
        </w:rPr>
        <w:t>S.C.R</w:t>
      </w:r>
      <w:r w:rsidRPr="006F7C84">
        <w:rPr>
          <w:lang w:val="en-CA"/>
        </w:rPr>
        <w:t xml:space="preserve">. 529; </w:t>
      </w:r>
      <w:r w:rsidRPr="006F7C84">
        <w:rPr>
          <w:i/>
          <w:iCs/>
          <w:lang w:val="en-CA"/>
        </w:rPr>
        <w:t>Venne v. Democratic Republic of the Congo</w:t>
      </w:r>
      <w:r w:rsidRPr="006F7C84">
        <w:rPr>
          <w:lang w:val="en-CA"/>
        </w:rPr>
        <w:t>, [1969] B.R. 818, p. 146</w:t>
      </w:r>
      <w:r>
        <w:rPr>
          <w:lang w:val="en-CA"/>
        </w:rPr>
        <w:t xml:space="preserve"> (C.A.)</w:t>
      </w:r>
      <w:r w:rsidRPr="006F7C84">
        <w:rPr>
          <w:lang w:val="en-CA"/>
        </w:rPr>
        <w:t xml:space="preserve">, </w:t>
      </w:r>
      <w:r>
        <w:rPr>
          <w:lang w:val="en-CA"/>
        </w:rPr>
        <w:t>reversed</w:t>
      </w:r>
      <w:r w:rsidRPr="006F7C84">
        <w:rPr>
          <w:lang w:val="en-CA"/>
        </w:rPr>
        <w:t xml:space="preserve"> </w:t>
      </w:r>
      <w:r>
        <w:rPr>
          <w:lang w:val="en-CA"/>
        </w:rPr>
        <w:t>for other reasons</w:t>
      </w:r>
      <w:r w:rsidRPr="007B532B">
        <w:rPr>
          <w:lang w:val="en-CA"/>
        </w:rPr>
        <w:t xml:space="preserve"> </w:t>
      </w:r>
      <w:r>
        <w:rPr>
          <w:lang w:val="en-CA"/>
        </w:rPr>
        <w:t>by</w:t>
      </w:r>
      <w:r w:rsidRPr="006F7C84">
        <w:rPr>
          <w:lang w:val="en-CA"/>
        </w:rPr>
        <w:t xml:space="preserve"> </w:t>
      </w:r>
      <w:r w:rsidRPr="006F7C84">
        <w:rPr>
          <w:i/>
          <w:iCs/>
          <w:lang w:val="en-CA"/>
        </w:rPr>
        <w:t xml:space="preserve">Gouvernement de la République Démocratique du Congo </w:t>
      </w:r>
      <w:r>
        <w:rPr>
          <w:i/>
          <w:iCs/>
          <w:lang w:val="en-CA"/>
        </w:rPr>
        <w:t>v</w:t>
      </w:r>
      <w:r w:rsidRPr="006F7C84">
        <w:rPr>
          <w:i/>
          <w:iCs/>
          <w:lang w:val="en-CA"/>
        </w:rPr>
        <w:t>. Venne</w:t>
      </w:r>
      <w:r w:rsidRPr="006F7C84">
        <w:rPr>
          <w:lang w:val="en-CA"/>
        </w:rPr>
        <w:t xml:space="preserve">, [1971] </w:t>
      </w:r>
      <w:r>
        <w:rPr>
          <w:lang w:val="en-CA"/>
        </w:rPr>
        <w:t>S.C.R</w:t>
      </w:r>
      <w:r w:rsidRPr="006F7C84">
        <w:rPr>
          <w:lang w:val="en-CA"/>
        </w:rPr>
        <w:t xml:space="preserve">. 997; </w:t>
      </w:r>
      <w:r w:rsidRPr="006A4DF0">
        <w:rPr>
          <w:i/>
          <w:iCs/>
          <w:lang w:val="en-CA"/>
        </w:rPr>
        <w:t>Penthouse Studios Inc. v. Government of the Sovereign Republic of Venezuela et al</w:t>
      </w:r>
      <w:r>
        <w:rPr>
          <w:lang w:val="en-CA"/>
        </w:rPr>
        <w:t xml:space="preserve">. (1969), </w:t>
      </w:r>
      <w:r w:rsidRPr="007B532B">
        <w:rPr>
          <w:lang w:val="en-CA"/>
        </w:rPr>
        <w:t xml:space="preserve">8 D.L.R. (3d) 686 </w:t>
      </w:r>
      <w:r>
        <w:rPr>
          <w:lang w:val="en-CA"/>
        </w:rPr>
        <w:t>(CA).</w:t>
      </w:r>
    </w:p>
  </w:footnote>
  <w:footnote w:id="62">
    <w:p w14:paraId="1E85509F" w14:textId="77777777" w:rsidR="009214E1" w:rsidRPr="00DC7B2F" w:rsidRDefault="009214E1" w:rsidP="009214E1">
      <w:pPr>
        <w:pStyle w:val="Notedebasdepage"/>
        <w:rPr>
          <w:lang w:val="en-CA"/>
        </w:rPr>
      </w:pPr>
      <w:r>
        <w:rPr>
          <w:rStyle w:val="Appelnotedebasdep"/>
        </w:rPr>
        <w:footnoteRef/>
      </w:r>
      <w:r w:rsidRPr="00DC7B2F">
        <w:rPr>
          <w:lang w:val="en-CA"/>
        </w:rPr>
        <w:t xml:space="preserve"> </w:t>
      </w:r>
      <w:r>
        <w:rPr>
          <w:lang w:val="en-CA"/>
        </w:rPr>
        <w:tab/>
      </w:r>
      <w:r w:rsidRPr="00DC7B2F">
        <w:rPr>
          <w:i/>
          <w:iCs/>
          <w:lang w:val="en-CA"/>
        </w:rPr>
        <w:t>Dessaulle v. Republic of Poland</w:t>
      </w:r>
      <w:r w:rsidRPr="00DC7B2F">
        <w:rPr>
          <w:lang w:val="en-CA"/>
        </w:rPr>
        <w:t>, [1944] S.C.R. 275</w:t>
      </w:r>
      <w:r>
        <w:rPr>
          <w:i/>
          <w:iCs/>
          <w:lang w:val="en-CA"/>
        </w:rPr>
        <w:t>.</w:t>
      </w:r>
    </w:p>
  </w:footnote>
  <w:footnote w:id="63">
    <w:p w14:paraId="7B72A6E5" w14:textId="449A8B1B" w:rsidR="009214E1" w:rsidRPr="006A4DF0" w:rsidRDefault="009214E1" w:rsidP="009214E1">
      <w:pPr>
        <w:pStyle w:val="Notedebasdepage"/>
        <w:rPr>
          <w:lang w:val="en-CA"/>
        </w:rPr>
      </w:pPr>
      <w:r>
        <w:rPr>
          <w:rStyle w:val="Appelnotedebasdep"/>
        </w:rPr>
        <w:footnoteRef/>
      </w:r>
      <w:r w:rsidRPr="006A4DF0">
        <w:rPr>
          <w:lang w:val="en-CA"/>
        </w:rPr>
        <w:t xml:space="preserve"> </w:t>
      </w:r>
      <w:r>
        <w:rPr>
          <w:lang w:val="en-CA"/>
        </w:rPr>
        <w:tab/>
      </w:r>
      <w:r w:rsidRPr="006A4DF0">
        <w:rPr>
          <w:i/>
          <w:iCs/>
          <w:lang w:val="en-CA"/>
        </w:rPr>
        <w:t xml:space="preserve">Zodiak International Productions Inc. </w:t>
      </w:r>
      <w:r>
        <w:rPr>
          <w:i/>
          <w:iCs/>
          <w:lang w:val="en-CA"/>
        </w:rPr>
        <w:t>v</w:t>
      </w:r>
      <w:r w:rsidRPr="006A4DF0">
        <w:rPr>
          <w:i/>
          <w:iCs/>
          <w:lang w:val="en-CA"/>
        </w:rPr>
        <w:t>. The Polish People’s Republic</w:t>
      </w:r>
      <w:r>
        <w:rPr>
          <w:lang w:val="en-CA"/>
        </w:rPr>
        <w:t xml:space="preserve">, </w:t>
      </w:r>
      <w:r w:rsidRPr="001D4830">
        <w:rPr>
          <w:i/>
          <w:iCs/>
          <w:lang w:val="en-CA"/>
        </w:rPr>
        <w:t>supra</w:t>
      </w:r>
      <w:r>
        <w:rPr>
          <w:lang w:val="en-CA"/>
        </w:rPr>
        <w:t xml:space="preserve">, note </w:t>
      </w:r>
      <w:r>
        <w:rPr>
          <w:lang w:val="en-CA"/>
        </w:rPr>
        <w:fldChar w:fldCharType="begin"/>
      </w:r>
      <w:r>
        <w:rPr>
          <w:lang w:val="en-CA"/>
        </w:rPr>
        <w:instrText xml:space="preserve"> NOTEREF _Ref139965966 \h </w:instrText>
      </w:r>
      <w:r>
        <w:rPr>
          <w:lang w:val="en-CA"/>
        </w:rPr>
      </w:r>
      <w:r>
        <w:rPr>
          <w:lang w:val="en-CA"/>
        </w:rPr>
        <w:fldChar w:fldCharType="separate"/>
      </w:r>
      <w:r w:rsidR="002A24F0">
        <w:rPr>
          <w:lang w:val="en-CA"/>
        </w:rPr>
        <w:t>61</w:t>
      </w:r>
      <w:r>
        <w:rPr>
          <w:lang w:val="en-CA"/>
        </w:rPr>
        <w:fldChar w:fldCharType="end"/>
      </w:r>
      <w:r>
        <w:rPr>
          <w:lang w:val="en-CA"/>
        </w:rPr>
        <w:t>.</w:t>
      </w:r>
    </w:p>
  </w:footnote>
  <w:footnote w:id="64">
    <w:p w14:paraId="787995CD" w14:textId="77777777" w:rsidR="009214E1" w:rsidRPr="00C137AA" w:rsidRDefault="009214E1" w:rsidP="009214E1">
      <w:pPr>
        <w:pStyle w:val="Notedebasdepage"/>
      </w:pPr>
      <w:r>
        <w:rPr>
          <w:rStyle w:val="Appelnotedebasdep"/>
        </w:rPr>
        <w:footnoteRef/>
      </w:r>
      <w:r w:rsidRPr="00C137AA">
        <w:t xml:space="preserve"> </w:t>
      </w:r>
      <w:r>
        <w:tab/>
      </w:r>
      <w:r w:rsidRPr="00C137AA">
        <w:rPr>
          <w:i/>
          <w:iCs/>
        </w:rPr>
        <w:t>Re Canada Labour Code</w:t>
      </w:r>
      <w:r w:rsidRPr="00C137AA">
        <w:t>, [1992] 2 S.C.R. 50, p. 73.</w:t>
      </w:r>
    </w:p>
  </w:footnote>
  <w:footnote w:id="65">
    <w:p w14:paraId="6B74C7FD" w14:textId="77777777" w:rsidR="009214E1" w:rsidRPr="00C137AA" w:rsidRDefault="009214E1" w:rsidP="009214E1">
      <w:pPr>
        <w:pStyle w:val="Notedebasdepage"/>
      </w:pPr>
      <w:r>
        <w:rPr>
          <w:rStyle w:val="Appelnotedebasdep"/>
        </w:rPr>
        <w:footnoteRef/>
      </w:r>
      <w:r w:rsidRPr="00C137AA">
        <w:t xml:space="preserve"> </w:t>
      </w:r>
      <w:r>
        <w:tab/>
      </w:r>
      <w:r w:rsidRPr="00C137AA">
        <w:t xml:space="preserve">Jean-Maurice Arbour and Geneviève Parent, </w:t>
      </w:r>
      <w:r w:rsidRPr="00C137AA">
        <w:rPr>
          <w:i/>
          <w:iCs/>
        </w:rPr>
        <w:t>Droit international public</w:t>
      </w:r>
      <w:r w:rsidRPr="00C137AA">
        <w:t>, 7th ed., Montréal, Yvon Blais, 2017, p. 518.</w:t>
      </w:r>
    </w:p>
  </w:footnote>
  <w:footnote w:id="66">
    <w:p w14:paraId="7A29321D" w14:textId="3F8C244E" w:rsidR="009214E1" w:rsidRPr="0059321B" w:rsidRDefault="009214E1" w:rsidP="009214E1">
      <w:pPr>
        <w:pStyle w:val="Notedebasdepage"/>
        <w:rPr>
          <w:lang w:val="en-CA"/>
        </w:rPr>
      </w:pPr>
      <w:r>
        <w:rPr>
          <w:rStyle w:val="Appelnotedebasdep"/>
        </w:rPr>
        <w:footnoteRef/>
      </w:r>
      <w:r w:rsidRPr="008C03C5">
        <w:rPr>
          <w:lang w:val="en-CA"/>
        </w:rPr>
        <w:t xml:space="preserve"> </w:t>
      </w:r>
      <w:r>
        <w:rPr>
          <w:lang w:val="en-CA"/>
        </w:rPr>
        <w:tab/>
      </w:r>
      <w:r w:rsidRPr="008C03C5">
        <w:rPr>
          <w:i/>
          <w:iCs/>
          <w:lang w:val="en-CA"/>
        </w:rPr>
        <w:t>Re Canada Labour Code</w:t>
      </w:r>
      <w:r w:rsidRPr="008C03C5">
        <w:rPr>
          <w:lang w:val="en-CA"/>
        </w:rPr>
        <w:t xml:space="preserve">, </w:t>
      </w:r>
      <w:r w:rsidRPr="008C03C5">
        <w:rPr>
          <w:i/>
          <w:iCs/>
          <w:lang w:val="en-CA"/>
        </w:rPr>
        <w:t>supra</w:t>
      </w:r>
      <w:r w:rsidRPr="008C03C5">
        <w:rPr>
          <w:lang w:val="en-CA"/>
        </w:rPr>
        <w:t xml:space="preserve">, note </w:t>
      </w:r>
      <w:r>
        <w:fldChar w:fldCharType="begin"/>
      </w:r>
      <w:r w:rsidRPr="008C03C5">
        <w:rPr>
          <w:lang w:val="en-CA"/>
        </w:rPr>
        <w:instrText xml:space="preserve"> NOTEREF _Ref139965988 \h </w:instrText>
      </w:r>
      <w:r>
        <w:fldChar w:fldCharType="separate"/>
      </w:r>
      <w:r w:rsidR="002A24F0">
        <w:rPr>
          <w:lang w:val="en-CA"/>
        </w:rPr>
        <w:t>64</w:t>
      </w:r>
      <w:r>
        <w:fldChar w:fldCharType="end"/>
      </w:r>
      <w:r w:rsidRPr="008C03C5">
        <w:rPr>
          <w:lang w:val="en-CA"/>
        </w:rPr>
        <w:t xml:space="preserve">, p. 73; </w:t>
      </w:r>
      <w:bookmarkStart w:id="32" w:name="_Hlk127454965"/>
      <w:r w:rsidRPr="008C03C5">
        <w:rPr>
          <w:lang w:val="en-CA"/>
        </w:rPr>
        <w:t xml:space="preserve">See also </w:t>
      </w:r>
      <w:r w:rsidRPr="008C03C5">
        <w:rPr>
          <w:i/>
          <w:iCs/>
          <w:lang w:val="en-CA"/>
        </w:rPr>
        <w:t>Kuwait Airways</w:t>
      </w:r>
      <w:r w:rsidRPr="008C03C5">
        <w:rPr>
          <w:lang w:val="en-CA"/>
        </w:rPr>
        <w:t xml:space="preserve">, </w:t>
      </w:r>
      <w:r w:rsidRPr="008C03C5">
        <w:rPr>
          <w:i/>
          <w:iCs/>
          <w:lang w:val="en-CA"/>
        </w:rPr>
        <w:t>supra</w:t>
      </w:r>
      <w:r w:rsidRPr="008C03C5">
        <w:rPr>
          <w:lang w:val="en-CA"/>
        </w:rPr>
        <w:t xml:space="preserve">, note </w:t>
      </w:r>
      <w:r>
        <w:fldChar w:fldCharType="begin"/>
      </w:r>
      <w:r w:rsidRPr="008C03C5">
        <w:rPr>
          <w:lang w:val="en-CA"/>
        </w:rPr>
        <w:instrText xml:space="preserve"> NOTEREF _Ref139966008 \h </w:instrText>
      </w:r>
      <w:r>
        <w:fldChar w:fldCharType="separate"/>
      </w:r>
      <w:r w:rsidR="002A24F0">
        <w:rPr>
          <w:lang w:val="en-CA"/>
        </w:rPr>
        <w:t>58</w:t>
      </w:r>
      <w:r>
        <w:fldChar w:fldCharType="end"/>
      </w:r>
      <w:r w:rsidRPr="008C03C5">
        <w:rPr>
          <w:lang w:val="en-CA"/>
        </w:rPr>
        <w:t xml:space="preserve">, paras. </w:t>
      </w:r>
      <w:r w:rsidRPr="00E45690">
        <w:rPr>
          <w:lang w:val="en-CA"/>
        </w:rPr>
        <w:t>31</w:t>
      </w:r>
      <w:r>
        <w:rPr>
          <w:lang w:val="en-CA"/>
        </w:rPr>
        <w:noBreakHyphen/>
      </w:r>
      <w:r w:rsidRPr="00E45690">
        <w:rPr>
          <w:lang w:val="en-CA"/>
        </w:rPr>
        <w:t xml:space="preserve">33; </w:t>
      </w:r>
      <w:r w:rsidRPr="00E45690">
        <w:rPr>
          <w:i/>
          <w:iCs/>
          <w:lang w:val="en-CA"/>
        </w:rPr>
        <w:t>Steen v. Islamic Republic of Iran</w:t>
      </w:r>
      <w:r w:rsidRPr="00E45690">
        <w:rPr>
          <w:lang w:val="en-CA"/>
        </w:rPr>
        <w:t xml:space="preserve">, 2013 ONCA 30, paras. </w:t>
      </w:r>
      <w:r>
        <w:t xml:space="preserve">17-23; </w:t>
      </w:r>
      <w:r w:rsidRPr="004050B3">
        <w:rPr>
          <w:i/>
          <w:iCs/>
        </w:rPr>
        <w:t xml:space="preserve">Maroc (Gouvernement du Royaume du) </w:t>
      </w:r>
      <w:r>
        <w:rPr>
          <w:i/>
          <w:iCs/>
        </w:rPr>
        <w:t>v</w:t>
      </w:r>
      <w:r w:rsidRPr="004050B3">
        <w:rPr>
          <w:i/>
          <w:iCs/>
        </w:rPr>
        <w:t>. El Ansari</w:t>
      </w:r>
      <w:r w:rsidRPr="004050B3">
        <w:t>, 2010 QCCA 2256</w:t>
      </w:r>
      <w:r>
        <w:t xml:space="preserve">, paras. </w:t>
      </w:r>
      <w:r w:rsidRPr="00C137AA">
        <w:t xml:space="preserve">64-70; </w:t>
      </w:r>
      <w:r w:rsidRPr="00C137AA">
        <w:rPr>
          <w:i/>
          <w:iCs/>
        </w:rPr>
        <w:t>Trudel</w:t>
      </w:r>
      <w:r w:rsidRPr="00C137AA">
        <w:t xml:space="preserve">, </w:t>
      </w:r>
      <w:r w:rsidRPr="00C137AA">
        <w:rPr>
          <w:i/>
          <w:iCs/>
        </w:rPr>
        <w:t>supra</w:t>
      </w:r>
      <w:r w:rsidRPr="00C137AA">
        <w:t xml:space="preserve">, note </w:t>
      </w:r>
      <w:r>
        <w:fldChar w:fldCharType="begin"/>
      </w:r>
      <w:r w:rsidRPr="00C137AA">
        <w:instrText xml:space="preserve"> NOTEREF _Ref139965220 \h </w:instrText>
      </w:r>
      <w:r>
        <w:fldChar w:fldCharType="separate"/>
      </w:r>
      <w:r w:rsidR="002A24F0">
        <w:t>16</w:t>
      </w:r>
      <w:r>
        <w:fldChar w:fldCharType="end"/>
      </w:r>
      <w:r w:rsidRPr="00C137AA">
        <w:t xml:space="preserve">, para. 39; </w:t>
      </w:r>
      <w:r w:rsidRPr="00C137AA">
        <w:rPr>
          <w:i/>
          <w:iCs/>
        </w:rPr>
        <w:t>Bouzari v. Iran</w:t>
      </w:r>
      <w:r w:rsidRPr="00C137AA">
        <w:t xml:space="preserve">, 71 O.R. (3d) 675, paras. </w:t>
      </w:r>
      <w:r w:rsidRPr="0059321B">
        <w:rPr>
          <w:lang w:val="en-CA"/>
        </w:rPr>
        <w:t>50-57 (Ont.</w:t>
      </w:r>
      <w:r>
        <w:rPr>
          <w:lang w:val="en-CA"/>
        </w:rPr>
        <w:t xml:space="preserve"> </w:t>
      </w:r>
      <w:r w:rsidRPr="0059321B">
        <w:rPr>
          <w:lang w:val="en-CA"/>
        </w:rPr>
        <w:t>C.A.).</w:t>
      </w:r>
      <w:bookmarkEnd w:id="32"/>
    </w:p>
  </w:footnote>
  <w:footnote w:id="67">
    <w:p w14:paraId="19747075" w14:textId="77777777" w:rsidR="009214E1" w:rsidRPr="008C03C5" w:rsidRDefault="009214E1" w:rsidP="009214E1">
      <w:pPr>
        <w:pStyle w:val="Notedebasdepage"/>
        <w:rPr>
          <w:lang w:val="en-CA"/>
        </w:rPr>
      </w:pPr>
      <w:r>
        <w:rPr>
          <w:rStyle w:val="Appelnotedebasdep"/>
        </w:rPr>
        <w:footnoteRef/>
      </w:r>
      <w:r w:rsidRPr="001D4830">
        <w:rPr>
          <w:lang w:val="en-CA"/>
        </w:rPr>
        <w:t xml:space="preserve"> </w:t>
      </w:r>
      <w:r>
        <w:rPr>
          <w:lang w:val="en-CA"/>
        </w:rPr>
        <w:tab/>
      </w:r>
      <w:r w:rsidRPr="001D4830">
        <w:rPr>
          <w:lang w:val="en-CA"/>
        </w:rPr>
        <w:t xml:space="preserve">Re-Amended Application to Authorize the Bringing of a Class Action &amp; to Appoint the Applicant as Representative Plaintiff, </w:t>
      </w:r>
      <w:r>
        <w:rPr>
          <w:lang w:val="en-CA"/>
        </w:rPr>
        <w:t>March 25,</w:t>
      </w:r>
      <w:r w:rsidRPr="001D4830">
        <w:rPr>
          <w:lang w:val="en-CA"/>
        </w:rPr>
        <w:t xml:space="preserve"> 2022, para</w:t>
      </w:r>
      <w:r>
        <w:rPr>
          <w:lang w:val="en-CA"/>
        </w:rPr>
        <w:t>s</w:t>
      </w:r>
      <w:r w:rsidRPr="001D4830">
        <w:rPr>
          <w:lang w:val="en-CA"/>
        </w:rPr>
        <w:t xml:space="preserve">. </w:t>
      </w:r>
      <w:r w:rsidRPr="008C03C5">
        <w:rPr>
          <w:lang w:val="en-CA"/>
        </w:rPr>
        <w:t>25-28.</w:t>
      </w:r>
    </w:p>
  </w:footnote>
  <w:footnote w:id="68">
    <w:p w14:paraId="230AFDF7" w14:textId="77777777" w:rsidR="009214E1" w:rsidRPr="008C03C5" w:rsidRDefault="009214E1" w:rsidP="009214E1">
      <w:pPr>
        <w:pStyle w:val="Notedebasdepage"/>
        <w:rPr>
          <w:lang w:val="en-CA"/>
        </w:rPr>
      </w:pPr>
      <w:r>
        <w:rPr>
          <w:rStyle w:val="Appelnotedebasdep"/>
        </w:rPr>
        <w:footnoteRef/>
      </w:r>
      <w:r w:rsidRPr="008C03C5">
        <w:rPr>
          <w:lang w:val="en-CA"/>
        </w:rPr>
        <w:t xml:space="preserve"> </w:t>
      </w:r>
      <w:r>
        <w:rPr>
          <w:lang w:val="en-CA"/>
        </w:rPr>
        <w:tab/>
      </w:r>
      <w:r w:rsidRPr="008C03C5">
        <w:rPr>
          <w:lang w:val="en-CA"/>
        </w:rPr>
        <w:t xml:space="preserve">Judgment </w:t>
      </w:r>
      <w:r>
        <w:rPr>
          <w:lang w:val="en-CA"/>
        </w:rPr>
        <w:t>under appeal</w:t>
      </w:r>
      <w:r w:rsidRPr="008C03C5">
        <w:rPr>
          <w:lang w:val="en-CA"/>
        </w:rPr>
        <w:t>, para</w:t>
      </w:r>
      <w:r>
        <w:rPr>
          <w:lang w:val="en-CA"/>
        </w:rPr>
        <w:t>s</w:t>
      </w:r>
      <w:r w:rsidRPr="008C03C5">
        <w:rPr>
          <w:lang w:val="en-CA"/>
        </w:rPr>
        <w:t>. 79-81.</w:t>
      </w:r>
    </w:p>
  </w:footnote>
  <w:footnote w:id="69">
    <w:p w14:paraId="77BDAED0" w14:textId="77777777" w:rsidR="009214E1" w:rsidRPr="008C03C5" w:rsidRDefault="009214E1" w:rsidP="009214E1">
      <w:pPr>
        <w:pStyle w:val="Notedebasdepage"/>
        <w:rPr>
          <w:lang w:val="en-CA"/>
        </w:rPr>
      </w:pPr>
      <w:r>
        <w:rPr>
          <w:rStyle w:val="Appelnotedebasdep"/>
        </w:rPr>
        <w:footnoteRef/>
      </w:r>
      <w:r w:rsidRPr="008C03C5">
        <w:rPr>
          <w:lang w:val="en-CA"/>
        </w:rPr>
        <w:t xml:space="preserve"> </w:t>
      </w:r>
      <w:r>
        <w:rPr>
          <w:lang w:val="en-CA"/>
        </w:rPr>
        <w:tab/>
      </w:r>
      <w:r w:rsidRPr="008C03C5">
        <w:rPr>
          <w:lang w:val="en-CA"/>
        </w:rPr>
        <w:t xml:space="preserve">Judgment </w:t>
      </w:r>
      <w:r>
        <w:rPr>
          <w:lang w:val="en-CA"/>
        </w:rPr>
        <w:t>under appeal</w:t>
      </w:r>
      <w:r w:rsidRPr="008C03C5">
        <w:rPr>
          <w:lang w:val="en-CA"/>
        </w:rPr>
        <w:t>, para</w:t>
      </w:r>
      <w:r>
        <w:rPr>
          <w:lang w:val="en-CA"/>
        </w:rPr>
        <w:t>s</w:t>
      </w:r>
      <w:r w:rsidRPr="008C03C5">
        <w:rPr>
          <w:lang w:val="en-CA"/>
        </w:rPr>
        <w:t>. 92-96.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BC0B" w14:textId="561FF788" w:rsidR="009214E1" w:rsidRDefault="009214E1" w:rsidP="00987040">
    <w:pPr>
      <w:tabs>
        <w:tab w:val="center" w:pos="4709"/>
        <w:tab w:val="right" w:pos="9360"/>
      </w:tabs>
      <w:spacing w:line="360" w:lineRule="auto"/>
      <w:ind w:right="524"/>
    </w:pPr>
    <w:r>
      <w:t>500-09-030217-228</w:t>
    </w:r>
    <w:r w:rsidRPr="007462D6">
      <w:t xml:space="preserve"> </w:t>
    </w:r>
    <w:r>
      <w:tab/>
    </w:r>
    <w:r>
      <w:tab/>
      <w:t xml:space="preserve">PAGE : </w:t>
    </w:r>
    <w:r>
      <w:fldChar w:fldCharType="begin"/>
    </w:r>
    <w:r>
      <w:instrText xml:space="preserve"> PAGE </w:instrText>
    </w:r>
    <w:r>
      <w:fldChar w:fldCharType="separate"/>
    </w:r>
    <w:r>
      <w:t>1</w:t>
    </w:r>
    <w:r>
      <w:fldChar w:fldCharType="end"/>
    </w:r>
  </w:p>
  <w:p w14:paraId="23680D07" w14:textId="77777777" w:rsidR="00364379" w:rsidRDefault="00364379" w:rsidP="00987040">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A181" w14:textId="77777777" w:rsidR="007E33E4" w:rsidRDefault="007D2A93" w:rsidP="00DB2119">
    <w:pPr>
      <w:tabs>
        <w:tab w:val="center" w:pos="4709"/>
        <w:tab w:val="right" w:pos="9360"/>
      </w:tabs>
      <w:spacing w:line="360" w:lineRule="auto"/>
      <w:ind w:right="524"/>
    </w:pPr>
    <w:bookmarkStart w:id="33" w:name="EntDossier"/>
    <w:r>
      <w:t>500-09-030217-228</w:t>
    </w:r>
    <w:bookmarkEnd w:id="33"/>
    <w:r w:rsidR="007E33E4" w:rsidRPr="007462D6">
      <w:t xml:space="preserve"> </w:t>
    </w:r>
    <w:r w:rsidR="007E33E4">
      <w:tab/>
    </w:r>
    <w:r w:rsidR="007E33E4">
      <w:tab/>
      <w:t xml:space="preserve">PAGE : </w:t>
    </w:r>
    <w:r w:rsidR="007E33E4">
      <w:fldChar w:fldCharType="begin"/>
    </w:r>
    <w:r w:rsidR="007E33E4">
      <w:instrText xml:space="preserve"> PAGE </w:instrText>
    </w:r>
    <w:r w:rsidR="007E33E4">
      <w:fldChar w:fldCharType="separate"/>
    </w:r>
    <w:r w:rsidR="008D18FC">
      <w:rPr>
        <w:noProof/>
      </w:rPr>
      <w:t>2</w:t>
    </w:r>
    <w:r w:rsidR="007E33E4">
      <w:fldChar w:fldCharType="end"/>
    </w:r>
  </w:p>
  <w:p w14:paraId="3C46B512"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6D5806"/>
    <w:multiLevelType w:val="multilevel"/>
    <w:tmpl w:val="6B0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BBC0014"/>
    <w:multiLevelType w:val="hybridMultilevel"/>
    <w:tmpl w:val="C7861260"/>
    <w:lvl w:ilvl="0" w:tplc="0C0C0001">
      <w:start w:val="500"/>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24146C"/>
    <w:multiLevelType w:val="hybridMultilevel"/>
    <w:tmpl w:val="F7A41AE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C992B75"/>
    <w:multiLevelType w:val="multilevel"/>
    <w:tmpl w:val="20C81BEC"/>
    <w:lvl w:ilvl="0">
      <w:start w:val="1"/>
      <w:numFmt w:val="decimal"/>
      <w:pStyle w:val="Tiret"/>
      <w:lvlText w:val="%1)"/>
      <w:lvlJc w:val="left"/>
      <w:pPr>
        <w:tabs>
          <w:tab w:val="num" w:pos="1080"/>
        </w:tabs>
        <w:ind w:left="720" w:firstLine="0"/>
      </w:pPr>
      <w:rPr>
        <w:rFonts w:ascii="Arial" w:eastAsia="Times New Roman" w:hAnsi="Arial" w:cs="Times New Roman"/>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6"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62993584">
    <w:abstractNumId w:val="16"/>
  </w:num>
  <w:num w:numId="2" w16cid:durableId="1155604739">
    <w:abstractNumId w:val="16"/>
  </w:num>
  <w:num w:numId="3" w16cid:durableId="1419054983">
    <w:abstractNumId w:val="16"/>
  </w:num>
  <w:num w:numId="4" w16cid:durableId="967704748">
    <w:abstractNumId w:val="8"/>
  </w:num>
  <w:num w:numId="5" w16cid:durableId="1195850641">
    <w:abstractNumId w:val="3"/>
  </w:num>
  <w:num w:numId="6" w16cid:durableId="720205125">
    <w:abstractNumId w:val="2"/>
  </w:num>
  <w:num w:numId="7" w16cid:durableId="429161807">
    <w:abstractNumId w:val="1"/>
  </w:num>
  <w:num w:numId="8" w16cid:durableId="1733963782">
    <w:abstractNumId w:val="0"/>
  </w:num>
  <w:num w:numId="9" w16cid:durableId="1779830631">
    <w:abstractNumId w:val="9"/>
  </w:num>
  <w:num w:numId="10" w16cid:durableId="1407650543">
    <w:abstractNumId w:val="7"/>
  </w:num>
  <w:num w:numId="11" w16cid:durableId="524682660">
    <w:abstractNumId w:val="6"/>
  </w:num>
  <w:num w:numId="12" w16cid:durableId="1622608657">
    <w:abstractNumId w:val="5"/>
  </w:num>
  <w:num w:numId="13" w16cid:durableId="565337875">
    <w:abstractNumId w:val="4"/>
  </w:num>
  <w:num w:numId="14" w16cid:durableId="523399283">
    <w:abstractNumId w:val="16"/>
  </w:num>
  <w:num w:numId="15" w16cid:durableId="875001899">
    <w:abstractNumId w:val="16"/>
  </w:num>
  <w:num w:numId="16" w16cid:durableId="1934236888">
    <w:abstractNumId w:val="16"/>
  </w:num>
  <w:num w:numId="17" w16cid:durableId="444035336">
    <w:abstractNumId w:val="14"/>
  </w:num>
  <w:num w:numId="18" w16cid:durableId="900561498">
    <w:abstractNumId w:val="11"/>
  </w:num>
  <w:num w:numId="19" w16cid:durableId="1555506031">
    <w:abstractNumId w:val="13"/>
  </w:num>
  <w:num w:numId="20" w16cid:durableId="261497925">
    <w:abstractNumId w:val="15"/>
  </w:num>
  <w:num w:numId="21" w16cid:durableId="1029137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59575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601759">
    <w:abstractNumId w:val="10"/>
  </w:num>
  <w:num w:numId="24" w16cid:durableId="65031550">
    <w:abstractNumId w:val="12"/>
  </w:num>
  <w:num w:numId="25" w16cid:durableId="1339499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E LA JUGE"/>
    <w:docVar w:name="MotifJuge2" w:val="MOTIFS DU JUGE"/>
    <w:docVar w:name="MotifJuge3" w:val="MOTIFS DE LA JUGE"/>
    <w:docVar w:name="NomFamJuge1" w:val="DUTIL"/>
    <w:docVar w:name="NomFamJuge2" w:val="HAMILTON"/>
    <w:docVar w:name="NomFamJuge3" w:val="LAVALLÉE"/>
    <w:docVar w:name="NomFamJuge4" w:val="MAILHOT"/>
    <w:docVar w:name="NomFamJuge5" w:val="BAUDOUIN"/>
    <w:docVar w:name="QteJuge1" w:val=", J.C.A."/>
    <w:docVar w:name="QteJuge2" w:val=", J.C.A."/>
    <w:docVar w:name="QteJuge3" w:val=", J.C.A."/>
    <w:docVar w:name="stPremiereFois" w:val="Non"/>
  </w:docVars>
  <w:rsids>
    <w:rsidRoot w:val="007D2A93"/>
    <w:rsid w:val="000072EF"/>
    <w:rsid w:val="000131E1"/>
    <w:rsid w:val="00032F73"/>
    <w:rsid w:val="0004394C"/>
    <w:rsid w:val="00053691"/>
    <w:rsid w:val="00080451"/>
    <w:rsid w:val="000A7516"/>
    <w:rsid w:val="000B42AF"/>
    <w:rsid w:val="00110B53"/>
    <w:rsid w:val="00112321"/>
    <w:rsid w:val="00117914"/>
    <w:rsid w:val="0013028C"/>
    <w:rsid w:val="0015610F"/>
    <w:rsid w:val="00160B31"/>
    <w:rsid w:val="0018118B"/>
    <w:rsid w:val="00181F56"/>
    <w:rsid w:val="00187A2B"/>
    <w:rsid w:val="00190FA7"/>
    <w:rsid w:val="001972F2"/>
    <w:rsid w:val="00205DC4"/>
    <w:rsid w:val="0021548E"/>
    <w:rsid w:val="002273F5"/>
    <w:rsid w:val="00232633"/>
    <w:rsid w:val="002949C3"/>
    <w:rsid w:val="002A24F0"/>
    <w:rsid w:val="002B4A07"/>
    <w:rsid w:val="002C4107"/>
    <w:rsid w:val="002E1F0E"/>
    <w:rsid w:val="002E229C"/>
    <w:rsid w:val="002E51F1"/>
    <w:rsid w:val="002F1350"/>
    <w:rsid w:val="002F6136"/>
    <w:rsid w:val="00310DDC"/>
    <w:rsid w:val="00322DE0"/>
    <w:rsid w:val="0032363D"/>
    <w:rsid w:val="0033190E"/>
    <w:rsid w:val="003410B4"/>
    <w:rsid w:val="00361325"/>
    <w:rsid w:val="00364379"/>
    <w:rsid w:val="00374888"/>
    <w:rsid w:val="00374E40"/>
    <w:rsid w:val="00383785"/>
    <w:rsid w:val="003A4C2F"/>
    <w:rsid w:val="003D487D"/>
    <w:rsid w:val="003E3239"/>
    <w:rsid w:val="003E3E3C"/>
    <w:rsid w:val="00404441"/>
    <w:rsid w:val="00423DF1"/>
    <w:rsid w:val="00430C58"/>
    <w:rsid w:val="004331C4"/>
    <w:rsid w:val="0043564D"/>
    <w:rsid w:val="00441C25"/>
    <w:rsid w:val="00446452"/>
    <w:rsid w:val="00455D82"/>
    <w:rsid w:val="004606E4"/>
    <w:rsid w:val="00472DC8"/>
    <w:rsid w:val="004802EC"/>
    <w:rsid w:val="004A29F1"/>
    <w:rsid w:val="004A6641"/>
    <w:rsid w:val="004B1E94"/>
    <w:rsid w:val="004B33FF"/>
    <w:rsid w:val="004D2F69"/>
    <w:rsid w:val="004E4FBA"/>
    <w:rsid w:val="004E750C"/>
    <w:rsid w:val="005131F1"/>
    <w:rsid w:val="0051484F"/>
    <w:rsid w:val="00516B3E"/>
    <w:rsid w:val="005262C9"/>
    <w:rsid w:val="00531D70"/>
    <w:rsid w:val="00566BF6"/>
    <w:rsid w:val="00583434"/>
    <w:rsid w:val="0058349F"/>
    <w:rsid w:val="005A78BF"/>
    <w:rsid w:val="005B6B4C"/>
    <w:rsid w:val="005C7516"/>
    <w:rsid w:val="005D1522"/>
    <w:rsid w:val="005F5F5F"/>
    <w:rsid w:val="005F78B4"/>
    <w:rsid w:val="00624770"/>
    <w:rsid w:val="0064250B"/>
    <w:rsid w:val="006826AA"/>
    <w:rsid w:val="0068356A"/>
    <w:rsid w:val="006A0DB0"/>
    <w:rsid w:val="006A6629"/>
    <w:rsid w:val="006D1A75"/>
    <w:rsid w:val="006D3513"/>
    <w:rsid w:val="00740A17"/>
    <w:rsid w:val="007462D6"/>
    <w:rsid w:val="0074738B"/>
    <w:rsid w:val="0076062E"/>
    <w:rsid w:val="007953F3"/>
    <w:rsid w:val="007A7803"/>
    <w:rsid w:val="007B061E"/>
    <w:rsid w:val="007B48D5"/>
    <w:rsid w:val="007D087C"/>
    <w:rsid w:val="007D2A93"/>
    <w:rsid w:val="007E33E4"/>
    <w:rsid w:val="007E4CC9"/>
    <w:rsid w:val="00800D23"/>
    <w:rsid w:val="00816273"/>
    <w:rsid w:val="0082717B"/>
    <w:rsid w:val="00827B04"/>
    <w:rsid w:val="0083032E"/>
    <w:rsid w:val="00841907"/>
    <w:rsid w:val="00854541"/>
    <w:rsid w:val="0086036A"/>
    <w:rsid w:val="008653A3"/>
    <w:rsid w:val="008657A2"/>
    <w:rsid w:val="00866645"/>
    <w:rsid w:val="00882210"/>
    <w:rsid w:val="008849C0"/>
    <w:rsid w:val="00892199"/>
    <w:rsid w:val="008A6185"/>
    <w:rsid w:val="008C1FE9"/>
    <w:rsid w:val="008C7DCE"/>
    <w:rsid w:val="008D18FC"/>
    <w:rsid w:val="008D398B"/>
    <w:rsid w:val="008D7E49"/>
    <w:rsid w:val="008F364A"/>
    <w:rsid w:val="008F3F53"/>
    <w:rsid w:val="00913E03"/>
    <w:rsid w:val="009214E1"/>
    <w:rsid w:val="009229E9"/>
    <w:rsid w:val="00926953"/>
    <w:rsid w:val="00932703"/>
    <w:rsid w:val="00936469"/>
    <w:rsid w:val="009400B7"/>
    <w:rsid w:val="009428AB"/>
    <w:rsid w:val="00954DC2"/>
    <w:rsid w:val="00957B92"/>
    <w:rsid w:val="00970966"/>
    <w:rsid w:val="00974442"/>
    <w:rsid w:val="00983F95"/>
    <w:rsid w:val="009F1F69"/>
    <w:rsid w:val="009F7950"/>
    <w:rsid w:val="00A164BB"/>
    <w:rsid w:val="00A23BF4"/>
    <w:rsid w:val="00A2593B"/>
    <w:rsid w:val="00A34E05"/>
    <w:rsid w:val="00A43D8B"/>
    <w:rsid w:val="00A454F1"/>
    <w:rsid w:val="00A543CC"/>
    <w:rsid w:val="00A66824"/>
    <w:rsid w:val="00A93CFF"/>
    <w:rsid w:val="00AB7DD2"/>
    <w:rsid w:val="00AF0C7C"/>
    <w:rsid w:val="00B01D86"/>
    <w:rsid w:val="00B07E4E"/>
    <w:rsid w:val="00B11FD1"/>
    <w:rsid w:val="00B137E9"/>
    <w:rsid w:val="00B30EA2"/>
    <w:rsid w:val="00B36ED3"/>
    <w:rsid w:val="00B513C9"/>
    <w:rsid w:val="00B56EF4"/>
    <w:rsid w:val="00B70485"/>
    <w:rsid w:val="00B82A13"/>
    <w:rsid w:val="00BC75EF"/>
    <w:rsid w:val="00BD55E9"/>
    <w:rsid w:val="00C02AF8"/>
    <w:rsid w:val="00C1400A"/>
    <w:rsid w:val="00C17E01"/>
    <w:rsid w:val="00C31AC4"/>
    <w:rsid w:val="00C409BE"/>
    <w:rsid w:val="00C423CA"/>
    <w:rsid w:val="00C45233"/>
    <w:rsid w:val="00C652ED"/>
    <w:rsid w:val="00C7793C"/>
    <w:rsid w:val="00C939A8"/>
    <w:rsid w:val="00C97145"/>
    <w:rsid w:val="00D010FD"/>
    <w:rsid w:val="00D02812"/>
    <w:rsid w:val="00D20056"/>
    <w:rsid w:val="00DB2119"/>
    <w:rsid w:val="00DC05BC"/>
    <w:rsid w:val="00DD3A24"/>
    <w:rsid w:val="00DF3516"/>
    <w:rsid w:val="00E03C07"/>
    <w:rsid w:val="00E075E1"/>
    <w:rsid w:val="00E15254"/>
    <w:rsid w:val="00E20E3C"/>
    <w:rsid w:val="00E36290"/>
    <w:rsid w:val="00E81E61"/>
    <w:rsid w:val="00E848B4"/>
    <w:rsid w:val="00E91417"/>
    <w:rsid w:val="00E94329"/>
    <w:rsid w:val="00EB1377"/>
    <w:rsid w:val="00EC1E33"/>
    <w:rsid w:val="00F07022"/>
    <w:rsid w:val="00F1119E"/>
    <w:rsid w:val="00F33E30"/>
    <w:rsid w:val="00F35A34"/>
    <w:rsid w:val="00F40882"/>
    <w:rsid w:val="00F43559"/>
    <w:rsid w:val="00F5789B"/>
    <w:rsid w:val="00F60834"/>
    <w:rsid w:val="00F75AAB"/>
    <w:rsid w:val="00F75C76"/>
    <w:rsid w:val="00FB405B"/>
    <w:rsid w:val="00FC0F83"/>
    <w:rsid w:val="00FC720B"/>
    <w:rsid w:val="00FC78B9"/>
    <w:rsid w:val="00FE3FE9"/>
    <w:rsid w:val="00FE6A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63447"/>
  <w15:chartTrackingRefBased/>
  <w15:docId w15:val="{EF5D8C94-E1FD-4330-A6A3-033F3F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54"/>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Footnote Text Char2,Footnote Text Char1 Char,Footnote Text Char Char Char, Char1 Char1 Char Char, Char1 Char2 Char,Footnote Text Char Char1, Char1 Char1 Char1, Char1 Char3,fn,Char1 Char1 Char Char,Char1 Char2 Char,Char1 Char1 Char1"/>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NotedebasdepageCar">
    <w:name w:val="Note de bas de page Car"/>
    <w:aliases w:val="Footnote Text Char2 Car,Footnote Text Char1 Char Car,Footnote Text Char Char Char Car, Char1 Char1 Char Char Car, Char1 Char2 Char Car,Footnote Text Char Char1 Car, Char1 Char1 Char1 Car, Char1 Char3 Car,fn Car"/>
    <w:basedOn w:val="Policepardfaut"/>
    <w:link w:val="Notedebasdepage"/>
    <w:rsid w:val="009214E1"/>
    <w:rPr>
      <w:rFonts w:ascii="Arial" w:hAnsi="Arial"/>
      <w:lang w:eastAsia="fr-FR"/>
    </w:rPr>
  </w:style>
  <w:style w:type="paragraph" w:customStyle="1" w:styleId="Tiret">
    <w:name w:val="Tiret"/>
    <w:basedOn w:val="Paragraphe"/>
    <w:rsid w:val="009214E1"/>
    <w:pPr>
      <w:numPr>
        <w:numId w:val="20"/>
      </w:numPr>
      <w:tabs>
        <w:tab w:val="clear" w:pos="1080"/>
      </w:tabs>
      <w:spacing w:before="60" w:after="60" w:line="360" w:lineRule="auto"/>
      <w:ind w:left="1134" w:hanging="414"/>
    </w:pPr>
  </w:style>
  <w:style w:type="character" w:styleId="Hyperlien">
    <w:name w:val="Hyperlink"/>
    <w:uiPriority w:val="99"/>
    <w:rsid w:val="009214E1"/>
    <w:rPr>
      <w:noProof w:val="0"/>
      <w:color w:val="0000FF"/>
      <w:u w:val="single"/>
      <w:lang w:val="fr-CA"/>
    </w:rPr>
  </w:style>
  <w:style w:type="character" w:customStyle="1" w:styleId="solexhl">
    <w:name w:val="solexhl"/>
    <w:basedOn w:val="Policepardfaut"/>
    <w:rsid w:val="009214E1"/>
  </w:style>
  <w:style w:type="paragraph" w:styleId="Rvision">
    <w:name w:val="Revision"/>
    <w:hidden/>
    <w:uiPriority w:val="99"/>
    <w:semiHidden/>
    <w:rsid w:val="009214E1"/>
    <w:rPr>
      <w:rFonts w:ascii="Arial" w:hAnsi="Arial"/>
      <w:sz w:val="24"/>
      <w:lang w:eastAsia="fr-FR"/>
    </w:rPr>
  </w:style>
  <w:style w:type="character" w:styleId="Marquedecommentaire">
    <w:name w:val="annotation reference"/>
    <w:basedOn w:val="Policepardfaut"/>
    <w:uiPriority w:val="99"/>
    <w:semiHidden/>
    <w:unhideWhenUsed/>
    <w:rsid w:val="009214E1"/>
    <w:rPr>
      <w:sz w:val="16"/>
      <w:szCs w:val="16"/>
    </w:rPr>
  </w:style>
  <w:style w:type="paragraph" w:styleId="Commentaire">
    <w:name w:val="annotation text"/>
    <w:basedOn w:val="Normal"/>
    <w:link w:val="CommentaireCar"/>
    <w:uiPriority w:val="99"/>
    <w:semiHidden/>
    <w:unhideWhenUsed/>
    <w:rsid w:val="009214E1"/>
    <w:pPr>
      <w:spacing w:line="240" w:lineRule="auto"/>
    </w:pPr>
    <w:rPr>
      <w:sz w:val="20"/>
    </w:rPr>
  </w:style>
  <w:style w:type="character" w:customStyle="1" w:styleId="CommentaireCar">
    <w:name w:val="Commentaire Car"/>
    <w:basedOn w:val="Policepardfaut"/>
    <w:link w:val="Commentaire"/>
    <w:uiPriority w:val="99"/>
    <w:semiHidden/>
    <w:rsid w:val="009214E1"/>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9214E1"/>
    <w:rPr>
      <w:b/>
      <w:bCs/>
    </w:rPr>
  </w:style>
  <w:style w:type="character" w:customStyle="1" w:styleId="ObjetducommentaireCar">
    <w:name w:val="Objet du commentaire Car"/>
    <w:basedOn w:val="CommentaireCar"/>
    <w:link w:val="Objetducommentaire"/>
    <w:uiPriority w:val="99"/>
    <w:semiHidden/>
    <w:rsid w:val="009214E1"/>
    <w:rPr>
      <w:rFonts w:ascii="Arial" w:hAnsi="Arial"/>
      <w:b/>
      <w:bCs/>
      <w:lang w:eastAsia="fr-FR"/>
    </w:rPr>
  </w:style>
  <w:style w:type="character" w:customStyle="1" w:styleId="ParagrapheCar">
    <w:name w:val="Paragraphe Car"/>
    <w:link w:val="Paragraphe"/>
    <w:qFormat/>
    <w:rsid w:val="009214E1"/>
    <w:rPr>
      <w:rFonts w:ascii="Arial" w:hAnsi="Arial"/>
      <w:kern w:val="28"/>
      <w:sz w:val="24"/>
      <w:lang w:eastAsia="fr-FR"/>
    </w:rPr>
  </w:style>
  <w:style w:type="character" w:styleId="Mentionnonrsolue">
    <w:name w:val="Unresolved Mention"/>
    <w:basedOn w:val="Policepardfaut"/>
    <w:uiPriority w:val="99"/>
    <w:semiHidden/>
    <w:unhideWhenUsed/>
    <w:rsid w:val="009214E1"/>
    <w:rPr>
      <w:color w:val="605E5C"/>
      <w:shd w:val="clear" w:color="auto" w:fill="E1DFDD"/>
    </w:rPr>
  </w:style>
  <w:style w:type="character" w:styleId="Lienvisit">
    <w:name w:val="FollowedHyperlink"/>
    <w:basedOn w:val="Policepardfaut"/>
    <w:uiPriority w:val="99"/>
    <w:semiHidden/>
    <w:unhideWhenUsed/>
    <w:rsid w:val="009214E1"/>
    <w:rPr>
      <w:color w:val="954F72" w:themeColor="followedHyperlink"/>
      <w:u w:val="single"/>
    </w:rPr>
  </w:style>
  <w:style w:type="paragraph" w:styleId="Paragraphedeliste">
    <w:name w:val="List Paragraph"/>
    <w:basedOn w:val="Normal"/>
    <w:uiPriority w:val="34"/>
    <w:qFormat/>
    <w:rsid w:val="00921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Gabarits_SOQUIJ\Gabarits_SOQUIJ%20CA\CAFra-VERSION%20aout.%202021.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CAFra-VERSION aout. 2021.dotm</Template>
  <TotalTime>1</TotalTime>
  <Pages>21</Pages>
  <Words>6669</Words>
  <Characters>36683</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subject/>
  <dc:creator>Paule Gagné</dc:creator>
  <cp:keywords/>
  <dc:description/>
  <cp:lastModifiedBy>Gauthier, François</cp:lastModifiedBy>
  <cp:revision>4</cp:revision>
  <cp:lastPrinted>2023-09-15T14:55:00Z</cp:lastPrinted>
  <dcterms:created xsi:type="dcterms:W3CDTF">2023-10-02T14:19:00Z</dcterms:created>
  <dcterms:modified xsi:type="dcterms:W3CDTF">2023-10-02T18:44:00Z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04-26-2001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CA</vt:lpwstr>
  </property>
  <property fmtid="{D5CDD505-2E9C-101B-9397-08002B2CF9AE}" pid="7" name="Soquij_Langue">
    <vt:lpwstr>Fra</vt:lpwstr>
  </property>
</Properties>
</file>