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04EB" w14:textId="77777777" w:rsidR="00971396" w:rsidRPr="00971396" w:rsidRDefault="00971396">
      <w:pPr>
        <w:rPr>
          <w:lang w:val="en-CA"/>
        </w:rPr>
      </w:pPr>
      <w:r w:rsidRPr="00971396">
        <w:rPr>
          <w:lang w:val="en-CA"/>
        </w:rPr>
        <w:t>Translated from the original F</w:t>
      </w:r>
      <w:r>
        <w:rPr>
          <w:lang w:val="en-CA"/>
        </w:rPr>
        <w:t>rench</w:t>
      </w:r>
    </w:p>
    <w:tbl>
      <w:tblPr>
        <w:tblW w:w="9505" w:type="dxa"/>
        <w:tblLayout w:type="fixed"/>
        <w:tblCellMar>
          <w:left w:w="70" w:type="dxa"/>
          <w:right w:w="70" w:type="dxa"/>
        </w:tblCellMar>
        <w:tblLook w:val="0000" w:firstRow="0" w:lastRow="0" w:firstColumn="0" w:lastColumn="0" w:noHBand="0" w:noVBand="0"/>
      </w:tblPr>
      <w:tblGrid>
        <w:gridCol w:w="1036"/>
        <w:gridCol w:w="69"/>
        <w:gridCol w:w="520"/>
        <w:gridCol w:w="146"/>
        <w:gridCol w:w="2410"/>
        <w:gridCol w:w="2904"/>
        <w:gridCol w:w="2420"/>
      </w:tblGrid>
      <w:tr w:rsidR="003270D5" w14:paraId="6927ED6A" w14:textId="77777777">
        <w:tblPrEx>
          <w:tblCellMar>
            <w:top w:w="0" w:type="dxa"/>
            <w:bottom w:w="0" w:type="dxa"/>
          </w:tblCellMar>
        </w:tblPrEx>
        <w:trPr>
          <w:trHeight w:val="360"/>
        </w:trPr>
        <w:tc>
          <w:tcPr>
            <w:tcW w:w="7085" w:type="dxa"/>
            <w:gridSpan w:val="6"/>
          </w:tcPr>
          <w:p w14:paraId="27C06A63" w14:textId="77777777" w:rsidR="003270D5" w:rsidRPr="000E5591" w:rsidRDefault="003270D5">
            <w:pPr>
              <w:pStyle w:val="zSoquijdatRepertorie"/>
              <w:rPr>
                <w:rFonts w:cs="Arial"/>
              </w:rPr>
            </w:pPr>
            <w:r>
              <w:rPr>
                <w:rFonts w:cs="Arial"/>
              </w:rPr>
              <w:t>Autorité des marchés financiers c. Cortellazzi</w:t>
            </w:r>
          </w:p>
        </w:tc>
        <w:tc>
          <w:tcPr>
            <w:tcW w:w="2420" w:type="dxa"/>
          </w:tcPr>
          <w:p w14:paraId="1BBE2897" w14:textId="77777777" w:rsidR="003270D5" w:rsidRPr="00A21212" w:rsidRDefault="003270D5">
            <w:pPr>
              <w:pStyle w:val="zSoquijdatRefNeutre"/>
              <w:jc w:val="right"/>
              <w:rPr>
                <w:rFonts w:cs="Arial"/>
              </w:rPr>
            </w:pPr>
            <w:r w:rsidRPr="00A21212">
              <w:rPr>
                <w:rFonts w:cs="Arial"/>
              </w:rPr>
              <w:t>2023 QCCQ 6729</w:t>
            </w:r>
          </w:p>
        </w:tc>
      </w:tr>
      <w:tr w:rsidR="006943F7" w:rsidRPr="001C4B76" w14:paraId="16EC9BB0" w14:textId="77777777" w:rsidTr="00326121">
        <w:tblPrEx>
          <w:tblCellMar>
            <w:top w:w="0" w:type="dxa"/>
            <w:bottom w:w="0" w:type="dxa"/>
          </w:tblCellMar>
        </w:tblPrEx>
        <w:trPr>
          <w:trHeight w:val="900"/>
        </w:trPr>
        <w:tc>
          <w:tcPr>
            <w:tcW w:w="9505" w:type="dxa"/>
            <w:gridSpan w:val="7"/>
            <w:vAlign w:val="bottom"/>
          </w:tcPr>
          <w:p w14:paraId="3BCBDD11" w14:textId="77777777" w:rsidR="005A55CB" w:rsidRPr="001C4B76" w:rsidRDefault="005A55CB">
            <w:pPr>
              <w:pStyle w:val="zSoquijlblCour"/>
              <w:rPr>
                <w:lang w:val="en-CA"/>
              </w:rPr>
            </w:pPr>
            <w:r w:rsidRPr="001C4B76">
              <w:rPr>
                <w:lang w:val="en-CA"/>
              </w:rPr>
              <w:t>COURT OF QU</w:t>
            </w:r>
            <w:r w:rsidR="00C97F0D">
              <w:rPr>
                <w:lang w:val="en-CA"/>
              </w:rPr>
              <w:t>É</w:t>
            </w:r>
            <w:r w:rsidRPr="001C4B76">
              <w:rPr>
                <w:lang w:val="en-CA"/>
              </w:rPr>
              <w:t>BEC</w:t>
            </w:r>
          </w:p>
        </w:tc>
      </w:tr>
      <w:tr w:rsidR="006943F7" w:rsidRPr="001C4B76" w14:paraId="17E5333A" w14:textId="77777777" w:rsidTr="00326121">
        <w:tblPrEx>
          <w:tblCellMar>
            <w:top w:w="0" w:type="dxa"/>
            <w:bottom w:w="0" w:type="dxa"/>
          </w:tblCellMar>
        </w:tblPrEx>
        <w:trPr>
          <w:trHeight w:val="540"/>
        </w:trPr>
        <w:tc>
          <w:tcPr>
            <w:tcW w:w="9505" w:type="dxa"/>
            <w:gridSpan w:val="7"/>
          </w:tcPr>
          <w:p w14:paraId="0E1D5F7F" w14:textId="77777777" w:rsidR="005A55CB" w:rsidRPr="001C4B76" w:rsidRDefault="005A55CB">
            <w:pPr>
              <w:pStyle w:val="zSoquijdatDivision"/>
              <w:rPr>
                <w:lang w:val="en-CA"/>
              </w:rPr>
            </w:pPr>
          </w:p>
        </w:tc>
      </w:tr>
      <w:tr w:rsidR="006943F7" w:rsidRPr="001C4B76" w14:paraId="2660BFC4" w14:textId="77777777" w:rsidTr="00326121">
        <w:tblPrEx>
          <w:tblCellMar>
            <w:top w:w="0" w:type="dxa"/>
            <w:bottom w:w="0" w:type="dxa"/>
          </w:tblCellMar>
        </w:tblPrEx>
        <w:tc>
          <w:tcPr>
            <w:tcW w:w="9505" w:type="dxa"/>
            <w:gridSpan w:val="7"/>
          </w:tcPr>
          <w:p w14:paraId="4EEAF25D" w14:textId="77777777" w:rsidR="005A55CB" w:rsidRPr="00894055" w:rsidRDefault="005A55CB">
            <w:pPr>
              <w:pStyle w:val="zSoquijlblPays"/>
              <w:rPr>
                <w:b/>
                <w:bCs/>
                <w:lang w:val="en-CA"/>
              </w:rPr>
            </w:pPr>
            <w:r w:rsidRPr="00894055">
              <w:rPr>
                <w:b/>
                <w:bCs/>
                <w:lang w:val="en-CA"/>
              </w:rPr>
              <w:t>CANADA</w:t>
            </w:r>
          </w:p>
        </w:tc>
      </w:tr>
      <w:tr w:rsidR="006943F7" w:rsidRPr="001C4B76" w14:paraId="494DB7C9" w14:textId="77777777" w:rsidTr="00326121">
        <w:tblPrEx>
          <w:tblCellMar>
            <w:top w:w="0" w:type="dxa"/>
            <w:bottom w:w="0" w:type="dxa"/>
          </w:tblCellMar>
        </w:tblPrEx>
        <w:tc>
          <w:tcPr>
            <w:tcW w:w="9505" w:type="dxa"/>
            <w:gridSpan w:val="7"/>
          </w:tcPr>
          <w:p w14:paraId="68A97DD8" w14:textId="77777777" w:rsidR="005A55CB" w:rsidRPr="00894055" w:rsidRDefault="005A55CB">
            <w:pPr>
              <w:pStyle w:val="zSoquijlblProvince"/>
              <w:rPr>
                <w:b/>
                <w:bCs/>
                <w:lang w:val="en-CA"/>
              </w:rPr>
            </w:pPr>
            <w:r w:rsidRPr="00894055">
              <w:rPr>
                <w:b/>
                <w:bCs/>
                <w:lang w:val="en-CA"/>
              </w:rPr>
              <w:t>PROVINCE OF QUEBEC</w:t>
            </w:r>
          </w:p>
        </w:tc>
      </w:tr>
      <w:tr w:rsidR="006943F7" w:rsidRPr="001C4B76" w14:paraId="704216F8" w14:textId="77777777" w:rsidTr="00326121">
        <w:tblPrEx>
          <w:tblCellMar>
            <w:top w:w="0" w:type="dxa"/>
            <w:left w:w="0" w:type="dxa"/>
            <w:bottom w:w="0" w:type="dxa"/>
            <w:right w:w="0" w:type="dxa"/>
          </w:tblCellMar>
        </w:tblPrEx>
        <w:trPr>
          <w:cantSplit/>
        </w:trPr>
        <w:tc>
          <w:tcPr>
            <w:tcW w:w="1625" w:type="dxa"/>
            <w:gridSpan w:val="3"/>
          </w:tcPr>
          <w:p w14:paraId="45907E93" w14:textId="77777777" w:rsidR="005A55CB" w:rsidRPr="00894055" w:rsidRDefault="005A55CB">
            <w:pPr>
              <w:pStyle w:val="zSoquijlblGreffe"/>
              <w:rPr>
                <w:b/>
                <w:bCs/>
                <w:lang w:val="en-CA"/>
              </w:rPr>
            </w:pPr>
            <w:r w:rsidRPr="00894055">
              <w:rPr>
                <w:b/>
                <w:bCs/>
                <w:lang w:val="en-CA"/>
              </w:rPr>
              <w:t>DISTRICT OF</w:t>
            </w:r>
          </w:p>
        </w:tc>
        <w:tc>
          <w:tcPr>
            <w:tcW w:w="7880" w:type="dxa"/>
            <w:gridSpan w:val="4"/>
          </w:tcPr>
          <w:p w14:paraId="53549E19" w14:textId="77777777" w:rsidR="005A55CB" w:rsidRPr="00894055" w:rsidRDefault="00ED296F">
            <w:pPr>
              <w:pStyle w:val="zSoquijdatGreffe"/>
              <w:rPr>
                <w:b/>
                <w:bCs/>
                <w:lang w:val="en-CA"/>
              </w:rPr>
            </w:pPr>
            <w:r w:rsidRPr="00894055">
              <w:rPr>
                <w:b/>
                <w:bCs/>
                <w:lang w:val="en-CA"/>
              </w:rPr>
              <w:t>MONTREAL</w:t>
            </w:r>
          </w:p>
        </w:tc>
      </w:tr>
      <w:tr w:rsidR="006943F7" w:rsidRPr="001C4B76" w14:paraId="4738B726" w14:textId="77777777" w:rsidTr="00326121">
        <w:tblPrEx>
          <w:tblCellMar>
            <w:top w:w="0" w:type="dxa"/>
            <w:bottom w:w="0" w:type="dxa"/>
          </w:tblCellMar>
        </w:tblPrEx>
        <w:trPr>
          <w:trHeight w:val="540"/>
        </w:trPr>
        <w:tc>
          <w:tcPr>
            <w:tcW w:w="9505" w:type="dxa"/>
            <w:gridSpan w:val="7"/>
          </w:tcPr>
          <w:p w14:paraId="32782BE5" w14:textId="77777777" w:rsidR="005A55CB" w:rsidRPr="001C4B76" w:rsidRDefault="00CC047F">
            <w:pPr>
              <w:pStyle w:val="zSoquijlblNomChambre"/>
              <w:rPr>
                <w:lang w:val="en-CA"/>
              </w:rPr>
            </w:pPr>
            <w:r w:rsidRPr="001C4B76">
              <w:rPr>
                <w:lang w:val="en-CA"/>
              </w:rPr>
              <w:t>“Criminal and Penal Division”</w:t>
            </w:r>
          </w:p>
        </w:tc>
      </w:tr>
      <w:tr w:rsidR="006943F7" w:rsidRPr="001C4B76" w14:paraId="3D987AA9" w14:textId="77777777" w:rsidTr="00326121">
        <w:tblPrEx>
          <w:tblCellMar>
            <w:top w:w="0" w:type="dxa"/>
            <w:bottom w:w="0" w:type="dxa"/>
          </w:tblCellMar>
        </w:tblPrEx>
        <w:tc>
          <w:tcPr>
            <w:tcW w:w="1105" w:type="dxa"/>
            <w:gridSpan w:val="2"/>
          </w:tcPr>
          <w:p w14:paraId="65D7072B" w14:textId="77777777" w:rsidR="005A55CB" w:rsidRPr="001C4B76" w:rsidRDefault="00280AC1">
            <w:pPr>
              <w:pStyle w:val="zSoquijlblNoDossier"/>
              <w:rPr>
                <w:lang w:val="en-CA"/>
              </w:rPr>
            </w:pPr>
            <w:r w:rsidRPr="001C4B76">
              <w:rPr>
                <w:lang w:val="en-CA"/>
              </w:rPr>
              <w:t xml:space="preserve">No.: </w:t>
            </w:r>
          </w:p>
        </w:tc>
        <w:tc>
          <w:tcPr>
            <w:tcW w:w="8400" w:type="dxa"/>
            <w:gridSpan w:val="5"/>
          </w:tcPr>
          <w:p w14:paraId="053AD8B6" w14:textId="77777777" w:rsidR="005A55CB" w:rsidRPr="001C4B76" w:rsidRDefault="00130AD5" w:rsidP="00ED296F">
            <w:pPr>
              <w:pStyle w:val="zSoquijdatNoDossier"/>
              <w:rPr>
                <w:lang w:val="en-CA"/>
              </w:rPr>
            </w:pPr>
            <w:r w:rsidRPr="00894055">
              <w:rPr>
                <w:bCs/>
                <w:sz w:val="28"/>
                <w:szCs w:val="28"/>
                <w:lang w:val="en-CA"/>
              </w:rPr>
              <w:t>500-61-406191-156</w:t>
            </w:r>
            <w:r w:rsidR="005A55CB" w:rsidRPr="001C4B76">
              <w:rPr>
                <w:lang w:val="en-CA"/>
              </w:rPr>
              <w:fldChar w:fldCharType="begin"/>
            </w:r>
            <w:r w:rsidR="005A55CB" w:rsidRPr="001C4B76">
              <w:rPr>
                <w:lang w:val="en-CA"/>
              </w:rPr>
              <w:instrText xml:space="preserve">  </w:instrText>
            </w:r>
            <w:r w:rsidR="005A55CB" w:rsidRPr="001C4B76">
              <w:rPr>
                <w:lang w:val="en-CA"/>
              </w:rPr>
              <w:fldChar w:fldCharType="end"/>
            </w:r>
          </w:p>
        </w:tc>
      </w:tr>
      <w:tr w:rsidR="006943F7" w:rsidRPr="001C4B76" w14:paraId="72401C1A" w14:textId="77777777" w:rsidTr="00326121">
        <w:tblPrEx>
          <w:tblCellMar>
            <w:top w:w="0" w:type="dxa"/>
            <w:left w:w="0" w:type="dxa"/>
            <w:bottom w:w="0" w:type="dxa"/>
            <w:right w:w="0" w:type="dxa"/>
          </w:tblCellMar>
        </w:tblPrEx>
        <w:trPr>
          <w:cantSplit/>
        </w:trPr>
        <w:tc>
          <w:tcPr>
            <w:tcW w:w="1105" w:type="dxa"/>
            <w:gridSpan w:val="2"/>
          </w:tcPr>
          <w:p w14:paraId="1DA6763F" w14:textId="77777777" w:rsidR="005A55CB" w:rsidRPr="001C4B76" w:rsidRDefault="005A55CB">
            <w:pPr>
              <w:pStyle w:val="zSoquijlblGreffe"/>
              <w:rPr>
                <w:lang w:val="en-CA"/>
              </w:rPr>
            </w:pPr>
          </w:p>
        </w:tc>
        <w:tc>
          <w:tcPr>
            <w:tcW w:w="8400" w:type="dxa"/>
            <w:gridSpan w:val="5"/>
          </w:tcPr>
          <w:p w14:paraId="161301FE" w14:textId="77777777" w:rsidR="005A55CB" w:rsidRPr="001C4B76" w:rsidRDefault="005A55CB">
            <w:pPr>
              <w:pStyle w:val="zSoquijdatNoDossierAnt"/>
              <w:rPr>
                <w:lang w:val="en-CA"/>
              </w:rPr>
            </w:pPr>
          </w:p>
        </w:tc>
      </w:tr>
      <w:tr w:rsidR="006943F7" w:rsidRPr="001C4B76" w14:paraId="5C8E5E67" w14:textId="77777777" w:rsidTr="00326121">
        <w:tblPrEx>
          <w:tblCellMar>
            <w:top w:w="0" w:type="dxa"/>
            <w:bottom w:w="0" w:type="dxa"/>
          </w:tblCellMar>
        </w:tblPrEx>
        <w:trPr>
          <w:cantSplit/>
          <w:trHeight w:val="235"/>
        </w:trPr>
        <w:tc>
          <w:tcPr>
            <w:tcW w:w="9505" w:type="dxa"/>
            <w:gridSpan w:val="7"/>
          </w:tcPr>
          <w:p w14:paraId="2082FF71" w14:textId="77777777" w:rsidR="005A55CB" w:rsidRPr="001C4B76" w:rsidRDefault="005A55CB">
            <w:pPr>
              <w:rPr>
                <w:lang w:val="en-CA"/>
              </w:rPr>
            </w:pPr>
          </w:p>
        </w:tc>
      </w:tr>
      <w:tr w:rsidR="006943F7" w:rsidRPr="001C4B76" w14:paraId="3483128E" w14:textId="77777777" w:rsidTr="00326121">
        <w:tblPrEx>
          <w:tblCellMar>
            <w:top w:w="0" w:type="dxa"/>
            <w:bottom w:w="0" w:type="dxa"/>
          </w:tblCellMar>
        </w:tblPrEx>
        <w:tc>
          <w:tcPr>
            <w:tcW w:w="1036" w:type="dxa"/>
          </w:tcPr>
          <w:p w14:paraId="5CC872C7" w14:textId="77777777" w:rsidR="005A55CB" w:rsidRPr="001C4B76" w:rsidRDefault="00280AC1">
            <w:pPr>
              <w:pStyle w:val="zSoquijlblDateJugement"/>
              <w:rPr>
                <w:lang w:val="en-CA"/>
              </w:rPr>
            </w:pPr>
            <w:r w:rsidRPr="001C4B76">
              <w:rPr>
                <w:lang w:val="en-CA"/>
              </w:rPr>
              <w:t xml:space="preserve">Date:  </w:t>
            </w:r>
          </w:p>
        </w:tc>
        <w:tc>
          <w:tcPr>
            <w:tcW w:w="8469" w:type="dxa"/>
            <w:gridSpan w:val="6"/>
          </w:tcPr>
          <w:p w14:paraId="10E82293" w14:textId="77777777" w:rsidR="005A55CB" w:rsidRPr="001C4B76" w:rsidRDefault="0079594E" w:rsidP="00326121">
            <w:pPr>
              <w:pStyle w:val="zSoquijdatDateJugement"/>
              <w:rPr>
                <w:lang w:val="en-CA"/>
              </w:rPr>
            </w:pPr>
            <w:r w:rsidRPr="001C4B76">
              <w:rPr>
                <w:lang w:val="en-CA"/>
              </w:rPr>
              <w:t xml:space="preserve"> </w:t>
            </w:r>
            <w:r w:rsidR="00CC047F" w:rsidRPr="001C4B76">
              <w:rPr>
                <w:lang w:val="en-CA"/>
              </w:rPr>
              <w:t>October 5, 2023</w:t>
            </w:r>
          </w:p>
        </w:tc>
      </w:tr>
      <w:tr w:rsidR="006943F7" w:rsidRPr="001C4B76" w14:paraId="75823BEC" w14:textId="77777777" w:rsidTr="00326121">
        <w:tblPrEx>
          <w:tblCellMar>
            <w:top w:w="0" w:type="dxa"/>
            <w:bottom w:w="0" w:type="dxa"/>
          </w:tblCellMar>
        </w:tblPrEx>
        <w:tc>
          <w:tcPr>
            <w:tcW w:w="9505" w:type="dxa"/>
            <w:gridSpan w:val="7"/>
          </w:tcPr>
          <w:p w14:paraId="236BB16C" w14:textId="77777777" w:rsidR="005A55CB" w:rsidRPr="001C4B76" w:rsidRDefault="005A55CB">
            <w:pPr>
              <w:ind w:left="14" w:right="-67"/>
              <w:rPr>
                <w:lang w:val="en-CA"/>
              </w:rPr>
            </w:pPr>
            <w:r w:rsidRPr="001C4B76">
              <w:rPr>
                <w:lang w:val="en-CA"/>
              </w:rPr>
              <w:t>______________________________________________________________________</w:t>
            </w:r>
          </w:p>
        </w:tc>
      </w:tr>
      <w:tr w:rsidR="006943F7" w:rsidRPr="001C4B76" w14:paraId="13E4CD07" w14:textId="77777777" w:rsidTr="00326121">
        <w:tblPrEx>
          <w:tblCellMar>
            <w:top w:w="0" w:type="dxa"/>
            <w:bottom w:w="0" w:type="dxa"/>
          </w:tblCellMar>
        </w:tblPrEx>
        <w:tc>
          <w:tcPr>
            <w:tcW w:w="9505" w:type="dxa"/>
            <w:gridSpan w:val="7"/>
          </w:tcPr>
          <w:p w14:paraId="2041B5B6" w14:textId="77777777" w:rsidR="005A55CB" w:rsidRPr="001C4B76" w:rsidRDefault="005A55CB">
            <w:pPr>
              <w:rPr>
                <w:lang w:val="en-CA"/>
              </w:rPr>
            </w:pPr>
          </w:p>
        </w:tc>
      </w:tr>
      <w:tr w:rsidR="006943F7" w:rsidRPr="00282367" w14:paraId="22B2C1B7" w14:textId="77777777" w:rsidTr="00CC047F">
        <w:tblPrEx>
          <w:tblCellMar>
            <w:top w:w="0" w:type="dxa"/>
            <w:left w:w="0" w:type="dxa"/>
            <w:bottom w:w="0" w:type="dxa"/>
            <w:right w:w="0" w:type="dxa"/>
          </w:tblCellMar>
        </w:tblPrEx>
        <w:tc>
          <w:tcPr>
            <w:tcW w:w="1771" w:type="dxa"/>
            <w:gridSpan w:val="4"/>
          </w:tcPr>
          <w:p w14:paraId="4B9A4B13" w14:textId="77777777" w:rsidR="005A55CB" w:rsidRPr="001C4B76" w:rsidRDefault="005A55CB">
            <w:pPr>
              <w:pStyle w:val="zSoquijlblJuge"/>
              <w:rPr>
                <w:lang w:val="en-CA"/>
              </w:rPr>
            </w:pPr>
            <w:r w:rsidRPr="001C4B76">
              <w:rPr>
                <w:lang w:val="en-CA"/>
              </w:rPr>
              <w:t>PRESIDING:</w:t>
            </w:r>
          </w:p>
        </w:tc>
        <w:tc>
          <w:tcPr>
            <w:tcW w:w="2410" w:type="dxa"/>
          </w:tcPr>
          <w:p w14:paraId="793F0751" w14:textId="77777777" w:rsidR="005A55CB" w:rsidRPr="001C4B76" w:rsidRDefault="005A55CB">
            <w:pPr>
              <w:pStyle w:val="zSoquijdatQteJuge"/>
              <w:rPr>
                <w:lang w:val="en-CA"/>
              </w:rPr>
            </w:pPr>
            <w:r w:rsidRPr="001C4B76">
              <w:rPr>
                <w:lang w:val="en-CA"/>
              </w:rPr>
              <w:t>THE HONOURABLE</w:t>
            </w:r>
          </w:p>
        </w:tc>
        <w:tc>
          <w:tcPr>
            <w:tcW w:w="5324" w:type="dxa"/>
            <w:gridSpan w:val="2"/>
          </w:tcPr>
          <w:p w14:paraId="0208B274" w14:textId="77777777" w:rsidR="005A55CB" w:rsidRPr="00282367" w:rsidRDefault="005A55CB">
            <w:pPr>
              <w:pStyle w:val="zSoquijdatJuge"/>
            </w:pPr>
            <w:r w:rsidRPr="00282367">
              <w:t>JOSÉE BÉLANGER, J.C.Q.</w:t>
            </w:r>
          </w:p>
        </w:tc>
      </w:tr>
      <w:tr w:rsidR="006943F7" w:rsidRPr="001C4B76" w14:paraId="283A51DF" w14:textId="77777777" w:rsidTr="00326121">
        <w:tblPrEx>
          <w:tblCellMar>
            <w:top w:w="0" w:type="dxa"/>
            <w:bottom w:w="0" w:type="dxa"/>
          </w:tblCellMar>
        </w:tblPrEx>
        <w:tc>
          <w:tcPr>
            <w:tcW w:w="9505" w:type="dxa"/>
            <w:gridSpan w:val="7"/>
          </w:tcPr>
          <w:p w14:paraId="3EBE5E74" w14:textId="77777777" w:rsidR="005A55CB" w:rsidRPr="001C4B76" w:rsidRDefault="005A55CB">
            <w:pPr>
              <w:ind w:left="14" w:right="-67"/>
              <w:rPr>
                <w:lang w:val="en-CA"/>
              </w:rPr>
            </w:pPr>
            <w:r w:rsidRPr="001C4B76">
              <w:rPr>
                <w:lang w:val="en-CA"/>
              </w:rPr>
              <w:t>______________________________________________________________________</w:t>
            </w:r>
          </w:p>
        </w:tc>
      </w:tr>
      <w:tr w:rsidR="006943F7" w:rsidRPr="001C4B76" w14:paraId="6A23DB74" w14:textId="77777777" w:rsidTr="00326121">
        <w:tblPrEx>
          <w:tblCellMar>
            <w:top w:w="0" w:type="dxa"/>
            <w:bottom w:w="0" w:type="dxa"/>
          </w:tblCellMar>
        </w:tblPrEx>
        <w:tc>
          <w:tcPr>
            <w:tcW w:w="9505" w:type="dxa"/>
            <w:gridSpan w:val="7"/>
          </w:tcPr>
          <w:p w14:paraId="6063A7A9" w14:textId="77777777" w:rsidR="005A55CB" w:rsidRPr="001C4B76" w:rsidRDefault="005A55CB">
            <w:pPr>
              <w:pStyle w:val="zSoquijlblTitrePartie"/>
              <w:rPr>
                <w:lang w:val="en-CA"/>
              </w:rPr>
            </w:pPr>
          </w:p>
        </w:tc>
      </w:tr>
      <w:tr w:rsidR="006943F7" w:rsidRPr="001C4B76" w14:paraId="29356949" w14:textId="77777777" w:rsidTr="00326121">
        <w:tblPrEx>
          <w:tblCellMar>
            <w:top w:w="0" w:type="dxa"/>
            <w:bottom w:w="0" w:type="dxa"/>
          </w:tblCellMar>
        </w:tblPrEx>
        <w:tc>
          <w:tcPr>
            <w:tcW w:w="9505" w:type="dxa"/>
            <w:gridSpan w:val="7"/>
          </w:tcPr>
          <w:p w14:paraId="7CA6E1E8" w14:textId="77777777" w:rsidR="005A55CB" w:rsidRPr="001C4B76" w:rsidRDefault="00D40EB3">
            <w:pPr>
              <w:rPr>
                <w:b/>
                <w:sz w:val="28"/>
                <w:szCs w:val="28"/>
                <w:lang w:val="en-CA"/>
              </w:rPr>
            </w:pPr>
            <w:r w:rsidRPr="00894055">
              <w:rPr>
                <w:b/>
                <w:sz w:val="28"/>
                <w:szCs w:val="28"/>
                <w:lang w:val="en-CA"/>
              </w:rPr>
              <w:t>AUTORITÉ DES MARCHÉS FINANCIERS</w:t>
            </w:r>
          </w:p>
        </w:tc>
      </w:tr>
      <w:tr w:rsidR="006943F7" w:rsidRPr="001C4B76" w14:paraId="161C288D" w14:textId="77777777" w:rsidTr="00326121">
        <w:tblPrEx>
          <w:tblCellMar>
            <w:top w:w="0" w:type="dxa"/>
            <w:bottom w:w="0" w:type="dxa"/>
          </w:tblCellMar>
        </w:tblPrEx>
        <w:tc>
          <w:tcPr>
            <w:tcW w:w="9505" w:type="dxa"/>
            <w:gridSpan w:val="7"/>
          </w:tcPr>
          <w:p w14:paraId="0114CD7F" w14:textId="77777777" w:rsidR="005A55CB" w:rsidRPr="001C4B76" w:rsidRDefault="005A55CB" w:rsidP="001804C4">
            <w:pPr>
              <w:rPr>
                <w:lang w:val="en-CA"/>
              </w:rPr>
            </w:pPr>
          </w:p>
        </w:tc>
      </w:tr>
      <w:tr w:rsidR="006943F7" w:rsidRPr="001C4B76" w14:paraId="7CAC383F" w14:textId="77777777" w:rsidTr="00326121">
        <w:tblPrEx>
          <w:tblCellMar>
            <w:top w:w="0" w:type="dxa"/>
            <w:bottom w:w="0" w:type="dxa"/>
          </w:tblCellMar>
        </w:tblPrEx>
        <w:tc>
          <w:tcPr>
            <w:tcW w:w="9505" w:type="dxa"/>
            <w:gridSpan w:val="7"/>
          </w:tcPr>
          <w:p w14:paraId="514C7187" w14:textId="77777777" w:rsidR="005A55CB" w:rsidRPr="001C4B76" w:rsidRDefault="00D40EB3">
            <w:pPr>
              <w:pStyle w:val="zSoquijdatQtePartieDem"/>
              <w:rPr>
                <w:lang w:val="en-CA"/>
              </w:rPr>
            </w:pPr>
            <w:r w:rsidRPr="001C4B76">
              <w:rPr>
                <w:lang w:val="en-CA"/>
              </w:rPr>
              <w:t>Prosecut</w:t>
            </w:r>
            <w:r w:rsidR="00CC047F" w:rsidRPr="001C4B76">
              <w:rPr>
                <w:lang w:val="en-CA"/>
              </w:rPr>
              <w:t>or</w:t>
            </w:r>
          </w:p>
        </w:tc>
      </w:tr>
      <w:tr w:rsidR="006943F7" w:rsidRPr="001C4B76" w14:paraId="14B609E6" w14:textId="77777777" w:rsidTr="00326121">
        <w:tblPrEx>
          <w:tblCellMar>
            <w:top w:w="0" w:type="dxa"/>
            <w:bottom w:w="0" w:type="dxa"/>
          </w:tblCellMar>
        </w:tblPrEx>
        <w:tc>
          <w:tcPr>
            <w:tcW w:w="9505" w:type="dxa"/>
            <w:gridSpan w:val="7"/>
          </w:tcPr>
          <w:p w14:paraId="75F6B621" w14:textId="77777777" w:rsidR="005A55CB" w:rsidRPr="001C4B76" w:rsidRDefault="005A55CB">
            <w:pPr>
              <w:pStyle w:val="zSoquijlblLienParties"/>
              <w:rPr>
                <w:lang w:val="en-CA"/>
              </w:rPr>
            </w:pPr>
          </w:p>
        </w:tc>
      </w:tr>
      <w:tr w:rsidR="006943F7" w:rsidRPr="001C4B76" w14:paraId="5D329166" w14:textId="77777777" w:rsidTr="00326121">
        <w:tblPrEx>
          <w:tblCellMar>
            <w:top w:w="0" w:type="dxa"/>
            <w:bottom w:w="0" w:type="dxa"/>
          </w:tblCellMar>
        </w:tblPrEx>
        <w:tc>
          <w:tcPr>
            <w:tcW w:w="9505" w:type="dxa"/>
            <w:gridSpan w:val="7"/>
          </w:tcPr>
          <w:p w14:paraId="26A6846A" w14:textId="77777777" w:rsidR="005A55CB" w:rsidRPr="001C4B76" w:rsidRDefault="005A55CB">
            <w:pPr>
              <w:pStyle w:val="zSoquijlblLienParties"/>
              <w:rPr>
                <w:lang w:val="en-CA"/>
              </w:rPr>
            </w:pPr>
            <w:r w:rsidRPr="001C4B76">
              <w:rPr>
                <w:lang w:val="en-CA"/>
              </w:rPr>
              <w:t>v.</w:t>
            </w:r>
          </w:p>
        </w:tc>
      </w:tr>
      <w:tr w:rsidR="006943F7" w:rsidRPr="001C4B76" w14:paraId="56A0E2E8" w14:textId="77777777" w:rsidTr="00326121">
        <w:tblPrEx>
          <w:tblCellMar>
            <w:top w:w="0" w:type="dxa"/>
            <w:bottom w:w="0" w:type="dxa"/>
          </w:tblCellMar>
        </w:tblPrEx>
        <w:tc>
          <w:tcPr>
            <w:tcW w:w="9505" w:type="dxa"/>
            <w:gridSpan w:val="7"/>
          </w:tcPr>
          <w:p w14:paraId="7800ED6A" w14:textId="77777777" w:rsidR="005A55CB" w:rsidRPr="001C4B76" w:rsidRDefault="005A55CB">
            <w:pPr>
              <w:pStyle w:val="zSoquijdatNomPartieDef"/>
              <w:rPr>
                <w:lang w:val="en-CA"/>
              </w:rPr>
            </w:pPr>
          </w:p>
        </w:tc>
      </w:tr>
      <w:tr w:rsidR="006943F7" w:rsidRPr="001C4B76" w14:paraId="5549D61E" w14:textId="77777777" w:rsidTr="00326121">
        <w:tblPrEx>
          <w:tblCellMar>
            <w:top w:w="0" w:type="dxa"/>
            <w:bottom w:w="0" w:type="dxa"/>
          </w:tblCellMar>
        </w:tblPrEx>
        <w:tc>
          <w:tcPr>
            <w:tcW w:w="9505" w:type="dxa"/>
            <w:gridSpan w:val="7"/>
          </w:tcPr>
          <w:p w14:paraId="752DD198" w14:textId="77777777" w:rsidR="00D40EB3" w:rsidRPr="00894055" w:rsidRDefault="00D40EB3" w:rsidP="00D40EB3">
            <w:pPr>
              <w:rPr>
                <w:b/>
                <w:sz w:val="28"/>
                <w:szCs w:val="28"/>
                <w:lang w:val="en-CA"/>
              </w:rPr>
            </w:pPr>
            <w:r w:rsidRPr="00894055">
              <w:rPr>
                <w:b/>
                <w:sz w:val="28"/>
                <w:szCs w:val="28"/>
                <w:lang w:val="en-CA"/>
              </w:rPr>
              <w:t>Michael Raso Cortellazzi</w:t>
            </w:r>
          </w:p>
          <w:p w14:paraId="79CEA2F6" w14:textId="77777777" w:rsidR="00D40EB3" w:rsidRPr="00894055" w:rsidRDefault="00D40EB3" w:rsidP="00D40EB3">
            <w:pPr>
              <w:rPr>
                <w:b/>
                <w:bCs/>
                <w:lang w:val="en-CA"/>
              </w:rPr>
            </w:pPr>
            <w:r w:rsidRPr="00894055">
              <w:rPr>
                <w:b/>
                <w:bCs/>
                <w:lang w:val="en-CA"/>
              </w:rPr>
              <w:t xml:space="preserve">- </w:t>
            </w:r>
            <w:r w:rsidR="00CC047F" w:rsidRPr="00894055">
              <w:rPr>
                <w:b/>
                <w:bCs/>
                <w:lang w:val="en-CA"/>
              </w:rPr>
              <w:t>and</w:t>
            </w:r>
            <w:r w:rsidRPr="00894055">
              <w:rPr>
                <w:b/>
                <w:bCs/>
                <w:lang w:val="en-CA"/>
              </w:rPr>
              <w:t xml:space="preserve"> - </w:t>
            </w:r>
          </w:p>
          <w:p w14:paraId="074EA331" w14:textId="77777777" w:rsidR="00D40EB3" w:rsidRPr="00894055" w:rsidRDefault="00D40EB3" w:rsidP="00D40EB3">
            <w:pPr>
              <w:rPr>
                <w:b/>
                <w:sz w:val="28"/>
                <w:szCs w:val="28"/>
                <w:lang w:val="en-CA"/>
              </w:rPr>
            </w:pPr>
            <w:r w:rsidRPr="00894055">
              <w:rPr>
                <w:b/>
                <w:sz w:val="28"/>
                <w:szCs w:val="28"/>
                <w:lang w:val="en-CA"/>
              </w:rPr>
              <w:t>Antonio Savaris</w:t>
            </w:r>
          </w:p>
          <w:p w14:paraId="6ED750F6" w14:textId="77777777" w:rsidR="00A318E6" w:rsidRPr="001C4B76" w:rsidRDefault="00A318E6" w:rsidP="004B5CEA">
            <w:pPr>
              <w:rPr>
                <w:b/>
                <w:bCs/>
                <w:sz w:val="28"/>
                <w:szCs w:val="28"/>
                <w:lang w:val="en-CA"/>
              </w:rPr>
            </w:pPr>
          </w:p>
        </w:tc>
      </w:tr>
      <w:tr w:rsidR="006943F7" w:rsidRPr="001C4B76" w14:paraId="27212679" w14:textId="77777777" w:rsidTr="00326121">
        <w:tblPrEx>
          <w:tblCellMar>
            <w:top w:w="0" w:type="dxa"/>
            <w:bottom w:w="0" w:type="dxa"/>
          </w:tblCellMar>
        </w:tblPrEx>
        <w:tc>
          <w:tcPr>
            <w:tcW w:w="9505" w:type="dxa"/>
            <w:gridSpan w:val="7"/>
          </w:tcPr>
          <w:p w14:paraId="0CA81458" w14:textId="77777777" w:rsidR="005A55CB" w:rsidRPr="001C4B76" w:rsidRDefault="00EB73BE">
            <w:pPr>
              <w:pStyle w:val="zSoquijdatQtePartieDef"/>
              <w:rPr>
                <w:lang w:val="en-CA"/>
              </w:rPr>
            </w:pPr>
            <w:r w:rsidRPr="001C4B76">
              <w:rPr>
                <w:lang w:val="en-CA"/>
              </w:rPr>
              <w:t xml:space="preserve"> Defendants</w:t>
            </w:r>
          </w:p>
        </w:tc>
      </w:tr>
      <w:tr w:rsidR="006943F7" w:rsidRPr="001C4B76" w14:paraId="17764ECE" w14:textId="77777777" w:rsidTr="00326121">
        <w:tblPrEx>
          <w:tblCellMar>
            <w:top w:w="0" w:type="dxa"/>
            <w:bottom w:w="0" w:type="dxa"/>
          </w:tblCellMar>
        </w:tblPrEx>
        <w:tc>
          <w:tcPr>
            <w:tcW w:w="9505" w:type="dxa"/>
            <w:gridSpan w:val="7"/>
          </w:tcPr>
          <w:p w14:paraId="3DCDB3C5" w14:textId="77777777" w:rsidR="005A55CB" w:rsidRPr="001C4B76" w:rsidRDefault="009F2373">
            <w:pPr>
              <w:ind w:left="14" w:right="-95"/>
              <w:rPr>
                <w:lang w:val="en-CA"/>
              </w:rPr>
            </w:pPr>
            <w:r w:rsidRPr="001C4B76">
              <w:rPr>
                <w:lang w:val="en-CA"/>
              </w:rPr>
              <w:t xml:space="preserve">        </w:t>
            </w:r>
          </w:p>
        </w:tc>
      </w:tr>
      <w:tr w:rsidR="006943F7" w:rsidRPr="001C4B76" w14:paraId="6A5970F8" w14:textId="77777777" w:rsidTr="00326121">
        <w:tblPrEx>
          <w:tblCellMar>
            <w:top w:w="0" w:type="dxa"/>
            <w:bottom w:w="0" w:type="dxa"/>
          </w:tblCellMar>
        </w:tblPrEx>
        <w:tc>
          <w:tcPr>
            <w:tcW w:w="9505" w:type="dxa"/>
            <w:gridSpan w:val="7"/>
          </w:tcPr>
          <w:p w14:paraId="30B9FE31" w14:textId="77777777" w:rsidR="005A55CB" w:rsidRPr="001C4B76" w:rsidRDefault="009F2373">
            <w:pPr>
              <w:ind w:left="14" w:right="-95"/>
              <w:rPr>
                <w:lang w:val="en-CA"/>
              </w:rPr>
            </w:pPr>
            <w:r w:rsidRPr="001C4B76">
              <w:rPr>
                <w:lang w:val="en-CA"/>
              </w:rPr>
              <w:t xml:space="preserve">         </w:t>
            </w:r>
          </w:p>
        </w:tc>
      </w:tr>
      <w:tr w:rsidR="006943F7" w:rsidRPr="001C4B76" w14:paraId="0448C060" w14:textId="77777777" w:rsidTr="00326121">
        <w:tblPrEx>
          <w:tblCellMar>
            <w:top w:w="0" w:type="dxa"/>
            <w:bottom w:w="0" w:type="dxa"/>
          </w:tblCellMar>
        </w:tblPrEx>
        <w:tc>
          <w:tcPr>
            <w:tcW w:w="9505" w:type="dxa"/>
            <w:gridSpan w:val="7"/>
          </w:tcPr>
          <w:p w14:paraId="044FCBC4" w14:textId="77777777" w:rsidR="005A55CB" w:rsidRPr="001C4B76" w:rsidRDefault="005A55CB">
            <w:pPr>
              <w:ind w:left="14" w:right="-95"/>
              <w:rPr>
                <w:lang w:val="en-CA"/>
              </w:rPr>
            </w:pPr>
            <w:r w:rsidRPr="001C4B76">
              <w:rPr>
                <w:lang w:val="en-CA"/>
              </w:rPr>
              <w:t>______________________________________________________________________</w:t>
            </w:r>
          </w:p>
        </w:tc>
      </w:tr>
      <w:tr w:rsidR="006943F7" w:rsidRPr="001C4B76" w14:paraId="4B1717BF" w14:textId="77777777" w:rsidTr="00326121">
        <w:tblPrEx>
          <w:tblCellMar>
            <w:top w:w="0" w:type="dxa"/>
            <w:bottom w:w="0" w:type="dxa"/>
          </w:tblCellMar>
        </w:tblPrEx>
        <w:tc>
          <w:tcPr>
            <w:tcW w:w="9505" w:type="dxa"/>
            <w:gridSpan w:val="7"/>
          </w:tcPr>
          <w:p w14:paraId="7608CFC1" w14:textId="77777777" w:rsidR="005A55CB" w:rsidRPr="001C4B76" w:rsidRDefault="005A55CB">
            <w:pPr>
              <w:jc w:val="center"/>
              <w:rPr>
                <w:lang w:val="en-CA"/>
              </w:rPr>
            </w:pPr>
          </w:p>
        </w:tc>
      </w:tr>
      <w:tr w:rsidR="006943F7" w:rsidRPr="001C4B76" w14:paraId="094C4F7D" w14:textId="77777777" w:rsidTr="00326121">
        <w:tblPrEx>
          <w:tblCellMar>
            <w:top w:w="0" w:type="dxa"/>
            <w:bottom w:w="0" w:type="dxa"/>
          </w:tblCellMar>
        </w:tblPrEx>
        <w:tc>
          <w:tcPr>
            <w:tcW w:w="9505" w:type="dxa"/>
            <w:gridSpan w:val="7"/>
          </w:tcPr>
          <w:p w14:paraId="4FF6E54F" w14:textId="77777777" w:rsidR="00CC047F" w:rsidRPr="001C4B76" w:rsidRDefault="00CC047F" w:rsidP="00CC047F">
            <w:pPr>
              <w:pStyle w:val="zSoquijlblTypeDocument"/>
              <w:rPr>
                <w:b/>
                <w:bCs/>
                <w:lang w:val="en-CA"/>
              </w:rPr>
            </w:pPr>
            <w:r w:rsidRPr="001C4B76">
              <w:rPr>
                <w:b/>
                <w:bCs/>
                <w:lang w:val="en-CA"/>
              </w:rPr>
              <w:t>SENTENCING JUDGMENT</w:t>
            </w:r>
          </w:p>
          <w:p w14:paraId="4DC7E941" w14:textId="77777777" w:rsidR="004B5CEA" w:rsidRPr="001C4B76" w:rsidRDefault="004B5CEA">
            <w:pPr>
              <w:pStyle w:val="zSoquijlblTypeDocument"/>
              <w:rPr>
                <w:b/>
                <w:bCs/>
                <w:lang w:val="en-CA"/>
              </w:rPr>
            </w:pPr>
          </w:p>
        </w:tc>
      </w:tr>
      <w:tr w:rsidR="006943F7" w:rsidRPr="001C4B76" w14:paraId="33BAB82E" w14:textId="77777777" w:rsidTr="00326121">
        <w:tblPrEx>
          <w:tblCellMar>
            <w:top w:w="0" w:type="dxa"/>
            <w:bottom w:w="0" w:type="dxa"/>
          </w:tblCellMar>
        </w:tblPrEx>
        <w:tc>
          <w:tcPr>
            <w:tcW w:w="9505" w:type="dxa"/>
            <w:gridSpan w:val="7"/>
          </w:tcPr>
          <w:p w14:paraId="4F921EF7" w14:textId="77777777" w:rsidR="004B5CEA" w:rsidRPr="001C4B76" w:rsidRDefault="004B5CEA" w:rsidP="004B5CEA">
            <w:pPr>
              <w:jc w:val="center"/>
              <w:rPr>
                <w:lang w:val="en-CA"/>
              </w:rPr>
            </w:pPr>
            <w:r w:rsidRPr="001C4B76">
              <w:rPr>
                <w:lang w:val="en-CA"/>
              </w:rPr>
              <w:t>______________________________________________________________________</w:t>
            </w:r>
          </w:p>
        </w:tc>
      </w:tr>
    </w:tbl>
    <w:p w14:paraId="1D389D5F" w14:textId="77777777" w:rsidR="005A55CB" w:rsidRPr="001C4B76" w:rsidRDefault="005A55CB" w:rsidP="00C63D80">
      <w:pPr>
        <w:pStyle w:val="ParagNonNum"/>
        <w:ind w:firstLine="0"/>
        <w:rPr>
          <w:lang w:val="en-CA"/>
        </w:rPr>
      </w:pPr>
    </w:p>
    <w:p w14:paraId="1FFA0521" w14:textId="77777777" w:rsidR="00CC047F" w:rsidRPr="001C4B76" w:rsidRDefault="00CC047F" w:rsidP="00CC047F">
      <w:pPr>
        <w:numPr>
          <w:ilvl w:val="0"/>
          <w:numId w:val="2"/>
        </w:numPr>
        <w:tabs>
          <w:tab w:val="clear" w:pos="360"/>
        </w:tabs>
        <w:jc w:val="both"/>
        <w:rPr>
          <w:rFonts w:cs="Arial"/>
          <w:kern w:val="28"/>
          <w:lang w:val="en-CA"/>
        </w:rPr>
      </w:pPr>
      <w:r w:rsidRPr="001C4B76">
        <w:rPr>
          <w:rFonts w:cs="Arial"/>
          <w:kern w:val="28"/>
          <w:lang w:val="en-CA"/>
        </w:rPr>
        <w:t xml:space="preserve">On January 18, 2023, the Court found the defendants guilty of influencing or attempting to influence, in and around Montreal, the </w:t>
      </w:r>
      <w:r w:rsidR="00611317" w:rsidRPr="001C4B76">
        <w:rPr>
          <w:rFonts w:cs="Arial"/>
          <w:kern w:val="28"/>
          <w:lang w:val="en-CA"/>
        </w:rPr>
        <w:t>market</w:t>
      </w:r>
      <w:r w:rsidRPr="001C4B76">
        <w:rPr>
          <w:rFonts w:cs="Arial"/>
          <w:kern w:val="28"/>
          <w:lang w:val="en-CA"/>
        </w:rPr>
        <w:t xml:space="preserve"> price or the value of </w:t>
      </w:r>
      <w:r w:rsidRPr="001C4B76">
        <w:rPr>
          <w:rFonts w:cs="Arial"/>
          <w:kern w:val="28"/>
          <w:lang w:val="en-CA"/>
        </w:rPr>
        <w:lastRenderedPageBreak/>
        <w:t xml:space="preserve">securities by means of unfair, improper or fraudulent practices, in violation of s. 195.2 of the </w:t>
      </w:r>
      <w:r w:rsidRPr="001C4B76">
        <w:rPr>
          <w:rFonts w:cs="Arial"/>
          <w:i/>
          <w:kern w:val="28"/>
          <w:lang w:val="en-CA"/>
        </w:rPr>
        <w:t>Securities Act</w:t>
      </w:r>
      <w:r w:rsidRPr="001C4B76">
        <w:rPr>
          <w:rFonts w:cs="Arial"/>
          <w:kern w:val="28"/>
          <w:lang w:val="en-CA"/>
        </w:rPr>
        <w:t xml:space="preserve"> </w:t>
      </w:r>
      <w:r w:rsidRPr="001C4B76">
        <w:rPr>
          <w:rFonts w:cs="Arial"/>
          <w:i/>
          <w:kern w:val="28"/>
          <w:lang w:val="en-CA"/>
        </w:rPr>
        <w:t>(SA</w:t>
      </w:r>
      <w:r w:rsidRPr="001C4B76">
        <w:rPr>
          <w:rFonts w:cs="Arial"/>
          <w:kern w:val="28"/>
          <w:lang w:val="en-CA"/>
        </w:rPr>
        <w:t>)</w:t>
      </w:r>
      <w:r w:rsidRPr="001C4B76">
        <w:rPr>
          <w:rFonts w:cs="Arial"/>
          <w:i/>
          <w:kern w:val="28"/>
          <w:lang w:val="en-CA"/>
        </w:rPr>
        <w:t>.</w:t>
      </w:r>
      <w:r w:rsidRPr="001C4B76">
        <w:rPr>
          <w:rFonts w:cs="Arial"/>
          <w:kern w:val="28"/>
          <w:vertAlign w:val="superscript"/>
          <w:lang w:val="en-CA"/>
        </w:rPr>
        <w:footnoteReference w:id="1"/>
      </w:r>
      <w:r w:rsidRPr="001C4B76">
        <w:rPr>
          <w:rFonts w:cs="Arial"/>
          <w:color w:val="FF0000"/>
          <w:kern w:val="28"/>
          <w:lang w:val="en-CA"/>
        </w:rPr>
        <w:t xml:space="preserve"> </w:t>
      </w:r>
    </w:p>
    <w:p w14:paraId="55A37EA1" w14:textId="77777777" w:rsidR="001905E2" w:rsidRPr="001C4B76" w:rsidRDefault="001905E2" w:rsidP="001905E2">
      <w:pPr>
        <w:pStyle w:val="Paragraphe"/>
        <w:numPr>
          <w:ilvl w:val="0"/>
          <w:numId w:val="0"/>
        </w:numPr>
        <w:spacing w:before="0" w:after="0" w:line="240" w:lineRule="auto"/>
        <w:rPr>
          <w:rFonts w:cs="Arial"/>
          <w:lang w:val="en-CA"/>
        </w:rPr>
      </w:pPr>
    </w:p>
    <w:p w14:paraId="7C3DD6CD" w14:textId="77777777" w:rsidR="00CC047F" w:rsidRPr="001C4B76" w:rsidRDefault="00CC047F" w:rsidP="00CC047F">
      <w:pPr>
        <w:pStyle w:val="Paragraphe"/>
        <w:numPr>
          <w:ilvl w:val="0"/>
          <w:numId w:val="1"/>
        </w:numPr>
        <w:tabs>
          <w:tab w:val="clear" w:pos="360"/>
        </w:tabs>
        <w:spacing w:before="0" w:after="0" w:line="240" w:lineRule="auto"/>
        <w:rPr>
          <w:rFonts w:cs="Arial"/>
          <w:lang w:val="en-CA"/>
        </w:rPr>
      </w:pPr>
      <w:r w:rsidRPr="001C4B76">
        <w:rPr>
          <w:rFonts w:cs="Arial"/>
          <w:szCs w:val="24"/>
          <w:lang w:val="en-CA"/>
        </w:rPr>
        <w:t>The charges can be broken down as follows:</w:t>
      </w:r>
    </w:p>
    <w:p w14:paraId="6B668163" w14:textId="77777777" w:rsidR="002664B2" w:rsidRPr="001C4B76" w:rsidRDefault="002664B2" w:rsidP="002664B2">
      <w:pPr>
        <w:pStyle w:val="Paragraphe"/>
        <w:numPr>
          <w:ilvl w:val="0"/>
          <w:numId w:val="0"/>
        </w:numPr>
        <w:spacing w:before="0" w:after="0" w:line="240" w:lineRule="auto"/>
        <w:rPr>
          <w:rFonts w:cs="Arial"/>
          <w:lang w:val="en-CA"/>
        </w:rPr>
      </w:pPr>
    </w:p>
    <w:p w14:paraId="567EAA2D" w14:textId="77777777" w:rsidR="00DB39E5" w:rsidRPr="00282367" w:rsidRDefault="00DB39E5" w:rsidP="00C76C90">
      <w:pPr>
        <w:pStyle w:val="Paragraphe"/>
        <w:numPr>
          <w:ilvl w:val="0"/>
          <w:numId w:val="0"/>
        </w:numPr>
        <w:spacing w:before="0" w:after="0" w:line="240" w:lineRule="auto"/>
        <w:ind w:firstLine="720"/>
        <w:rPr>
          <w:rFonts w:cs="Arial"/>
        </w:rPr>
      </w:pPr>
      <w:r w:rsidRPr="00282367">
        <w:rPr>
          <w:rFonts w:cs="Arial"/>
        </w:rPr>
        <w:t>Michael Raso Cortellazzi (Raso Cortellazzi):</w:t>
      </w:r>
    </w:p>
    <w:p w14:paraId="545359E3" w14:textId="77777777" w:rsidR="00CC047F" w:rsidRPr="001C4B76" w:rsidRDefault="00CC047F" w:rsidP="00CC047F">
      <w:pPr>
        <w:pStyle w:val="Paragraphedeliste"/>
        <w:numPr>
          <w:ilvl w:val="0"/>
          <w:numId w:val="35"/>
        </w:numPr>
        <w:spacing w:after="0" w:line="240" w:lineRule="auto"/>
        <w:rPr>
          <w:rFonts w:ascii="Arial" w:hAnsi="Arial" w:cs="Arial"/>
          <w:sz w:val="24"/>
          <w:szCs w:val="24"/>
          <w:lang w:val="en-CA"/>
        </w:rPr>
      </w:pPr>
      <w:r w:rsidRPr="001C4B76">
        <w:rPr>
          <w:rFonts w:ascii="Arial" w:hAnsi="Arial" w:cs="Arial"/>
          <w:sz w:val="24"/>
          <w:szCs w:val="24"/>
          <w:lang w:val="en-CA"/>
        </w:rPr>
        <w:t>Shares of HE-5 Resources Corporation (HRRN) (between February 27, 2007, and May 18, 2010) (Count 8)</w:t>
      </w:r>
    </w:p>
    <w:p w14:paraId="1CAC35A1" w14:textId="77777777" w:rsidR="00CC047F" w:rsidRPr="001C4B76" w:rsidRDefault="00CC047F" w:rsidP="00CC047F">
      <w:pPr>
        <w:pStyle w:val="Paragraphedeliste"/>
        <w:numPr>
          <w:ilvl w:val="0"/>
          <w:numId w:val="35"/>
        </w:numPr>
        <w:spacing w:after="0" w:line="240" w:lineRule="auto"/>
        <w:rPr>
          <w:rFonts w:ascii="Arial" w:hAnsi="Arial" w:cs="Arial"/>
          <w:sz w:val="24"/>
          <w:szCs w:val="24"/>
          <w:lang w:val="en-CA"/>
        </w:rPr>
      </w:pPr>
      <w:r w:rsidRPr="001C4B76">
        <w:rPr>
          <w:rFonts w:ascii="Arial" w:hAnsi="Arial" w:cs="Arial"/>
          <w:sz w:val="24"/>
          <w:szCs w:val="24"/>
          <w:lang w:val="en-CA"/>
        </w:rPr>
        <w:t>Shares of UMining Resources Inc.  (UMNG) (between February 26, 2007, and July 20, 2010) (Count 9)</w:t>
      </w:r>
    </w:p>
    <w:p w14:paraId="15922500" w14:textId="77777777" w:rsidR="00CC047F" w:rsidRPr="001C4B76" w:rsidRDefault="00CC047F" w:rsidP="00CC047F">
      <w:pPr>
        <w:pStyle w:val="Paragraphedeliste"/>
        <w:numPr>
          <w:ilvl w:val="0"/>
          <w:numId w:val="35"/>
        </w:numPr>
        <w:spacing w:after="0" w:line="240" w:lineRule="auto"/>
        <w:rPr>
          <w:rFonts w:ascii="Arial" w:hAnsi="Arial" w:cs="Arial"/>
          <w:sz w:val="24"/>
          <w:szCs w:val="24"/>
          <w:lang w:val="en-CA"/>
        </w:rPr>
      </w:pPr>
      <w:r w:rsidRPr="001C4B76">
        <w:rPr>
          <w:rFonts w:ascii="Arial" w:hAnsi="Arial" w:cs="Arial"/>
          <w:sz w:val="24"/>
          <w:szCs w:val="24"/>
          <w:lang w:val="en-CA"/>
        </w:rPr>
        <w:t xml:space="preserve">Shares of Neuro Biotech Corp. (MRES) (between August 4 and November 5, </w:t>
      </w:r>
      <w:r w:rsidR="00C07EE2" w:rsidRPr="001C4B76">
        <w:rPr>
          <w:rFonts w:ascii="Arial" w:hAnsi="Arial" w:cs="Arial"/>
          <w:sz w:val="24"/>
          <w:szCs w:val="24"/>
          <w:lang w:val="en-CA"/>
        </w:rPr>
        <w:t>2010) (</w:t>
      </w:r>
      <w:r w:rsidRPr="001C4B76">
        <w:rPr>
          <w:rFonts w:ascii="Arial" w:hAnsi="Arial" w:cs="Arial"/>
          <w:sz w:val="24"/>
          <w:szCs w:val="24"/>
          <w:lang w:val="en-CA"/>
        </w:rPr>
        <w:t>Count 10)</w:t>
      </w:r>
    </w:p>
    <w:p w14:paraId="22A23DBB" w14:textId="77777777" w:rsidR="002664B2" w:rsidRPr="001C4B76" w:rsidRDefault="002664B2" w:rsidP="002664B2">
      <w:pPr>
        <w:pStyle w:val="Paragraphedeliste"/>
        <w:spacing w:after="0" w:line="240" w:lineRule="auto"/>
        <w:rPr>
          <w:rFonts w:ascii="Arial" w:hAnsi="Arial" w:cs="Arial"/>
          <w:sz w:val="24"/>
          <w:szCs w:val="24"/>
          <w:lang w:val="en-CA"/>
        </w:rPr>
      </w:pPr>
    </w:p>
    <w:p w14:paraId="4526E269" w14:textId="77777777" w:rsidR="00DB39E5" w:rsidRPr="001C4B76" w:rsidRDefault="00DB39E5" w:rsidP="00C76C90">
      <w:pPr>
        <w:pStyle w:val="Paragraphe"/>
        <w:numPr>
          <w:ilvl w:val="0"/>
          <w:numId w:val="0"/>
        </w:numPr>
        <w:spacing w:before="0" w:after="0" w:line="240" w:lineRule="auto"/>
        <w:ind w:firstLine="720"/>
        <w:rPr>
          <w:rFonts w:cs="Arial"/>
          <w:lang w:val="en-CA"/>
        </w:rPr>
      </w:pPr>
      <w:r w:rsidRPr="001C4B76">
        <w:rPr>
          <w:rFonts w:cs="Arial"/>
          <w:lang w:val="en-CA"/>
        </w:rPr>
        <w:t>Antonio Savaris (Savaris):</w:t>
      </w:r>
    </w:p>
    <w:p w14:paraId="7FC8A7D0" w14:textId="77777777" w:rsidR="00CC047F" w:rsidRPr="001C4B76" w:rsidRDefault="00CC047F" w:rsidP="00CC047F">
      <w:pPr>
        <w:pStyle w:val="Paragraphedeliste"/>
        <w:numPr>
          <w:ilvl w:val="0"/>
          <w:numId w:val="36"/>
        </w:numPr>
        <w:spacing w:after="0" w:line="240" w:lineRule="auto"/>
        <w:rPr>
          <w:rFonts w:ascii="Arial" w:hAnsi="Arial" w:cs="Arial"/>
          <w:sz w:val="24"/>
          <w:szCs w:val="24"/>
          <w:lang w:val="en-CA"/>
        </w:rPr>
      </w:pPr>
      <w:r w:rsidRPr="001C4B76">
        <w:rPr>
          <w:rFonts w:ascii="Arial" w:hAnsi="Arial" w:cs="Arial"/>
          <w:sz w:val="24"/>
          <w:szCs w:val="24"/>
          <w:lang w:val="en-CA"/>
        </w:rPr>
        <w:t>Shares of HE-5 Resources Corporation (between March 15 and August 15, 2010) (Count 6)</w:t>
      </w:r>
    </w:p>
    <w:p w14:paraId="4FDAD651" w14:textId="77777777" w:rsidR="00CC047F" w:rsidRPr="001C4B76" w:rsidRDefault="00CC047F" w:rsidP="00CC047F">
      <w:pPr>
        <w:pStyle w:val="Paragraphedeliste"/>
        <w:numPr>
          <w:ilvl w:val="0"/>
          <w:numId w:val="36"/>
        </w:numPr>
        <w:spacing w:after="0" w:line="240" w:lineRule="auto"/>
        <w:rPr>
          <w:rFonts w:ascii="Arial" w:hAnsi="Arial" w:cs="Arial"/>
          <w:sz w:val="24"/>
          <w:szCs w:val="24"/>
          <w:lang w:val="en-CA"/>
        </w:rPr>
      </w:pPr>
      <w:r w:rsidRPr="001C4B76">
        <w:rPr>
          <w:rFonts w:ascii="Arial" w:hAnsi="Arial" w:cs="Arial"/>
          <w:sz w:val="24"/>
          <w:szCs w:val="24"/>
          <w:lang w:val="en-CA"/>
        </w:rPr>
        <w:t>Shares of Neuro Biotech Corp. (MRES) (between August 4 and December 29, 2010) (Count 7)</w:t>
      </w:r>
    </w:p>
    <w:p w14:paraId="195CAFBB" w14:textId="77777777" w:rsidR="002664B2" w:rsidRPr="001C4B76" w:rsidRDefault="002664B2" w:rsidP="002664B2">
      <w:pPr>
        <w:pStyle w:val="Paragraphedeliste"/>
        <w:spacing w:after="0" w:line="240" w:lineRule="auto"/>
        <w:rPr>
          <w:rFonts w:ascii="Arial" w:hAnsi="Arial" w:cs="Arial"/>
          <w:sz w:val="24"/>
          <w:szCs w:val="24"/>
          <w:lang w:val="en-CA"/>
        </w:rPr>
      </w:pPr>
    </w:p>
    <w:p w14:paraId="13CE454B" w14:textId="77777777" w:rsidR="00CC047F" w:rsidRPr="001C4B76" w:rsidRDefault="00CC047F" w:rsidP="00CC047F">
      <w:pPr>
        <w:pStyle w:val="Paragraphe"/>
        <w:numPr>
          <w:ilvl w:val="0"/>
          <w:numId w:val="1"/>
        </w:numPr>
        <w:tabs>
          <w:tab w:val="clear" w:pos="360"/>
        </w:tabs>
        <w:spacing w:before="0" w:after="0" w:line="240" w:lineRule="auto"/>
        <w:rPr>
          <w:rFonts w:cs="Arial"/>
          <w:lang w:val="en-CA"/>
        </w:rPr>
      </w:pPr>
      <w:r w:rsidRPr="001C4B76">
        <w:rPr>
          <w:rFonts w:cs="Arial"/>
          <w:lang w:val="en-CA"/>
        </w:rPr>
        <w:t xml:space="preserve">The prosecution seeks substantial fines </w:t>
      </w:r>
      <w:r w:rsidR="005D7FCE">
        <w:rPr>
          <w:rFonts w:cs="Arial"/>
          <w:lang w:val="en-CA"/>
        </w:rPr>
        <w:t>for</w:t>
      </w:r>
      <w:r w:rsidR="005D7FCE" w:rsidRPr="001C4B76">
        <w:rPr>
          <w:rFonts w:cs="Arial"/>
          <w:lang w:val="en-CA"/>
        </w:rPr>
        <w:t xml:space="preserve"> </w:t>
      </w:r>
      <w:r w:rsidRPr="001C4B76">
        <w:rPr>
          <w:rFonts w:cs="Arial"/>
          <w:lang w:val="en-CA"/>
        </w:rPr>
        <w:t>these defendants.</w:t>
      </w:r>
    </w:p>
    <w:p w14:paraId="6B45161A" w14:textId="77777777" w:rsidR="00CC047F" w:rsidRPr="001C4B76" w:rsidRDefault="00CC047F" w:rsidP="00CC047F">
      <w:pPr>
        <w:pStyle w:val="Paragraphe"/>
        <w:numPr>
          <w:ilvl w:val="0"/>
          <w:numId w:val="0"/>
        </w:numPr>
        <w:spacing w:before="0" w:after="0" w:line="240" w:lineRule="auto"/>
        <w:rPr>
          <w:rFonts w:cs="Arial"/>
          <w:lang w:val="en-CA"/>
        </w:rPr>
      </w:pPr>
    </w:p>
    <w:p w14:paraId="546DC4B4" w14:textId="77777777" w:rsidR="00CC047F" w:rsidRPr="001C4B76" w:rsidRDefault="00CC047F" w:rsidP="00CC047F">
      <w:pPr>
        <w:spacing w:line="360" w:lineRule="auto"/>
        <w:rPr>
          <w:rFonts w:cs="Arial"/>
          <w:b/>
          <w:bCs/>
          <w:szCs w:val="24"/>
          <w:lang w:val="en-CA"/>
        </w:rPr>
      </w:pPr>
      <w:r w:rsidRPr="001C4B76">
        <w:rPr>
          <w:rFonts w:cs="Arial"/>
          <w:b/>
          <w:bCs/>
          <w:szCs w:val="24"/>
          <w:lang w:val="en-CA"/>
        </w:rPr>
        <w:t>Issues</w:t>
      </w:r>
    </w:p>
    <w:p w14:paraId="121FFE8B" w14:textId="77777777" w:rsidR="00CC047F" w:rsidRPr="001C4B76" w:rsidRDefault="00CC047F" w:rsidP="00CC047F">
      <w:pPr>
        <w:pStyle w:val="Paragraphedeliste"/>
        <w:numPr>
          <w:ilvl w:val="0"/>
          <w:numId w:val="37"/>
        </w:numPr>
        <w:rPr>
          <w:rFonts w:ascii="Arial" w:hAnsi="Arial" w:cs="Arial"/>
          <w:sz w:val="24"/>
          <w:szCs w:val="24"/>
          <w:lang w:val="en-CA"/>
        </w:rPr>
      </w:pPr>
      <w:r w:rsidRPr="001C4B76">
        <w:rPr>
          <w:rFonts w:ascii="Arial" w:hAnsi="Arial" w:cs="Arial"/>
          <w:sz w:val="24"/>
          <w:szCs w:val="24"/>
          <w:lang w:val="en-CA"/>
        </w:rPr>
        <w:t>What is the f</w:t>
      </w:r>
      <w:r w:rsidR="00C07EE2">
        <w:rPr>
          <w:rFonts w:ascii="Arial" w:hAnsi="Arial" w:cs="Arial"/>
          <w:sz w:val="24"/>
          <w:szCs w:val="24"/>
          <w:lang w:val="en-CA"/>
        </w:rPr>
        <w:t>air</w:t>
      </w:r>
      <w:r w:rsidRPr="001C4B76">
        <w:rPr>
          <w:rFonts w:ascii="Arial" w:hAnsi="Arial" w:cs="Arial"/>
          <w:sz w:val="24"/>
          <w:szCs w:val="24"/>
          <w:lang w:val="en-CA"/>
        </w:rPr>
        <w:t xml:space="preserve"> and appropriate sentence for each of these defendants?</w:t>
      </w:r>
    </w:p>
    <w:p w14:paraId="7074C31B" w14:textId="77777777" w:rsidR="00CC047F" w:rsidRPr="001C4B76" w:rsidRDefault="00CC047F" w:rsidP="00CC047F">
      <w:pPr>
        <w:pStyle w:val="Paragraphedeliste"/>
        <w:numPr>
          <w:ilvl w:val="0"/>
          <w:numId w:val="37"/>
        </w:numPr>
        <w:rPr>
          <w:rFonts w:ascii="Arial" w:hAnsi="Arial" w:cs="Arial"/>
          <w:sz w:val="24"/>
          <w:szCs w:val="24"/>
          <w:lang w:val="en-CA"/>
        </w:rPr>
      </w:pPr>
      <w:r w:rsidRPr="001C4B76">
        <w:rPr>
          <w:rFonts w:ascii="Arial" w:hAnsi="Arial" w:cs="Arial"/>
          <w:sz w:val="24"/>
          <w:szCs w:val="24"/>
          <w:lang w:val="en-CA"/>
        </w:rPr>
        <w:t xml:space="preserve">The prosecution </w:t>
      </w:r>
      <w:r w:rsidR="005D7FCE">
        <w:rPr>
          <w:rFonts w:ascii="Arial" w:hAnsi="Arial" w:cs="Arial"/>
          <w:sz w:val="24"/>
          <w:szCs w:val="24"/>
          <w:lang w:val="en-CA"/>
        </w:rPr>
        <w:t>called</w:t>
      </w:r>
      <w:r w:rsidR="005D7FCE" w:rsidRPr="001C4B76">
        <w:rPr>
          <w:rFonts w:ascii="Arial" w:hAnsi="Arial" w:cs="Arial"/>
          <w:sz w:val="24"/>
          <w:szCs w:val="24"/>
          <w:lang w:val="en-CA"/>
        </w:rPr>
        <w:t xml:space="preserve"> </w:t>
      </w:r>
      <w:r w:rsidRPr="001C4B76">
        <w:rPr>
          <w:rFonts w:ascii="Arial" w:hAnsi="Arial" w:cs="Arial"/>
          <w:sz w:val="24"/>
          <w:szCs w:val="24"/>
          <w:lang w:val="en-CA"/>
        </w:rPr>
        <w:t xml:space="preserve">investigator Frédéric Laforge on sentencing so that he could testify on </w:t>
      </w:r>
      <w:r w:rsidR="005D7FCE">
        <w:rPr>
          <w:rFonts w:ascii="Arial" w:hAnsi="Arial" w:cs="Arial"/>
          <w:sz w:val="24"/>
          <w:szCs w:val="24"/>
          <w:lang w:val="en-CA"/>
        </w:rPr>
        <w:t xml:space="preserve">how </w:t>
      </w:r>
      <w:r w:rsidRPr="001C4B76">
        <w:rPr>
          <w:rFonts w:ascii="Arial" w:hAnsi="Arial" w:cs="Arial"/>
          <w:sz w:val="24"/>
          <w:szCs w:val="24"/>
          <w:lang w:val="en-CA"/>
        </w:rPr>
        <w:t xml:space="preserve">the defendants and the Andrea </w:t>
      </w:r>
      <w:r w:rsidR="00C07EE2" w:rsidRPr="001C4B76">
        <w:rPr>
          <w:rFonts w:ascii="Arial" w:hAnsi="Arial" w:cs="Arial"/>
          <w:sz w:val="24"/>
          <w:szCs w:val="24"/>
          <w:lang w:val="en-CA"/>
        </w:rPr>
        <w:t>Cortellazzi</w:t>
      </w:r>
      <w:r w:rsidRPr="001C4B76">
        <w:rPr>
          <w:rFonts w:ascii="Arial" w:hAnsi="Arial" w:cs="Arial"/>
          <w:sz w:val="24"/>
          <w:szCs w:val="24"/>
          <w:lang w:val="en-CA"/>
        </w:rPr>
        <w:t xml:space="preserve"> organization </w:t>
      </w:r>
      <w:r w:rsidR="005D7FCE" w:rsidRPr="00057E23">
        <w:rPr>
          <w:rFonts w:ascii="Arial" w:hAnsi="Arial" w:cs="Arial"/>
          <w:sz w:val="24"/>
          <w:szCs w:val="24"/>
          <w:lang w:val="en-CA"/>
        </w:rPr>
        <w:t>be</w:t>
      </w:r>
      <w:r w:rsidR="005D7FCE">
        <w:rPr>
          <w:rFonts w:ascii="Arial" w:hAnsi="Arial" w:cs="Arial"/>
          <w:sz w:val="24"/>
          <w:szCs w:val="24"/>
          <w:lang w:val="en-CA"/>
        </w:rPr>
        <w:t xml:space="preserve">nefitted </w:t>
      </w:r>
      <w:r w:rsidRPr="001C4B76">
        <w:rPr>
          <w:rFonts w:ascii="Arial" w:hAnsi="Arial" w:cs="Arial"/>
          <w:sz w:val="24"/>
          <w:szCs w:val="24"/>
          <w:lang w:val="en-CA"/>
        </w:rPr>
        <w:t>from the commission of the offences.</w:t>
      </w:r>
    </w:p>
    <w:p w14:paraId="4A6DCDE1" w14:textId="77777777" w:rsidR="00CC047F" w:rsidRPr="001C4B76" w:rsidRDefault="00CC047F" w:rsidP="00CC047F">
      <w:pPr>
        <w:pStyle w:val="Paragraphedeliste"/>
        <w:numPr>
          <w:ilvl w:val="0"/>
          <w:numId w:val="37"/>
        </w:numPr>
        <w:rPr>
          <w:rFonts w:ascii="Arial" w:hAnsi="Arial" w:cs="Arial"/>
          <w:sz w:val="24"/>
          <w:szCs w:val="24"/>
          <w:lang w:val="en-CA"/>
        </w:rPr>
      </w:pPr>
      <w:r w:rsidRPr="001C4B76">
        <w:rPr>
          <w:rFonts w:ascii="Arial" w:hAnsi="Arial" w:cs="Arial"/>
          <w:sz w:val="24"/>
          <w:szCs w:val="24"/>
          <w:lang w:val="en-CA"/>
        </w:rPr>
        <w:t xml:space="preserve">The defence argues that investigator Laforge </w:t>
      </w:r>
      <w:r w:rsidR="005D7FCE">
        <w:rPr>
          <w:rFonts w:ascii="Arial" w:hAnsi="Arial" w:cs="Arial"/>
          <w:sz w:val="24"/>
          <w:szCs w:val="24"/>
          <w:lang w:val="en-CA"/>
        </w:rPr>
        <w:t>wa</w:t>
      </w:r>
      <w:r w:rsidRPr="001C4B76">
        <w:rPr>
          <w:rFonts w:ascii="Arial" w:hAnsi="Arial" w:cs="Arial"/>
          <w:sz w:val="24"/>
          <w:szCs w:val="24"/>
          <w:lang w:val="en-CA"/>
        </w:rPr>
        <w:t>s not qualified to testify because he is not a forensic accountant.</w:t>
      </w:r>
    </w:p>
    <w:p w14:paraId="7180204E" w14:textId="77777777" w:rsidR="00CC047F" w:rsidRPr="001C4B76" w:rsidRDefault="00CC047F" w:rsidP="00CC047F">
      <w:pPr>
        <w:pStyle w:val="Paragraphedeliste"/>
        <w:numPr>
          <w:ilvl w:val="0"/>
          <w:numId w:val="37"/>
        </w:numPr>
        <w:rPr>
          <w:rFonts w:ascii="Arial" w:hAnsi="Arial" w:cs="Arial"/>
          <w:sz w:val="24"/>
          <w:szCs w:val="24"/>
          <w:lang w:val="en-CA"/>
        </w:rPr>
      </w:pPr>
      <w:r w:rsidRPr="001C4B76">
        <w:rPr>
          <w:rFonts w:ascii="Arial" w:hAnsi="Arial" w:cs="Arial"/>
          <w:sz w:val="24"/>
          <w:szCs w:val="24"/>
          <w:lang w:val="en-CA"/>
        </w:rPr>
        <w:t xml:space="preserve">The defence also argues that the </w:t>
      </w:r>
      <w:r w:rsidR="005D7FCE">
        <w:rPr>
          <w:rFonts w:ascii="Arial" w:hAnsi="Arial" w:cs="Arial"/>
          <w:sz w:val="24"/>
          <w:szCs w:val="24"/>
          <w:lang w:val="en-CA"/>
        </w:rPr>
        <w:t>prosecution</w:t>
      </w:r>
      <w:r w:rsidR="005D7FCE" w:rsidRPr="001C4B76">
        <w:rPr>
          <w:rFonts w:ascii="Arial" w:hAnsi="Arial" w:cs="Arial"/>
          <w:sz w:val="24"/>
          <w:szCs w:val="24"/>
          <w:lang w:val="en-CA"/>
        </w:rPr>
        <w:t xml:space="preserve"> </w:t>
      </w:r>
      <w:r w:rsidRPr="001C4B76">
        <w:rPr>
          <w:rFonts w:ascii="Arial" w:hAnsi="Arial" w:cs="Arial"/>
          <w:sz w:val="24"/>
          <w:szCs w:val="24"/>
          <w:lang w:val="en-CA"/>
        </w:rPr>
        <w:t>has not proved the profits generated by the scheme.</w:t>
      </w:r>
    </w:p>
    <w:p w14:paraId="5B643BEE" w14:textId="77777777" w:rsidR="00CC047F" w:rsidRPr="001C4B76" w:rsidRDefault="00CC047F" w:rsidP="00CC047F">
      <w:pPr>
        <w:pStyle w:val="Paragraphedeliste"/>
        <w:numPr>
          <w:ilvl w:val="0"/>
          <w:numId w:val="37"/>
        </w:numPr>
        <w:rPr>
          <w:rFonts w:ascii="Arial" w:hAnsi="Arial" w:cs="Arial"/>
          <w:sz w:val="24"/>
          <w:szCs w:val="24"/>
          <w:lang w:val="en-CA"/>
        </w:rPr>
      </w:pPr>
      <w:r w:rsidRPr="001C4B76">
        <w:rPr>
          <w:rFonts w:ascii="Arial" w:hAnsi="Arial" w:cs="Arial"/>
          <w:sz w:val="24"/>
          <w:szCs w:val="24"/>
          <w:lang w:val="en-CA"/>
        </w:rPr>
        <w:t xml:space="preserve">The defence argues that the </w:t>
      </w:r>
      <w:r w:rsidR="005D7FCE">
        <w:rPr>
          <w:rFonts w:ascii="Arial" w:hAnsi="Arial" w:cs="Arial"/>
          <w:sz w:val="24"/>
          <w:szCs w:val="24"/>
          <w:lang w:val="en-CA"/>
        </w:rPr>
        <w:t>prosecution</w:t>
      </w:r>
      <w:r w:rsidRPr="001C4B76">
        <w:rPr>
          <w:rFonts w:ascii="Arial" w:hAnsi="Arial" w:cs="Arial"/>
          <w:sz w:val="24"/>
          <w:szCs w:val="24"/>
          <w:lang w:val="en-CA"/>
        </w:rPr>
        <w:t xml:space="preserve"> cannot </w:t>
      </w:r>
      <w:r w:rsidR="00C07EE2" w:rsidRPr="001C4B76">
        <w:rPr>
          <w:rFonts w:ascii="Arial" w:hAnsi="Arial" w:cs="Arial"/>
          <w:sz w:val="24"/>
          <w:szCs w:val="24"/>
          <w:lang w:val="en-CA"/>
        </w:rPr>
        <w:t>attribute</w:t>
      </w:r>
      <w:r w:rsidRPr="001C4B76">
        <w:rPr>
          <w:rFonts w:ascii="Arial" w:hAnsi="Arial" w:cs="Arial"/>
          <w:sz w:val="24"/>
          <w:szCs w:val="24"/>
          <w:lang w:val="en-CA"/>
        </w:rPr>
        <w:t xml:space="preserve"> to the defendant Raso Cortellazzi the profits from his company MJRC Inc., which </w:t>
      </w:r>
      <w:r w:rsidR="005D7FCE">
        <w:rPr>
          <w:rFonts w:ascii="Arial" w:hAnsi="Arial" w:cs="Arial"/>
          <w:sz w:val="24"/>
          <w:szCs w:val="24"/>
          <w:lang w:val="en-CA"/>
        </w:rPr>
        <w:t>w</w:t>
      </w:r>
      <w:r w:rsidRPr="001C4B76">
        <w:rPr>
          <w:rFonts w:ascii="Arial" w:hAnsi="Arial" w:cs="Arial"/>
          <w:sz w:val="24"/>
          <w:szCs w:val="24"/>
          <w:lang w:val="en-CA"/>
        </w:rPr>
        <w:t xml:space="preserve">as not </w:t>
      </w:r>
      <w:r w:rsidR="005D7FCE">
        <w:rPr>
          <w:rFonts w:ascii="Arial" w:hAnsi="Arial" w:cs="Arial"/>
          <w:sz w:val="24"/>
          <w:szCs w:val="24"/>
          <w:lang w:val="en-CA"/>
        </w:rPr>
        <w:t>charg</w:t>
      </w:r>
      <w:r w:rsidR="005D7FCE" w:rsidRPr="001C4B76">
        <w:rPr>
          <w:rFonts w:ascii="Arial" w:hAnsi="Arial" w:cs="Arial"/>
          <w:sz w:val="24"/>
          <w:szCs w:val="24"/>
          <w:lang w:val="en-CA"/>
        </w:rPr>
        <w:t>ed</w:t>
      </w:r>
      <w:r w:rsidRPr="001C4B76">
        <w:rPr>
          <w:rFonts w:ascii="Arial" w:hAnsi="Arial" w:cs="Arial"/>
          <w:sz w:val="24"/>
          <w:szCs w:val="24"/>
          <w:lang w:val="en-CA"/>
        </w:rPr>
        <w:t xml:space="preserve">. </w:t>
      </w:r>
    </w:p>
    <w:p w14:paraId="2F5C135F" w14:textId="77777777" w:rsidR="00CC047F" w:rsidRPr="001C4B76" w:rsidRDefault="00CC047F" w:rsidP="00CC047F">
      <w:pPr>
        <w:ind w:left="360"/>
        <w:rPr>
          <w:rFonts w:cs="Arial"/>
          <w:b/>
          <w:bCs/>
          <w:szCs w:val="24"/>
          <w:lang w:val="en-CA"/>
        </w:rPr>
      </w:pPr>
      <w:r w:rsidRPr="001C4B76">
        <w:rPr>
          <w:rFonts w:cs="Arial"/>
          <w:b/>
          <w:bCs/>
          <w:szCs w:val="24"/>
          <w:lang w:val="en-CA"/>
        </w:rPr>
        <w:t>Background</w:t>
      </w:r>
    </w:p>
    <w:p w14:paraId="7A5FEB4A" w14:textId="77777777" w:rsidR="00D0551A" w:rsidRPr="001C4B76" w:rsidRDefault="00D0551A" w:rsidP="00D0551A">
      <w:pPr>
        <w:ind w:left="360"/>
        <w:rPr>
          <w:rFonts w:cs="Arial"/>
          <w:b/>
          <w:bCs/>
          <w:szCs w:val="24"/>
          <w:lang w:val="en-CA"/>
        </w:rPr>
      </w:pPr>
    </w:p>
    <w:p w14:paraId="4CD27689" w14:textId="77777777" w:rsidR="00CC047F" w:rsidRPr="001C4B76" w:rsidRDefault="00CC047F" w:rsidP="00CC047F">
      <w:pPr>
        <w:pStyle w:val="Paragraphe"/>
        <w:numPr>
          <w:ilvl w:val="0"/>
          <w:numId w:val="1"/>
        </w:numPr>
        <w:tabs>
          <w:tab w:val="clear" w:pos="360"/>
        </w:tabs>
        <w:spacing w:line="240" w:lineRule="auto"/>
        <w:rPr>
          <w:rFonts w:cs="Arial"/>
          <w:b/>
          <w:lang w:val="en-CA"/>
        </w:rPr>
      </w:pPr>
      <w:r w:rsidRPr="001C4B76">
        <w:rPr>
          <w:rFonts w:cs="Arial"/>
          <w:lang w:val="en-CA"/>
        </w:rPr>
        <w:t xml:space="preserve">On January 18, 2023, the Court found the defendants </w:t>
      </w:r>
      <w:r w:rsidR="005D7FCE">
        <w:rPr>
          <w:rFonts w:cs="Arial"/>
          <w:lang w:val="en-CA"/>
        </w:rPr>
        <w:t xml:space="preserve">Raso Cortellazzi and Savaris </w:t>
      </w:r>
      <w:r w:rsidRPr="001C4B76">
        <w:rPr>
          <w:rFonts w:cs="Arial"/>
          <w:lang w:val="en-CA"/>
        </w:rPr>
        <w:t>guilty of influencing or attempting to influence the market price or the value of securities by means of unfair, improper or fraudulent practices.</w:t>
      </w:r>
      <w:r w:rsidRPr="001C4B76">
        <w:rPr>
          <w:rStyle w:val="Appelnotedebasdep"/>
          <w:rFonts w:cs="Arial"/>
          <w:lang w:val="en-CA"/>
        </w:rPr>
        <w:footnoteReference w:id="2"/>
      </w:r>
      <w:r w:rsidRPr="001C4B76">
        <w:rPr>
          <w:rFonts w:cs="Arial"/>
          <w:lang w:val="en-CA"/>
        </w:rPr>
        <w:t xml:space="preserve"> </w:t>
      </w:r>
    </w:p>
    <w:p w14:paraId="411A3AF7" w14:textId="77777777" w:rsidR="00CC047F" w:rsidRPr="001C4B76" w:rsidRDefault="00CC047F" w:rsidP="00CC047F">
      <w:pPr>
        <w:pStyle w:val="Paragraphe"/>
        <w:numPr>
          <w:ilvl w:val="0"/>
          <w:numId w:val="1"/>
        </w:numPr>
        <w:tabs>
          <w:tab w:val="clear" w:pos="360"/>
        </w:tabs>
        <w:spacing w:line="240" w:lineRule="auto"/>
        <w:rPr>
          <w:rFonts w:cs="Arial"/>
          <w:b/>
          <w:lang w:val="en-CA"/>
        </w:rPr>
      </w:pPr>
      <w:r w:rsidRPr="001C4B76">
        <w:rPr>
          <w:rFonts w:cs="Arial"/>
          <w:bCs/>
          <w:szCs w:val="24"/>
          <w:lang w:val="en-CA"/>
        </w:rPr>
        <w:lastRenderedPageBreak/>
        <w:t xml:space="preserve">The Court found that the defendants, who were </w:t>
      </w:r>
      <w:r w:rsidR="00D02627">
        <w:rPr>
          <w:rFonts w:cs="Arial"/>
          <w:bCs/>
          <w:szCs w:val="24"/>
          <w:lang w:val="en-CA"/>
        </w:rPr>
        <w:t xml:space="preserve">members </w:t>
      </w:r>
      <w:r w:rsidRPr="001C4B76">
        <w:rPr>
          <w:rFonts w:cs="Arial"/>
          <w:bCs/>
          <w:szCs w:val="24"/>
          <w:lang w:val="en-CA"/>
        </w:rPr>
        <w:t xml:space="preserve">of the organization of the late Andrea Cortellazzi (the defendant Raso </w:t>
      </w:r>
      <w:proofErr w:type="spellStart"/>
      <w:r w:rsidRPr="001C4B76">
        <w:rPr>
          <w:rFonts w:cs="Arial"/>
          <w:bCs/>
          <w:szCs w:val="24"/>
          <w:lang w:val="en-CA"/>
        </w:rPr>
        <w:t>Cortellaz</w:t>
      </w:r>
      <w:r w:rsidR="00D02627">
        <w:rPr>
          <w:rFonts w:cs="Arial"/>
          <w:bCs/>
          <w:szCs w:val="24"/>
          <w:lang w:val="en-CA"/>
        </w:rPr>
        <w:t>z</w:t>
      </w:r>
      <w:r w:rsidRPr="001C4B76">
        <w:rPr>
          <w:rFonts w:cs="Arial"/>
          <w:bCs/>
          <w:szCs w:val="24"/>
          <w:lang w:val="en-CA"/>
        </w:rPr>
        <w:t>i</w:t>
      </w:r>
      <w:r w:rsidR="00D02627">
        <w:rPr>
          <w:rFonts w:cs="Arial"/>
          <w:bCs/>
          <w:szCs w:val="24"/>
          <w:lang w:val="en-CA"/>
        </w:rPr>
        <w:t>’s</w:t>
      </w:r>
      <w:proofErr w:type="spellEnd"/>
      <w:r w:rsidR="00D02627">
        <w:rPr>
          <w:rFonts w:cs="Arial"/>
          <w:bCs/>
          <w:szCs w:val="24"/>
          <w:lang w:val="en-CA"/>
        </w:rPr>
        <w:t xml:space="preserve"> father</w:t>
      </w:r>
      <w:r w:rsidRPr="001C4B76">
        <w:rPr>
          <w:rFonts w:cs="Arial"/>
          <w:bCs/>
          <w:szCs w:val="24"/>
          <w:lang w:val="en-CA"/>
        </w:rPr>
        <w:t>)</w:t>
      </w:r>
      <w:r w:rsidR="00D02627">
        <w:rPr>
          <w:rFonts w:cs="Arial"/>
          <w:bCs/>
          <w:szCs w:val="24"/>
          <w:lang w:val="en-CA"/>
        </w:rPr>
        <w:t>,</w:t>
      </w:r>
      <w:r w:rsidRPr="001C4B76">
        <w:rPr>
          <w:rFonts w:cs="Arial"/>
          <w:bCs/>
          <w:szCs w:val="24"/>
          <w:lang w:val="en-CA"/>
        </w:rPr>
        <w:t xml:space="preserve"> committed acts that constitute fraudulent practices in the context of an illegal </w:t>
      </w:r>
      <w:r w:rsidR="00FC49BF">
        <w:rPr>
          <w:rFonts w:cs="Arial"/>
          <w:bCs/>
          <w:szCs w:val="24"/>
          <w:lang w:val="en-CA"/>
        </w:rPr>
        <w:t>“</w:t>
      </w:r>
      <w:r w:rsidRPr="001C4B76">
        <w:rPr>
          <w:rFonts w:cs="Arial"/>
          <w:bCs/>
          <w:szCs w:val="24"/>
          <w:lang w:val="en-CA"/>
        </w:rPr>
        <w:t>pump and dump” scheme to influence or attempt to influence the stock market, namely, the market price or value of the securities of HE-5 Resources Corporation</w:t>
      </w:r>
      <w:r w:rsidR="00D02627">
        <w:rPr>
          <w:rFonts w:cs="Arial"/>
          <w:bCs/>
          <w:szCs w:val="24"/>
          <w:lang w:val="en-CA"/>
        </w:rPr>
        <w:t xml:space="preserve"> (HE-5)</w:t>
      </w:r>
      <w:r w:rsidRPr="001C4B76">
        <w:rPr>
          <w:rFonts w:cs="Arial"/>
          <w:bCs/>
          <w:szCs w:val="24"/>
          <w:lang w:val="en-CA"/>
        </w:rPr>
        <w:t>, UMining Resources Inc.  (UM</w:t>
      </w:r>
      <w:r w:rsidR="00D02627">
        <w:rPr>
          <w:rFonts w:cs="Arial"/>
          <w:bCs/>
          <w:szCs w:val="24"/>
          <w:lang w:val="en-CA"/>
        </w:rPr>
        <w:t>ining</w:t>
      </w:r>
      <w:r w:rsidRPr="001C4B76">
        <w:rPr>
          <w:rFonts w:cs="Arial"/>
          <w:bCs/>
          <w:szCs w:val="24"/>
          <w:lang w:val="en-CA"/>
        </w:rPr>
        <w:t>) and Neuro Biotech Corp. (Neuro Biotech).</w:t>
      </w:r>
    </w:p>
    <w:p w14:paraId="2654DD5D" w14:textId="77777777" w:rsidR="00CC047F" w:rsidRPr="001C4B76" w:rsidRDefault="00CC047F" w:rsidP="00CC047F">
      <w:pPr>
        <w:pStyle w:val="Paragraphe"/>
        <w:numPr>
          <w:ilvl w:val="0"/>
          <w:numId w:val="1"/>
        </w:numPr>
        <w:tabs>
          <w:tab w:val="clear" w:pos="360"/>
        </w:tabs>
        <w:spacing w:line="240" w:lineRule="auto"/>
        <w:rPr>
          <w:rFonts w:cs="Arial"/>
          <w:b/>
          <w:lang w:val="en-CA"/>
        </w:rPr>
      </w:pPr>
      <w:r w:rsidRPr="001C4B76">
        <w:rPr>
          <w:rFonts w:cs="Arial"/>
          <w:bCs/>
          <w:szCs w:val="24"/>
          <w:lang w:val="en-CA"/>
        </w:rPr>
        <w:t xml:space="preserve">They </w:t>
      </w:r>
      <w:r w:rsidR="004C5E1C">
        <w:rPr>
          <w:rFonts w:cs="Arial"/>
          <w:bCs/>
          <w:szCs w:val="24"/>
          <w:lang w:val="en-CA"/>
        </w:rPr>
        <w:t>a</w:t>
      </w:r>
      <w:r w:rsidRPr="001C4B76">
        <w:rPr>
          <w:rFonts w:cs="Arial"/>
          <w:bCs/>
          <w:szCs w:val="24"/>
          <w:lang w:val="en-CA"/>
        </w:rPr>
        <w:t>re micro-cap companies listed on the U.S. Over-the-Counter markets (“OTC markets”) and known as “Pink Sheets”. Their securities have a very low value and are called “penny stocks”.</w:t>
      </w:r>
    </w:p>
    <w:p w14:paraId="20BD0524" w14:textId="77777777" w:rsidR="00CC047F" w:rsidRPr="001C4B76" w:rsidRDefault="00CC047F" w:rsidP="00CC047F">
      <w:pPr>
        <w:pStyle w:val="Paragraphe"/>
        <w:numPr>
          <w:ilvl w:val="0"/>
          <w:numId w:val="1"/>
        </w:numPr>
        <w:tabs>
          <w:tab w:val="clear" w:pos="360"/>
        </w:tabs>
        <w:spacing w:line="240" w:lineRule="auto"/>
        <w:rPr>
          <w:rFonts w:cs="Arial"/>
          <w:b/>
          <w:lang w:val="en-CA"/>
        </w:rPr>
      </w:pPr>
      <w:r w:rsidRPr="001C4B76">
        <w:rPr>
          <w:rFonts w:cs="Arial"/>
          <w:bCs/>
          <w:szCs w:val="24"/>
          <w:lang w:val="en-CA"/>
        </w:rPr>
        <w:t>The evidence establishe</w:t>
      </w:r>
      <w:r w:rsidR="00FC49BF">
        <w:rPr>
          <w:rFonts w:cs="Arial"/>
          <w:bCs/>
          <w:szCs w:val="24"/>
          <w:lang w:val="en-CA"/>
        </w:rPr>
        <w:t>s</w:t>
      </w:r>
      <w:r w:rsidRPr="001C4B76">
        <w:rPr>
          <w:rFonts w:cs="Arial"/>
          <w:bCs/>
          <w:szCs w:val="24"/>
          <w:lang w:val="en-CA"/>
        </w:rPr>
        <w:t xml:space="preserve"> that the defendants and the other members of the organization participated in the various steps of the “pump and dump” scheme using “empty shell” companies, false documents, prête-noms, and misleading or exaggerated press releases. The steps of the scheme were the following:</w:t>
      </w:r>
    </w:p>
    <w:p w14:paraId="0E7AED14" w14:textId="77777777" w:rsidR="00CC047F" w:rsidRPr="001C4B76" w:rsidRDefault="00CC047F" w:rsidP="00CC047F">
      <w:pPr>
        <w:pStyle w:val="Paragraphedeliste"/>
        <w:numPr>
          <w:ilvl w:val="0"/>
          <w:numId w:val="37"/>
        </w:numPr>
        <w:spacing w:before="120" w:after="120" w:line="500" w:lineRule="exact"/>
        <w:contextualSpacing w:val="0"/>
        <w:jc w:val="both"/>
        <w:rPr>
          <w:rFonts w:ascii="Arial" w:hAnsi="Arial" w:cs="Arial"/>
          <w:bCs/>
          <w:sz w:val="24"/>
          <w:szCs w:val="24"/>
          <w:lang w:val="en-CA"/>
        </w:rPr>
      </w:pPr>
      <w:r w:rsidRPr="001C4B76">
        <w:rPr>
          <w:rFonts w:ascii="Arial" w:hAnsi="Arial" w:cs="Arial"/>
          <w:bCs/>
          <w:sz w:val="24"/>
          <w:szCs w:val="24"/>
          <w:lang w:val="en-CA"/>
        </w:rPr>
        <w:t xml:space="preserve">Issue shares for each of the </w:t>
      </w:r>
      <w:r w:rsidR="00FC49BF" w:rsidRPr="001C4B76">
        <w:rPr>
          <w:rFonts w:ascii="Arial" w:hAnsi="Arial" w:cs="Arial"/>
          <w:bCs/>
          <w:sz w:val="24"/>
          <w:szCs w:val="24"/>
          <w:lang w:val="en-CA"/>
        </w:rPr>
        <w:t>companies</w:t>
      </w:r>
      <w:r w:rsidRPr="001C4B76">
        <w:rPr>
          <w:rFonts w:ascii="Arial" w:hAnsi="Arial" w:cs="Arial"/>
          <w:bCs/>
          <w:sz w:val="24"/>
          <w:szCs w:val="24"/>
          <w:lang w:val="en-CA"/>
        </w:rPr>
        <w:t>;</w:t>
      </w:r>
    </w:p>
    <w:p w14:paraId="1CE5D82F" w14:textId="77777777" w:rsidR="00CC047F" w:rsidRPr="001C4B76" w:rsidRDefault="00CC047F" w:rsidP="00CC047F">
      <w:pPr>
        <w:pStyle w:val="Paragraphedeliste"/>
        <w:numPr>
          <w:ilvl w:val="0"/>
          <w:numId w:val="37"/>
        </w:numPr>
        <w:rPr>
          <w:rFonts w:ascii="Arial" w:hAnsi="Arial" w:cs="Arial"/>
          <w:bCs/>
          <w:sz w:val="24"/>
          <w:szCs w:val="24"/>
          <w:lang w:val="en-CA"/>
        </w:rPr>
      </w:pPr>
      <w:r w:rsidRPr="001C4B76">
        <w:rPr>
          <w:rFonts w:ascii="Arial" w:hAnsi="Arial" w:cs="Arial"/>
          <w:bCs/>
          <w:sz w:val="24"/>
          <w:szCs w:val="24"/>
          <w:lang w:val="en-CA"/>
        </w:rPr>
        <w:t xml:space="preserve">Create economic activities that appear legitimate for each of these companies; </w:t>
      </w:r>
    </w:p>
    <w:p w14:paraId="38A3343A" w14:textId="77777777" w:rsidR="00CC047F" w:rsidRPr="001C4B76" w:rsidRDefault="00CC047F" w:rsidP="00CC047F">
      <w:pPr>
        <w:pStyle w:val="Paragraphedeliste"/>
        <w:numPr>
          <w:ilvl w:val="0"/>
          <w:numId w:val="37"/>
        </w:numPr>
        <w:rPr>
          <w:rFonts w:ascii="Arial" w:hAnsi="Arial" w:cs="Arial"/>
          <w:bCs/>
          <w:sz w:val="24"/>
          <w:szCs w:val="24"/>
          <w:lang w:val="en-CA"/>
        </w:rPr>
      </w:pPr>
      <w:r w:rsidRPr="001C4B76">
        <w:rPr>
          <w:rFonts w:ascii="Arial" w:hAnsi="Arial" w:cs="Arial"/>
          <w:bCs/>
          <w:sz w:val="24"/>
          <w:szCs w:val="24"/>
          <w:lang w:val="en-CA"/>
        </w:rPr>
        <w:t>Promote the companies and their economic activities;</w:t>
      </w:r>
    </w:p>
    <w:p w14:paraId="681774E7" w14:textId="77777777" w:rsidR="00CC047F" w:rsidRPr="001C4B76" w:rsidRDefault="00CC047F" w:rsidP="00CC047F">
      <w:pPr>
        <w:pStyle w:val="Paragraphedeliste"/>
        <w:numPr>
          <w:ilvl w:val="0"/>
          <w:numId w:val="37"/>
        </w:numPr>
        <w:rPr>
          <w:rFonts w:ascii="Arial" w:hAnsi="Arial" w:cs="Arial"/>
          <w:bCs/>
          <w:sz w:val="24"/>
          <w:szCs w:val="24"/>
          <w:lang w:val="en-CA"/>
        </w:rPr>
      </w:pPr>
      <w:r w:rsidRPr="001C4B76">
        <w:rPr>
          <w:rFonts w:ascii="Arial" w:hAnsi="Arial" w:cs="Arial"/>
          <w:bCs/>
          <w:sz w:val="24"/>
          <w:szCs w:val="24"/>
          <w:lang w:val="en-CA"/>
        </w:rPr>
        <w:t>Sell-off the securities of the companies;</w:t>
      </w:r>
    </w:p>
    <w:p w14:paraId="66ECA7F8" w14:textId="77777777" w:rsidR="00CC047F" w:rsidRPr="001C4B76" w:rsidRDefault="00CC047F" w:rsidP="00CC047F">
      <w:pPr>
        <w:pStyle w:val="Paragraphedeliste"/>
        <w:numPr>
          <w:ilvl w:val="0"/>
          <w:numId w:val="37"/>
        </w:numPr>
        <w:rPr>
          <w:rFonts w:ascii="Arial" w:hAnsi="Arial" w:cs="Arial"/>
          <w:bCs/>
          <w:sz w:val="24"/>
          <w:szCs w:val="24"/>
          <w:lang w:val="en-CA"/>
        </w:rPr>
      </w:pPr>
      <w:r w:rsidRPr="001C4B76">
        <w:rPr>
          <w:rFonts w:ascii="Arial" w:hAnsi="Arial" w:cs="Arial"/>
          <w:bCs/>
          <w:sz w:val="24"/>
          <w:szCs w:val="24"/>
          <w:lang w:val="en-CA"/>
        </w:rPr>
        <w:t>Collect the profits from those sales.</w:t>
      </w:r>
    </w:p>
    <w:p w14:paraId="1FF4BE12" w14:textId="77777777" w:rsidR="00CC047F" w:rsidRPr="001C4B76" w:rsidRDefault="00CC047F" w:rsidP="00CC047F">
      <w:pPr>
        <w:pStyle w:val="Paragraphedeliste"/>
        <w:rPr>
          <w:rFonts w:ascii="Arial" w:hAnsi="Arial" w:cs="Arial"/>
          <w:bCs/>
          <w:sz w:val="24"/>
          <w:szCs w:val="24"/>
          <w:lang w:val="en-CA"/>
        </w:rPr>
      </w:pPr>
    </w:p>
    <w:p w14:paraId="0B2C7E60"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Court found that the defendants </w:t>
      </w:r>
      <w:r w:rsidR="00A87494">
        <w:rPr>
          <w:rFonts w:cs="Arial"/>
          <w:lang w:val="en-CA"/>
        </w:rPr>
        <w:t>participated</w:t>
      </w:r>
      <w:r w:rsidRPr="001C4B76">
        <w:rPr>
          <w:rFonts w:cs="Arial"/>
          <w:lang w:val="en-CA"/>
        </w:rPr>
        <w:t xml:space="preserve"> in each of these steps, namely, by planning, drafting</w:t>
      </w:r>
      <w:r w:rsidR="004C5E1C">
        <w:rPr>
          <w:rFonts w:cs="Arial"/>
          <w:lang w:val="en-CA"/>
        </w:rPr>
        <w:t>,</w:t>
      </w:r>
      <w:r w:rsidRPr="001C4B76">
        <w:rPr>
          <w:rFonts w:cs="Arial"/>
          <w:lang w:val="en-CA"/>
        </w:rPr>
        <w:t xml:space="preserve"> and ultimately distributing </w:t>
      </w:r>
      <w:r w:rsidR="00707895" w:rsidRPr="001C4B76">
        <w:rPr>
          <w:rFonts w:cs="Arial"/>
          <w:lang w:val="en-CA"/>
        </w:rPr>
        <w:t xml:space="preserve">the misleading or exaggerated press releases </w:t>
      </w:r>
      <w:r w:rsidRPr="001C4B76">
        <w:rPr>
          <w:rFonts w:cs="Arial"/>
          <w:lang w:val="en-CA"/>
        </w:rPr>
        <w:t xml:space="preserve">to investors in different markets. In addition, the defendants traded the securities of </w:t>
      </w:r>
      <w:r w:rsidR="00707895">
        <w:rPr>
          <w:rFonts w:cs="Arial"/>
          <w:lang w:val="en-CA"/>
        </w:rPr>
        <w:t xml:space="preserve">the </w:t>
      </w:r>
      <w:r w:rsidRPr="001C4B76">
        <w:rPr>
          <w:rFonts w:cs="Arial"/>
          <w:lang w:val="en-CA"/>
        </w:rPr>
        <w:t xml:space="preserve">companies named in the charges and made profits </w:t>
      </w:r>
      <w:r w:rsidR="00FC49BF" w:rsidRPr="001C4B76">
        <w:rPr>
          <w:rFonts w:cs="Arial"/>
          <w:lang w:val="en-CA"/>
        </w:rPr>
        <w:t>therefrom</w:t>
      </w:r>
      <w:r w:rsidR="00707895">
        <w:rPr>
          <w:rFonts w:cs="Arial"/>
          <w:lang w:val="en-CA"/>
        </w:rPr>
        <w:t xml:space="preserve"> through</w:t>
      </w:r>
      <w:r w:rsidRPr="001C4B76">
        <w:rPr>
          <w:rFonts w:cs="Arial"/>
          <w:lang w:val="en-CA"/>
        </w:rPr>
        <w:t xml:space="preserve"> brokerage accounts.</w:t>
      </w:r>
    </w:p>
    <w:p w14:paraId="44F8E771"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bCs/>
          <w:szCs w:val="24"/>
          <w:lang w:val="en-CA"/>
        </w:rPr>
        <w:t>The defendants and other members of the organization</w:t>
      </w:r>
      <w:r w:rsidR="007E51B0">
        <w:rPr>
          <w:rFonts w:cs="Arial"/>
          <w:bCs/>
          <w:szCs w:val="24"/>
          <w:lang w:val="en-CA"/>
        </w:rPr>
        <w:t xml:space="preserve"> benefitted from the profits realized</w:t>
      </w:r>
      <w:r w:rsidRPr="001C4B76">
        <w:rPr>
          <w:rFonts w:cs="Arial"/>
          <w:bCs/>
          <w:szCs w:val="24"/>
          <w:lang w:val="en-CA"/>
        </w:rPr>
        <w:t>. Those profits were also reinvested in the organization to finance the “pump and dump” scheme.</w:t>
      </w:r>
    </w:p>
    <w:p w14:paraId="1BD3A73B"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bCs/>
          <w:szCs w:val="24"/>
          <w:lang w:val="en-CA"/>
        </w:rPr>
        <w:t xml:space="preserve">The Court found </w:t>
      </w:r>
      <w:r w:rsidR="007E51B0">
        <w:rPr>
          <w:rFonts w:cs="Arial"/>
          <w:bCs/>
          <w:szCs w:val="24"/>
          <w:lang w:val="en-CA"/>
        </w:rPr>
        <w:t xml:space="preserve">that </w:t>
      </w:r>
      <w:r w:rsidRPr="001C4B76">
        <w:rPr>
          <w:rFonts w:cs="Arial"/>
          <w:bCs/>
          <w:szCs w:val="24"/>
          <w:lang w:val="en-CA"/>
        </w:rPr>
        <w:t>the defendant Raso Cortellaz</w:t>
      </w:r>
      <w:r w:rsidR="004C5E1C">
        <w:rPr>
          <w:rFonts w:cs="Arial"/>
          <w:bCs/>
          <w:szCs w:val="24"/>
          <w:lang w:val="en-CA"/>
        </w:rPr>
        <w:t>z</w:t>
      </w:r>
      <w:r w:rsidRPr="001C4B76">
        <w:rPr>
          <w:rFonts w:cs="Arial"/>
          <w:bCs/>
          <w:szCs w:val="24"/>
          <w:lang w:val="en-CA"/>
        </w:rPr>
        <w:t xml:space="preserve">i was aware of what was happening within his father’s organization, and that he played an important part in it. The Court did not accept the defence’s </w:t>
      </w:r>
      <w:r w:rsidR="007E51B0">
        <w:rPr>
          <w:rFonts w:cs="Arial"/>
          <w:bCs/>
          <w:szCs w:val="24"/>
          <w:lang w:val="en-CA"/>
        </w:rPr>
        <w:t xml:space="preserve">arguments </w:t>
      </w:r>
      <w:r w:rsidRPr="001C4B76">
        <w:rPr>
          <w:rFonts w:cs="Arial"/>
          <w:bCs/>
          <w:szCs w:val="24"/>
          <w:lang w:val="en-CA"/>
        </w:rPr>
        <w:t xml:space="preserve">that the defendant was merely his father’s gofer, </w:t>
      </w:r>
      <w:r w:rsidR="00FC49BF">
        <w:rPr>
          <w:rFonts w:cs="Arial"/>
          <w:bCs/>
          <w:szCs w:val="24"/>
          <w:lang w:val="en-CA"/>
        </w:rPr>
        <w:t xml:space="preserve">had </w:t>
      </w:r>
      <w:r w:rsidRPr="001C4B76">
        <w:rPr>
          <w:rFonts w:cs="Arial"/>
          <w:bCs/>
          <w:szCs w:val="24"/>
          <w:lang w:val="en-CA"/>
        </w:rPr>
        <w:t>no control, and thought the organization was legal.</w:t>
      </w:r>
    </w:p>
    <w:p w14:paraId="21C3395C" w14:textId="77777777" w:rsidR="00CC047F" w:rsidRPr="001C4B76" w:rsidRDefault="00CC047F" w:rsidP="00CC047F">
      <w:pPr>
        <w:pStyle w:val="Paragraphe"/>
        <w:numPr>
          <w:ilvl w:val="0"/>
          <w:numId w:val="1"/>
        </w:numPr>
        <w:tabs>
          <w:tab w:val="clear" w:pos="360"/>
        </w:tabs>
        <w:spacing w:before="0" w:after="0" w:line="240" w:lineRule="auto"/>
        <w:rPr>
          <w:rFonts w:cs="Arial"/>
          <w:lang w:val="en-CA"/>
        </w:rPr>
      </w:pPr>
      <w:r w:rsidRPr="001C4B76">
        <w:rPr>
          <w:rFonts w:cs="Arial"/>
          <w:bCs/>
          <w:szCs w:val="24"/>
          <w:lang w:val="en-CA"/>
        </w:rPr>
        <w:t xml:space="preserve">The Court also found that </w:t>
      </w:r>
      <w:r w:rsidR="007E51B0">
        <w:rPr>
          <w:rFonts w:cs="Arial"/>
          <w:bCs/>
          <w:szCs w:val="24"/>
          <w:lang w:val="en-CA"/>
        </w:rPr>
        <w:t xml:space="preserve">the </w:t>
      </w:r>
      <w:r w:rsidRPr="001C4B76">
        <w:rPr>
          <w:rFonts w:cs="Arial"/>
          <w:bCs/>
          <w:szCs w:val="24"/>
          <w:lang w:val="en-CA"/>
        </w:rPr>
        <w:t xml:space="preserve">defendant Savaris </w:t>
      </w:r>
      <w:r w:rsidR="00FC49BF">
        <w:rPr>
          <w:rFonts w:cs="Arial"/>
          <w:bCs/>
          <w:szCs w:val="24"/>
          <w:lang w:val="en-CA"/>
        </w:rPr>
        <w:t>performed</w:t>
      </w:r>
      <w:r w:rsidRPr="001C4B76">
        <w:rPr>
          <w:rFonts w:cs="Arial"/>
          <w:bCs/>
          <w:szCs w:val="24"/>
          <w:lang w:val="en-CA"/>
        </w:rPr>
        <w:t xml:space="preserve"> tasks for the organization at different steps of the </w:t>
      </w:r>
      <w:r w:rsidR="00FC49BF" w:rsidRPr="001C4B76">
        <w:rPr>
          <w:rFonts w:cs="Arial"/>
          <w:bCs/>
          <w:szCs w:val="24"/>
          <w:lang w:val="en-CA"/>
        </w:rPr>
        <w:t>scheme</w:t>
      </w:r>
      <w:r w:rsidRPr="001C4B76">
        <w:rPr>
          <w:rFonts w:cs="Arial"/>
          <w:bCs/>
          <w:szCs w:val="24"/>
          <w:lang w:val="en-CA"/>
        </w:rPr>
        <w:t xml:space="preserve">, and that </w:t>
      </w:r>
      <w:r w:rsidR="00FC49BF">
        <w:rPr>
          <w:rFonts w:cs="Arial"/>
          <w:bCs/>
          <w:szCs w:val="24"/>
          <w:lang w:val="en-CA"/>
        </w:rPr>
        <w:t>his role</w:t>
      </w:r>
      <w:r w:rsidRPr="001C4B76">
        <w:rPr>
          <w:rFonts w:cs="Arial"/>
          <w:bCs/>
          <w:szCs w:val="24"/>
          <w:lang w:val="en-CA"/>
        </w:rPr>
        <w:t xml:space="preserve"> </w:t>
      </w:r>
      <w:r w:rsidR="00FC49BF">
        <w:rPr>
          <w:rFonts w:cs="Arial"/>
          <w:bCs/>
          <w:szCs w:val="24"/>
          <w:lang w:val="en-CA"/>
        </w:rPr>
        <w:t>was not limited to</w:t>
      </w:r>
      <w:r w:rsidRPr="001C4B76">
        <w:rPr>
          <w:rFonts w:cs="Arial"/>
          <w:bCs/>
          <w:szCs w:val="24"/>
          <w:lang w:val="en-CA"/>
        </w:rPr>
        <w:t xml:space="preserve"> editing the press releases</w:t>
      </w:r>
      <w:r w:rsidR="002905A2">
        <w:rPr>
          <w:rFonts w:cs="Arial"/>
          <w:bCs/>
          <w:szCs w:val="24"/>
          <w:lang w:val="en-CA"/>
        </w:rPr>
        <w:t xml:space="preserve">, </w:t>
      </w:r>
      <w:r w:rsidR="002905A2" w:rsidRPr="001C4B76">
        <w:rPr>
          <w:rFonts w:cs="Arial"/>
          <w:bCs/>
          <w:szCs w:val="24"/>
          <w:lang w:val="en-CA"/>
        </w:rPr>
        <w:t xml:space="preserve">as the defence </w:t>
      </w:r>
      <w:r w:rsidR="00A87494" w:rsidRPr="001C4B76">
        <w:rPr>
          <w:rFonts w:cs="Arial"/>
          <w:bCs/>
          <w:szCs w:val="24"/>
          <w:lang w:val="en-CA"/>
        </w:rPr>
        <w:t>argue</w:t>
      </w:r>
      <w:r w:rsidR="007E51B0">
        <w:rPr>
          <w:rFonts w:cs="Arial"/>
          <w:bCs/>
          <w:szCs w:val="24"/>
          <w:lang w:val="en-CA"/>
        </w:rPr>
        <w:t>d</w:t>
      </w:r>
      <w:r w:rsidR="00A87494" w:rsidRPr="001C4B76">
        <w:rPr>
          <w:rFonts w:cs="Arial"/>
          <w:bCs/>
          <w:szCs w:val="24"/>
          <w:lang w:val="en-CA"/>
        </w:rPr>
        <w:t>.</w:t>
      </w:r>
    </w:p>
    <w:p w14:paraId="597C375E" w14:textId="77777777" w:rsidR="00850920" w:rsidRPr="001C4B76" w:rsidRDefault="00850920" w:rsidP="00850920">
      <w:pPr>
        <w:pStyle w:val="Paragraphe"/>
        <w:numPr>
          <w:ilvl w:val="0"/>
          <w:numId w:val="0"/>
        </w:numPr>
        <w:spacing w:before="0" w:after="0" w:line="240" w:lineRule="auto"/>
        <w:rPr>
          <w:rFonts w:cs="Arial"/>
          <w:lang w:val="en-CA"/>
        </w:rPr>
      </w:pPr>
    </w:p>
    <w:p w14:paraId="0D64ECCA" w14:textId="77777777" w:rsidR="001F5D73" w:rsidRPr="001C4B76" w:rsidRDefault="00CC047F" w:rsidP="00057E23">
      <w:pPr>
        <w:keepNext/>
        <w:rPr>
          <w:rFonts w:cs="Arial"/>
          <w:b/>
          <w:bCs/>
          <w:i/>
          <w:iCs/>
          <w:szCs w:val="24"/>
          <w:lang w:val="en-CA"/>
        </w:rPr>
      </w:pPr>
      <w:r w:rsidRPr="001C4B76">
        <w:rPr>
          <w:rFonts w:cs="Arial"/>
          <w:b/>
          <w:bCs/>
          <w:szCs w:val="24"/>
          <w:lang w:val="en-CA"/>
        </w:rPr>
        <w:lastRenderedPageBreak/>
        <w:t xml:space="preserve">Penalties under the </w:t>
      </w:r>
      <w:r w:rsidRPr="001C4B76">
        <w:rPr>
          <w:rFonts w:cs="Arial"/>
          <w:b/>
          <w:bCs/>
          <w:i/>
          <w:iCs/>
          <w:szCs w:val="24"/>
          <w:lang w:val="en-CA"/>
        </w:rPr>
        <w:t>Act</w:t>
      </w:r>
    </w:p>
    <w:p w14:paraId="73DCBA7A" w14:textId="77777777" w:rsidR="001F5D73" w:rsidRPr="001C4B76" w:rsidRDefault="001F5D73" w:rsidP="00057E23">
      <w:pPr>
        <w:keepNext/>
        <w:rPr>
          <w:rFonts w:cs="Arial"/>
          <w:b/>
          <w:bCs/>
          <w:szCs w:val="24"/>
          <w:lang w:val="en-CA"/>
        </w:rPr>
      </w:pPr>
    </w:p>
    <w:p w14:paraId="75EAC3E4" w14:textId="77777777" w:rsidR="001F5D73" w:rsidRPr="001C4B76" w:rsidRDefault="007E51B0" w:rsidP="00057E23">
      <w:pPr>
        <w:pStyle w:val="Paragraphe"/>
        <w:keepNext/>
        <w:spacing w:line="240" w:lineRule="auto"/>
        <w:rPr>
          <w:rFonts w:cs="Arial"/>
          <w:lang w:val="en-CA"/>
        </w:rPr>
      </w:pPr>
      <w:r>
        <w:rPr>
          <w:rFonts w:cs="Arial"/>
          <w:lang w:val="en-CA"/>
        </w:rPr>
        <w:t xml:space="preserve">Now that </w:t>
      </w:r>
      <w:r w:rsidR="002905A2">
        <w:rPr>
          <w:rFonts w:cs="Arial"/>
          <w:lang w:val="en-CA"/>
        </w:rPr>
        <w:t xml:space="preserve">the defendants </w:t>
      </w:r>
      <w:r>
        <w:rPr>
          <w:rFonts w:cs="Arial"/>
          <w:lang w:val="en-CA"/>
        </w:rPr>
        <w:t>have been convicted</w:t>
      </w:r>
      <w:r w:rsidR="001F5D73" w:rsidRPr="001C4B76">
        <w:rPr>
          <w:rFonts w:cs="Arial"/>
          <w:lang w:val="en-CA"/>
        </w:rPr>
        <w:t xml:space="preserve">, </w:t>
      </w:r>
      <w:r w:rsidR="002905A2">
        <w:rPr>
          <w:rFonts w:cs="Arial"/>
          <w:lang w:val="en-CA"/>
        </w:rPr>
        <w:t xml:space="preserve">the Court must impose the penalties </w:t>
      </w:r>
      <w:r>
        <w:rPr>
          <w:rFonts w:cs="Arial"/>
          <w:lang w:val="en-CA"/>
        </w:rPr>
        <w:t>prescribed</w:t>
      </w:r>
      <w:r w:rsidR="002905A2">
        <w:rPr>
          <w:rFonts w:cs="Arial"/>
          <w:lang w:val="en-CA"/>
        </w:rPr>
        <w:t xml:space="preserve"> in sections</w:t>
      </w:r>
      <w:r w:rsidR="001F5D73" w:rsidRPr="001C4B76">
        <w:rPr>
          <w:rFonts w:cs="Arial"/>
          <w:lang w:val="en-CA"/>
        </w:rPr>
        <w:t xml:space="preserve"> 202 </w:t>
      </w:r>
      <w:r w:rsidR="002905A2">
        <w:rPr>
          <w:rFonts w:cs="Arial"/>
          <w:lang w:val="en-CA"/>
        </w:rPr>
        <w:t>para</w:t>
      </w:r>
      <w:r w:rsidR="001F5D73" w:rsidRPr="001C4B76">
        <w:rPr>
          <w:rFonts w:cs="Arial"/>
          <w:lang w:val="en-CA"/>
        </w:rPr>
        <w:t xml:space="preserve">. 2, 204.1, 208.1 </w:t>
      </w:r>
      <w:r w:rsidR="002905A2">
        <w:rPr>
          <w:rFonts w:cs="Arial"/>
          <w:lang w:val="en-CA"/>
        </w:rPr>
        <w:t xml:space="preserve">of the </w:t>
      </w:r>
      <w:r w:rsidR="002905A2">
        <w:rPr>
          <w:rFonts w:cs="Arial"/>
          <w:i/>
          <w:iCs/>
          <w:lang w:val="en-CA"/>
        </w:rPr>
        <w:t>SA</w:t>
      </w:r>
      <w:r w:rsidR="002905A2">
        <w:rPr>
          <w:rFonts w:cs="Arial"/>
          <w:lang w:val="en-CA"/>
        </w:rPr>
        <w:t>:</w:t>
      </w:r>
    </w:p>
    <w:p w14:paraId="4A69FF7C" w14:textId="77777777" w:rsidR="001F5D73" w:rsidRPr="002905A2" w:rsidRDefault="001F5D73" w:rsidP="002664B2">
      <w:pPr>
        <w:ind w:left="708"/>
        <w:rPr>
          <w:rFonts w:cs="Arial"/>
          <w:bCs/>
          <w:szCs w:val="24"/>
          <w:u w:val="single"/>
          <w:lang w:val="en-CA"/>
        </w:rPr>
      </w:pPr>
      <w:r w:rsidRPr="001C4B76">
        <w:rPr>
          <w:rFonts w:cs="Arial"/>
          <w:b/>
          <w:bCs/>
          <w:szCs w:val="24"/>
          <w:lang w:val="en-CA"/>
        </w:rPr>
        <w:t>204.1</w:t>
      </w:r>
      <w:r w:rsidRPr="001C4B76">
        <w:rPr>
          <w:rFonts w:cs="Arial"/>
          <w:bCs/>
          <w:szCs w:val="24"/>
          <w:lang w:val="en-CA"/>
        </w:rPr>
        <w:t xml:space="preserve"> </w:t>
      </w:r>
      <w:r w:rsidR="002905A2" w:rsidRPr="00282367">
        <w:rPr>
          <w:rFonts w:cs="Arial"/>
          <w:bCs/>
          <w:szCs w:val="24"/>
          <w:lang w:val="en-CA"/>
        </w:rPr>
        <w:t xml:space="preserve">In the case of a distribution without a prospectus in contravention of section 11 or 12 or an offence under section </w:t>
      </w:r>
      <w:r w:rsidR="002905A2" w:rsidRPr="00282367">
        <w:rPr>
          <w:rFonts w:cs="Arial"/>
          <w:bCs/>
          <w:szCs w:val="24"/>
          <w:u w:val="single"/>
          <w:lang w:val="en-CA"/>
        </w:rPr>
        <w:t>195.2</w:t>
      </w:r>
      <w:r w:rsidR="002905A2" w:rsidRPr="00282367">
        <w:rPr>
          <w:rFonts w:cs="Arial"/>
          <w:bCs/>
          <w:szCs w:val="24"/>
          <w:lang w:val="en-CA"/>
        </w:rPr>
        <w:t xml:space="preserve">, 196, 197, 199.1 or 199.2, </w:t>
      </w:r>
      <w:r w:rsidR="002905A2" w:rsidRPr="00282367">
        <w:rPr>
          <w:rFonts w:cs="Arial"/>
          <w:bCs/>
          <w:szCs w:val="24"/>
          <w:u w:val="single"/>
          <w:lang w:val="en-CA"/>
        </w:rPr>
        <w:t>the minimum fine is $5,000, double the profit realized or one fifth of the sums invested, whichever is the greatest amount</w:t>
      </w:r>
      <w:r w:rsidR="002905A2" w:rsidRPr="00282367">
        <w:rPr>
          <w:rFonts w:cs="Arial"/>
          <w:bCs/>
          <w:szCs w:val="24"/>
          <w:lang w:val="en-CA"/>
        </w:rPr>
        <w:t xml:space="preserve">. The maximum fine is </w:t>
      </w:r>
      <w:r w:rsidR="002905A2" w:rsidRPr="00282367">
        <w:rPr>
          <w:rFonts w:cs="Arial"/>
          <w:bCs/>
          <w:szCs w:val="24"/>
          <w:u w:val="single"/>
          <w:lang w:val="en-CA"/>
        </w:rPr>
        <w:t>$5,000,000, four times the profit realized or half the sums invested, whichever is the greatest amount.</w:t>
      </w:r>
    </w:p>
    <w:p w14:paraId="5F7B030C" w14:textId="77777777" w:rsidR="004F0F50" w:rsidRPr="001C4B76" w:rsidRDefault="004F0F50" w:rsidP="002664B2">
      <w:pPr>
        <w:ind w:left="708"/>
        <w:rPr>
          <w:rFonts w:cs="Arial"/>
          <w:bCs/>
          <w:szCs w:val="24"/>
          <w:u w:val="single"/>
          <w:lang w:val="en-CA"/>
        </w:rPr>
      </w:pPr>
    </w:p>
    <w:p w14:paraId="0D30DCBF" w14:textId="77777777" w:rsidR="001F5D73" w:rsidRPr="001C4B76" w:rsidRDefault="001F5D73" w:rsidP="002664B2">
      <w:pPr>
        <w:ind w:left="708"/>
        <w:rPr>
          <w:rFonts w:cs="Arial"/>
          <w:szCs w:val="24"/>
          <w:lang w:val="en-CA"/>
        </w:rPr>
      </w:pPr>
      <w:r w:rsidRPr="001C4B76">
        <w:rPr>
          <w:rFonts w:cs="Arial"/>
          <w:b/>
          <w:szCs w:val="24"/>
          <w:lang w:val="en-CA"/>
        </w:rPr>
        <w:t>208.1</w:t>
      </w:r>
      <w:r w:rsidR="009E66C3" w:rsidRPr="001C4B76">
        <w:rPr>
          <w:rFonts w:cs="Arial"/>
          <w:szCs w:val="24"/>
          <w:lang w:val="en-CA"/>
        </w:rPr>
        <w:t xml:space="preserve"> </w:t>
      </w:r>
      <w:r w:rsidR="002905A2" w:rsidRPr="00282367">
        <w:rPr>
          <w:rFonts w:cs="Arial"/>
          <w:szCs w:val="24"/>
          <w:lang w:val="en-CA"/>
        </w:rPr>
        <w:t>Every person who makes a distribution of securities in contravention of section 11 or 12 or who contravenes any of sections 187 to 191.1, 195.2, 196 and 197, the first paragraph of sections 199.1 and 199.2 or any of sections 205, 207 and 208 is liable, regardless of the fine provided for in the applicable penal provision, to imprisonment not exceeding five years less one day, notwithstanding articles 231 and 348 of the Code of Penal Procedure </w:t>
      </w:r>
    </w:p>
    <w:p w14:paraId="269148C1" w14:textId="77777777" w:rsidR="001F5D73" w:rsidRPr="001C4B76" w:rsidRDefault="001F5D73" w:rsidP="002664B2">
      <w:pPr>
        <w:rPr>
          <w:rFonts w:cs="Arial"/>
          <w:bCs/>
          <w:szCs w:val="24"/>
          <w:lang w:val="en-CA"/>
        </w:rPr>
      </w:pPr>
    </w:p>
    <w:p w14:paraId="2EA0E4E3" w14:textId="77777777" w:rsidR="001F5D73" w:rsidRPr="001C4B76" w:rsidRDefault="001F5D73" w:rsidP="002664B2">
      <w:pPr>
        <w:rPr>
          <w:rFonts w:cs="Arial"/>
          <w:bCs/>
          <w:szCs w:val="24"/>
          <w:lang w:val="en-CA"/>
        </w:rPr>
      </w:pPr>
      <w:r w:rsidRPr="001C4B76">
        <w:rPr>
          <w:rFonts w:cs="Arial"/>
          <w:bCs/>
          <w:szCs w:val="24"/>
          <w:lang w:val="en-CA"/>
        </w:rPr>
        <w:tab/>
      </w:r>
      <w:r w:rsidRPr="001C4B76">
        <w:rPr>
          <w:rFonts w:cs="Arial"/>
          <w:bCs/>
          <w:szCs w:val="24"/>
          <w:lang w:val="en-CA"/>
        </w:rPr>
        <w:tab/>
      </w:r>
      <w:r w:rsidRPr="001C4B76">
        <w:rPr>
          <w:rFonts w:cs="Arial"/>
          <w:bCs/>
          <w:szCs w:val="24"/>
          <w:lang w:val="en-CA"/>
        </w:rPr>
        <w:tab/>
      </w:r>
      <w:r w:rsidRPr="001C4B76">
        <w:rPr>
          <w:rFonts w:cs="Arial"/>
          <w:bCs/>
          <w:szCs w:val="24"/>
          <w:lang w:val="en-CA"/>
        </w:rPr>
        <w:tab/>
      </w:r>
      <w:r w:rsidRPr="001C4B76">
        <w:rPr>
          <w:rFonts w:cs="Arial"/>
          <w:bCs/>
          <w:szCs w:val="24"/>
          <w:lang w:val="en-CA"/>
        </w:rPr>
        <w:tab/>
      </w:r>
      <w:r w:rsidRPr="001C4B76">
        <w:rPr>
          <w:rFonts w:cs="Arial"/>
          <w:bCs/>
          <w:szCs w:val="24"/>
          <w:lang w:val="en-CA"/>
        </w:rPr>
        <w:tab/>
      </w:r>
      <w:r w:rsidRPr="001C4B76">
        <w:rPr>
          <w:rFonts w:cs="Arial"/>
          <w:bCs/>
          <w:szCs w:val="24"/>
          <w:lang w:val="en-CA"/>
        </w:rPr>
        <w:tab/>
      </w:r>
      <w:r w:rsidRPr="001C4B76">
        <w:rPr>
          <w:rFonts w:cs="Arial"/>
          <w:bCs/>
          <w:szCs w:val="24"/>
          <w:lang w:val="en-CA"/>
        </w:rPr>
        <w:tab/>
      </w:r>
      <w:r w:rsidR="00DA4881" w:rsidRPr="001C4B76">
        <w:rPr>
          <w:rFonts w:cs="Arial"/>
          <w:bCs/>
          <w:szCs w:val="24"/>
          <w:lang w:val="en-CA"/>
        </w:rPr>
        <w:t>[Emphasis added]</w:t>
      </w:r>
    </w:p>
    <w:p w14:paraId="6D79AAF5" w14:textId="77777777" w:rsidR="00810C6B" w:rsidRPr="001C4B76" w:rsidRDefault="00810C6B" w:rsidP="002664B2">
      <w:pPr>
        <w:rPr>
          <w:rFonts w:cs="Arial"/>
          <w:b/>
          <w:szCs w:val="24"/>
          <w:lang w:val="en-CA"/>
        </w:rPr>
      </w:pPr>
    </w:p>
    <w:p w14:paraId="6FA078AE" w14:textId="77777777" w:rsidR="00CC047F" w:rsidRPr="001C4B76" w:rsidRDefault="00CC047F" w:rsidP="00CC047F">
      <w:pPr>
        <w:rPr>
          <w:rFonts w:cs="Arial"/>
          <w:b/>
          <w:szCs w:val="24"/>
          <w:lang w:val="en-CA"/>
        </w:rPr>
      </w:pPr>
      <w:r w:rsidRPr="001C4B76">
        <w:rPr>
          <w:rFonts w:cs="Arial"/>
          <w:b/>
          <w:szCs w:val="24"/>
          <w:lang w:val="en-CA"/>
        </w:rPr>
        <w:t>Testimony of investigator Laforge</w:t>
      </w:r>
    </w:p>
    <w:p w14:paraId="7A4298D4" w14:textId="77777777" w:rsidR="00CC047F" w:rsidRPr="001C4B76" w:rsidRDefault="00CC047F" w:rsidP="00CC047F">
      <w:pPr>
        <w:rPr>
          <w:rFonts w:cs="Arial"/>
          <w:b/>
          <w:szCs w:val="24"/>
          <w:lang w:val="en-CA"/>
        </w:rPr>
      </w:pPr>
    </w:p>
    <w:p w14:paraId="67EDF353" w14:textId="77777777" w:rsidR="00CC047F" w:rsidRPr="001C4B76" w:rsidRDefault="00CC047F" w:rsidP="00CC047F">
      <w:pPr>
        <w:rPr>
          <w:rFonts w:cs="Arial"/>
          <w:b/>
          <w:szCs w:val="24"/>
          <w:lang w:val="en-CA"/>
        </w:rPr>
      </w:pPr>
      <w:r w:rsidRPr="001C4B76">
        <w:rPr>
          <w:rFonts w:cs="Arial"/>
          <w:b/>
          <w:szCs w:val="24"/>
          <w:lang w:val="en-CA"/>
        </w:rPr>
        <w:t xml:space="preserve">Could investigator Laforge testify on the profits </w:t>
      </w:r>
      <w:r w:rsidR="002F6346">
        <w:rPr>
          <w:rFonts w:cs="Arial"/>
          <w:b/>
          <w:szCs w:val="24"/>
          <w:lang w:val="en-CA"/>
        </w:rPr>
        <w:t>generat</w:t>
      </w:r>
      <w:r w:rsidR="007E51B0">
        <w:rPr>
          <w:rFonts w:cs="Arial"/>
          <w:b/>
          <w:szCs w:val="24"/>
          <w:lang w:val="en-CA"/>
        </w:rPr>
        <w:t xml:space="preserve">ed </w:t>
      </w:r>
      <w:r w:rsidRPr="001C4B76">
        <w:rPr>
          <w:rFonts w:cs="Arial"/>
          <w:b/>
          <w:szCs w:val="24"/>
          <w:lang w:val="en-CA"/>
        </w:rPr>
        <w:t xml:space="preserve">by the scheme even though he </w:t>
      </w:r>
      <w:r w:rsidR="007E51B0">
        <w:rPr>
          <w:rFonts w:cs="Arial"/>
          <w:b/>
          <w:szCs w:val="24"/>
          <w:lang w:val="en-CA"/>
        </w:rPr>
        <w:t>i</w:t>
      </w:r>
      <w:r w:rsidRPr="001C4B76">
        <w:rPr>
          <w:rFonts w:cs="Arial"/>
          <w:b/>
          <w:szCs w:val="24"/>
          <w:lang w:val="en-CA"/>
        </w:rPr>
        <w:t xml:space="preserve">s not a forensic </w:t>
      </w:r>
      <w:r w:rsidR="002905A2" w:rsidRPr="001C4B76">
        <w:rPr>
          <w:rFonts w:cs="Arial"/>
          <w:b/>
          <w:szCs w:val="24"/>
          <w:lang w:val="en-CA"/>
        </w:rPr>
        <w:t>accountant</w:t>
      </w:r>
      <w:r w:rsidRPr="001C4B76">
        <w:rPr>
          <w:rFonts w:cs="Arial"/>
          <w:b/>
          <w:szCs w:val="24"/>
          <w:lang w:val="en-CA"/>
        </w:rPr>
        <w:t>?</w:t>
      </w:r>
    </w:p>
    <w:p w14:paraId="2E9CB02A" w14:textId="77777777" w:rsidR="001F5D73" w:rsidRPr="001C4B76" w:rsidRDefault="001F5D73" w:rsidP="002664B2">
      <w:pPr>
        <w:rPr>
          <w:rFonts w:cs="Arial"/>
          <w:b/>
          <w:szCs w:val="24"/>
          <w:lang w:val="en-CA"/>
        </w:rPr>
      </w:pPr>
    </w:p>
    <w:p w14:paraId="4C1EFC25" w14:textId="77777777" w:rsidR="00CC047F" w:rsidRPr="001C4B76" w:rsidRDefault="00CC047F" w:rsidP="00CC047F">
      <w:pPr>
        <w:pStyle w:val="Paragraphe"/>
        <w:spacing w:line="240" w:lineRule="auto"/>
        <w:rPr>
          <w:lang w:val="en-CA"/>
        </w:rPr>
      </w:pPr>
      <w:r w:rsidRPr="001C4B76">
        <w:rPr>
          <w:lang w:val="en-CA"/>
        </w:rPr>
        <w:t xml:space="preserve">In the Court’s view, investigator Laforge </w:t>
      </w:r>
      <w:r w:rsidRPr="001C4B76">
        <w:rPr>
          <w:rFonts w:cs="Arial"/>
          <w:lang w:val="en-CA"/>
        </w:rPr>
        <w:t>was competent and qualified to testify on this issue, even though he is not a forensic accountant.</w:t>
      </w:r>
    </w:p>
    <w:p w14:paraId="5BBBFCD1" w14:textId="77777777" w:rsidR="00CC047F" w:rsidRPr="001C4B76" w:rsidRDefault="00CC047F" w:rsidP="00CC047F">
      <w:pPr>
        <w:pStyle w:val="Paragraphe"/>
        <w:spacing w:line="240" w:lineRule="auto"/>
        <w:rPr>
          <w:rFonts w:cs="Arial"/>
          <w:lang w:val="en-CA"/>
        </w:rPr>
      </w:pPr>
      <w:r w:rsidRPr="001C4B76">
        <w:rPr>
          <w:rFonts w:cs="Arial"/>
          <w:lang w:val="en-CA"/>
        </w:rPr>
        <w:t>Indeed, the investigator compiled all the tra</w:t>
      </w:r>
      <w:r w:rsidR="009F2201">
        <w:rPr>
          <w:rFonts w:cs="Arial"/>
          <w:lang w:val="en-CA"/>
        </w:rPr>
        <w:t>nsactions</w:t>
      </w:r>
      <w:r w:rsidRPr="001C4B76">
        <w:rPr>
          <w:rFonts w:cs="Arial"/>
          <w:lang w:val="en-CA"/>
        </w:rPr>
        <w:t xml:space="preserve"> on the securities concerned by the investigation </w:t>
      </w:r>
      <w:r w:rsidR="007E51B0">
        <w:rPr>
          <w:rFonts w:cs="Arial"/>
          <w:lang w:val="en-CA"/>
        </w:rPr>
        <w:t>using the</w:t>
      </w:r>
      <w:r w:rsidR="007E51B0" w:rsidRPr="001C4B76">
        <w:rPr>
          <w:rFonts w:cs="Arial"/>
          <w:lang w:val="en-CA"/>
        </w:rPr>
        <w:t xml:space="preserve"> </w:t>
      </w:r>
      <w:r w:rsidR="007E51B0">
        <w:rPr>
          <w:rFonts w:cs="Arial"/>
          <w:lang w:val="en-CA"/>
        </w:rPr>
        <w:t>US</w:t>
      </w:r>
      <w:r w:rsidR="007E51B0" w:rsidRPr="001C4B76">
        <w:rPr>
          <w:rFonts w:cs="Arial"/>
          <w:lang w:val="en-CA"/>
        </w:rPr>
        <w:t xml:space="preserve"> </w:t>
      </w:r>
      <w:r w:rsidRPr="001C4B76">
        <w:rPr>
          <w:rFonts w:cs="Arial"/>
          <w:lang w:val="en-CA"/>
        </w:rPr>
        <w:t xml:space="preserve">and Canadian brokerage accounts. </w:t>
      </w:r>
      <w:r w:rsidR="009F2201" w:rsidRPr="001C4B76">
        <w:rPr>
          <w:rFonts w:cs="Arial"/>
          <w:lang w:val="en-CA"/>
        </w:rPr>
        <w:t>Those</w:t>
      </w:r>
      <w:r w:rsidRPr="001C4B76">
        <w:rPr>
          <w:rFonts w:cs="Arial"/>
          <w:lang w:val="en-CA"/>
        </w:rPr>
        <w:t xml:space="preserve"> tra</w:t>
      </w:r>
      <w:r w:rsidR="009F2201">
        <w:rPr>
          <w:rFonts w:cs="Arial"/>
          <w:lang w:val="en-CA"/>
        </w:rPr>
        <w:t>nsactions</w:t>
      </w:r>
      <w:r w:rsidRPr="001C4B76">
        <w:rPr>
          <w:rFonts w:cs="Arial"/>
          <w:lang w:val="en-CA"/>
        </w:rPr>
        <w:t xml:space="preserve"> were filed into evidence at trial. </w:t>
      </w:r>
    </w:p>
    <w:p w14:paraId="55DED4E9" w14:textId="77777777" w:rsidR="00CC047F" w:rsidRPr="001C4B76" w:rsidRDefault="00CC047F" w:rsidP="00CC047F">
      <w:pPr>
        <w:pStyle w:val="Paragraphe"/>
        <w:spacing w:line="240" w:lineRule="auto"/>
        <w:rPr>
          <w:rFonts w:cs="Arial"/>
          <w:lang w:val="en-CA"/>
        </w:rPr>
      </w:pPr>
      <w:r w:rsidRPr="001C4B76">
        <w:rPr>
          <w:rFonts w:cs="Arial"/>
          <w:lang w:val="en-CA"/>
        </w:rPr>
        <w:t xml:space="preserve">When questioned by the Court, the investigator </w:t>
      </w:r>
      <w:r w:rsidR="007E51B0">
        <w:rPr>
          <w:rFonts w:cs="Arial"/>
          <w:lang w:val="en-CA"/>
        </w:rPr>
        <w:t>said</w:t>
      </w:r>
      <w:r w:rsidRPr="001C4B76">
        <w:rPr>
          <w:rFonts w:cs="Arial"/>
          <w:lang w:val="en-CA"/>
        </w:rPr>
        <w:t xml:space="preserve"> that he added the amounts for each account. </w:t>
      </w:r>
      <w:r w:rsidR="009F2201" w:rsidRPr="009F2201">
        <w:rPr>
          <w:rFonts w:cs="Arial"/>
          <w:lang w:val="en-CA"/>
        </w:rPr>
        <w:t xml:space="preserve">Adding up numbers is within the reach of most </w:t>
      </w:r>
      <w:r w:rsidR="009F2201">
        <w:rPr>
          <w:rFonts w:cs="Arial"/>
          <w:lang w:val="en-CA"/>
        </w:rPr>
        <w:t>individuals</w:t>
      </w:r>
      <w:r w:rsidR="009F2201" w:rsidRPr="009F2201">
        <w:rPr>
          <w:rFonts w:cs="Arial"/>
          <w:lang w:val="en-CA"/>
        </w:rPr>
        <w:t xml:space="preserve">, without them necessarily </w:t>
      </w:r>
      <w:r w:rsidR="007E51B0">
        <w:rPr>
          <w:rFonts w:cs="Arial"/>
          <w:lang w:val="en-CA"/>
        </w:rPr>
        <w:t xml:space="preserve">having to </w:t>
      </w:r>
      <w:r w:rsidR="009F2201" w:rsidRPr="009F2201">
        <w:rPr>
          <w:rFonts w:cs="Arial"/>
          <w:lang w:val="en-CA"/>
        </w:rPr>
        <w:t>be forensic accountants.</w:t>
      </w:r>
    </w:p>
    <w:p w14:paraId="609AD991" w14:textId="77777777" w:rsidR="00CC047F" w:rsidRPr="001C4B76" w:rsidRDefault="00CC047F" w:rsidP="00CC047F">
      <w:pPr>
        <w:pStyle w:val="Paragraphe"/>
        <w:spacing w:line="240" w:lineRule="auto"/>
        <w:rPr>
          <w:rFonts w:cs="Arial"/>
          <w:lang w:val="en-CA"/>
        </w:rPr>
      </w:pPr>
      <w:r w:rsidRPr="001C4B76">
        <w:rPr>
          <w:rFonts w:cs="Arial"/>
          <w:lang w:val="en-CA"/>
        </w:rPr>
        <w:t xml:space="preserve">The results of the compilation were filed in an additional report </w:t>
      </w:r>
      <w:r w:rsidR="009F2201">
        <w:rPr>
          <w:rFonts w:cs="Arial"/>
          <w:lang w:val="en-CA"/>
        </w:rPr>
        <w:t>under</w:t>
      </w:r>
      <w:r w:rsidRPr="001C4B76">
        <w:rPr>
          <w:rFonts w:cs="Arial"/>
          <w:lang w:val="en-CA"/>
        </w:rPr>
        <w:t xml:space="preserve"> S-1.</w:t>
      </w:r>
    </w:p>
    <w:p w14:paraId="2F99713C" w14:textId="77777777" w:rsidR="001F5D73" w:rsidRPr="001C4B76" w:rsidRDefault="00CC047F" w:rsidP="00CC047F">
      <w:pPr>
        <w:pStyle w:val="Paragraphe"/>
        <w:spacing w:line="240" w:lineRule="auto"/>
        <w:rPr>
          <w:rFonts w:cs="Arial"/>
          <w:lang w:val="en-CA"/>
        </w:rPr>
      </w:pPr>
      <w:r w:rsidRPr="001C4B76">
        <w:rPr>
          <w:rFonts w:cs="Arial"/>
          <w:lang w:val="en-CA"/>
        </w:rPr>
        <w:t xml:space="preserve">For defendant Raso Cortellazzi, the results are </w:t>
      </w:r>
      <w:r w:rsidR="007E51B0">
        <w:rPr>
          <w:rFonts w:cs="Arial"/>
          <w:lang w:val="en-CA"/>
        </w:rPr>
        <w:t xml:space="preserve">as </w:t>
      </w:r>
      <w:r w:rsidRPr="001C4B76">
        <w:rPr>
          <w:rFonts w:cs="Arial"/>
          <w:lang w:val="en-CA"/>
        </w:rPr>
        <w:t>follow</w:t>
      </w:r>
      <w:r w:rsidR="007E51B0">
        <w:rPr>
          <w:rFonts w:cs="Arial"/>
          <w:lang w:val="en-CA"/>
        </w:rPr>
        <w:t>s</w:t>
      </w:r>
      <w:r w:rsidRPr="001C4B76">
        <w:rPr>
          <w:rFonts w:cs="Arial"/>
          <w:lang w:val="en-CA"/>
        </w:rPr>
        <w:t xml:space="preserve"> (</w:t>
      </w:r>
      <w:r w:rsidR="007E51B0">
        <w:rPr>
          <w:rFonts w:cs="Arial"/>
          <w:lang w:val="en-CA"/>
        </w:rPr>
        <w:t>US</w:t>
      </w:r>
      <w:r w:rsidR="007E51B0" w:rsidRPr="001C4B76">
        <w:rPr>
          <w:rFonts w:cs="Arial"/>
          <w:lang w:val="en-CA"/>
        </w:rPr>
        <w:t xml:space="preserve"> </w:t>
      </w:r>
      <w:r w:rsidRPr="001C4B76">
        <w:rPr>
          <w:rFonts w:cs="Arial"/>
          <w:lang w:val="en-CA"/>
        </w:rPr>
        <w:t>brokerage accounts and amounts in US dollars</w:t>
      </w:r>
      <w:r w:rsidR="001F5D73" w:rsidRPr="001C4B76">
        <w:rPr>
          <w:rFonts w:cs="Arial"/>
          <w:lang w:val="en-CA"/>
        </w:rPr>
        <w:t>):</w:t>
      </w:r>
    </w:p>
    <w:p w14:paraId="2C99D14E" w14:textId="77777777" w:rsidR="00CC047F" w:rsidRPr="001C4B76" w:rsidRDefault="00CC047F" w:rsidP="00CC047F">
      <w:pPr>
        <w:pStyle w:val="Paragraphedeliste"/>
        <w:numPr>
          <w:ilvl w:val="0"/>
          <w:numId w:val="39"/>
        </w:numPr>
        <w:spacing w:line="240" w:lineRule="auto"/>
        <w:rPr>
          <w:rFonts w:ascii="Arial" w:hAnsi="Arial" w:cs="Arial"/>
          <w:bCs/>
          <w:sz w:val="24"/>
          <w:szCs w:val="24"/>
          <w:lang w:val="en-CA"/>
        </w:rPr>
      </w:pPr>
      <w:r w:rsidRPr="001C4B76">
        <w:rPr>
          <w:rFonts w:ascii="Arial" w:hAnsi="Arial" w:cs="Arial"/>
          <w:bCs/>
          <w:sz w:val="24"/>
          <w:szCs w:val="24"/>
          <w:lang w:val="en-CA"/>
        </w:rPr>
        <w:t>Alpine Securities</w:t>
      </w:r>
      <w:r w:rsidR="009F2201">
        <w:rPr>
          <w:rFonts w:ascii="Arial" w:hAnsi="Arial" w:cs="Arial"/>
          <w:bCs/>
          <w:sz w:val="24"/>
          <w:szCs w:val="24"/>
          <w:lang w:val="en-CA"/>
        </w:rPr>
        <w:t xml:space="preserve">: </w:t>
      </w:r>
      <w:r w:rsidRPr="001C4B76">
        <w:rPr>
          <w:rFonts w:ascii="Arial" w:hAnsi="Arial" w:cs="Arial"/>
          <w:bCs/>
          <w:sz w:val="24"/>
          <w:szCs w:val="24"/>
          <w:lang w:val="en-CA"/>
        </w:rPr>
        <w:t>$15,267 (HRRN)</w:t>
      </w:r>
    </w:p>
    <w:p w14:paraId="23FF7441" w14:textId="77777777" w:rsidR="00CC047F" w:rsidRPr="001C4B76" w:rsidRDefault="00CC047F" w:rsidP="00CC047F">
      <w:pPr>
        <w:pStyle w:val="Paragraphedeliste"/>
        <w:numPr>
          <w:ilvl w:val="0"/>
          <w:numId w:val="39"/>
        </w:numPr>
        <w:spacing w:line="240" w:lineRule="auto"/>
        <w:rPr>
          <w:rFonts w:ascii="Arial" w:hAnsi="Arial" w:cs="Arial"/>
          <w:bCs/>
          <w:sz w:val="24"/>
          <w:szCs w:val="24"/>
          <w:lang w:val="en-CA"/>
        </w:rPr>
      </w:pPr>
      <w:r w:rsidRPr="001C4B76">
        <w:rPr>
          <w:rFonts w:ascii="Arial" w:hAnsi="Arial" w:cs="Arial"/>
          <w:bCs/>
          <w:sz w:val="24"/>
          <w:szCs w:val="24"/>
          <w:lang w:val="en-CA"/>
        </w:rPr>
        <w:t>Stock USA Execution services Inc: $36,882.50 (HRRN)</w:t>
      </w:r>
    </w:p>
    <w:p w14:paraId="1A1BB011" w14:textId="77777777" w:rsidR="00CC047F" w:rsidRPr="001C4B76" w:rsidRDefault="00CC047F" w:rsidP="00CC047F">
      <w:pPr>
        <w:pStyle w:val="Paragraphedeliste"/>
        <w:numPr>
          <w:ilvl w:val="0"/>
          <w:numId w:val="39"/>
        </w:numPr>
        <w:spacing w:line="240" w:lineRule="auto"/>
        <w:rPr>
          <w:rFonts w:ascii="Arial" w:hAnsi="Arial" w:cs="Arial"/>
          <w:bCs/>
          <w:sz w:val="24"/>
          <w:szCs w:val="24"/>
          <w:lang w:val="en-CA"/>
        </w:rPr>
      </w:pPr>
      <w:proofErr w:type="spellStart"/>
      <w:r w:rsidRPr="001C4B76">
        <w:rPr>
          <w:rFonts w:ascii="Arial" w:hAnsi="Arial" w:cs="Arial"/>
          <w:bCs/>
          <w:sz w:val="24"/>
          <w:szCs w:val="24"/>
          <w:lang w:val="en-CA"/>
        </w:rPr>
        <w:t>Vfinance</w:t>
      </w:r>
      <w:proofErr w:type="spellEnd"/>
      <w:r w:rsidRPr="001C4B76">
        <w:rPr>
          <w:rFonts w:ascii="Arial" w:hAnsi="Arial" w:cs="Arial"/>
          <w:bCs/>
          <w:sz w:val="24"/>
          <w:szCs w:val="24"/>
          <w:lang w:val="en-CA"/>
        </w:rPr>
        <w:t xml:space="preserve"> </w:t>
      </w:r>
      <w:r w:rsidR="007E51B0">
        <w:rPr>
          <w:rFonts w:ascii="Arial" w:hAnsi="Arial" w:cs="Arial"/>
          <w:bCs/>
          <w:sz w:val="24"/>
          <w:szCs w:val="24"/>
          <w:lang w:val="en-CA"/>
        </w:rPr>
        <w:t>I</w:t>
      </w:r>
      <w:r w:rsidRPr="001C4B76">
        <w:rPr>
          <w:rFonts w:ascii="Arial" w:hAnsi="Arial" w:cs="Arial"/>
          <w:bCs/>
          <w:sz w:val="24"/>
          <w:szCs w:val="24"/>
          <w:lang w:val="en-CA"/>
        </w:rPr>
        <w:t>nvestments:  $303.97 (HRRN)</w:t>
      </w:r>
    </w:p>
    <w:p w14:paraId="333E3679" w14:textId="77777777" w:rsidR="00CC047F" w:rsidRPr="001C4B76" w:rsidRDefault="00CC047F" w:rsidP="00CC047F">
      <w:pPr>
        <w:pStyle w:val="Paragraphe"/>
        <w:numPr>
          <w:ilvl w:val="0"/>
          <w:numId w:val="0"/>
        </w:numPr>
        <w:spacing w:line="240" w:lineRule="auto"/>
        <w:ind w:firstLine="360"/>
        <w:rPr>
          <w:rFonts w:cs="Arial"/>
          <w:lang w:val="en-CA"/>
        </w:rPr>
      </w:pPr>
      <w:r w:rsidRPr="001C4B76">
        <w:rPr>
          <w:rFonts w:cs="Arial"/>
          <w:lang w:val="en-CA"/>
        </w:rPr>
        <w:lastRenderedPageBreak/>
        <w:t>For MJRC Inc.:</w:t>
      </w:r>
    </w:p>
    <w:p w14:paraId="74BC7F91" w14:textId="77777777" w:rsidR="00CC047F" w:rsidRPr="001C4B76" w:rsidRDefault="00CC047F" w:rsidP="00CC047F">
      <w:pPr>
        <w:pStyle w:val="Paragraphedeliste"/>
        <w:numPr>
          <w:ilvl w:val="0"/>
          <w:numId w:val="40"/>
        </w:numPr>
        <w:spacing w:line="240" w:lineRule="auto"/>
        <w:rPr>
          <w:rFonts w:ascii="Arial" w:hAnsi="Arial" w:cs="Arial"/>
          <w:bCs/>
          <w:sz w:val="24"/>
          <w:szCs w:val="24"/>
          <w:lang w:val="en-CA"/>
        </w:rPr>
      </w:pPr>
      <w:r w:rsidRPr="001C4B76">
        <w:rPr>
          <w:rFonts w:ascii="Arial" w:hAnsi="Arial" w:cs="Arial"/>
          <w:bCs/>
          <w:sz w:val="24"/>
          <w:szCs w:val="24"/>
          <w:lang w:val="en-CA"/>
        </w:rPr>
        <w:t>Apex: $52,533.35 (MRES)</w:t>
      </w:r>
    </w:p>
    <w:p w14:paraId="7E76E60B" w14:textId="77777777" w:rsidR="00CC047F" w:rsidRPr="001C4B76" w:rsidRDefault="00CC047F" w:rsidP="00CC047F">
      <w:pPr>
        <w:pStyle w:val="Paragraphedeliste"/>
        <w:numPr>
          <w:ilvl w:val="0"/>
          <w:numId w:val="40"/>
        </w:numPr>
        <w:spacing w:line="240" w:lineRule="auto"/>
        <w:rPr>
          <w:rFonts w:ascii="Arial" w:hAnsi="Arial" w:cs="Arial"/>
          <w:bCs/>
          <w:sz w:val="24"/>
          <w:szCs w:val="24"/>
          <w:lang w:val="en-CA"/>
        </w:rPr>
      </w:pPr>
      <w:r w:rsidRPr="001C4B76">
        <w:rPr>
          <w:rFonts w:ascii="Arial" w:hAnsi="Arial" w:cs="Arial"/>
          <w:bCs/>
          <w:sz w:val="24"/>
          <w:szCs w:val="24"/>
          <w:lang w:val="en-CA"/>
        </w:rPr>
        <w:t xml:space="preserve">JH </w:t>
      </w:r>
      <w:proofErr w:type="spellStart"/>
      <w:r w:rsidRPr="001C4B76">
        <w:rPr>
          <w:rFonts w:ascii="Arial" w:hAnsi="Arial" w:cs="Arial"/>
          <w:bCs/>
          <w:sz w:val="24"/>
          <w:szCs w:val="24"/>
          <w:lang w:val="en-CA"/>
        </w:rPr>
        <w:t>Darbie</w:t>
      </w:r>
      <w:proofErr w:type="spellEnd"/>
      <w:r w:rsidRPr="001C4B76">
        <w:rPr>
          <w:rFonts w:ascii="Arial" w:hAnsi="Arial" w:cs="Arial"/>
          <w:bCs/>
          <w:sz w:val="24"/>
          <w:szCs w:val="24"/>
          <w:lang w:val="en-CA"/>
        </w:rPr>
        <w:t xml:space="preserve"> &amp; Co.: $91,206.33 (HRRN) and $30 (UMNG)</w:t>
      </w:r>
    </w:p>
    <w:p w14:paraId="32642451" w14:textId="77777777" w:rsidR="00CC047F" w:rsidRPr="001C4B76" w:rsidRDefault="00CC047F" w:rsidP="00CC047F">
      <w:pPr>
        <w:pStyle w:val="Paragraphe"/>
        <w:numPr>
          <w:ilvl w:val="0"/>
          <w:numId w:val="0"/>
        </w:numPr>
        <w:spacing w:line="240" w:lineRule="auto"/>
        <w:ind w:firstLine="360"/>
        <w:rPr>
          <w:rFonts w:cs="Arial"/>
          <w:lang w:val="en-CA"/>
        </w:rPr>
      </w:pPr>
      <w:r w:rsidRPr="001C4B76">
        <w:rPr>
          <w:rFonts w:cs="Arial"/>
          <w:lang w:val="en-CA"/>
        </w:rPr>
        <w:t>For defendant Savaris:</w:t>
      </w:r>
    </w:p>
    <w:p w14:paraId="46D1F5B1" w14:textId="77777777" w:rsidR="00CC047F" w:rsidRPr="001C4B76" w:rsidRDefault="00CC047F" w:rsidP="00CC047F">
      <w:pPr>
        <w:pStyle w:val="Paragraphedeliste"/>
        <w:numPr>
          <w:ilvl w:val="0"/>
          <w:numId w:val="41"/>
        </w:numPr>
        <w:spacing w:line="240" w:lineRule="auto"/>
        <w:rPr>
          <w:rFonts w:ascii="Arial" w:hAnsi="Arial" w:cs="Arial"/>
          <w:bCs/>
          <w:sz w:val="24"/>
          <w:szCs w:val="24"/>
          <w:lang w:val="en-CA"/>
        </w:rPr>
      </w:pPr>
      <w:r w:rsidRPr="001C4B76">
        <w:rPr>
          <w:rFonts w:ascii="Arial" w:hAnsi="Arial" w:cs="Arial"/>
          <w:bCs/>
          <w:sz w:val="24"/>
          <w:szCs w:val="24"/>
          <w:lang w:val="en-CA"/>
        </w:rPr>
        <w:t>Alpine Securities: $41,975.02 (HRRN)</w:t>
      </w:r>
    </w:p>
    <w:p w14:paraId="7FCB5EF7" w14:textId="77777777" w:rsidR="00CC047F" w:rsidRPr="001C4B76" w:rsidRDefault="00CC047F" w:rsidP="00CC047F">
      <w:pPr>
        <w:pStyle w:val="Paragraphedeliste"/>
        <w:numPr>
          <w:ilvl w:val="0"/>
          <w:numId w:val="41"/>
        </w:numPr>
        <w:spacing w:line="240" w:lineRule="auto"/>
        <w:rPr>
          <w:rFonts w:ascii="Arial" w:hAnsi="Arial" w:cs="Arial"/>
          <w:bCs/>
          <w:sz w:val="24"/>
          <w:szCs w:val="24"/>
          <w:lang w:val="en-CA"/>
        </w:rPr>
      </w:pPr>
      <w:r w:rsidRPr="001C4B76">
        <w:rPr>
          <w:rFonts w:ascii="Arial" w:hAnsi="Arial" w:cs="Arial"/>
          <w:bCs/>
          <w:sz w:val="24"/>
          <w:szCs w:val="24"/>
          <w:lang w:val="en-CA"/>
        </w:rPr>
        <w:t xml:space="preserve">JH </w:t>
      </w:r>
      <w:proofErr w:type="spellStart"/>
      <w:r w:rsidRPr="001C4B76">
        <w:rPr>
          <w:rFonts w:ascii="Arial" w:hAnsi="Arial" w:cs="Arial"/>
          <w:bCs/>
          <w:sz w:val="24"/>
          <w:szCs w:val="24"/>
          <w:lang w:val="en-CA"/>
        </w:rPr>
        <w:t>Darbie</w:t>
      </w:r>
      <w:proofErr w:type="spellEnd"/>
      <w:r w:rsidRPr="001C4B76">
        <w:rPr>
          <w:rFonts w:ascii="Arial" w:hAnsi="Arial" w:cs="Arial"/>
          <w:bCs/>
          <w:sz w:val="24"/>
          <w:szCs w:val="24"/>
          <w:lang w:val="en-CA"/>
        </w:rPr>
        <w:t xml:space="preserve"> &amp; Co.:  $42,336.21 (MRES)</w:t>
      </w:r>
    </w:p>
    <w:p w14:paraId="38071780"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These </w:t>
      </w:r>
      <w:r w:rsidR="007E51B0">
        <w:rPr>
          <w:rFonts w:cs="Arial"/>
          <w:lang w:val="en-CA"/>
        </w:rPr>
        <w:t>figures</w:t>
      </w:r>
      <w:r w:rsidR="007E51B0" w:rsidRPr="001C4B76">
        <w:rPr>
          <w:rFonts w:cs="Arial"/>
          <w:lang w:val="en-CA"/>
        </w:rPr>
        <w:t xml:space="preserve"> </w:t>
      </w:r>
      <w:r w:rsidRPr="001C4B76">
        <w:rPr>
          <w:rFonts w:cs="Arial"/>
          <w:lang w:val="en-CA"/>
        </w:rPr>
        <w:t xml:space="preserve">were filed into evidence at </w:t>
      </w:r>
      <w:r w:rsidR="009F2201" w:rsidRPr="001C4B76">
        <w:rPr>
          <w:rFonts w:cs="Arial"/>
          <w:lang w:val="en-CA"/>
        </w:rPr>
        <w:t>trial and</w:t>
      </w:r>
      <w:r w:rsidRPr="001C4B76">
        <w:rPr>
          <w:rFonts w:cs="Arial"/>
          <w:lang w:val="en-CA"/>
        </w:rPr>
        <w:t xml:space="preserve"> represent the </w:t>
      </w:r>
      <w:r w:rsidR="00DC2EA1">
        <w:rPr>
          <w:rFonts w:cs="Arial"/>
          <w:lang w:val="en-CA"/>
        </w:rPr>
        <w:t xml:space="preserve">defendants’ </w:t>
      </w:r>
      <w:r w:rsidRPr="001C4B76">
        <w:rPr>
          <w:rFonts w:cs="Arial"/>
          <w:lang w:val="en-CA"/>
        </w:rPr>
        <w:t>profit</w:t>
      </w:r>
      <w:r w:rsidR="007E51B0">
        <w:rPr>
          <w:rFonts w:cs="Arial"/>
          <w:lang w:val="en-CA"/>
        </w:rPr>
        <w:t>s</w:t>
      </w:r>
      <w:r w:rsidRPr="001C4B76">
        <w:rPr>
          <w:rFonts w:cs="Arial"/>
          <w:lang w:val="en-CA"/>
        </w:rPr>
        <w:t xml:space="preserve"> </w:t>
      </w:r>
      <w:r w:rsidR="009F356B">
        <w:rPr>
          <w:rFonts w:cs="Arial"/>
          <w:lang w:val="en-CA"/>
        </w:rPr>
        <w:t xml:space="preserve">derived </w:t>
      </w:r>
      <w:r w:rsidRPr="001C4B76">
        <w:rPr>
          <w:rFonts w:cs="Arial"/>
          <w:lang w:val="en-CA"/>
        </w:rPr>
        <w:t>from the commission of the offences by trading and selling the securities.</w:t>
      </w:r>
    </w:p>
    <w:p w14:paraId="031D6764"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report filed by investigator Laforge also includes the profits </w:t>
      </w:r>
      <w:r w:rsidR="00B83176">
        <w:rPr>
          <w:rFonts w:cs="Arial"/>
          <w:lang w:val="en-CA"/>
        </w:rPr>
        <w:t>realized</w:t>
      </w:r>
      <w:r w:rsidRPr="001C4B76">
        <w:rPr>
          <w:rFonts w:cs="Arial"/>
          <w:lang w:val="en-CA"/>
        </w:rPr>
        <w:t xml:space="preserve"> by other persons or companies involved in the </w:t>
      </w:r>
      <w:r w:rsidR="00DF4725" w:rsidRPr="001C4B76">
        <w:rPr>
          <w:rFonts w:cs="Arial"/>
          <w:lang w:val="en-CA"/>
        </w:rPr>
        <w:t>scheme</w:t>
      </w:r>
      <w:r w:rsidR="00DF4725">
        <w:rPr>
          <w:rFonts w:cs="Arial"/>
          <w:lang w:val="en-CA"/>
        </w:rPr>
        <w:t xml:space="preserve"> and</w:t>
      </w:r>
      <w:r w:rsidRPr="001C4B76">
        <w:rPr>
          <w:rFonts w:cs="Arial"/>
          <w:lang w:val="en-CA"/>
        </w:rPr>
        <w:t xml:space="preserve"> charged.</w:t>
      </w:r>
    </w:p>
    <w:p w14:paraId="1A140B4C"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total profits for the </w:t>
      </w:r>
      <w:r w:rsidR="007E51B0">
        <w:rPr>
          <w:rFonts w:cs="Arial"/>
          <w:lang w:val="en-CA"/>
        </w:rPr>
        <w:t>US</w:t>
      </w:r>
      <w:r w:rsidR="007E51B0" w:rsidRPr="001C4B76">
        <w:rPr>
          <w:rFonts w:cs="Arial"/>
          <w:lang w:val="en-CA"/>
        </w:rPr>
        <w:t xml:space="preserve"> </w:t>
      </w:r>
      <w:r w:rsidRPr="001C4B76">
        <w:rPr>
          <w:rFonts w:cs="Arial"/>
          <w:lang w:val="en-CA"/>
        </w:rPr>
        <w:t>brokerage accounts (including those of the defendants) is US</w:t>
      </w:r>
      <w:r w:rsidR="00DF4725">
        <w:rPr>
          <w:rFonts w:cs="Arial"/>
          <w:lang w:val="en-CA"/>
        </w:rPr>
        <w:t>$</w:t>
      </w:r>
      <w:r w:rsidRPr="001C4B76">
        <w:rPr>
          <w:rFonts w:cs="Arial"/>
          <w:lang w:val="en-CA"/>
        </w:rPr>
        <w:t>642,468.24.</w:t>
      </w:r>
    </w:p>
    <w:p w14:paraId="0E021D49"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The total profits for the Canadian brokerage accounts (which exclude the defendants) is C</w:t>
      </w:r>
      <w:r w:rsidR="00D046A8">
        <w:rPr>
          <w:rFonts w:cs="Arial"/>
          <w:lang w:val="en-CA"/>
        </w:rPr>
        <w:t>AN$</w:t>
      </w:r>
      <w:r w:rsidRPr="001C4B76">
        <w:rPr>
          <w:rFonts w:cs="Arial"/>
          <w:lang w:val="en-CA"/>
        </w:rPr>
        <w:t>336,444.91.</w:t>
      </w:r>
    </w:p>
    <w:p w14:paraId="022A2641"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These profits </w:t>
      </w:r>
      <w:r w:rsidR="00DC2EA1">
        <w:rPr>
          <w:rFonts w:cs="Arial"/>
          <w:lang w:val="en-CA"/>
        </w:rPr>
        <w:t>realized</w:t>
      </w:r>
      <w:r w:rsidR="00DC2EA1" w:rsidRPr="001C4B76">
        <w:rPr>
          <w:rFonts w:cs="Arial"/>
          <w:lang w:val="en-CA"/>
        </w:rPr>
        <w:t xml:space="preserve"> </w:t>
      </w:r>
      <w:r w:rsidR="00D046A8">
        <w:rPr>
          <w:rFonts w:cs="Arial"/>
          <w:lang w:val="en-CA"/>
        </w:rPr>
        <w:t>through</w:t>
      </w:r>
      <w:r w:rsidRPr="001C4B76">
        <w:rPr>
          <w:rFonts w:cs="Arial"/>
          <w:lang w:val="en-CA"/>
        </w:rPr>
        <w:t xml:space="preserve"> the “pump and dump” scheme also represent the amounts of which investors were deprived.</w:t>
      </w:r>
    </w:p>
    <w:p w14:paraId="260A4FF3" w14:textId="77777777" w:rsidR="00CC047F" w:rsidRPr="001C4B76" w:rsidRDefault="00CC047F" w:rsidP="00CC047F">
      <w:pPr>
        <w:pStyle w:val="Paragraphe"/>
        <w:numPr>
          <w:ilvl w:val="0"/>
          <w:numId w:val="0"/>
        </w:numPr>
        <w:spacing w:line="240" w:lineRule="auto"/>
        <w:rPr>
          <w:rFonts w:cs="Arial"/>
          <w:b/>
          <w:bCs/>
          <w:lang w:val="en-CA"/>
        </w:rPr>
      </w:pPr>
      <w:r w:rsidRPr="001C4B76">
        <w:rPr>
          <w:rFonts w:cs="Arial"/>
          <w:b/>
          <w:bCs/>
          <w:lang w:val="en-CA"/>
        </w:rPr>
        <w:t xml:space="preserve">Has the </w:t>
      </w:r>
      <w:r w:rsidR="00B83176">
        <w:rPr>
          <w:rFonts w:cs="Arial"/>
          <w:b/>
          <w:bCs/>
          <w:lang w:val="en-CA"/>
        </w:rPr>
        <w:t>p</w:t>
      </w:r>
      <w:r w:rsidR="00466294">
        <w:rPr>
          <w:rFonts w:cs="Arial"/>
          <w:b/>
          <w:bCs/>
          <w:lang w:val="en-CA"/>
        </w:rPr>
        <w:t>rosecution</w:t>
      </w:r>
      <w:r w:rsidRPr="001C4B76">
        <w:rPr>
          <w:rFonts w:cs="Arial"/>
          <w:b/>
          <w:bCs/>
          <w:lang w:val="en-CA"/>
        </w:rPr>
        <w:t xml:space="preserve"> established the profit or </w:t>
      </w:r>
      <w:r w:rsidR="0001544D">
        <w:rPr>
          <w:rFonts w:cs="Arial"/>
          <w:b/>
          <w:bCs/>
          <w:lang w:val="en-CA"/>
        </w:rPr>
        <w:t>profit realized</w:t>
      </w:r>
      <w:r w:rsidRPr="001C4B76">
        <w:rPr>
          <w:rFonts w:cs="Arial"/>
          <w:b/>
          <w:bCs/>
          <w:lang w:val="en-CA"/>
        </w:rPr>
        <w:t xml:space="preserve"> by the defendants and/or the Cortellazzi organization?</w:t>
      </w:r>
    </w:p>
    <w:p w14:paraId="74A9E9EE"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According to the defence, these amounts have not been prove</w:t>
      </w:r>
      <w:r w:rsidR="00DC2EA1">
        <w:rPr>
          <w:rFonts w:cs="Arial"/>
          <w:lang w:val="en-CA"/>
        </w:rPr>
        <w:t>d</w:t>
      </w:r>
      <w:r w:rsidRPr="001C4B76">
        <w:rPr>
          <w:rFonts w:cs="Arial"/>
          <w:lang w:val="en-CA"/>
        </w:rPr>
        <w:t xml:space="preserve">. In support of that claim, the defence argues </w:t>
      </w:r>
      <w:r w:rsidR="00466294" w:rsidRPr="001C4B76">
        <w:rPr>
          <w:rFonts w:cs="Arial"/>
          <w:lang w:val="en-CA"/>
        </w:rPr>
        <w:t xml:space="preserve">that at the time of the events, </w:t>
      </w:r>
      <w:r w:rsidRPr="001C4B76">
        <w:rPr>
          <w:rFonts w:cs="Arial"/>
          <w:lang w:val="en-CA"/>
        </w:rPr>
        <w:t xml:space="preserve">the amounts </w:t>
      </w:r>
      <w:r w:rsidR="00466294">
        <w:rPr>
          <w:rFonts w:cs="Arial"/>
          <w:lang w:val="en-CA"/>
        </w:rPr>
        <w:t>involving</w:t>
      </w:r>
      <w:r w:rsidRPr="001C4B76">
        <w:rPr>
          <w:rFonts w:cs="Arial"/>
          <w:lang w:val="en-CA"/>
        </w:rPr>
        <w:t xml:space="preserve"> the defendants </w:t>
      </w:r>
      <w:r w:rsidR="00466294">
        <w:rPr>
          <w:rFonts w:cs="Arial"/>
          <w:lang w:val="en-CA"/>
        </w:rPr>
        <w:t>were</w:t>
      </w:r>
      <w:r w:rsidRPr="001C4B76">
        <w:rPr>
          <w:rFonts w:cs="Arial"/>
          <w:lang w:val="en-CA"/>
        </w:rPr>
        <w:t xml:space="preserve"> in U.S. </w:t>
      </w:r>
      <w:r w:rsidR="00466294" w:rsidRPr="001C4B76">
        <w:rPr>
          <w:rFonts w:cs="Arial"/>
          <w:lang w:val="en-CA"/>
        </w:rPr>
        <w:t>dollars and</w:t>
      </w:r>
      <w:r w:rsidRPr="001C4B76">
        <w:rPr>
          <w:rFonts w:cs="Arial"/>
          <w:lang w:val="en-CA"/>
        </w:rPr>
        <w:t xml:space="preserve"> do no</w:t>
      </w:r>
      <w:r w:rsidR="00815C3B">
        <w:rPr>
          <w:rFonts w:cs="Arial"/>
          <w:lang w:val="en-CA"/>
        </w:rPr>
        <w:t>t</w:t>
      </w:r>
      <w:r w:rsidRPr="001C4B76">
        <w:rPr>
          <w:rFonts w:cs="Arial"/>
          <w:lang w:val="en-CA"/>
        </w:rPr>
        <w:t xml:space="preserve"> represent </w:t>
      </w:r>
      <w:r w:rsidR="00466294">
        <w:rPr>
          <w:rFonts w:cs="Arial"/>
          <w:lang w:val="en-CA"/>
        </w:rPr>
        <w:t xml:space="preserve">the actual </w:t>
      </w:r>
      <w:r w:rsidRPr="001C4B76">
        <w:rPr>
          <w:rFonts w:cs="Arial"/>
          <w:lang w:val="en-CA"/>
        </w:rPr>
        <w:t>amounts.</w:t>
      </w:r>
    </w:p>
    <w:p w14:paraId="35803956"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Court rejects that </w:t>
      </w:r>
      <w:r w:rsidR="00815C3B">
        <w:rPr>
          <w:rFonts w:cs="Arial"/>
          <w:lang w:val="en-CA"/>
        </w:rPr>
        <w:t>argument</w:t>
      </w:r>
      <w:r w:rsidRPr="001C4B76">
        <w:rPr>
          <w:rFonts w:cs="Arial"/>
          <w:lang w:val="en-CA"/>
        </w:rPr>
        <w:t>.</w:t>
      </w:r>
    </w:p>
    <w:p w14:paraId="1324650C"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For the </w:t>
      </w:r>
      <w:r w:rsidR="00815C3B">
        <w:rPr>
          <w:rFonts w:cs="Arial"/>
          <w:lang w:val="en-CA"/>
        </w:rPr>
        <w:t>p</w:t>
      </w:r>
      <w:r w:rsidR="0001544D">
        <w:rPr>
          <w:rFonts w:cs="Arial"/>
          <w:lang w:val="en-CA"/>
        </w:rPr>
        <w:t>rosecution</w:t>
      </w:r>
      <w:r w:rsidRPr="001C4B76">
        <w:rPr>
          <w:rFonts w:cs="Arial"/>
          <w:lang w:val="en-CA"/>
        </w:rPr>
        <w:t xml:space="preserve">, these amounts from the </w:t>
      </w:r>
      <w:r w:rsidR="0001544D">
        <w:rPr>
          <w:rFonts w:cs="Arial"/>
          <w:lang w:val="en-CA"/>
        </w:rPr>
        <w:t>U.S.</w:t>
      </w:r>
      <w:r w:rsidRPr="001C4B76">
        <w:rPr>
          <w:rFonts w:cs="Arial"/>
          <w:lang w:val="en-CA"/>
        </w:rPr>
        <w:t xml:space="preserve"> brokerage accounts were presented to the Court to </w:t>
      </w:r>
      <w:r w:rsidR="0001544D">
        <w:rPr>
          <w:rFonts w:cs="Arial"/>
          <w:lang w:val="en-CA"/>
        </w:rPr>
        <w:t>provide</w:t>
      </w:r>
      <w:r w:rsidRPr="001C4B76">
        <w:rPr>
          <w:rFonts w:cs="Arial"/>
          <w:lang w:val="en-CA"/>
        </w:rPr>
        <w:t xml:space="preserve"> an estimate of the profits </w:t>
      </w:r>
      <w:r w:rsidR="00DC2EA1">
        <w:rPr>
          <w:rFonts w:cs="Arial"/>
          <w:lang w:val="en-CA"/>
        </w:rPr>
        <w:t xml:space="preserve">realized </w:t>
      </w:r>
      <w:r w:rsidRPr="001C4B76">
        <w:rPr>
          <w:rFonts w:cs="Arial"/>
          <w:lang w:val="en-CA"/>
        </w:rPr>
        <w:t xml:space="preserve">by the defendants. It would have been problematic to convert them into Canadian dollars. For example, should the amount of each </w:t>
      </w:r>
      <w:r w:rsidR="00DC2EA1">
        <w:rPr>
          <w:rFonts w:cs="Arial"/>
          <w:lang w:val="en-CA"/>
        </w:rPr>
        <w:t>transaction</w:t>
      </w:r>
      <w:r w:rsidR="00DC2EA1" w:rsidRPr="001C4B76">
        <w:rPr>
          <w:rFonts w:cs="Arial"/>
          <w:lang w:val="en-CA"/>
        </w:rPr>
        <w:t xml:space="preserve"> </w:t>
      </w:r>
      <w:r w:rsidRPr="001C4B76">
        <w:rPr>
          <w:rFonts w:cs="Arial"/>
          <w:lang w:val="en-CA"/>
        </w:rPr>
        <w:t xml:space="preserve">be converted into Canadian dollars on the exact date it was made? </w:t>
      </w:r>
      <w:r w:rsidR="0001544D" w:rsidRPr="001C4B76">
        <w:rPr>
          <w:rFonts w:cs="Arial"/>
          <w:lang w:val="en-CA"/>
        </w:rPr>
        <w:t>Or</w:t>
      </w:r>
      <w:r w:rsidRPr="001C4B76">
        <w:rPr>
          <w:rFonts w:cs="Arial"/>
          <w:lang w:val="en-CA"/>
        </w:rPr>
        <w:t xml:space="preserve"> should the total amount </w:t>
      </w:r>
      <w:r w:rsidR="00DC2EA1">
        <w:rPr>
          <w:rFonts w:cs="Arial"/>
          <w:lang w:val="en-CA"/>
        </w:rPr>
        <w:t xml:space="preserve">on a given date </w:t>
      </w:r>
      <w:r w:rsidRPr="001C4B76">
        <w:rPr>
          <w:rFonts w:cs="Arial"/>
          <w:lang w:val="en-CA"/>
        </w:rPr>
        <w:t>be converted?</w:t>
      </w:r>
    </w:p>
    <w:p w14:paraId="764537CD"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w:t>
      </w:r>
      <w:r w:rsidR="00815C3B">
        <w:rPr>
          <w:rFonts w:cs="Arial"/>
          <w:lang w:val="en-CA"/>
        </w:rPr>
        <w:t>p</w:t>
      </w:r>
      <w:r w:rsidR="0001544D">
        <w:rPr>
          <w:rFonts w:cs="Arial"/>
          <w:lang w:val="en-CA"/>
        </w:rPr>
        <w:t xml:space="preserve">rosecution </w:t>
      </w:r>
      <w:r w:rsidRPr="001C4B76">
        <w:rPr>
          <w:rFonts w:cs="Arial"/>
          <w:lang w:val="en-CA"/>
        </w:rPr>
        <w:t xml:space="preserve">presented these amounts to calculate the minimum fine required by s. 204.1 </w:t>
      </w:r>
      <w:r w:rsidRPr="001C4B76">
        <w:rPr>
          <w:rFonts w:cs="Arial"/>
          <w:i/>
          <w:lang w:val="en-CA"/>
        </w:rPr>
        <w:t>SA</w:t>
      </w:r>
      <w:r w:rsidRPr="001C4B76">
        <w:rPr>
          <w:rFonts w:cs="Arial"/>
          <w:lang w:val="en-CA"/>
        </w:rPr>
        <w:t xml:space="preserve">, that is, “double the profit realized”. The Court is of the view that this amount </w:t>
      </w:r>
      <w:r w:rsidR="00DC2EA1">
        <w:rPr>
          <w:rFonts w:cs="Arial"/>
          <w:lang w:val="en-CA"/>
        </w:rPr>
        <w:t>may</w:t>
      </w:r>
      <w:r w:rsidR="00DC2EA1" w:rsidRPr="001C4B76">
        <w:rPr>
          <w:rFonts w:cs="Arial"/>
          <w:lang w:val="en-CA"/>
        </w:rPr>
        <w:t xml:space="preserve"> </w:t>
      </w:r>
      <w:r w:rsidRPr="001C4B76">
        <w:rPr>
          <w:rFonts w:cs="Arial"/>
          <w:lang w:val="en-CA"/>
        </w:rPr>
        <w:t xml:space="preserve">be </w:t>
      </w:r>
      <w:r w:rsidR="00DC2EA1">
        <w:rPr>
          <w:rFonts w:cs="Arial"/>
          <w:lang w:val="en-CA"/>
        </w:rPr>
        <w:t>estimated</w:t>
      </w:r>
      <w:r w:rsidRPr="001C4B76">
        <w:rPr>
          <w:rFonts w:cs="Arial"/>
          <w:lang w:val="en-CA"/>
        </w:rPr>
        <w:t xml:space="preserve">, </w:t>
      </w:r>
      <w:r w:rsidR="0001544D">
        <w:rPr>
          <w:rFonts w:cs="Arial"/>
          <w:lang w:val="en-CA"/>
        </w:rPr>
        <w:t>whether in</w:t>
      </w:r>
      <w:r w:rsidRPr="001C4B76">
        <w:rPr>
          <w:rFonts w:cs="Arial"/>
          <w:lang w:val="en-CA"/>
        </w:rPr>
        <w:t xml:space="preserve"> Canadian or U.S. dollars, as long as it provides a realistic but approximate idea of double the profit realized. </w:t>
      </w:r>
    </w:p>
    <w:p w14:paraId="587AA763"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lastRenderedPageBreak/>
        <w:t xml:space="preserve">For purposes of comparison, </w:t>
      </w:r>
      <w:r w:rsidR="00DC2EA1">
        <w:rPr>
          <w:rFonts w:cs="Arial"/>
          <w:lang w:val="en-CA"/>
        </w:rPr>
        <w:t xml:space="preserve">the amount must be precise </w:t>
      </w:r>
      <w:r w:rsidRPr="001C4B76">
        <w:rPr>
          <w:rFonts w:cs="Arial"/>
          <w:lang w:val="en-CA"/>
        </w:rPr>
        <w:t xml:space="preserve">to determine the amount an individual must pay pursuant to s. 738 </w:t>
      </w:r>
      <w:r w:rsidRPr="00057E23">
        <w:rPr>
          <w:rFonts w:cs="Arial"/>
          <w:i/>
          <w:spacing w:val="-20"/>
          <w:lang w:val="en-CA"/>
        </w:rPr>
        <w:t>Cr. C.</w:t>
      </w:r>
      <w:r w:rsidRPr="001C4B76">
        <w:rPr>
          <w:rFonts w:cs="Arial"/>
          <w:lang w:val="en-CA"/>
        </w:rPr>
        <w:t>, that is</w:t>
      </w:r>
      <w:r w:rsidR="00F55040">
        <w:rPr>
          <w:rFonts w:cs="Arial"/>
          <w:lang w:val="en-CA"/>
        </w:rPr>
        <w:t>,</w:t>
      </w:r>
      <w:r w:rsidRPr="001C4B76">
        <w:rPr>
          <w:rFonts w:cs="Arial"/>
          <w:lang w:val="en-CA"/>
        </w:rPr>
        <w:t xml:space="preserve"> restitution, because it is set out in an order and the accused must know </w:t>
      </w:r>
      <w:r w:rsidR="00DC2EA1">
        <w:rPr>
          <w:rFonts w:cs="Arial"/>
          <w:lang w:val="en-CA"/>
        </w:rPr>
        <w:t>the amount to be paid</w:t>
      </w:r>
      <w:r w:rsidRPr="001C4B76">
        <w:rPr>
          <w:rFonts w:cs="Arial"/>
          <w:lang w:val="en-CA"/>
        </w:rPr>
        <w:t>.</w:t>
      </w:r>
    </w:p>
    <w:p w14:paraId="74745ACD" w14:textId="77777777" w:rsidR="00CC047F" w:rsidRPr="001C4B76" w:rsidRDefault="00CC047F" w:rsidP="00CC047F">
      <w:pPr>
        <w:pStyle w:val="Paragraphe"/>
        <w:numPr>
          <w:ilvl w:val="0"/>
          <w:numId w:val="0"/>
        </w:numPr>
        <w:spacing w:line="240" w:lineRule="auto"/>
        <w:rPr>
          <w:rFonts w:cs="Arial"/>
          <w:b/>
          <w:bCs/>
          <w:lang w:val="en-CA"/>
        </w:rPr>
      </w:pPr>
      <w:r w:rsidRPr="001C4B76">
        <w:rPr>
          <w:rFonts w:cs="Arial"/>
          <w:b/>
          <w:bCs/>
          <w:lang w:val="en-CA"/>
        </w:rPr>
        <w:t>MJRC Inc.</w:t>
      </w:r>
    </w:p>
    <w:p w14:paraId="2ECC6282"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According to the defence, the profit</w:t>
      </w:r>
      <w:r w:rsidR="00DC2EA1">
        <w:rPr>
          <w:rFonts w:cs="Arial"/>
          <w:lang w:val="en-CA"/>
        </w:rPr>
        <w:t>s</w:t>
      </w:r>
      <w:r w:rsidRPr="001C4B76">
        <w:rPr>
          <w:rFonts w:cs="Arial"/>
          <w:lang w:val="en-CA"/>
        </w:rPr>
        <w:t xml:space="preserve"> realized by this company </w:t>
      </w:r>
      <w:r w:rsidR="00F55040">
        <w:rPr>
          <w:rFonts w:cs="Arial"/>
          <w:lang w:val="en-CA"/>
        </w:rPr>
        <w:t>through</w:t>
      </w:r>
      <w:r w:rsidRPr="001C4B76">
        <w:rPr>
          <w:rFonts w:cs="Arial"/>
          <w:lang w:val="en-CA"/>
        </w:rPr>
        <w:t xml:space="preserve"> the Andrea </w:t>
      </w:r>
      <w:r w:rsidR="00F55040" w:rsidRPr="001C4B76">
        <w:rPr>
          <w:rFonts w:cs="Arial"/>
          <w:lang w:val="en-CA"/>
        </w:rPr>
        <w:t>Cortellazzi</w:t>
      </w:r>
      <w:r w:rsidRPr="001C4B76">
        <w:rPr>
          <w:rFonts w:cs="Arial"/>
          <w:lang w:val="en-CA"/>
        </w:rPr>
        <w:t xml:space="preserve"> organization’s scheme </w:t>
      </w:r>
      <w:r w:rsidR="00DC2EA1">
        <w:rPr>
          <w:rFonts w:cs="Arial"/>
          <w:lang w:val="en-CA"/>
        </w:rPr>
        <w:t xml:space="preserve">should </w:t>
      </w:r>
      <w:r w:rsidRPr="001C4B76">
        <w:rPr>
          <w:rFonts w:cs="Arial"/>
          <w:lang w:val="en-CA"/>
        </w:rPr>
        <w:t xml:space="preserve">not be attributed to the defendant Raso </w:t>
      </w:r>
      <w:r w:rsidR="00F55040" w:rsidRPr="001C4B76">
        <w:rPr>
          <w:rFonts w:cs="Arial"/>
          <w:lang w:val="en-CA"/>
        </w:rPr>
        <w:t>Cortellazzi</w:t>
      </w:r>
      <w:r w:rsidRPr="001C4B76">
        <w:rPr>
          <w:rFonts w:cs="Arial"/>
          <w:lang w:val="en-CA"/>
        </w:rPr>
        <w:t xml:space="preserve"> because it is a </w:t>
      </w:r>
      <w:r w:rsidR="00DC2EA1">
        <w:rPr>
          <w:rFonts w:cs="Arial"/>
          <w:lang w:val="en-CA"/>
        </w:rPr>
        <w:t>separate</w:t>
      </w:r>
      <w:r w:rsidR="00DC2EA1" w:rsidRPr="001C4B76">
        <w:rPr>
          <w:rFonts w:cs="Arial"/>
          <w:lang w:val="en-CA"/>
        </w:rPr>
        <w:t xml:space="preserve"> </w:t>
      </w:r>
      <w:r w:rsidRPr="001C4B76">
        <w:rPr>
          <w:rFonts w:cs="Arial"/>
          <w:lang w:val="en-CA"/>
        </w:rPr>
        <w:t>legal person that has not been charged in this case.</w:t>
      </w:r>
    </w:p>
    <w:p w14:paraId="71EBEEC3"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MJRC Inc. was the company of </w:t>
      </w:r>
      <w:r w:rsidR="00F55040">
        <w:rPr>
          <w:rFonts w:cs="Arial"/>
          <w:lang w:val="en-CA"/>
        </w:rPr>
        <w:t xml:space="preserve">just </w:t>
      </w:r>
      <w:r w:rsidRPr="001C4B76">
        <w:rPr>
          <w:rFonts w:cs="Arial"/>
          <w:lang w:val="en-CA"/>
        </w:rPr>
        <w:t xml:space="preserve">one man, the defendant, as it appears from the evidence adduced at trial. He was the principal </w:t>
      </w:r>
      <w:r w:rsidR="00F55040">
        <w:rPr>
          <w:rFonts w:cs="Arial"/>
          <w:lang w:val="en-CA"/>
        </w:rPr>
        <w:t>officer</w:t>
      </w:r>
      <w:r w:rsidRPr="001C4B76">
        <w:rPr>
          <w:rFonts w:cs="Arial"/>
          <w:lang w:val="en-CA"/>
        </w:rPr>
        <w:t xml:space="preserve"> of that company and the </w:t>
      </w:r>
      <w:r w:rsidR="00413284">
        <w:rPr>
          <w:rFonts w:cs="Arial"/>
          <w:lang w:val="en-CA"/>
        </w:rPr>
        <w:t xml:space="preserve">person </w:t>
      </w:r>
      <w:r w:rsidRPr="001C4B76">
        <w:rPr>
          <w:rFonts w:cs="Arial"/>
          <w:lang w:val="en-CA"/>
        </w:rPr>
        <w:t>who received the profit</w:t>
      </w:r>
      <w:r w:rsidR="00413284">
        <w:rPr>
          <w:rFonts w:cs="Arial"/>
          <w:lang w:val="en-CA"/>
        </w:rPr>
        <w:t>s</w:t>
      </w:r>
      <w:r w:rsidRPr="001C4B76">
        <w:rPr>
          <w:rFonts w:cs="Arial"/>
          <w:lang w:val="en-CA"/>
        </w:rPr>
        <w:t xml:space="preserve"> realized by the company. Defendant Raso Cortellazzi controlled the company.</w:t>
      </w:r>
    </w:p>
    <w:p w14:paraId="0333B15E" w14:textId="77777777" w:rsidR="00CC047F" w:rsidRPr="001C4B76" w:rsidRDefault="00CC047F" w:rsidP="00CC047F">
      <w:pPr>
        <w:pStyle w:val="Paragraphe"/>
        <w:numPr>
          <w:ilvl w:val="0"/>
          <w:numId w:val="1"/>
        </w:numPr>
        <w:tabs>
          <w:tab w:val="clear" w:pos="360"/>
        </w:tabs>
        <w:spacing w:line="240" w:lineRule="auto"/>
        <w:rPr>
          <w:rFonts w:cs="Arial"/>
          <w:lang w:val="en-CA"/>
        </w:rPr>
      </w:pPr>
      <w:bookmarkStart w:id="0" w:name="_Hlk137030682"/>
      <w:r w:rsidRPr="001C4B76">
        <w:rPr>
          <w:rFonts w:cs="Arial"/>
          <w:lang w:val="en-CA"/>
        </w:rPr>
        <w:t>Considering the evidence adduced at trial and the conclusion</w:t>
      </w:r>
      <w:r w:rsidR="00413284">
        <w:rPr>
          <w:rFonts w:cs="Arial"/>
          <w:lang w:val="en-CA"/>
        </w:rPr>
        <w:t>s</w:t>
      </w:r>
      <w:r w:rsidRPr="001C4B76">
        <w:rPr>
          <w:rFonts w:cs="Arial"/>
          <w:lang w:val="en-CA"/>
        </w:rPr>
        <w:t xml:space="preserve"> it drew from </w:t>
      </w:r>
      <w:r w:rsidR="00413284">
        <w:rPr>
          <w:rFonts w:cs="Arial"/>
          <w:lang w:val="en-CA"/>
        </w:rPr>
        <w:t>that evidence</w:t>
      </w:r>
      <w:r w:rsidRPr="001C4B76">
        <w:rPr>
          <w:rFonts w:cs="Arial"/>
          <w:lang w:val="en-CA"/>
        </w:rPr>
        <w:t>, the Court f</w:t>
      </w:r>
      <w:r w:rsidR="00B82254">
        <w:rPr>
          <w:rFonts w:cs="Arial"/>
          <w:lang w:val="en-CA"/>
        </w:rPr>
        <w:t xml:space="preserve">inds </w:t>
      </w:r>
      <w:r w:rsidRPr="001C4B76">
        <w:rPr>
          <w:rFonts w:cs="Arial"/>
          <w:lang w:val="en-CA"/>
        </w:rPr>
        <w:t xml:space="preserve">that the profits received by the company through the scheme </w:t>
      </w:r>
      <w:r w:rsidR="00413284">
        <w:rPr>
          <w:rFonts w:cs="Arial"/>
          <w:lang w:val="en-CA"/>
        </w:rPr>
        <w:t>may</w:t>
      </w:r>
      <w:r w:rsidR="00413284" w:rsidRPr="001C4B76">
        <w:rPr>
          <w:rFonts w:cs="Arial"/>
          <w:lang w:val="en-CA"/>
        </w:rPr>
        <w:t xml:space="preserve"> </w:t>
      </w:r>
      <w:r w:rsidRPr="001C4B76">
        <w:rPr>
          <w:rFonts w:cs="Arial"/>
          <w:lang w:val="en-CA"/>
        </w:rPr>
        <w:t>be attributed to the defendant.</w:t>
      </w:r>
    </w:p>
    <w:bookmarkEnd w:id="0"/>
    <w:p w14:paraId="712826CE" w14:textId="77777777" w:rsidR="00CC047F" w:rsidRPr="001C4B76" w:rsidRDefault="00CC047F" w:rsidP="00CC047F">
      <w:pPr>
        <w:pStyle w:val="Paragraphe"/>
        <w:numPr>
          <w:ilvl w:val="0"/>
          <w:numId w:val="0"/>
        </w:numPr>
        <w:spacing w:line="240" w:lineRule="auto"/>
        <w:rPr>
          <w:rFonts w:cs="Arial"/>
          <w:b/>
          <w:bCs/>
          <w:lang w:val="en-CA"/>
        </w:rPr>
      </w:pPr>
      <w:r w:rsidRPr="001C4B76">
        <w:rPr>
          <w:rFonts w:cs="Arial"/>
          <w:b/>
          <w:bCs/>
          <w:lang w:val="en-CA"/>
        </w:rPr>
        <w:t>The sentences sought by the</w:t>
      </w:r>
      <w:r w:rsidR="00B82254">
        <w:rPr>
          <w:rFonts w:cs="Arial"/>
          <w:b/>
          <w:bCs/>
          <w:lang w:val="en-CA"/>
        </w:rPr>
        <w:t xml:space="preserve"> </w:t>
      </w:r>
      <w:r w:rsidR="005D7FCE">
        <w:rPr>
          <w:rFonts w:cs="Arial"/>
          <w:b/>
          <w:bCs/>
          <w:lang w:val="en-CA"/>
        </w:rPr>
        <w:t>p</w:t>
      </w:r>
      <w:r w:rsidR="00B82254">
        <w:rPr>
          <w:rFonts w:cs="Arial"/>
          <w:b/>
          <w:bCs/>
          <w:lang w:val="en-CA"/>
        </w:rPr>
        <w:t>rosecution</w:t>
      </w:r>
    </w:p>
    <w:p w14:paraId="2C65ADDE" w14:textId="77777777" w:rsidR="00CC047F" w:rsidRPr="001C4B76" w:rsidRDefault="00CC047F" w:rsidP="00CC047F">
      <w:pPr>
        <w:pStyle w:val="Paragraphe"/>
        <w:numPr>
          <w:ilvl w:val="0"/>
          <w:numId w:val="1"/>
        </w:numPr>
        <w:tabs>
          <w:tab w:val="clear" w:pos="360"/>
        </w:tabs>
        <w:spacing w:line="240" w:lineRule="auto"/>
        <w:rPr>
          <w:rFonts w:cs="Arial"/>
          <w:lang w:val="en-CA"/>
        </w:rPr>
      </w:pPr>
      <w:r w:rsidRPr="001C4B76">
        <w:rPr>
          <w:rFonts w:cs="Arial"/>
          <w:lang w:val="en-CA"/>
        </w:rPr>
        <w:t xml:space="preserve">The minimum sentence suggested for each of the defendants is based on “double the profit realized”, as permitted by s. 204.1 </w:t>
      </w:r>
      <w:r w:rsidRPr="001C4B76">
        <w:rPr>
          <w:rFonts w:cs="Arial"/>
          <w:i/>
          <w:lang w:val="en-CA"/>
        </w:rPr>
        <w:t>SA</w:t>
      </w:r>
      <w:r w:rsidRPr="001C4B76">
        <w:rPr>
          <w:rFonts w:cs="Arial"/>
          <w:lang w:val="en-CA"/>
        </w:rPr>
        <w:t>.</w:t>
      </w:r>
    </w:p>
    <w:p w14:paraId="53CBDFF6" w14:textId="77777777" w:rsidR="00264C6E" w:rsidRPr="001C4B76" w:rsidRDefault="00264C6E" w:rsidP="00B245EF">
      <w:pPr>
        <w:pStyle w:val="Paragraphe"/>
        <w:numPr>
          <w:ilvl w:val="0"/>
          <w:numId w:val="0"/>
        </w:numPr>
        <w:spacing w:line="240" w:lineRule="auto"/>
        <w:rPr>
          <w:rFonts w:cs="Arial"/>
          <w:b/>
          <w:bCs/>
          <w:lang w:val="en-CA"/>
        </w:rPr>
      </w:pPr>
      <w:r w:rsidRPr="001C4B76">
        <w:rPr>
          <w:rFonts w:cs="Arial"/>
          <w:b/>
          <w:bCs/>
          <w:lang w:val="en-CA"/>
        </w:rPr>
        <w:t>Raso Cortellazzi</w:t>
      </w:r>
    </w:p>
    <w:p w14:paraId="4F5BB0B1"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u w:val="single"/>
          <w:lang w:val="en-CA"/>
        </w:rPr>
        <w:t>Count No. 8</w:t>
      </w:r>
      <w:r w:rsidRPr="001C4B76">
        <w:rPr>
          <w:rFonts w:cs="Arial"/>
          <w:b/>
          <w:lang w:val="en-CA"/>
        </w:rPr>
        <w:t>:</w:t>
      </w:r>
      <w:r w:rsidRPr="001C4B76">
        <w:rPr>
          <w:rFonts w:cs="Arial"/>
          <w:b/>
          <w:bCs/>
          <w:lang w:val="en-CA"/>
        </w:rPr>
        <w:t xml:space="preserve"> s. 195.2 </w:t>
      </w:r>
      <w:r w:rsidRPr="001C4B76">
        <w:rPr>
          <w:rFonts w:cs="Arial"/>
          <w:b/>
          <w:bCs/>
          <w:i/>
          <w:iCs/>
          <w:lang w:val="en-CA"/>
        </w:rPr>
        <w:t>SA</w:t>
      </w:r>
      <w:r w:rsidRPr="001C4B76">
        <w:rPr>
          <w:rFonts w:cs="Arial"/>
          <w:b/>
          <w:bCs/>
          <w:lang w:val="en-CA"/>
        </w:rPr>
        <w:t xml:space="preserve"> (HE-5): minimum fine: $287,319 Penalty sought: $375,000</w:t>
      </w:r>
    </w:p>
    <w:p w14:paraId="0B96455B"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u w:val="single"/>
          <w:lang w:val="en-CA"/>
        </w:rPr>
        <w:t xml:space="preserve">Count No. </w:t>
      </w:r>
      <w:r w:rsidR="00B82254" w:rsidRPr="001C4B76">
        <w:rPr>
          <w:rFonts w:cs="Arial"/>
          <w:b/>
          <w:bCs/>
          <w:u w:val="single"/>
          <w:lang w:val="en-CA"/>
        </w:rPr>
        <w:t>9:</w:t>
      </w:r>
      <w:r w:rsidRPr="001C4B76">
        <w:rPr>
          <w:rFonts w:cs="Arial"/>
          <w:b/>
          <w:bCs/>
          <w:lang w:val="en-CA"/>
        </w:rPr>
        <w:t xml:space="preserve"> s. 195.2 </w:t>
      </w:r>
      <w:r w:rsidRPr="001C4B76">
        <w:rPr>
          <w:rFonts w:cs="Arial"/>
          <w:b/>
          <w:bCs/>
          <w:i/>
          <w:iCs/>
          <w:lang w:val="en-CA"/>
        </w:rPr>
        <w:t>SA</w:t>
      </w:r>
      <w:r w:rsidRPr="001C4B76">
        <w:rPr>
          <w:rFonts w:cs="Arial"/>
          <w:b/>
          <w:bCs/>
          <w:lang w:val="en-CA"/>
        </w:rPr>
        <w:t xml:space="preserve"> (UMining): minimum fine: $5,000 Penalty sought: $50,000 </w:t>
      </w:r>
    </w:p>
    <w:p w14:paraId="1EEF5960"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u w:val="single"/>
          <w:lang w:val="en-CA"/>
        </w:rPr>
        <w:t xml:space="preserve">Count No. </w:t>
      </w:r>
      <w:r w:rsidR="00B82254" w:rsidRPr="001C4B76">
        <w:rPr>
          <w:rFonts w:cs="Arial"/>
          <w:b/>
          <w:bCs/>
          <w:u w:val="single"/>
          <w:lang w:val="en-CA"/>
        </w:rPr>
        <w:t>10</w:t>
      </w:r>
      <w:r w:rsidR="00B82254" w:rsidRPr="001C4B76">
        <w:rPr>
          <w:rFonts w:cs="Arial"/>
          <w:b/>
          <w:bCs/>
          <w:lang w:val="en-CA"/>
        </w:rPr>
        <w:t>:</w:t>
      </w:r>
      <w:r w:rsidRPr="001C4B76">
        <w:rPr>
          <w:rFonts w:cs="Arial"/>
          <w:b/>
          <w:bCs/>
          <w:lang w:val="en-CA"/>
        </w:rPr>
        <w:t xml:space="preserve"> s. 195.2 </w:t>
      </w:r>
      <w:r w:rsidRPr="001C4B76">
        <w:rPr>
          <w:rFonts w:cs="Arial"/>
          <w:b/>
          <w:bCs/>
          <w:i/>
          <w:iCs/>
          <w:lang w:val="en-CA"/>
        </w:rPr>
        <w:t>SA</w:t>
      </w:r>
      <w:r w:rsidRPr="001C4B76">
        <w:rPr>
          <w:rFonts w:cs="Arial"/>
          <w:b/>
          <w:bCs/>
          <w:lang w:val="en-CA"/>
        </w:rPr>
        <w:t xml:space="preserve"> (Neuro Biotech): minimum fine: $105,066 Penalty sought: $155,000 </w:t>
      </w:r>
    </w:p>
    <w:p w14:paraId="5F447CE2"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bCs/>
          <w:lang w:val="en-CA"/>
        </w:rPr>
        <w:t>Savaris</w:t>
      </w:r>
    </w:p>
    <w:p w14:paraId="6177CF1A"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u w:val="single"/>
          <w:lang w:val="en-CA"/>
        </w:rPr>
        <w:t xml:space="preserve">Count No. </w:t>
      </w:r>
      <w:r w:rsidRPr="001C4B76">
        <w:rPr>
          <w:rFonts w:cs="Arial"/>
          <w:b/>
          <w:bCs/>
          <w:u w:val="single"/>
          <w:lang w:val="en-CA"/>
        </w:rPr>
        <w:t>6</w:t>
      </w:r>
      <w:r w:rsidRPr="001C4B76">
        <w:rPr>
          <w:rFonts w:cs="Arial"/>
          <w:b/>
          <w:bCs/>
          <w:lang w:val="en-CA"/>
        </w:rPr>
        <w:t xml:space="preserve">: s. 195.2 </w:t>
      </w:r>
      <w:r w:rsidRPr="001C4B76">
        <w:rPr>
          <w:rFonts w:cs="Arial"/>
          <w:b/>
          <w:bCs/>
          <w:i/>
          <w:iCs/>
          <w:lang w:val="en-CA"/>
        </w:rPr>
        <w:t>SA</w:t>
      </w:r>
      <w:r w:rsidRPr="001C4B76">
        <w:rPr>
          <w:rFonts w:cs="Arial"/>
          <w:b/>
          <w:bCs/>
          <w:lang w:val="en-CA"/>
        </w:rPr>
        <w:t xml:space="preserve"> (HE-5): minimum fine: $83,950 Penalty sought: $125,000 </w:t>
      </w:r>
    </w:p>
    <w:p w14:paraId="4C5112F4" w14:textId="77777777" w:rsidR="00CC047F" w:rsidRPr="001C4B76" w:rsidRDefault="00CC047F" w:rsidP="00CC047F">
      <w:pPr>
        <w:pStyle w:val="Paragraphe"/>
        <w:numPr>
          <w:ilvl w:val="0"/>
          <w:numId w:val="1"/>
        </w:numPr>
        <w:tabs>
          <w:tab w:val="clear" w:pos="360"/>
        </w:tabs>
        <w:spacing w:line="240" w:lineRule="auto"/>
        <w:rPr>
          <w:rFonts w:cs="Arial"/>
          <w:b/>
          <w:bCs/>
          <w:lang w:val="en-CA"/>
        </w:rPr>
      </w:pPr>
      <w:r w:rsidRPr="001C4B76">
        <w:rPr>
          <w:rFonts w:cs="Arial"/>
          <w:b/>
          <w:u w:val="single"/>
          <w:lang w:val="en-CA"/>
        </w:rPr>
        <w:t xml:space="preserve">Count No. </w:t>
      </w:r>
      <w:r w:rsidR="00B82254" w:rsidRPr="001C4B76">
        <w:rPr>
          <w:rFonts w:cs="Arial"/>
          <w:b/>
          <w:bCs/>
          <w:u w:val="single"/>
          <w:lang w:val="en-CA"/>
        </w:rPr>
        <w:t>7:</w:t>
      </w:r>
      <w:r w:rsidRPr="001C4B76">
        <w:rPr>
          <w:rFonts w:cs="Arial"/>
          <w:b/>
          <w:bCs/>
          <w:lang w:val="en-CA"/>
        </w:rPr>
        <w:t xml:space="preserve"> s. 195.2 </w:t>
      </w:r>
      <w:r w:rsidRPr="001C4B76">
        <w:rPr>
          <w:rFonts w:cs="Arial"/>
          <w:b/>
          <w:bCs/>
          <w:i/>
          <w:iCs/>
          <w:lang w:val="en-CA"/>
        </w:rPr>
        <w:t>SA</w:t>
      </w:r>
      <w:r w:rsidRPr="001C4B76">
        <w:rPr>
          <w:rFonts w:cs="Arial"/>
          <w:b/>
          <w:bCs/>
          <w:lang w:val="en-CA"/>
        </w:rPr>
        <w:t xml:space="preserve"> (Neuro Biotech): minimum fine: $84,672 Penalty sought: $125,000 </w:t>
      </w:r>
    </w:p>
    <w:p w14:paraId="5D50F3CE" w14:textId="77777777" w:rsidR="00CC047F" w:rsidRPr="001C4B76" w:rsidRDefault="009A3FB9" w:rsidP="00CC047F">
      <w:pPr>
        <w:pStyle w:val="Paragraphe"/>
        <w:numPr>
          <w:ilvl w:val="0"/>
          <w:numId w:val="0"/>
        </w:numPr>
        <w:spacing w:line="240" w:lineRule="auto"/>
        <w:rPr>
          <w:rFonts w:cs="Arial"/>
          <w:b/>
          <w:bCs/>
          <w:lang w:val="en-CA"/>
        </w:rPr>
      </w:pPr>
      <w:r>
        <w:rPr>
          <w:rFonts w:cs="Arial"/>
          <w:b/>
          <w:bCs/>
          <w:lang w:val="en-CA"/>
        </w:rPr>
        <w:t>S</w:t>
      </w:r>
      <w:r w:rsidR="00413284">
        <w:rPr>
          <w:rFonts w:cs="Arial"/>
          <w:b/>
          <w:bCs/>
          <w:lang w:val="en-CA"/>
        </w:rPr>
        <w:t xml:space="preserve">entencing </w:t>
      </w:r>
      <w:r w:rsidR="00CC047F" w:rsidRPr="001C4B76">
        <w:rPr>
          <w:rFonts w:cs="Arial"/>
          <w:b/>
          <w:bCs/>
          <w:lang w:val="en-CA"/>
        </w:rPr>
        <w:t>principles in regulatory matters</w:t>
      </w:r>
    </w:p>
    <w:p w14:paraId="05A60586" w14:textId="77777777" w:rsidR="00264C6E" w:rsidRPr="001C4B76" w:rsidRDefault="00CC047F" w:rsidP="002664B2">
      <w:pPr>
        <w:pStyle w:val="Paragraphe"/>
        <w:spacing w:line="240" w:lineRule="auto"/>
        <w:rPr>
          <w:rFonts w:cs="Arial"/>
          <w:lang w:val="en-CA"/>
        </w:rPr>
      </w:pPr>
      <w:r w:rsidRPr="001C4B76">
        <w:rPr>
          <w:rFonts w:cs="Arial"/>
          <w:lang w:val="en-CA"/>
        </w:rPr>
        <w:lastRenderedPageBreak/>
        <w:t xml:space="preserve">The </w:t>
      </w:r>
      <w:r w:rsidR="00A94B63">
        <w:rPr>
          <w:rFonts w:cs="Arial"/>
          <w:lang w:val="en-CA"/>
        </w:rPr>
        <w:t>p</w:t>
      </w:r>
      <w:r w:rsidRPr="001C4B76">
        <w:rPr>
          <w:rFonts w:cs="Arial"/>
          <w:lang w:val="en-CA"/>
        </w:rPr>
        <w:t>rosecut</w:t>
      </w:r>
      <w:r w:rsidR="00B82254">
        <w:rPr>
          <w:rFonts w:cs="Arial"/>
          <w:lang w:val="en-CA"/>
        </w:rPr>
        <w:t>ion</w:t>
      </w:r>
      <w:r w:rsidRPr="001C4B76">
        <w:rPr>
          <w:rFonts w:cs="Arial"/>
          <w:lang w:val="en-CA"/>
        </w:rPr>
        <w:t xml:space="preserve"> presented a very detailed sentencing argument plan. </w:t>
      </w:r>
      <w:r w:rsidR="0024581B" w:rsidRPr="001C4B76">
        <w:rPr>
          <w:rFonts w:cs="Arial"/>
          <w:lang w:val="en-CA"/>
        </w:rPr>
        <w:t>Since these offences</w:t>
      </w:r>
      <w:r w:rsidRPr="001C4B76">
        <w:rPr>
          <w:rFonts w:cs="Arial"/>
          <w:lang w:val="en-CA"/>
        </w:rPr>
        <w:t xml:space="preserve"> are regulatory</w:t>
      </w:r>
      <w:r w:rsidR="0024581B" w:rsidRPr="001C4B76">
        <w:rPr>
          <w:rFonts w:cs="Arial"/>
          <w:lang w:val="en-CA"/>
        </w:rPr>
        <w:t>, it is important at this stage of the judgment to distinguish between regulatory and criminal offences.</w:t>
      </w:r>
    </w:p>
    <w:p w14:paraId="4D2E976E" w14:textId="77777777" w:rsidR="00264C6E" w:rsidRPr="001C4B76" w:rsidRDefault="0024581B" w:rsidP="002664B2">
      <w:pPr>
        <w:pStyle w:val="Paragraphe"/>
        <w:spacing w:line="240" w:lineRule="auto"/>
        <w:rPr>
          <w:rFonts w:cs="Arial"/>
          <w:lang w:val="en-CA"/>
        </w:rPr>
      </w:pPr>
      <w:r w:rsidRPr="001C4B76">
        <w:rPr>
          <w:rFonts w:cs="Arial"/>
          <w:lang w:val="en-CA"/>
        </w:rPr>
        <w:t xml:space="preserve">Like our colleague Claude </w:t>
      </w:r>
      <w:proofErr w:type="spellStart"/>
      <w:r w:rsidRPr="001C4B76">
        <w:rPr>
          <w:rFonts w:cs="Arial"/>
          <w:lang w:val="en-CA"/>
        </w:rPr>
        <w:t>Leblon</w:t>
      </w:r>
      <w:r w:rsidR="00B82254">
        <w:rPr>
          <w:rFonts w:cs="Arial"/>
          <w:lang w:val="en-CA"/>
        </w:rPr>
        <w:t>d</w:t>
      </w:r>
      <w:proofErr w:type="spellEnd"/>
      <w:r w:rsidRPr="001C4B76">
        <w:rPr>
          <w:rFonts w:cs="Arial"/>
          <w:lang w:val="en-CA"/>
        </w:rPr>
        <w:t xml:space="preserve">, J.C.Q., in </w:t>
      </w:r>
      <w:r w:rsidRPr="001C4B76">
        <w:rPr>
          <w:rFonts w:cs="Arial"/>
          <w:i/>
          <w:lang w:val="en-CA"/>
        </w:rPr>
        <w:t xml:space="preserve">R. c. Jean-Claude </w:t>
      </w:r>
      <w:proofErr w:type="spellStart"/>
      <w:r w:rsidRPr="001C4B76">
        <w:rPr>
          <w:rFonts w:cs="Arial"/>
          <w:i/>
          <w:lang w:val="en-CA"/>
        </w:rPr>
        <w:t>Sénécal</w:t>
      </w:r>
      <w:proofErr w:type="spellEnd"/>
      <w:r w:rsidRPr="001C4B76">
        <w:rPr>
          <w:rFonts w:cs="Arial"/>
          <w:lang w:val="en-CA"/>
        </w:rPr>
        <w:t>,</w:t>
      </w:r>
      <w:r w:rsidRPr="001C4B76">
        <w:rPr>
          <w:rStyle w:val="Appelnotedebasdep"/>
          <w:rFonts w:cs="Arial"/>
          <w:lang w:val="en-CA"/>
        </w:rPr>
        <w:footnoteReference w:id="3"/>
      </w:r>
      <w:r w:rsidRPr="001C4B76">
        <w:rPr>
          <w:rFonts w:cs="Arial"/>
          <w:lang w:val="en-CA"/>
        </w:rPr>
        <w:t xml:space="preserve"> it is worthwhile reproducing a l</w:t>
      </w:r>
      <w:r w:rsidR="00C97F0D">
        <w:rPr>
          <w:rFonts w:cs="Arial"/>
          <w:lang w:val="en-CA"/>
        </w:rPr>
        <w:t>engthy</w:t>
      </w:r>
      <w:r w:rsidRPr="001C4B76">
        <w:rPr>
          <w:rFonts w:cs="Arial"/>
          <w:lang w:val="en-CA"/>
        </w:rPr>
        <w:t xml:space="preserve"> excerpt </w:t>
      </w:r>
      <w:r w:rsidR="007B096A" w:rsidRPr="001C4B76">
        <w:rPr>
          <w:rFonts w:cs="Arial"/>
          <w:lang w:val="en-CA"/>
        </w:rPr>
        <w:t xml:space="preserve">addressing this issue </w:t>
      </w:r>
      <w:r w:rsidRPr="001C4B76">
        <w:rPr>
          <w:rFonts w:cs="Arial"/>
          <w:lang w:val="en-CA"/>
        </w:rPr>
        <w:t xml:space="preserve">from the judgment of the Honourable Alexandre Boucher, J.S.C. in </w:t>
      </w:r>
      <w:r w:rsidRPr="001C4B76">
        <w:rPr>
          <w:rFonts w:cs="Arial"/>
          <w:i/>
          <w:lang w:val="en-CA"/>
        </w:rPr>
        <w:t>Ste-Marie</w:t>
      </w:r>
      <w:r w:rsidR="007B096A" w:rsidRPr="001C4B76">
        <w:rPr>
          <w:rFonts w:cs="Arial"/>
          <w:lang w:val="en-CA"/>
        </w:rPr>
        <w:t>:</w:t>
      </w:r>
      <w:r w:rsidRPr="001C4B76">
        <w:rPr>
          <w:rStyle w:val="Appelnotedebasdep"/>
          <w:rFonts w:cs="Arial"/>
          <w:lang w:val="en-CA"/>
        </w:rPr>
        <w:footnoteReference w:id="4"/>
      </w:r>
    </w:p>
    <w:p w14:paraId="0F74482E" w14:textId="77777777" w:rsidR="0024581B" w:rsidRPr="001C4B76" w:rsidRDefault="0024581B" w:rsidP="0024581B">
      <w:pPr>
        <w:pStyle w:val="Paragraphe"/>
        <w:numPr>
          <w:ilvl w:val="0"/>
          <w:numId w:val="0"/>
        </w:numPr>
        <w:spacing w:line="240" w:lineRule="auto"/>
        <w:ind w:left="720"/>
        <w:rPr>
          <w:kern w:val="24"/>
          <w:sz w:val="22"/>
          <w:lang w:val="en-CA"/>
        </w:rPr>
      </w:pPr>
      <w:r w:rsidRPr="001C4B76">
        <w:rPr>
          <w:kern w:val="24"/>
          <w:sz w:val="22"/>
          <w:lang w:val="en-CA"/>
        </w:rPr>
        <w:t>[</w:t>
      </w:r>
      <w:r w:rsidRPr="001C4B76">
        <w:rPr>
          <w:smallCaps/>
          <w:kern w:val="24"/>
          <w:sz w:val="22"/>
          <w:lang w:val="en-CA"/>
        </w:rPr>
        <w:t>translation</w:t>
      </w:r>
      <w:r w:rsidRPr="001C4B76">
        <w:rPr>
          <w:kern w:val="24"/>
          <w:sz w:val="22"/>
          <w:lang w:val="en-CA"/>
        </w:rPr>
        <w:t>]</w:t>
      </w:r>
    </w:p>
    <w:p w14:paraId="7B01D1CB" w14:textId="77777777" w:rsidR="00264C6E" w:rsidRPr="001C4B76" w:rsidRDefault="0024581B" w:rsidP="00A16306">
      <w:pPr>
        <w:pStyle w:val="Citationenretrait"/>
        <w:rPr>
          <w:lang w:val="en-CA"/>
        </w:rPr>
      </w:pPr>
      <w:r w:rsidRPr="001C4B76">
        <w:rPr>
          <w:lang w:val="en-CA"/>
        </w:rPr>
        <w:t xml:space="preserve">[96] </w:t>
      </w:r>
      <w:r w:rsidRPr="001C4B76">
        <w:rPr>
          <w:u w:val="single"/>
          <w:lang w:val="en-CA"/>
        </w:rPr>
        <w:t xml:space="preserve">The </w:t>
      </w:r>
      <w:r w:rsidR="00B82254">
        <w:rPr>
          <w:u w:val="single"/>
          <w:lang w:val="en-CA"/>
        </w:rPr>
        <w:t>line</w:t>
      </w:r>
      <w:r w:rsidRPr="001C4B76">
        <w:rPr>
          <w:u w:val="single"/>
          <w:lang w:val="en-CA"/>
        </w:rPr>
        <w:t xml:space="preserve"> between </w:t>
      </w:r>
      <w:r w:rsidR="006750B0">
        <w:rPr>
          <w:u w:val="single"/>
          <w:lang w:val="en-CA"/>
        </w:rPr>
        <w:t xml:space="preserve">regulatory </w:t>
      </w:r>
      <w:r w:rsidRPr="001C4B76">
        <w:rPr>
          <w:u w:val="single"/>
          <w:lang w:val="en-CA"/>
        </w:rPr>
        <w:t>penal offences and criminal offences is therefore well-established.</w:t>
      </w:r>
    </w:p>
    <w:p w14:paraId="0FDA44B9" w14:textId="77777777" w:rsidR="00264C6E" w:rsidRPr="001C4B76" w:rsidRDefault="0024581B" w:rsidP="00A16306">
      <w:pPr>
        <w:pStyle w:val="Citationenretrait"/>
        <w:rPr>
          <w:lang w:val="en-CA"/>
        </w:rPr>
      </w:pPr>
      <w:r w:rsidRPr="001C4B76">
        <w:rPr>
          <w:lang w:val="en-CA"/>
        </w:rPr>
        <w:t>[97] The distinction necessarily implies that sentencing will be different.</w:t>
      </w:r>
      <w:r w:rsidR="00264C6E" w:rsidRPr="001C4B76">
        <w:rPr>
          <w:lang w:val="en-CA"/>
        </w:rPr>
        <w:t xml:space="preserve"> </w:t>
      </w:r>
      <w:r w:rsidRPr="001C4B76">
        <w:rPr>
          <w:lang w:val="en-CA"/>
        </w:rPr>
        <w:t xml:space="preserve">In particular, the </w:t>
      </w:r>
      <w:r w:rsidR="006750B0">
        <w:rPr>
          <w:lang w:val="en-CA"/>
        </w:rPr>
        <w:t xml:space="preserve">sentencing </w:t>
      </w:r>
      <w:r w:rsidR="00D70EA6">
        <w:rPr>
          <w:lang w:val="en-CA"/>
        </w:rPr>
        <w:t>objectives</w:t>
      </w:r>
      <w:r w:rsidRPr="001C4B76">
        <w:rPr>
          <w:lang w:val="en-CA"/>
        </w:rPr>
        <w:t xml:space="preserve"> and </w:t>
      </w:r>
      <w:r w:rsidR="006750B0">
        <w:rPr>
          <w:lang w:val="en-CA"/>
        </w:rPr>
        <w:t xml:space="preserve">offender’s </w:t>
      </w:r>
      <w:r w:rsidRPr="001C4B76">
        <w:rPr>
          <w:lang w:val="en-CA"/>
        </w:rPr>
        <w:t>degree of responsibility are not the same.</w:t>
      </w:r>
    </w:p>
    <w:p w14:paraId="438B16F1" w14:textId="77777777" w:rsidR="00264C6E" w:rsidRPr="001C4B76" w:rsidRDefault="0024581B" w:rsidP="00A16306">
      <w:pPr>
        <w:pStyle w:val="Citationenretrait"/>
        <w:rPr>
          <w:lang w:val="en-CA"/>
        </w:rPr>
      </w:pPr>
      <w:r w:rsidRPr="001C4B76">
        <w:rPr>
          <w:lang w:val="en-CA"/>
        </w:rPr>
        <w:t xml:space="preserve">[98] The penalty imposed for the commission of a regulatory </w:t>
      </w:r>
      <w:r w:rsidR="006750B0">
        <w:rPr>
          <w:lang w:val="en-CA"/>
        </w:rPr>
        <w:t xml:space="preserve">penal </w:t>
      </w:r>
      <w:r w:rsidRPr="001C4B76">
        <w:rPr>
          <w:lang w:val="en-CA"/>
        </w:rPr>
        <w:t xml:space="preserve">offence must be in line with the </w:t>
      </w:r>
      <w:r w:rsidR="00D70EA6" w:rsidRPr="001C4B76">
        <w:rPr>
          <w:lang w:val="en-CA"/>
        </w:rPr>
        <w:t>essentially</w:t>
      </w:r>
      <w:r w:rsidRPr="001C4B76">
        <w:rPr>
          <w:lang w:val="en-CA"/>
        </w:rPr>
        <w:t xml:space="preserve"> </w:t>
      </w:r>
      <w:r w:rsidR="0086336C">
        <w:rPr>
          <w:lang w:val="en-CA"/>
        </w:rPr>
        <w:t xml:space="preserve">remedial </w:t>
      </w:r>
      <w:r w:rsidRPr="001C4B76">
        <w:rPr>
          <w:lang w:val="en-CA"/>
        </w:rPr>
        <w:t xml:space="preserve">and preventive, rather than punitive, </w:t>
      </w:r>
      <w:r w:rsidR="00D70EA6">
        <w:rPr>
          <w:lang w:val="en-CA"/>
        </w:rPr>
        <w:t>function</w:t>
      </w:r>
      <w:r w:rsidRPr="001C4B76">
        <w:rPr>
          <w:lang w:val="en-CA"/>
        </w:rPr>
        <w:t xml:space="preserve"> of regulatory penal law.</w:t>
      </w:r>
      <w:r w:rsidR="00264C6E" w:rsidRPr="001C4B76">
        <w:rPr>
          <w:lang w:val="en-CA"/>
        </w:rPr>
        <w:t xml:space="preserve"> </w:t>
      </w:r>
      <w:r w:rsidRPr="001C4B76">
        <w:rPr>
          <w:lang w:val="en-CA"/>
        </w:rPr>
        <w:t xml:space="preserve">It should be recalled that </w:t>
      </w:r>
      <w:r w:rsidR="006750B0">
        <w:rPr>
          <w:lang w:val="en-CA"/>
        </w:rPr>
        <w:t xml:space="preserve">the purpose of </w:t>
      </w:r>
      <w:r w:rsidRPr="001C4B76">
        <w:rPr>
          <w:lang w:val="en-CA"/>
        </w:rPr>
        <w:t xml:space="preserve">penal law </w:t>
      </w:r>
      <w:r w:rsidR="006750B0">
        <w:rPr>
          <w:lang w:val="en-CA"/>
        </w:rPr>
        <w:t xml:space="preserve">is </w:t>
      </w:r>
      <w:r w:rsidRPr="001C4B76">
        <w:rPr>
          <w:lang w:val="en-CA"/>
        </w:rPr>
        <w:t xml:space="preserve">to protect the public by punishing </w:t>
      </w:r>
      <w:r w:rsidR="006750B0">
        <w:rPr>
          <w:lang w:val="en-CA"/>
        </w:rPr>
        <w:t xml:space="preserve">breaches of </w:t>
      </w:r>
      <w:r w:rsidRPr="001C4B76">
        <w:rPr>
          <w:lang w:val="en-CA"/>
        </w:rPr>
        <w:t xml:space="preserve">standards of conduct and care </w:t>
      </w:r>
      <w:r w:rsidR="006750B0">
        <w:rPr>
          <w:lang w:val="en-CA"/>
        </w:rPr>
        <w:t xml:space="preserve">governing </w:t>
      </w:r>
      <w:r w:rsidRPr="001C4B76">
        <w:rPr>
          <w:lang w:val="en-CA"/>
        </w:rPr>
        <w:t>certain regulatory activities.</w:t>
      </w:r>
      <w:r w:rsidR="00264C6E" w:rsidRPr="001C4B76">
        <w:rPr>
          <w:lang w:val="en-CA"/>
        </w:rPr>
        <w:t xml:space="preserve"> </w:t>
      </w:r>
      <w:r w:rsidR="0086336C">
        <w:rPr>
          <w:lang w:val="en-CA"/>
        </w:rPr>
        <w:t>It is intended t</w:t>
      </w:r>
      <w:r w:rsidRPr="001C4B76">
        <w:rPr>
          <w:lang w:val="en-CA"/>
        </w:rPr>
        <w:t xml:space="preserve">o promote </w:t>
      </w:r>
      <w:r w:rsidR="006750B0">
        <w:rPr>
          <w:lang w:val="en-CA"/>
        </w:rPr>
        <w:t>compliance with</w:t>
      </w:r>
      <w:r w:rsidRPr="001C4B76">
        <w:rPr>
          <w:lang w:val="en-CA"/>
        </w:rPr>
        <w:t xml:space="preserve"> applicable standards, not to punish a morally and socially reprehensible offence.</w:t>
      </w:r>
    </w:p>
    <w:p w14:paraId="49FBFC0F" w14:textId="77777777" w:rsidR="00264C6E" w:rsidRPr="001C4B76" w:rsidRDefault="0024581B" w:rsidP="00A16306">
      <w:pPr>
        <w:pStyle w:val="Citationenretrait"/>
        <w:rPr>
          <w:i/>
          <w:iCs/>
          <w:lang w:val="en-CA"/>
        </w:rPr>
      </w:pPr>
      <w:r w:rsidRPr="001C4B76">
        <w:rPr>
          <w:lang w:val="en-CA"/>
        </w:rPr>
        <w:t xml:space="preserve">[99] Next, the gravity of the offences and the offender’s degree of </w:t>
      </w:r>
      <w:r w:rsidR="006750B0">
        <w:rPr>
          <w:lang w:val="en-CA"/>
        </w:rPr>
        <w:t>responsibility</w:t>
      </w:r>
      <w:r w:rsidRPr="001C4B76">
        <w:rPr>
          <w:lang w:val="en-CA"/>
        </w:rPr>
        <w:t xml:space="preserve">, which are determinative concepts in sentencing (see in particular </w:t>
      </w:r>
      <w:r w:rsidRPr="001C4B76">
        <w:rPr>
          <w:i/>
          <w:lang w:val="en-CA"/>
        </w:rPr>
        <w:t>R. v. Suter</w:t>
      </w:r>
      <w:r w:rsidRPr="001C4B76">
        <w:rPr>
          <w:lang w:val="en-CA"/>
        </w:rPr>
        <w:t xml:space="preserve">, [2018] 2 SCR 496), are necessarily </w:t>
      </w:r>
      <w:r w:rsidR="006750B0">
        <w:rPr>
          <w:lang w:val="en-CA"/>
        </w:rPr>
        <w:t xml:space="preserve">less important </w:t>
      </w:r>
      <w:r w:rsidRPr="001C4B76">
        <w:rPr>
          <w:lang w:val="en-CA"/>
        </w:rPr>
        <w:t>in regulatory matters than in criminal matters (</w:t>
      </w:r>
      <w:r w:rsidRPr="001C4B76">
        <w:rPr>
          <w:i/>
          <w:lang w:val="en-CA"/>
        </w:rPr>
        <w:t>R. v. Maghera</w:t>
      </w:r>
      <w:r w:rsidRPr="001C4B76">
        <w:rPr>
          <w:lang w:val="en-CA"/>
        </w:rPr>
        <w:t>, 2016 ABQB 50 at para 12).</w:t>
      </w:r>
      <w:r w:rsidR="00264C6E" w:rsidRPr="001C4B76">
        <w:rPr>
          <w:lang w:val="en-CA"/>
        </w:rPr>
        <w:t xml:space="preserve"> </w:t>
      </w:r>
      <w:r w:rsidRPr="001C4B76">
        <w:rPr>
          <w:lang w:val="en-CA"/>
        </w:rPr>
        <w:t xml:space="preserve">Here is what Cory J. wrote on the matter in </w:t>
      </w:r>
      <w:r w:rsidRPr="001C4B76">
        <w:rPr>
          <w:i/>
          <w:lang w:val="en-CA"/>
        </w:rPr>
        <w:t>Wholesale Travel</w:t>
      </w:r>
      <w:r w:rsidRPr="001C4B76">
        <w:rPr>
          <w:lang w:val="en-CA"/>
        </w:rPr>
        <w:t xml:space="preserve"> </w:t>
      </w:r>
      <w:r w:rsidRPr="001C4B76">
        <w:rPr>
          <w:iCs/>
          <w:lang w:val="en-CA"/>
        </w:rPr>
        <w:t>at 218–219:</w:t>
      </w:r>
    </w:p>
    <w:p w14:paraId="6301A37D" w14:textId="77777777" w:rsidR="00264C6E" w:rsidRPr="00057E23" w:rsidRDefault="0024581B" w:rsidP="00057E23">
      <w:pPr>
        <w:pStyle w:val="Citationenretrait"/>
        <w:ind w:left="993" w:right="998"/>
        <w:rPr>
          <w:rStyle w:val="Citationintgre"/>
          <w:i w:val="0"/>
          <w:sz w:val="20"/>
          <w:szCs w:val="18"/>
          <w:lang w:val="en-CA"/>
        </w:rPr>
      </w:pPr>
      <w:r w:rsidRPr="00057E23">
        <w:rPr>
          <w:rStyle w:val="Citationintgre"/>
          <w:i w:val="0"/>
          <w:sz w:val="20"/>
          <w:szCs w:val="18"/>
          <w:lang w:val="en-CA"/>
        </w:rPr>
        <w:t>It has always been thought that there is a rational basis for distinguishing between crimes and regulatory offences.  Acts or actions are criminal when they constitute conduct that is, in itself, so abhorrent to the basic values of human society that it ought to be prohibited completely.  Murder, sexual assault, fraud, robbery and theft are all so repugnant to society that they are universally recognized as crimes.  At the same time, some conduct is prohibited, not because it is inherently wrongful, but because unregulated activity would result in dangerous conditions being imposed upon members of society, especially those who are particularly vulnerable.</w:t>
      </w:r>
      <w:r w:rsidR="00264C6E" w:rsidRPr="00057E23">
        <w:rPr>
          <w:rStyle w:val="Citationintgre"/>
          <w:i w:val="0"/>
          <w:sz w:val="20"/>
          <w:szCs w:val="18"/>
          <w:lang w:val="en-CA"/>
        </w:rPr>
        <w:t xml:space="preserve"> </w:t>
      </w:r>
    </w:p>
    <w:p w14:paraId="50E9DCA8" w14:textId="77777777" w:rsidR="00264C6E" w:rsidRPr="00057E23" w:rsidRDefault="0024581B" w:rsidP="00057E23">
      <w:pPr>
        <w:pStyle w:val="Citationenretrait"/>
        <w:ind w:left="993" w:right="998"/>
        <w:rPr>
          <w:sz w:val="20"/>
          <w:szCs w:val="18"/>
          <w:lang w:val="en-CA"/>
        </w:rPr>
      </w:pPr>
      <w:r w:rsidRPr="00057E23">
        <w:rPr>
          <w:sz w:val="20"/>
          <w:szCs w:val="18"/>
          <w:lang w:val="en-CA"/>
        </w:rPr>
        <w:t xml:space="preserve">The objective of regulatory legislation is to protect the public or broad segments of the public (such as employees, consumers and motorists, to name but a few) from the potentially adverse effects of otherwise lawful activity. Regulatory legislation involves a shift of emphasis from the protection of individual interests and the deterrence and punishment of acts involving moral fault to the protection of public </w:t>
      </w:r>
      <w:r w:rsidRPr="00057E23">
        <w:rPr>
          <w:sz w:val="20"/>
          <w:szCs w:val="18"/>
          <w:lang w:val="en-CA"/>
        </w:rPr>
        <w:lastRenderedPageBreak/>
        <w:t>and societal interests. While criminal offences are usually designed to condemn and punish past, inherently wrongful conduct, regulatory measures are generally directed to the prevention of future harm through the enforcement of minimum standards of conduct and care.</w:t>
      </w:r>
      <w:r w:rsidR="00264C6E" w:rsidRPr="00057E23">
        <w:rPr>
          <w:sz w:val="20"/>
          <w:szCs w:val="18"/>
          <w:lang w:val="en-CA"/>
        </w:rPr>
        <w:t xml:space="preserve"> </w:t>
      </w:r>
      <w:r w:rsidRPr="00057E23">
        <w:rPr>
          <w:sz w:val="20"/>
          <w:szCs w:val="18"/>
          <w:lang w:val="en-CA"/>
        </w:rPr>
        <w:t>Regulatory legislation involves a shift of emphasis from the protection of individual interests and the deterrence and punishment of acts involving moral fault to the protection of public and societal interests.</w:t>
      </w:r>
      <w:r w:rsidR="00264C6E" w:rsidRPr="00057E23">
        <w:rPr>
          <w:sz w:val="20"/>
          <w:szCs w:val="18"/>
          <w:lang w:val="en-CA"/>
        </w:rPr>
        <w:t xml:space="preserve"> </w:t>
      </w:r>
      <w:r w:rsidRPr="00057E23">
        <w:rPr>
          <w:sz w:val="20"/>
          <w:szCs w:val="18"/>
          <w:lang w:val="en-CA"/>
        </w:rPr>
        <w:t>While criminal offences are usually designed to condemn and punish past, inherently wrongful conduct, regulatory measures are generally directed to the prevention of future harm through the enforcement of minimum standards of conduct and care.</w:t>
      </w:r>
    </w:p>
    <w:p w14:paraId="36C3089A" w14:textId="77777777" w:rsidR="00264C6E" w:rsidRPr="001C4B76" w:rsidRDefault="0024581B" w:rsidP="00057E23">
      <w:pPr>
        <w:pStyle w:val="Citationenretrait"/>
        <w:ind w:left="993" w:right="998"/>
        <w:rPr>
          <w:lang w:val="en-CA"/>
        </w:rPr>
      </w:pPr>
      <w:r w:rsidRPr="00057E23">
        <w:rPr>
          <w:sz w:val="20"/>
          <w:szCs w:val="18"/>
          <w:lang w:val="en-CA"/>
        </w:rPr>
        <w:t>It follows that regulatory offences and crimes embody different concepts of fault.</w:t>
      </w:r>
      <w:r w:rsidR="00264C6E" w:rsidRPr="00057E23">
        <w:rPr>
          <w:sz w:val="20"/>
          <w:szCs w:val="18"/>
          <w:lang w:val="en-CA"/>
        </w:rPr>
        <w:t xml:space="preserve"> </w:t>
      </w:r>
      <w:r w:rsidRPr="00057E23">
        <w:rPr>
          <w:sz w:val="20"/>
          <w:szCs w:val="18"/>
          <w:lang w:val="en-CA"/>
        </w:rPr>
        <w:t>Since regulatory offences are directed primarily not to conduct itself but to the consequences of conduct, conviction of a regulatory offence may be thought to import a significantly lesser degree of culpability than conviction of a true crime.</w:t>
      </w:r>
      <w:r w:rsidR="00264C6E" w:rsidRPr="00057E23">
        <w:rPr>
          <w:sz w:val="20"/>
          <w:szCs w:val="18"/>
          <w:lang w:val="en-CA"/>
        </w:rPr>
        <w:t xml:space="preserve"> </w:t>
      </w:r>
      <w:r w:rsidRPr="00057E23">
        <w:rPr>
          <w:sz w:val="20"/>
          <w:szCs w:val="18"/>
          <w:lang w:val="en-CA"/>
        </w:rPr>
        <w:t>The concept of fault in regulatory offences is based upon a reasonable care standard and, as such, does not imply moral blameworthiness in the same manner as criminal fault.</w:t>
      </w:r>
      <w:r w:rsidR="00264C6E" w:rsidRPr="00057E23">
        <w:rPr>
          <w:sz w:val="20"/>
          <w:szCs w:val="18"/>
          <w:lang w:val="en-CA"/>
        </w:rPr>
        <w:t xml:space="preserve"> </w:t>
      </w:r>
      <w:r w:rsidRPr="00057E23">
        <w:rPr>
          <w:sz w:val="20"/>
          <w:szCs w:val="18"/>
          <w:lang w:val="en-CA"/>
        </w:rPr>
        <w:t>Conviction for breach of a regulatory offence suggests nothing more than that the defendant has failed to meet a prescribed standard of care.</w:t>
      </w:r>
    </w:p>
    <w:p w14:paraId="732DC12D" w14:textId="77777777" w:rsidR="0024581B" w:rsidRPr="001C4B76" w:rsidRDefault="0024581B" w:rsidP="009E3EB6">
      <w:pPr>
        <w:pStyle w:val="Citationenretrait"/>
        <w:rPr>
          <w:lang w:val="en-CA"/>
        </w:rPr>
      </w:pPr>
      <w:r w:rsidRPr="001C4B76">
        <w:rPr>
          <w:lang w:val="en-CA"/>
        </w:rPr>
        <w:t>[</w:t>
      </w:r>
      <w:r w:rsidRPr="001C4B76">
        <w:rPr>
          <w:smallCaps/>
          <w:lang w:val="en-CA"/>
        </w:rPr>
        <w:t>translation</w:t>
      </w:r>
      <w:r w:rsidRPr="001C4B76">
        <w:rPr>
          <w:lang w:val="en-CA"/>
        </w:rPr>
        <w:t>]</w:t>
      </w:r>
    </w:p>
    <w:p w14:paraId="3D58D542" w14:textId="77777777" w:rsidR="00264C6E" w:rsidRPr="001C4B76" w:rsidRDefault="0024581B" w:rsidP="00A16306">
      <w:pPr>
        <w:pStyle w:val="Citationenretrait"/>
        <w:rPr>
          <w:u w:val="single"/>
          <w:lang w:val="en-CA"/>
        </w:rPr>
      </w:pPr>
      <w:r w:rsidRPr="001C4B76">
        <w:rPr>
          <w:lang w:val="en-CA"/>
        </w:rPr>
        <w:t xml:space="preserve">[100] </w:t>
      </w:r>
      <w:r w:rsidRPr="001C4B76">
        <w:rPr>
          <w:u w:val="single"/>
          <w:lang w:val="en-CA"/>
        </w:rPr>
        <w:t>What, the</w:t>
      </w:r>
      <w:r w:rsidR="0086336C">
        <w:rPr>
          <w:u w:val="single"/>
          <w:lang w:val="en-CA"/>
        </w:rPr>
        <w:t>n</w:t>
      </w:r>
      <w:r w:rsidRPr="001C4B76">
        <w:rPr>
          <w:u w:val="single"/>
          <w:lang w:val="en-CA"/>
        </w:rPr>
        <w:t xml:space="preserve">, are the sentencing principles applicable to </w:t>
      </w:r>
      <w:r w:rsidR="0071422A" w:rsidRPr="001C4B76">
        <w:rPr>
          <w:u w:val="single"/>
          <w:lang w:val="en-CA"/>
        </w:rPr>
        <w:t xml:space="preserve">regulatory </w:t>
      </w:r>
      <w:r w:rsidRPr="001C4B76">
        <w:rPr>
          <w:u w:val="single"/>
          <w:lang w:val="en-CA"/>
        </w:rPr>
        <w:t>penal offences?</w:t>
      </w:r>
    </w:p>
    <w:p w14:paraId="13FA0CD6" w14:textId="77777777" w:rsidR="00264C6E" w:rsidRPr="001C4B76" w:rsidRDefault="0024581B" w:rsidP="00A16306">
      <w:pPr>
        <w:pStyle w:val="Citationenretrait"/>
        <w:rPr>
          <w:lang w:val="en-CA"/>
        </w:rPr>
      </w:pPr>
      <w:r w:rsidRPr="001C4B76">
        <w:rPr>
          <w:lang w:val="en-CA"/>
        </w:rPr>
        <w:t xml:space="preserve">[101] </w:t>
      </w:r>
      <w:r w:rsidRPr="001C4B76">
        <w:rPr>
          <w:u w:val="single"/>
          <w:lang w:val="en-CA"/>
        </w:rPr>
        <w:t>It ought to be made clear at the outset that it is not necessarily wrong to refer to the principles of sentencing in criminal law, set out under sections 718 et seq</w:t>
      </w:r>
      <w:r w:rsidR="003126C9">
        <w:rPr>
          <w:u w:val="single"/>
          <w:lang w:val="en-CA"/>
        </w:rPr>
        <w:t>.</w:t>
      </w:r>
      <w:r w:rsidRPr="001C4B76">
        <w:rPr>
          <w:u w:val="single"/>
          <w:lang w:val="en-CA"/>
        </w:rPr>
        <w:t xml:space="preserve"> of the </w:t>
      </w:r>
      <w:r w:rsidRPr="003126C9">
        <w:rPr>
          <w:i/>
          <w:iCs/>
          <w:u w:val="single"/>
          <w:lang w:val="en-CA"/>
        </w:rPr>
        <w:t>Criminal Code</w:t>
      </w:r>
      <w:r w:rsidRPr="001C4B76">
        <w:rPr>
          <w:u w:val="single"/>
          <w:lang w:val="en-CA"/>
        </w:rPr>
        <w:t>, to define the principles of sentencing in regulatory penal matters.</w:t>
      </w:r>
      <w:r w:rsidR="00264C6E" w:rsidRPr="001C4B76">
        <w:rPr>
          <w:lang w:val="en-CA"/>
        </w:rPr>
        <w:t xml:space="preserve"> </w:t>
      </w:r>
      <w:r w:rsidRPr="001C4B76">
        <w:rPr>
          <w:lang w:val="en-CA"/>
        </w:rPr>
        <w:t>The penological principles of criminal law, in particular, the principle of proportionality, establish a solid legal foundation upon which it is entirely appropriate to rely, with the necessary adaptations, in regulatory penal law.</w:t>
      </w:r>
    </w:p>
    <w:p w14:paraId="7ACB28A2" w14:textId="77777777" w:rsidR="00264C6E" w:rsidRPr="001C4B76" w:rsidRDefault="0024581B" w:rsidP="00A16306">
      <w:pPr>
        <w:pStyle w:val="Citationenretrait"/>
        <w:rPr>
          <w:iCs/>
          <w:u w:val="single"/>
          <w:lang w:val="en-CA"/>
        </w:rPr>
      </w:pPr>
      <w:r w:rsidRPr="001C4B76">
        <w:rPr>
          <w:lang w:val="en-CA"/>
        </w:rPr>
        <w:t xml:space="preserve">[102] Also, the sentencing provisions of the </w:t>
      </w:r>
      <w:r w:rsidRPr="003126C9">
        <w:rPr>
          <w:i/>
          <w:iCs/>
          <w:lang w:val="en-CA"/>
        </w:rPr>
        <w:t>Criminal Code</w:t>
      </w:r>
      <w:r w:rsidRPr="001C4B76">
        <w:rPr>
          <w:lang w:val="en-CA"/>
        </w:rPr>
        <w:t xml:space="preserve"> can </w:t>
      </w:r>
      <w:r w:rsidR="00D56959">
        <w:rPr>
          <w:lang w:val="en-CA"/>
        </w:rPr>
        <w:t>be</w:t>
      </w:r>
      <w:r w:rsidRPr="001C4B76">
        <w:rPr>
          <w:lang w:val="en-CA"/>
        </w:rPr>
        <w:t xml:space="preserve"> a source of inspiration in regulatory penal law since these provisions </w:t>
      </w:r>
      <w:r w:rsidR="004A326C" w:rsidRPr="001C4B76">
        <w:rPr>
          <w:lang w:val="en-CA"/>
        </w:rPr>
        <w:t xml:space="preserve">constitute </w:t>
      </w:r>
      <w:r w:rsidR="004A326C">
        <w:rPr>
          <w:lang w:val="en-CA"/>
        </w:rPr>
        <w:t xml:space="preserve">in many respects </w:t>
      </w:r>
      <w:r w:rsidR="004A326C" w:rsidRPr="001C4B76">
        <w:rPr>
          <w:lang w:val="en-CA"/>
        </w:rPr>
        <w:t>a</w:t>
      </w:r>
      <w:r w:rsidRPr="001C4B76">
        <w:rPr>
          <w:lang w:val="en-CA"/>
        </w:rPr>
        <w:t xml:space="preserve"> codification of the </w:t>
      </w:r>
      <w:r w:rsidRPr="004A326C">
        <w:rPr>
          <w:lang w:val="en-CA"/>
        </w:rPr>
        <w:t>common law</w:t>
      </w:r>
      <w:r w:rsidRPr="001C4B76">
        <w:rPr>
          <w:lang w:val="en-CA"/>
        </w:rPr>
        <w:t xml:space="preserve"> (</w:t>
      </w:r>
      <w:r w:rsidRPr="001C4B76">
        <w:rPr>
          <w:i/>
          <w:lang w:val="en-CA"/>
        </w:rPr>
        <w:t>R. v. Gladue</w:t>
      </w:r>
      <w:r w:rsidRPr="001C4B76">
        <w:rPr>
          <w:lang w:val="en-CA"/>
        </w:rPr>
        <w:t>, [1999] 1 SCR 688 at para.</w:t>
      </w:r>
      <w:r w:rsidR="00264C6E" w:rsidRPr="001C4B76">
        <w:rPr>
          <w:iCs/>
          <w:lang w:val="en-CA"/>
        </w:rPr>
        <w:t xml:space="preserve"> 39; </w:t>
      </w:r>
      <w:r w:rsidRPr="001C4B76">
        <w:rPr>
          <w:i/>
          <w:iCs/>
          <w:lang w:val="en-CA"/>
        </w:rPr>
        <w:t>R. v. Proulx</w:t>
      </w:r>
      <w:r w:rsidRPr="001C4B76">
        <w:rPr>
          <w:iCs/>
          <w:lang w:val="en-CA"/>
        </w:rPr>
        <w:t>, [2000] 1 SCR 61 at para.</w:t>
      </w:r>
      <w:r w:rsidR="00264C6E" w:rsidRPr="001C4B76">
        <w:rPr>
          <w:iCs/>
          <w:lang w:val="en-CA"/>
        </w:rPr>
        <w:t xml:space="preserve"> </w:t>
      </w:r>
      <w:r w:rsidRPr="001C4B76">
        <w:rPr>
          <w:iCs/>
          <w:lang w:val="en-CA"/>
        </w:rPr>
        <w:t xml:space="preserve">15) </w:t>
      </w:r>
      <w:r w:rsidRPr="001C4B76">
        <w:rPr>
          <w:iCs/>
          <w:u w:val="single"/>
          <w:lang w:val="en-CA"/>
        </w:rPr>
        <w:t xml:space="preserve">and the </w:t>
      </w:r>
      <w:r w:rsidRPr="004A326C">
        <w:rPr>
          <w:iCs/>
          <w:u w:val="single"/>
          <w:lang w:val="en-CA"/>
        </w:rPr>
        <w:t>common law</w:t>
      </w:r>
      <w:r w:rsidRPr="001C4B76">
        <w:rPr>
          <w:iCs/>
          <w:u w:val="single"/>
          <w:lang w:val="en-CA"/>
        </w:rPr>
        <w:t xml:space="preserve"> can serve as suppletive law in penal matters (</w:t>
      </w:r>
      <w:r w:rsidRPr="003126C9">
        <w:rPr>
          <w:i/>
          <w:u w:val="single"/>
          <w:lang w:val="en-CA"/>
        </w:rPr>
        <w:t xml:space="preserve">Autorité des </w:t>
      </w:r>
      <w:proofErr w:type="spellStart"/>
      <w:r w:rsidRPr="003126C9">
        <w:rPr>
          <w:i/>
          <w:u w:val="single"/>
          <w:lang w:val="en-CA"/>
        </w:rPr>
        <w:t>marchés</w:t>
      </w:r>
      <w:proofErr w:type="spellEnd"/>
      <w:r w:rsidRPr="003126C9">
        <w:rPr>
          <w:i/>
          <w:u w:val="single"/>
          <w:lang w:val="en-CA"/>
        </w:rPr>
        <w:t xml:space="preserve"> financiers c. Lacroix</w:t>
      </w:r>
      <w:r w:rsidRPr="001C4B76">
        <w:rPr>
          <w:iCs/>
          <w:u w:val="single"/>
          <w:lang w:val="en-CA"/>
        </w:rPr>
        <w:t>, 2009 QCCA 1559 at para.</w:t>
      </w:r>
      <w:r w:rsidR="00264C6E" w:rsidRPr="001C4B76">
        <w:rPr>
          <w:iCs/>
          <w:u w:val="single"/>
          <w:lang w:val="en-CA"/>
        </w:rPr>
        <w:t xml:space="preserve"> 38).</w:t>
      </w:r>
    </w:p>
    <w:p w14:paraId="5EE2C636" w14:textId="77777777" w:rsidR="00264C6E" w:rsidRPr="001C4B76" w:rsidRDefault="0024581B" w:rsidP="00A16306">
      <w:pPr>
        <w:pStyle w:val="Citationenretrait"/>
        <w:rPr>
          <w:i/>
          <w:u w:val="single"/>
          <w:lang w:val="en-CA"/>
        </w:rPr>
      </w:pPr>
      <w:r w:rsidRPr="001C4B76">
        <w:rPr>
          <w:lang w:val="en-CA"/>
        </w:rPr>
        <w:t xml:space="preserve">[103] Moreover, the sentencing provisions of the </w:t>
      </w:r>
      <w:r w:rsidRPr="00D56959">
        <w:rPr>
          <w:i/>
          <w:iCs/>
          <w:lang w:val="en-CA"/>
        </w:rPr>
        <w:t>Criminal Code</w:t>
      </w:r>
      <w:r w:rsidRPr="001C4B76">
        <w:rPr>
          <w:lang w:val="en-CA"/>
        </w:rPr>
        <w:t xml:space="preserve"> are not entirely incompatible with those of the </w:t>
      </w:r>
      <w:r w:rsidRPr="001C4B76">
        <w:rPr>
          <w:i/>
          <w:lang w:val="en-CA"/>
        </w:rPr>
        <w:t>Code of Penal Procedure</w:t>
      </w:r>
      <w:r w:rsidRPr="001C4B76">
        <w:rPr>
          <w:lang w:val="en-CA"/>
        </w:rPr>
        <w:t>.</w:t>
      </w:r>
      <w:r w:rsidR="00264C6E" w:rsidRPr="001C4B76">
        <w:rPr>
          <w:lang w:val="en-CA"/>
        </w:rPr>
        <w:t xml:space="preserve"> </w:t>
      </w:r>
      <w:r w:rsidRPr="001C4B76">
        <w:rPr>
          <w:lang w:val="en-CA"/>
        </w:rPr>
        <w:t xml:space="preserve">In particular, art. 229 of the </w:t>
      </w:r>
      <w:r w:rsidRPr="001C4B76">
        <w:rPr>
          <w:i/>
          <w:lang w:val="en-CA"/>
        </w:rPr>
        <w:t>Code of Penal Procedure</w:t>
      </w:r>
      <w:r w:rsidRPr="001C4B76">
        <w:rPr>
          <w:lang w:val="en-CA"/>
        </w:rPr>
        <w:t xml:space="preserve"> </w:t>
      </w:r>
      <w:r w:rsidR="00D56959" w:rsidRPr="001C4B76">
        <w:rPr>
          <w:lang w:val="en-CA"/>
        </w:rPr>
        <w:t>refers</w:t>
      </w:r>
      <w:r w:rsidRPr="001C4B76">
        <w:rPr>
          <w:lang w:val="en-CA"/>
        </w:rPr>
        <w:t xml:space="preserve"> to the principle of proportionality in the following terms: </w:t>
      </w:r>
      <w:r w:rsidRPr="00D56959">
        <w:rPr>
          <w:u w:val="single"/>
          <w:lang w:val="en-CA"/>
        </w:rPr>
        <w:t>“Where a judge convicts a defendant of an offence, he shall impose upon him a sentence within the limits prescribed by law, taking into account in particular the special circumstances relating to the offence or to the defendant and any period the of detention served by the defendant in respect of the offence”.</w:t>
      </w:r>
      <w:r w:rsidR="00264C6E" w:rsidRPr="00D56959">
        <w:rPr>
          <w:i/>
          <w:u w:val="single"/>
          <w:lang w:val="en-CA"/>
        </w:rPr>
        <w:t xml:space="preserve"> </w:t>
      </w:r>
    </w:p>
    <w:p w14:paraId="3CDAED18" w14:textId="77777777" w:rsidR="00264C6E" w:rsidRPr="001C4B76" w:rsidRDefault="0024581B" w:rsidP="00A16306">
      <w:pPr>
        <w:pStyle w:val="Citationenretrait"/>
        <w:rPr>
          <w:lang w:val="en-CA"/>
        </w:rPr>
      </w:pPr>
      <w:r w:rsidRPr="001C4B76">
        <w:rPr>
          <w:lang w:val="en-CA"/>
        </w:rPr>
        <w:t xml:space="preserve">[104] </w:t>
      </w:r>
      <w:r w:rsidRPr="001C4B76">
        <w:rPr>
          <w:u w:val="single"/>
          <w:lang w:val="en-CA"/>
        </w:rPr>
        <w:t>It remains that there cannot be a blanket application of criminal law sentencing principles to penal matters.</w:t>
      </w:r>
    </w:p>
    <w:p w14:paraId="35C685A4" w14:textId="77777777" w:rsidR="00264C6E" w:rsidRPr="001C4B76" w:rsidRDefault="0024581B" w:rsidP="00A16306">
      <w:pPr>
        <w:pStyle w:val="Citationenretrait"/>
        <w:rPr>
          <w:lang w:val="en-CA"/>
        </w:rPr>
      </w:pPr>
      <w:r w:rsidRPr="001C4B76">
        <w:rPr>
          <w:lang w:val="en-CA"/>
        </w:rPr>
        <w:lastRenderedPageBreak/>
        <w:t xml:space="preserve">[105] The sentencing judge in a regulatory </w:t>
      </w:r>
      <w:r w:rsidR="00F95891" w:rsidRPr="001C4B76">
        <w:rPr>
          <w:lang w:val="en-CA"/>
        </w:rPr>
        <w:t xml:space="preserve">penal </w:t>
      </w:r>
      <w:r w:rsidRPr="001C4B76">
        <w:rPr>
          <w:lang w:val="en-CA"/>
        </w:rPr>
        <w:t>matter can take inspiration from criminal law sentencing principles, while bearing in mind the fundamental distinction between a penal offence and a criminal offence.</w:t>
      </w:r>
    </w:p>
    <w:p w14:paraId="1C01A8D7" w14:textId="77777777" w:rsidR="00264C6E" w:rsidRPr="001C4B76" w:rsidRDefault="0024581B" w:rsidP="00A16306">
      <w:pPr>
        <w:pStyle w:val="Citationenretrait"/>
        <w:rPr>
          <w:u w:val="single"/>
          <w:lang w:val="en-CA"/>
        </w:rPr>
      </w:pPr>
      <w:r w:rsidRPr="001C4B76">
        <w:rPr>
          <w:lang w:val="en-CA"/>
        </w:rPr>
        <w:t xml:space="preserve">[106] </w:t>
      </w:r>
      <w:r w:rsidRPr="001C4B76">
        <w:rPr>
          <w:u w:val="single"/>
          <w:lang w:val="en-CA"/>
        </w:rPr>
        <w:t xml:space="preserve">The essential </w:t>
      </w:r>
      <w:r w:rsidR="00F95891" w:rsidRPr="001C4B76">
        <w:rPr>
          <w:u w:val="single"/>
          <w:lang w:val="en-CA"/>
        </w:rPr>
        <w:t>function</w:t>
      </w:r>
      <w:r w:rsidRPr="001C4B76">
        <w:rPr>
          <w:u w:val="single"/>
          <w:lang w:val="en-CA"/>
        </w:rPr>
        <w:t xml:space="preserve"> of penal law is </w:t>
      </w:r>
      <w:r w:rsidR="00F95891">
        <w:rPr>
          <w:u w:val="single"/>
          <w:lang w:val="en-CA"/>
        </w:rPr>
        <w:t xml:space="preserve">to </w:t>
      </w:r>
      <w:r w:rsidRPr="001C4B76">
        <w:rPr>
          <w:u w:val="single"/>
          <w:lang w:val="en-CA"/>
        </w:rPr>
        <w:t>protect and safeguard the general welfare of the public.</w:t>
      </w:r>
      <w:r w:rsidR="00264C6E" w:rsidRPr="001C4B76">
        <w:rPr>
          <w:lang w:val="en-CA"/>
        </w:rPr>
        <w:t xml:space="preserve"> </w:t>
      </w:r>
      <w:r w:rsidRPr="001C4B76">
        <w:rPr>
          <w:lang w:val="en-CA"/>
        </w:rPr>
        <w:t>The main purpose of the penalty in this industry is to avoid the risks associated with certain regulatory activities by promoting respect for standards of conduct and care.</w:t>
      </w:r>
      <w:r w:rsidR="00264C6E" w:rsidRPr="001C4B76">
        <w:rPr>
          <w:lang w:val="en-CA"/>
        </w:rPr>
        <w:t xml:space="preserve"> </w:t>
      </w:r>
      <w:r w:rsidRPr="001C4B76">
        <w:rPr>
          <w:u w:val="single"/>
          <w:lang w:val="en-CA"/>
        </w:rPr>
        <w:t xml:space="preserve">Thus, </w:t>
      </w:r>
      <w:r w:rsidR="00F95891">
        <w:rPr>
          <w:u w:val="single"/>
          <w:lang w:val="en-CA"/>
        </w:rPr>
        <w:t xml:space="preserve">above all, </w:t>
      </w:r>
      <w:r w:rsidRPr="001C4B76">
        <w:rPr>
          <w:u w:val="single"/>
          <w:lang w:val="en-CA"/>
        </w:rPr>
        <w:t xml:space="preserve">the </w:t>
      </w:r>
      <w:r w:rsidR="00F95891" w:rsidRPr="001C4B76">
        <w:rPr>
          <w:u w:val="single"/>
          <w:lang w:val="en-CA"/>
        </w:rPr>
        <w:t>penalty</w:t>
      </w:r>
      <w:r w:rsidRPr="001C4B76">
        <w:rPr>
          <w:u w:val="single"/>
          <w:lang w:val="en-CA"/>
        </w:rPr>
        <w:t xml:space="preserve"> must be corrective and preventive.</w:t>
      </w:r>
    </w:p>
    <w:p w14:paraId="06B705CB" w14:textId="77777777" w:rsidR="00264C6E" w:rsidRPr="001C4B76" w:rsidRDefault="0024581B" w:rsidP="00A16306">
      <w:pPr>
        <w:pStyle w:val="Citationenretrait"/>
        <w:rPr>
          <w:lang w:val="en-CA"/>
        </w:rPr>
      </w:pPr>
      <w:r w:rsidRPr="001C4B76">
        <w:rPr>
          <w:lang w:val="en-CA"/>
        </w:rPr>
        <w:t>[107] Next, the fundamental principle in sentencing remains that sentences must be proportionate to the gravity of the offence and the degree of responsibility of the offender.</w:t>
      </w:r>
      <w:r w:rsidR="00264C6E" w:rsidRPr="001C4B76">
        <w:rPr>
          <w:lang w:val="en-CA"/>
        </w:rPr>
        <w:t xml:space="preserve"> </w:t>
      </w:r>
      <w:r w:rsidRPr="001C4B76">
        <w:rPr>
          <w:lang w:val="en-CA"/>
        </w:rPr>
        <w:t xml:space="preserve">In regulatory </w:t>
      </w:r>
      <w:r w:rsidR="00F95891" w:rsidRPr="001C4B76">
        <w:rPr>
          <w:lang w:val="en-CA"/>
        </w:rPr>
        <w:t xml:space="preserve">penal </w:t>
      </w:r>
      <w:r w:rsidRPr="001C4B76">
        <w:rPr>
          <w:lang w:val="en-CA"/>
        </w:rPr>
        <w:t>matter</w:t>
      </w:r>
      <w:r w:rsidR="00F95891">
        <w:rPr>
          <w:lang w:val="en-CA"/>
        </w:rPr>
        <w:t>s</w:t>
      </w:r>
      <w:r w:rsidRPr="001C4B76">
        <w:rPr>
          <w:lang w:val="en-CA"/>
        </w:rPr>
        <w:t>, the gravity of the offence and the degree of responsibility of the offender must be carefully considered.</w:t>
      </w:r>
      <w:r w:rsidR="00264C6E" w:rsidRPr="001C4B76">
        <w:rPr>
          <w:lang w:val="en-CA"/>
        </w:rPr>
        <w:t xml:space="preserve"> </w:t>
      </w:r>
      <w:r w:rsidRPr="001C4B76">
        <w:rPr>
          <w:lang w:val="en-CA"/>
        </w:rPr>
        <w:t xml:space="preserve">As seen above, </w:t>
      </w:r>
      <w:r w:rsidR="00F95891">
        <w:rPr>
          <w:lang w:val="en-CA"/>
        </w:rPr>
        <w:t>committing</w:t>
      </w:r>
      <w:r w:rsidRPr="001C4B76">
        <w:rPr>
          <w:lang w:val="en-CA"/>
        </w:rPr>
        <w:t xml:space="preserve"> a penal offence is not the same as committing a crime.</w:t>
      </w:r>
      <w:r w:rsidR="00264C6E" w:rsidRPr="001C4B76">
        <w:rPr>
          <w:lang w:val="en-CA"/>
        </w:rPr>
        <w:t xml:space="preserve"> </w:t>
      </w:r>
      <w:r w:rsidR="00F95891">
        <w:rPr>
          <w:u w:val="single"/>
          <w:lang w:val="en-CA"/>
        </w:rPr>
        <w:t xml:space="preserve">To </w:t>
      </w:r>
      <w:r w:rsidRPr="001C4B76">
        <w:rPr>
          <w:u w:val="single"/>
          <w:lang w:val="en-CA"/>
        </w:rPr>
        <w:t>promote respect for the standard of conduct and care</w:t>
      </w:r>
      <w:r w:rsidR="00F95891">
        <w:rPr>
          <w:u w:val="single"/>
          <w:lang w:val="en-CA"/>
        </w:rPr>
        <w:t>,</w:t>
      </w:r>
      <w:r w:rsidRPr="001C4B76">
        <w:rPr>
          <w:u w:val="single"/>
          <w:lang w:val="en-CA"/>
        </w:rPr>
        <w:t xml:space="preserve"> </w:t>
      </w:r>
      <w:r w:rsidR="00F95891">
        <w:rPr>
          <w:u w:val="single"/>
          <w:lang w:val="en-CA"/>
        </w:rPr>
        <w:t>h</w:t>
      </w:r>
      <w:r w:rsidR="00F95891" w:rsidRPr="001C4B76">
        <w:rPr>
          <w:u w:val="single"/>
          <w:lang w:val="en-CA"/>
        </w:rPr>
        <w:t xml:space="preserve">owever, </w:t>
      </w:r>
      <w:r w:rsidRPr="001C4B76">
        <w:rPr>
          <w:u w:val="single"/>
          <w:lang w:val="en-CA"/>
        </w:rPr>
        <w:t>it is often necessary to emphasize deterrence.</w:t>
      </w:r>
    </w:p>
    <w:p w14:paraId="3665ED60" w14:textId="77777777" w:rsidR="00264C6E" w:rsidRPr="001C4B76" w:rsidRDefault="0024581B" w:rsidP="00A16306">
      <w:pPr>
        <w:pStyle w:val="Citationenretrait"/>
        <w:rPr>
          <w:lang w:val="en-CA"/>
        </w:rPr>
      </w:pPr>
      <w:r w:rsidRPr="001C4B76">
        <w:rPr>
          <w:lang w:val="en-CA"/>
        </w:rPr>
        <w:t xml:space="preserve">[108] It is </w:t>
      </w:r>
      <w:r w:rsidR="00F95891" w:rsidRPr="001C4B76">
        <w:rPr>
          <w:lang w:val="en-CA"/>
        </w:rPr>
        <w:t>worthwhile</w:t>
      </w:r>
      <w:r w:rsidRPr="001C4B76">
        <w:rPr>
          <w:lang w:val="en-CA"/>
        </w:rPr>
        <w:t xml:space="preserve"> referring to the six penological principles in regulatory </w:t>
      </w:r>
      <w:r w:rsidR="00F95891" w:rsidRPr="001C4B76">
        <w:rPr>
          <w:lang w:val="en-CA"/>
        </w:rPr>
        <w:t xml:space="preserve">penal </w:t>
      </w:r>
      <w:r w:rsidRPr="001C4B76">
        <w:rPr>
          <w:lang w:val="en-CA"/>
        </w:rPr>
        <w:t xml:space="preserve">matters developed by Professor Richard </w:t>
      </w:r>
      <w:proofErr w:type="spellStart"/>
      <w:r w:rsidRPr="001C4B76">
        <w:rPr>
          <w:lang w:val="en-CA"/>
        </w:rPr>
        <w:t>Macrory</w:t>
      </w:r>
      <w:proofErr w:type="spellEnd"/>
      <w:r w:rsidRPr="001C4B76">
        <w:rPr>
          <w:lang w:val="en-CA"/>
        </w:rPr>
        <w:t xml:space="preserve"> and cited by </w:t>
      </w:r>
      <w:proofErr w:type="spellStart"/>
      <w:r w:rsidRPr="001C4B76">
        <w:rPr>
          <w:lang w:val="en-CA"/>
        </w:rPr>
        <w:t>Libman</w:t>
      </w:r>
      <w:proofErr w:type="spellEnd"/>
      <w:r w:rsidR="000146A9">
        <w:rPr>
          <w:lang w:val="en-CA"/>
        </w:rPr>
        <w:t xml:space="preserve"> J.</w:t>
      </w:r>
      <w:r w:rsidRPr="001C4B76">
        <w:rPr>
          <w:lang w:val="en-CA"/>
        </w:rPr>
        <w:t xml:space="preserve"> in </w:t>
      </w:r>
      <w:r w:rsidRPr="001C4B76">
        <w:rPr>
          <w:i/>
          <w:lang w:val="en-CA"/>
        </w:rPr>
        <w:t xml:space="preserve">R. v. </w:t>
      </w:r>
      <w:proofErr w:type="spellStart"/>
      <w:r w:rsidRPr="001C4B76">
        <w:rPr>
          <w:i/>
          <w:lang w:val="en-CA"/>
        </w:rPr>
        <w:t>Iacono</w:t>
      </w:r>
      <w:proofErr w:type="spellEnd"/>
      <w:r w:rsidRPr="001C4B76">
        <w:rPr>
          <w:i/>
          <w:lang w:val="en-CA"/>
        </w:rPr>
        <w:t>,</w:t>
      </w:r>
      <w:r w:rsidRPr="001C4B76">
        <w:rPr>
          <w:lang w:val="en-CA"/>
        </w:rPr>
        <w:t xml:space="preserve"> 2015 ONCJ 609 at para.</w:t>
      </w:r>
      <w:r w:rsidR="00264C6E" w:rsidRPr="001C4B76">
        <w:rPr>
          <w:lang w:val="en-CA"/>
        </w:rPr>
        <w:t xml:space="preserve"> </w:t>
      </w:r>
      <w:r w:rsidRPr="001C4B76">
        <w:rPr>
          <w:lang w:val="en-CA"/>
        </w:rPr>
        <w:t xml:space="preserve">47 (see also R. </w:t>
      </w:r>
      <w:proofErr w:type="spellStart"/>
      <w:r w:rsidRPr="001C4B76">
        <w:rPr>
          <w:lang w:val="en-CA"/>
        </w:rPr>
        <w:t>Libman</w:t>
      </w:r>
      <w:proofErr w:type="spellEnd"/>
      <w:r w:rsidRPr="001C4B76">
        <w:rPr>
          <w:lang w:val="en-CA"/>
        </w:rPr>
        <w:t xml:space="preserve">, </w:t>
      </w:r>
      <w:r w:rsidRPr="001C4B76">
        <w:rPr>
          <w:i/>
          <w:lang w:val="en-CA"/>
        </w:rPr>
        <w:t>Sentencing Purposes and Principles for Regulatory Offences:</w:t>
      </w:r>
      <w:r w:rsidR="00264C6E" w:rsidRPr="001C4B76">
        <w:rPr>
          <w:i/>
          <w:lang w:val="en-CA"/>
        </w:rPr>
        <w:t xml:space="preserve"> A New Approach for Regulatory Justice, </w:t>
      </w:r>
      <w:r w:rsidR="00264C6E" w:rsidRPr="001C4B76">
        <w:rPr>
          <w:lang w:val="en-CA"/>
        </w:rPr>
        <w:t>(2011) 15 Can. Crim.  L. Rev</w:t>
      </w:r>
      <w:r w:rsidR="00264C6E" w:rsidRPr="001C4B76">
        <w:rPr>
          <w:i/>
          <w:lang w:val="en-CA"/>
        </w:rPr>
        <w:t>.</w:t>
      </w:r>
      <w:r w:rsidR="00264C6E" w:rsidRPr="001C4B76">
        <w:rPr>
          <w:lang w:val="en-CA"/>
        </w:rPr>
        <w:t xml:space="preserve"> 359)</w:t>
      </w:r>
      <w:r w:rsidR="00383E6E">
        <w:rPr>
          <w:lang w:val="en-CA"/>
        </w:rPr>
        <w:t>:</w:t>
      </w:r>
    </w:p>
    <w:p w14:paraId="7F50514A" w14:textId="77777777" w:rsidR="00E30F16" w:rsidRPr="00057E23" w:rsidRDefault="00E30F16" w:rsidP="00057E23">
      <w:pPr>
        <w:pStyle w:val="Citationenretrait"/>
        <w:spacing w:before="0" w:after="0"/>
        <w:ind w:left="993" w:right="998"/>
        <w:rPr>
          <w:sz w:val="20"/>
          <w:szCs w:val="18"/>
          <w:lang w:val="en-CA"/>
        </w:rPr>
      </w:pPr>
      <w:r w:rsidRPr="00057E23">
        <w:rPr>
          <w:sz w:val="20"/>
          <w:szCs w:val="18"/>
          <w:lang w:val="en-CA"/>
        </w:rPr>
        <w:t xml:space="preserve">[47] Professor </w:t>
      </w:r>
      <w:proofErr w:type="spellStart"/>
      <w:r w:rsidRPr="00057E23">
        <w:rPr>
          <w:sz w:val="20"/>
          <w:szCs w:val="18"/>
          <w:lang w:val="en-CA"/>
        </w:rPr>
        <w:t>Macrory</w:t>
      </w:r>
      <w:proofErr w:type="spellEnd"/>
      <w:r w:rsidRPr="00057E23">
        <w:rPr>
          <w:sz w:val="20"/>
          <w:szCs w:val="18"/>
          <w:lang w:val="en-CA"/>
        </w:rPr>
        <w:t xml:space="preserve"> in his study of regulatory enforcement in the United Kingdom, puts forth the following six “pena</w:t>
      </w:r>
      <w:r w:rsidR="00804F58" w:rsidRPr="00057E23">
        <w:rPr>
          <w:sz w:val="20"/>
          <w:szCs w:val="18"/>
          <w:lang w:val="en-CA"/>
        </w:rPr>
        <w:t>l</w:t>
      </w:r>
      <w:r w:rsidRPr="00057E23">
        <w:rPr>
          <w:sz w:val="20"/>
          <w:szCs w:val="18"/>
          <w:lang w:val="en-CA"/>
        </w:rPr>
        <w:t>ties principles”</w:t>
      </w:r>
      <w:r w:rsidR="00804F58" w:rsidRPr="00057E23">
        <w:rPr>
          <w:sz w:val="20"/>
          <w:szCs w:val="18"/>
          <w:lang w:val="en-CA"/>
        </w:rPr>
        <w:t xml:space="preserve"> </w:t>
      </w:r>
      <w:r w:rsidRPr="00057E23">
        <w:rPr>
          <w:sz w:val="20"/>
          <w:szCs w:val="18"/>
          <w:lang w:val="en-CA"/>
        </w:rPr>
        <w:t>as the basis for any sanctioning regime: (1) sanctions should change the behaviour of the offender; (2) sanctions should ensure there is no financial benefit obtained by non-compliance; (3) sanctions should be responsive, and consider what is appropriate for the particular offender and the particular regulatory regime; (4) sanctions should be proportionate to the nature of the offen</w:t>
      </w:r>
      <w:r w:rsidR="00804F58" w:rsidRPr="00057E23">
        <w:rPr>
          <w:sz w:val="20"/>
          <w:szCs w:val="18"/>
          <w:lang w:val="en-CA"/>
        </w:rPr>
        <w:t>s</w:t>
      </w:r>
      <w:r w:rsidRPr="00057E23">
        <w:rPr>
          <w:sz w:val="20"/>
          <w:szCs w:val="18"/>
          <w:lang w:val="en-CA"/>
        </w:rPr>
        <w:t xml:space="preserve">e and the harm caused; (5) sanctions should aim to restore the harm caused by the regulatory non-compliance; and (6) sanctions should aim to deter future non-compliance: see Richard </w:t>
      </w:r>
      <w:proofErr w:type="spellStart"/>
      <w:r w:rsidRPr="00057E23">
        <w:rPr>
          <w:sz w:val="20"/>
          <w:szCs w:val="18"/>
          <w:lang w:val="en-CA"/>
        </w:rPr>
        <w:t>Macrory</w:t>
      </w:r>
      <w:proofErr w:type="spellEnd"/>
      <w:r w:rsidRPr="00057E23">
        <w:rPr>
          <w:sz w:val="20"/>
          <w:szCs w:val="18"/>
          <w:lang w:val="en-CA"/>
        </w:rPr>
        <w:t xml:space="preserve">, Regulatory Justice: Sanctioning in a post-Hampton World </w:t>
      </w:r>
    </w:p>
    <w:p w14:paraId="474B86C8" w14:textId="77777777" w:rsidR="00264C6E" w:rsidRPr="00057E23" w:rsidRDefault="00A52BCB" w:rsidP="00057E23">
      <w:pPr>
        <w:pStyle w:val="Citationenretrait"/>
        <w:spacing w:before="0" w:after="0"/>
        <w:ind w:left="993" w:right="998"/>
        <w:jc w:val="left"/>
        <w:rPr>
          <w:sz w:val="20"/>
          <w:szCs w:val="18"/>
        </w:rPr>
      </w:pPr>
      <w:r w:rsidRPr="00057E23">
        <w:rPr>
          <w:sz w:val="20"/>
          <w:szCs w:val="18"/>
        </w:rPr>
        <w:t>(Consultation Document May 2006).</w:t>
      </w:r>
      <w:r w:rsidR="00264C6E" w:rsidRPr="00057E23">
        <w:rPr>
          <w:sz w:val="20"/>
          <w:szCs w:val="18"/>
        </w:rPr>
        <w:t xml:space="preserve"> [http://www.cabinetoffice.gov.uk/regulation/documents/pdf/penalties].</w:t>
      </w:r>
    </w:p>
    <w:p w14:paraId="377E8D16" w14:textId="77777777" w:rsidR="00383E6E" w:rsidRDefault="00383E6E" w:rsidP="00804F58">
      <w:pPr>
        <w:pStyle w:val="Citationenretrait"/>
        <w:spacing w:line="276" w:lineRule="auto"/>
        <w:rPr>
          <w:lang w:val="en-CA"/>
        </w:rPr>
      </w:pPr>
      <w:r>
        <w:rPr>
          <w:rFonts w:cs="Arial"/>
          <w:lang w:val="en-CA"/>
        </w:rPr>
        <w:t>[</w:t>
      </w:r>
      <w:r w:rsidRPr="000E0B34">
        <w:rPr>
          <w:smallCaps/>
          <w:lang w:val="en-CA"/>
        </w:rPr>
        <w:t>translation</w:t>
      </w:r>
      <w:r>
        <w:rPr>
          <w:rFonts w:cs="Arial"/>
          <w:lang w:val="en-CA"/>
        </w:rPr>
        <w:t>]</w:t>
      </w:r>
    </w:p>
    <w:p w14:paraId="0CF74416" w14:textId="77777777" w:rsidR="00383E6E" w:rsidRDefault="00135995" w:rsidP="00804F58">
      <w:pPr>
        <w:pStyle w:val="Citationenretrait"/>
        <w:spacing w:line="276" w:lineRule="auto"/>
        <w:rPr>
          <w:u w:val="single"/>
          <w:lang w:val="en-CA"/>
        </w:rPr>
      </w:pPr>
      <w:r w:rsidRPr="001C4B76">
        <w:rPr>
          <w:lang w:val="en-CA"/>
        </w:rPr>
        <w:t xml:space="preserve">[109] </w:t>
      </w:r>
      <w:r w:rsidRPr="001C4B76">
        <w:rPr>
          <w:u w:val="single"/>
          <w:lang w:val="en-CA"/>
        </w:rPr>
        <w:t xml:space="preserve">These principles, although not </w:t>
      </w:r>
      <w:r w:rsidR="00664D99">
        <w:rPr>
          <w:u w:val="single"/>
          <w:lang w:val="en-CA"/>
        </w:rPr>
        <w:t>mandatory</w:t>
      </w:r>
      <w:r w:rsidRPr="001C4B76">
        <w:rPr>
          <w:u w:val="single"/>
          <w:lang w:val="en-CA"/>
        </w:rPr>
        <w:t xml:space="preserve">, certainly constitute a useful guide in sentencing regulatory </w:t>
      </w:r>
      <w:r w:rsidR="00F95891" w:rsidRPr="001C4B76">
        <w:rPr>
          <w:u w:val="single"/>
          <w:lang w:val="en-CA"/>
        </w:rPr>
        <w:t xml:space="preserve">penal </w:t>
      </w:r>
      <w:r w:rsidRPr="001C4B76">
        <w:rPr>
          <w:u w:val="single"/>
          <w:lang w:val="en-CA"/>
        </w:rPr>
        <w:t>matters.</w:t>
      </w:r>
    </w:p>
    <w:p w14:paraId="04FBB139" w14:textId="77777777" w:rsidR="00264C6E" w:rsidRPr="001C4B76" w:rsidRDefault="00383E6E" w:rsidP="00804F58">
      <w:pPr>
        <w:pStyle w:val="Citationenretrait"/>
        <w:spacing w:line="276" w:lineRule="auto"/>
        <w:rPr>
          <w:lang w:val="en-CA"/>
        </w:rPr>
      </w:pPr>
      <w:r w:rsidRPr="00057E23">
        <w:rPr>
          <w:lang w:val="en-CA"/>
        </w:rPr>
        <w:t xml:space="preserve">[110] To avoid any misunderstanding, the Court states that a regulatory penal sentence should not be unreasonably lenient or </w:t>
      </w:r>
      <w:r>
        <w:rPr>
          <w:lang w:val="en-CA"/>
        </w:rPr>
        <w:t>accommodating</w:t>
      </w:r>
      <w:r w:rsidRPr="00057E23">
        <w:rPr>
          <w:lang w:val="en-CA"/>
        </w:rPr>
        <w:t>.</w:t>
      </w:r>
      <w:r>
        <w:rPr>
          <w:u w:val="single"/>
          <w:lang w:val="en-CA"/>
        </w:rPr>
        <w:t xml:space="preserve"> </w:t>
      </w:r>
      <w:r w:rsidR="00DC6945" w:rsidRPr="00057E23">
        <w:rPr>
          <w:lang w:val="en-CA"/>
        </w:rPr>
        <w:t xml:space="preserve">It is important to bear in mind that regulatory </w:t>
      </w:r>
      <w:r w:rsidR="00F95891" w:rsidRPr="00057E23">
        <w:rPr>
          <w:lang w:val="en-CA"/>
        </w:rPr>
        <w:t xml:space="preserve">penal </w:t>
      </w:r>
      <w:r w:rsidR="00DC6945" w:rsidRPr="00057E23">
        <w:rPr>
          <w:lang w:val="en-CA"/>
        </w:rPr>
        <w:t>law play</w:t>
      </w:r>
      <w:r w:rsidR="00F95891" w:rsidRPr="00057E23">
        <w:rPr>
          <w:lang w:val="en-CA"/>
        </w:rPr>
        <w:t>s</w:t>
      </w:r>
      <w:r w:rsidR="00DC6945" w:rsidRPr="00057E23">
        <w:rPr>
          <w:lang w:val="en-CA"/>
        </w:rPr>
        <w:t xml:space="preserve"> a </w:t>
      </w:r>
      <w:r>
        <w:rPr>
          <w:lang w:val="en-CA"/>
        </w:rPr>
        <w:t>paramount</w:t>
      </w:r>
      <w:r w:rsidRPr="00057E23">
        <w:rPr>
          <w:lang w:val="en-CA"/>
        </w:rPr>
        <w:t xml:space="preserve"> </w:t>
      </w:r>
      <w:r w:rsidR="00DC6945" w:rsidRPr="00057E23">
        <w:rPr>
          <w:lang w:val="en-CA"/>
        </w:rPr>
        <w:t>role in the protection of the public and the maintenance of the general welfare.</w:t>
      </w:r>
      <w:r w:rsidR="00264C6E" w:rsidRPr="001C4B76">
        <w:rPr>
          <w:lang w:val="en-CA"/>
        </w:rPr>
        <w:t xml:space="preserve"> </w:t>
      </w:r>
      <w:r w:rsidR="00DC6945" w:rsidRPr="001C4B76">
        <w:rPr>
          <w:lang w:val="en-CA"/>
        </w:rPr>
        <w:t>Sentencing is part of that role.</w:t>
      </w:r>
    </w:p>
    <w:p w14:paraId="46CA9825" w14:textId="77777777" w:rsidR="00264C6E" w:rsidRPr="001C4B76" w:rsidRDefault="00DC6945" w:rsidP="00696B98">
      <w:pPr>
        <w:pStyle w:val="Citationenretrait"/>
        <w:rPr>
          <w:lang w:val="en-CA"/>
        </w:rPr>
      </w:pPr>
      <w:r w:rsidRPr="001C4B76">
        <w:rPr>
          <w:lang w:val="en-CA"/>
        </w:rPr>
        <w:t xml:space="preserve">[111] </w:t>
      </w:r>
      <w:r w:rsidRPr="001C4B76">
        <w:rPr>
          <w:u w:val="single"/>
          <w:lang w:val="en-CA"/>
        </w:rPr>
        <w:t xml:space="preserve">Likewise, in accordance with the preventative nature of penal law, </w:t>
      </w:r>
      <w:r w:rsidR="0005602E">
        <w:rPr>
          <w:u w:val="single"/>
          <w:lang w:val="en-CA"/>
        </w:rPr>
        <w:t xml:space="preserve">penal </w:t>
      </w:r>
      <w:r w:rsidR="00F95891" w:rsidRPr="001C4B76">
        <w:rPr>
          <w:u w:val="single"/>
          <w:lang w:val="en-CA"/>
        </w:rPr>
        <w:t>penalties</w:t>
      </w:r>
      <w:r w:rsidRPr="001C4B76">
        <w:rPr>
          <w:u w:val="single"/>
          <w:lang w:val="en-CA"/>
        </w:rPr>
        <w:t xml:space="preserve"> often pursue </w:t>
      </w:r>
      <w:r w:rsidR="0005602E">
        <w:rPr>
          <w:u w:val="single"/>
          <w:lang w:val="en-CA"/>
        </w:rPr>
        <w:t>the</w:t>
      </w:r>
      <w:r w:rsidR="0005602E" w:rsidRPr="001C4B76">
        <w:rPr>
          <w:u w:val="single"/>
          <w:lang w:val="en-CA"/>
        </w:rPr>
        <w:t xml:space="preserve"> </w:t>
      </w:r>
      <w:r w:rsidR="0005602E">
        <w:rPr>
          <w:u w:val="single"/>
          <w:lang w:val="en-CA"/>
        </w:rPr>
        <w:t>important</w:t>
      </w:r>
      <w:r w:rsidR="0005602E" w:rsidRPr="001C4B76">
        <w:rPr>
          <w:u w:val="single"/>
          <w:lang w:val="en-CA"/>
        </w:rPr>
        <w:t xml:space="preserve"> </w:t>
      </w:r>
      <w:r w:rsidRPr="001C4B76">
        <w:rPr>
          <w:u w:val="single"/>
          <w:lang w:val="en-CA"/>
        </w:rPr>
        <w:t>objective of deterrence</w:t>
      </w:r>
      <w:r w:rsidR="00DA4881" w:rsidRPr="001C4B76">
        <w:rPr>
          <w:u w:val="single"/>
          <w:lang w:val="en-CA"/>
        </w:rPr>
        <w:t>,</w:t>
      </w:r>
      <w:r w:rsidRPr="001C4B76">
        <w:rPr>
          <w:u w:val="single"/>
          <w:lang w:val="en-CA"/>
        </w:rPr>
        <w:t xml:space="preserve"> namely</w:t>
      </w:r>
      <w:r w:rsidR="00DA4881" w:rsidRPr="001C4B76">
        <w:rPr>
          <w:u w:val="single"/>
          <w:lang w:val="en-CA"/>
        </w:rPr>
        <w:t>,</w:t>
      </w:r>
      <w:r w:rsidRPr="001C4B76">
        <w:rPr>
          <w:u w:val="single"/>
          <w:lang w:val="en-CA"/>
        </w:rPr>
        <w:t xml:space="preserve"> general </w:t>
      </w:r>
      <w:r w:rsidRPr="001C4B76">
        <w:rPr>
          <w:u w:val="single"/>
          <w:lang w:val="en-CA"/>
        </w:rPr>
        <w:lastRenderedPageBreak/>
        <w:t>deterrence.</w:t>
      </w:r>
      <w:r w:rsidR="00264C6E" w:rsidRPr="001C4B76">
        <w:rPr>
          <w:lang w:val="en-CA"/>
        </w:rPr>
        <w:t xml:space="preserve"> </w:t>
      </w:r>
      <w:r w:rsidRPr="001C4B76">
        <w:rPr>
          <w:lang w:val="en-CA"/>
        </w:rPr>
        <w:t>Thus, the sentence must ensure that the</w:t>
      </w:r>
      <w:r w:rsidR="00020F11">
        <w:rPr>
          <w:lang w:val="en-CA"/>
        </w:rPr>
        <w:t xml:space="preserve"> offender does not profit from </w:t>
      </w:r>
      <w:r w:rsidR="0005602E">
        <w:rPr>
          <w:lang w:val="en-CA"/>
        </w:rPr>
        <w:t xml:space="preserve">breaches of </w:t>
      </w:r>
      <w:r w:rsidRPr="001C4B76">
        <w:rPr>
          <w:lang w:val="en-CA"/>
        </w:rPr>
        <w:t>regulatory standards</w:t>
      </w:r>
      <w:r w:rsidR="00020F11">
        <w:rPr>
          <w:lang w:val="en-CA"/>
        </w:rPr>
        <w:t xml:space="preserve">. </w:t>
      </w:r>
      <w:r w:rsidRPr="001C4B76">
        <w:rPr>
          <w:lang w:val="en-CA"/>
        </w:rPr>
        <w:t>In other words, the sentence must not be considered a licen</w:t>
      </w:r>
      <w:r w:rsidR="000E0B34">
        <w:rPr>
          <w:lang w:val="en-CA"/>
        </w:rPr>
        <w:t>c</w:t>
      </w:r>
      <w:r w:rsidRPr="001C4B76">
        <w:rPr>
          <w:lang w:val="en-CA"/>
        </w:rPr>
        <w:t xml:space="preserve">e </w:t>
      </w:r>
      <w:r w:rsidR="000E0B34">
        <w:rPr>
          <w:lang w:val="en-CA"/>
        </w:rPr>
        <w:t>fee</w:t>
      </w:r>
      <w:r w:rsidRPr="001C4B76">
        <w:rPr>
          <w:lang w:val="en-CA"/>
        </w:rPr>
        <w:t xml:space="preserve"> or </w:t>
      </w:r>
      <w:r w:rsidRPr="001C4B76">
        <w:rPr>
          <w:rFonts w:cs="Arial"/>
          <w:lang w:val="en-CA"/>
        </w:rPr>
        <w:t>[</w:t>
      </w:r>
      <w:r w:rsidRPr="001C4B76">
        <w:rPr>
          <w:smallCaps/>
          <w:lang w:val="en-CA"/>
        </w:rPr>
        <w:t>translation</w:t>
      </w:r>
      <w:r w:rsidRPr="001C4B76">
        <w:rPr>
          <w:rFonts w:cs="Arial"/>
          <w:smallCaps/>
          <w:lang w:val="en-CA"/>
        </w:rPr>
        <w:t>]</w:t>
      </w:r>
      <w:r w:rsidRPr="001C4B76">
        <w:rPr>
          <w:lang w:val="en-CA"/>
        </w:rPr>
        <w:t xml:space="preserve"> “</w:t>
      </w:r>
      <w:r w:rsidR="00987CCE">
        <w:rPr>
          <w:lang w:val="en-CA"/>
        </w:rPr>
        <w:t xml:space="preserve"> un simple </w:t>
      </w:r>
      <w:proofErr w:type="spellStart"/>
      <w:r w:rsidR="00987CCE">
        <w:rPr>
          <w:lang w:val="en-CA"/>
        </w:rPr>
        <w:t>coût</w:t>
      </w:r>
      <w:proofErr w:type="spellEnd"/>
      <w:r w:rsidR="00987CCE">
        <w:rPr>
          <w:lang w:val="en-CA"/>
        </w:rPr>
        <w:t xml:space="preserve"> </w:t>
      </w:r>
      <w:proofErr w:type="spellStart"/>
      <w:r w:rsidR="00987CCE">
        <w:rPr>
          <w:lang w:val="en-CA"/>
        </w:rPr>
        <w:t>d’affaire</w:t>
      </w:r>
      <w:proofErr w:type="spellEnd"/>
      <w:r w:rsidR="0031073F">
        <w:rPr>
          <w:lang w:val="en-CA"/>
        </w:rPr>
        <w:t>”</w:t>
      </w:r>
      <w:r w:rsidRPr="001C4B76">
        <w:rPr>
          <w:lang w:val="en-CA"/>
        </w:rPr>
        <w:t>(</w:t>
      </w:r>
      <w:proofErr w:type="spellStart"/>
      <w:r w:rsidRPr="001C4B76">
        <w:rPr>
          <w:i/>
          <w:lang w:val="en-CA"/>
        </w:rPr>
        <w:t>Sicotte</w:t>
      </w:r>
      <w:proofErr w:type="spellEnd"/>
      <w:r w:rsidRPr="001C4B76">
        <w:rPr>
          <w:i/>
          <w:lang w:val="en-CA"/>
        </w:rPr>
        <w:t xml:space="preserve"> c. Autorité des </w:t>
      </w:r>
      <w:proofErr w:type="spellStart"/>
      <w:r w:rsidRPr="001C4B76">
        <w:rPr>
          <w:i/>
          <w:lang w:val="en-CA"/>
        </w:rPr>
        <w:t>marchés</w:t>
      </w:r>
      <w:proofErr w:type="spellEnd"/>
      <w:r w:rsidRPr="001C4B76">
        <w:rPr>
          <w:i/>
          <w:lang w:val="en-CA"/>
        </w:rPr>
        <w:t xml:space="preserve"> financiers, </w:t>
      </w:r>
      <w:r w:rsidRPr="001C4B76">
        <w:rPr>
          <w:lang w:val="en-CA"/>
        </w:rPr>
        <w:t>2017 QCCA 1982 at para.</w:t>
      </w:r>
      <w:r w:rsidR="00264C6E" w:rsidRPr="001C4B76">
        <w:rPr>
          <w:lang w:val="en-CA"/>
        </w:rPr>
        <w:t xml:space="preserve"> 33</w:t>
      </w:r>
      <w:r w:rsidR="00264C6E" w:rsidRPr="001C4B76">
        <w:rPr>
          <w:i/>
          <w:lang w:val="en-CA"/>
        </w:rPr>
        <w:t>;</w:t>
      </w:r>
      <w:r w:rsidR="00264C6E" w:rsidRPr="001C4B76">
        <w:rPr>
          <w:lang w:val="en-CA"/>
        </w:rPr>
        <w:t xml:space="preserve"> </w:t>
      </w:r>
      <w:r w:rsidRPr="001C4B76">
        <w:rPr>
          <w:lang w:val="en-CA"/>
        </w:rPr>
        <w:t xml:space="preserve">see also </w:t>
      </w:r>
      <w:r w:rsidRPr="001C4B76">
        <w:rPr>
          <w:i/>
          <w:lang w:val="en-CA"/>
        </w:rPr>
        <w:t xml:space="preserve">Thibault c. Da Costa, </w:t>
      </w:r>
      <w:r w:rsidRPr="001C4B76">
        <w:rPr>
          <w:lang w:val="en-CA"/>
        </w:rPr>
        <w:t>2014 QCCA 2347 at para.</w:t>
      </w:r>
      <w:r w:rsidR="00264C6E" w:rsidRPr="001C4B76">
        <w:rPr>
          <w:iCs/>
          <w:lang w:val="en-CA"/>
        </w:rPr>
        <w:t xml:space="preserve"> </w:t>
      </w:r>
      <w:r w:rsidR="00DA4881" w:rsidRPr="001C4B76">
        <w:rPr>
          <w:iCs/>
          <w:lang w:val="en-CA"/>
        </w:rPr>
        <w:t>38;</w:t>
      </w:r>
      <w:r w:rsidR="00264C6E" w:rsidRPr="001C4B76">
        <w:rPr>
          <w:i/>
          <w:lang w:val="en-CA"/>
        </w:rPr>
        <w:t xml:space="preserve"> </w:t>
      </w:r>
      <w:r w:rsidR="00DA4881" w:rsidRPr="001C4B76">
        <w:rPr>
          <w:i/>
          <w:lang w:val="en-CA"/>
        </w:rPr>
        <w:t xml:space="preserve">Ontario (Labour) </w:t>
      </w:r>
      <w:r w:rsidR="00383E6E">
        <w:rPr>
          <w:i/>
          <w:lang w:val="en-CA"/>
        </w:rPr>
        <w:t>v</w:t>
      </w:r>
      <w:r w:rsidR="00DA4881" w:rsidRPr="001C4B76">
        <w:rPr>
          <w:i/>
          <w:lang w:val="en-CA"/>
        </w:rPr>
        <w:t>. New Mex Canada Inc.,</w:t>
      </w:r>
      <w:r w:rsidR="00DA4881" w:rsidRPr="001C4B76">
        <w:rPr>
          <w:lang w:val="en-CA"/>
        </w:rPr>
        <w:t xml:space="preserve"> 2019 ONCA 30 at para.</w:t>
      </w:r>
      <w:r w:rsidR="00F17E7A" w:rsidRPr="001C4B76">
        <w:rPr>
          <w:lang w:val="en-CA"/>
        </w:rPr>
        <w:t xml:space="preserve"> 78;</w:t>
      </w:r>
      <w:r w:rsidR="00264C6E" w:rsidRPr="001C4B76">
        <w:rPr>
          <w:i/>
          <w:lang w:val="en-CA"/>
        </w:rPr>
        <w:t xml:space="preserve"> Ontario (Labour) </w:t>
      </w:r>
      <w:r w:rsidR="00383E6E">
        <w:rPr>
          <w:i/>
          <w:lang w:val="en-CA"/>
        </w:rPr>
        <w:t>v</w:t>
      </w:r>
      <w:r w:rsidR="00264C6E" w:rsidRPr="001C4B76">
        <w:rPr>
          <w:i/>
          <w:lang w:val="en-CA"/>
        </w:rPr>
        <w:t>. Flex-N-Gate Canada Company,</w:t>
      </w:r>
      <w:r w:rsidR="00264C6E" w:rsidRPr="001C4B76">
        <w:rPr>
          <w:lang w:val="en-CA"/>
        </w:rPr>
        <w:t xml:space="preserve"> 2014 ONCA 53</w:t>
      </w:r>
      <w:r w:rsidR="00DA4881" w:rsidRPr="001C4B76">
        <w:rPr>
          <w:lang w:val="en-CA"/>
        </w:rPr>
        <w:t xml:space="preserve"> at</w:t>
      </w:r>
      <w:r w:rsidR="00264C6E" w:rsidRPr="001C4B76">
        <w:rPr>
          <w:lang w:val="en-CA"/>
        </w:rPr>
        <w:t xml:space="preserve"> par</w:t>
      </w:r>
      <w:r w:rsidR="00DA4881" w:rsidRPr="001C4B76">
        <w:rPr>
          <w:lang w:val="en-CA"/>
        </w:rPr>
        <w:t>a</w:t>
      </w:r>
      <w:r w:rsidR="00264C6E" w:rsidRPr="001C4B76">
        <w:rPr>
          <w:lang w:val="en-CA"/>
        </w:rPr>
        <w:t>. 22).</w:t>
      </w:r>
    </w:p>
    <w:p w14:paraId="653BA55F" w14:textId="77777777" w:rsidR="00264C6E" w:rsidRPr="001C4B76" w:rsidRDefault="00DA4881" w:rsidP="00696B98">
      <w:pPr>
        <w:pStyle w:val="Citationenretrait"/>
        <w:rPr>
          <w:lang w:val="en-CA"/>
        </w:rPr>
      </w:pPr>
      <w:r w:rsidRPr="001C4B76">
        <w:rPr>
          <w:lang w:val="en-CA"/>
        </w:rPr>
        <w:t>[112</w:t>
      </w:r>
      <w:r w:rsidRPr="00057E23">
        <w:rPr>
          <w:lang w:val="en-CA"/>
        </w:rPr>
        <w:t xml:space="preserve">] </w:t>
      </w:r>
      <w:r w:rsidRPr="001C4B76">
        <w:rPr>
          <w:u w:val="single"/>
          <w:lang w:val="en-CA"/>
        </w:rPr>
        <w:t xml:space="preserve">Moreover, deterrence plays a </w:t>
      </w:r>
      <w:r w:rsidR="000E0B34" w:rsidRPr="001C4B76">
        <w:rPr>
          <w:u w:val="single"/>
          <w:lang w:val="en-CA"/>
        </w:rPr>
        <w:t>particularly</w:t>
      </w:r>
      <w:r w:rsidRPr="001C4B76">
        <w:rPr>
          <w:u w:val="single"/>
          <w:lang w:val="en-CA"/>
        </w:rPr>
        <w:t xml:space="preserve"> important role in securities and financial market offences, as illustrated by the </w:t>
      </w:r>
      <w:r w:rsidR="000E0B34" w:rsidRPr="001C4B76">
        <w:rPr>
          <w:u w:val="single"/>
          <w:lang w:val="en-CA"/>
        </w:rPr>
        <w:t>penalties</w:t>
      </w:r>
      <w:r w:rsidRPr="001C4B76">
        <w:rPr>
          <w:u w:val="single"/>
          <w:lang w:val="en-CA"/>
        </w:rPr>
        <w:t xml:space="preserve"> set out in the </w:t>
      </w:r>
      <w:r w:rsidRPr="001C4B76">
        <w:rPr>
          <w:i/>
          <w:u w:val="single"/>
          <w:lang w:val="en-CA"/>
        </w:rPr>
        <w:t>SA</w:t>
      </w:r>
      <w:r w:rsidRPr="001C4B76">
        <w:rPr>
          <w:u w:val="single"/>
          <w:lang w:val="en-CA"/>
        </w:rPr>
        <w:t>.</w:t>
      </w:r>
      <w:r w:rsidR="00264C6E" w:rsidRPr="001C4B76">
        <w:rPr>
          <w:lang w:val="en-CA"/>
        </w:rPr>
        <w:t xml:space="preserve"> </w:t>
      </w:r>
      <w:r w:rsidRPr="001C4B76">
        <w:rPr>
          <w:lang w:val="en-CA"/>
        </w:rPr>
        <w:t xml:space="preserve">In </w:t>
      </w:r>
      <w:proofErr w:type="spellStart"/>
      <w:r w:rsidRPr="001C4B76">
        <w:rPr>
          <w:i/>
          <w:lang w:val="en-CA"/>
        </w:rPr>
        <w:t>Cartaway</w:t>
      </w:r>
      <w:proofErr w:type="spellEnd"/>
      <w:r w:rsidRPr="001C4B76">
        <w:rPr>
          <w:i/>
          <w:lang w:val="en-CA"/>
        </w:rPr>
        <w:t xml:space="preserve"> Resources Corp. (Re)</w:t>
      </w:r>
      <w:r w:rsidRPr="001C4B76">
        <w:rPr>
          <w:lang w:val="en-CA"/>
        </w:rPr>
        <w:t xml:space="preserve">, </w:t>
      </w:r>
      <w:r w:rsidR="00264C6E" w:rsidRPr="001C4B76">
        <w:rPr>
          <w:lang w:val="en-CA"/>
        </w:rPr>
        <w:t xml:space="preserve">[2004] 1 </w:t>
      </w:r>
      <w:r w:rsidRPr="001C4B76">
        <w:rPr>
          <w:lang w:val="en-CA"/>
        </w:rPr>
        <w:t>SCR</w:t>
      </w:r>
      <w:r w:rsidR="00264C6E" w:rsidRPr="001C4B76">
        <w:rPr>
          <w:lang w:val="en-CA"/>
        </w:rPr>
        <w:t xml:space="preserve"> 672</w:t>
      </w:r>
      <w:r w:rsidR="000E0B34">
        <w:rPr>
          <w:lang w:val="en-CA"/>
        </w:rPr>
        <w:t>,</w:t>
      </w:r>
      <w:r w:rsidRPr="001C4B76">
        <w:rPr>
          <w:lang w:val="en-CA"/>
        </w:rPr>
        <w:t xml:space="preserve"> a case </w:t>
      </w:r>
      <w:r w:rsidR="000E0B34">
        <w:rPr>
          <w:lang w:val="en-CA"/>
        </w:rPr>
        <w:t>involving</w:t>
      </w:r>
      <w:r w:rsidRPr="001C4B76">
        <w:rPr>
          <w:lang w:val="en-CA"/>
        </w:rPr>
        <w:t xml:space="preserve"> the British Columbia </w:t>
      </w:r>
      <w:r w:rsidRPr="001C4B76">
        <w:rPr>
          <w:i/>
          <w:lang w:val="en-CA"/>
        </w:rPr>
        <w:t xml:space="preserve">Securities Act, </w:t>
      </w:r>
      <w:r w:rsidRPr="001C4B76">
        <w:rPr>
          <w:lang w:val="en-CA"/>
        </w:rPr>
        <w:t>R.S.B.C</w:t>
      </w:r>
      <w:r w:rsidRPr="001C4B76">
        <w:rPr>
          <w:i/>
          <w:lang w:val="en-CA"/>
        </w:rPr>
        <w:t>.</w:t>
      </w:r>
      <w:r w:rsidRPr="001C4B76">
        <w:rPr>
          <w:lang w:val="en-CA"/>
        </w:rPr>
        <w:t xml:space="preserve"> 196, c. 418, LeBel J. wrote at para.55:</w:t>
      </w:r>
    </w:p>
    <w:p w14:paraId="3C4416DD" w14:textId="77777777" w:rsidR="00DA4881" w:rsidRDefault="00264C6E" w:rsidP="00057E23">
      <w:pPr>
        <w:pStyle w:val="Citationenretrait"/>
        <w:ind w:left="993" w:right="998"/>
        <w:rPr>
          <w:lang w:val="en-CA"/>
        </w:rPr>
      </w:pPr>
      <w:r w:rsidRPr="00057E23">
        <w:rPr>
          <w:sz w:val="20"/>
          <w:szCs w:val="18"/>
          <w:lang w:val="en-CA"/>
        </w:rPr>
        <w:t xml:space="preserve">55. </w:t>
      </w:r>
      <w:r w:rsidR="00DA4881" w:rsidRPr="00057E23">
        <w:rPr>
          <w:sz w:val="20"/>
          <w:szCs w:val="18"/>
          <w:lang w:val="en-CA"/>
        </w:rPr>
        <w:t> In this appeal we are asked whether it is reasonable to decide that general deterrence has a role to play in the policing of capital markets.  The conventional view is that participants in capital markets are rational actors.  This is probably more true of market systems than it is of social behaviour.  It is therefore reasonable to assume, particularly with reference to the expertise of the Commission in regulating capital markets, that general deterrence has a proper role to play in determining whether to make orders in the public interest and, if they choose to do so, the severity of those orders</w:t>
      </w:r>
      <w:r w:rsidR="00DA4881" w:rsidRPr="001C4B76">
        <w:rPr>
          <w:lang w:val="en-CA"/>
        </w:rPr>
        <w:t>.</w:t>
      </w:r>
    </w:p>
    <w:p w14:paraId="1B2DDE99" w14:textId="77777777" w:rsidR="000E0B34" w:rsidRPr="001C4B76" w:rsidRDefault="000E0B34" w:rsidP="00DA4881">
      <w:pPr>
        <w:pStyle w:val="Citationenretrait"/>
        <w:rPr>
          <w:lang w:val="en-CA"/>
        </w:rPr>
      </w:pPr>
      <w:r>
        <w:rPr>
          <w:rFonts w:cs="Arial"/>
          <w:lang w:val="en-CA"/>
        </w:rPr>
        <w:t>[</w:t>
      </w:r>
      <w:r w:rsidRPr="000E0B34">
        <w:rPr>
          <w:smallCaps/>
          <w:lang w:val="en-CA"/>
        </w:rPr>
        <w:t>translation</w:t>
      </w:r>
      <w:r>
        <w:rPr>
          <w:rFonts w:cs="Arial"/>
          <w:lang w:val="en-CA"/>
        </w:rPr>
        <w:t>]</w:t>
      </w:r>
    </w:p>
    <w:p w14:paraId="49C163E8" w14:textId="77777777" w:rsidR="00264C6E" w:rsidRPr="001C4B76" w:rsidRDefault="00DA4881" w:rsidP="00696B98">
      <w:pPr>
        <w:pStyle w:val="Citationenretrait"/>
        <w:rPr>
          <w:iCs/>
          <w:lang w:val="en-CA"/>
        </w:rPr>
      </w:pPr>
      <w:r w:rsidRPr="001C4B76">
        <w:rPr>
          <w:lang w:val="en-CA"/>
        </w:rPr>
        <w:t xml:space="preserve">[113] </w:t>
      </w:r>
      <w:r w:rsidRPr="001C4B76">
        <w:rPr>
          <w:u w:val="single"/>
          <w:lang w:val="en-CA"/>
        </w:rPr>
        <w:t>Quebec courts have followed suit and emphasize</w:t>
      </w:r>
      <w:r w:rsidR="009F356B">
        <w:rPr>
          <w:u w:val="single"/>
          <w:lang w:val="en-CA"/>
        </w:rPr>
        <w:t>d</w:t>
      </w:r>
      <w:r w:rsidRPr="001C4B76">
        <w:rPr>
          <w:u w:val="single"/>
          <w:lang w:val="en-CA"/>
        </w:rPr>
        <w:t xml:space="preserve"> specific and general </w:t>
      </w:r>
      <w:r w:rsidR="002512A0" w:rsidRPr="001C4B76">
        <w:rPr>
          <w:u w:val="single"/>
          <w:lang w:val="en-CA"/>
        </w:rPr>
        <w:t>deterrence for</w:t>
      </w:r>
      <w:r w:rsidRPr="001C4B76">
        <w:rPr>
          <w:u w:val="single"/>
          <w:lang w:val="en-CA"/>
        </w:rPr>
        <w:t xml:space="preserve"> </w:t>
      </w:r>
      <w:r w:rsidR="009F356B" w:rsidRPr="00057E23">
        <w:rPr>
          <w:i/>
          <w:iCs/>
          <w:u w:val="single"/>
          <w:lang w:val="en-CA"/>
        </w:rPr>
        <w:t>SA</w:t>
      </w:r>
      <w:r w:rsidR="009F356B">
        <w:rPr>
          <w:u w:val="single"/>
          <w:lang w:val="en-CA"/>
        </w:rPr>
        <w:t xml:space="preserve"> </w:t>
      </w:r>
      <w:r w:rsidRPr="001C4B76">
        <w:rPr>
          <w:u w:val="single"/>
          <w:lang w:val="en-CA"/>
        </w:rPr>
        <w:t>offences</w:t>
      </w:r>
      <w:r w:rsidR="009F356B" w:rsidRPr="00057E23">
        <w:rPr>
          <w:lang w:val="en-CA"/>
        </w:rPr>
        <w:t xml:space="preserve"> </w:t>
      </w:r>
      <w:r w:rsidRPr="001C4B76">
        <w:rPr>
          <w:lang w:val="en-CA"/>
        </w:rPr>
        <w:t xml:space="preserve">(see in particular </w:t>
      </w:r>
      <w:r w:rsidRPr="001C4B76">
        <w:rPr>
          <w:i/>
          <w:lang w:val="en-CA"/>
        </w:rPr>
        <w:t xml:space="preserve">Live c. Autorité des </w:t>
      </w:r>
      <w:proofErr w:type="spellStart"/>
      <w:r w:rsidRPr="001C4B76">
        <w:rPr>
          <w:i/>
          <w:lang w:val="en-CA"/>
        </w:rPr>
        <w:t>marchés</w:t>
      </w:r>
      <w:proofErr w:type="spellEnd"/>
      <w:r w:rsidRPr="001C4B76">
        <w:rPr>
          <w:i/>
          <w:lang w:val="en-CA"/>
        </w:rPr>
        <w:t xml:space="preserve"> financiers, </w:t>
      </w:r>
      <w:r w:rsidRPr="001C4B76">
        <w:rPr>
          <w:lang w:val="en-CA"/>
        </w:rPr>
        <w:t>2016 QCCS 5060 at para</w:t>
      </w:r>
      <w:r w:rsidR="009F356B">
        <w:rPr>
          <w:lang w:val="en-CA"/>
        </w:rPr>
        <w:t>s</w:t>
      </w:r>
      <w:r w:rsidRPr="001C4B76">
        <w:rPr>
          <w:lang w:val="en-CA"/>
        </w:rPr>
        <w:t>.</w:t>
      </w:r>
      <w:r w:rsidR="00264C6E" w:rsidRPr="001C4B76">
        <w:rPr>
          <w:iCs/>
          <w:lang w:val="en-CA"/>
        </w:rPr>
        <w:t xml:space="preserve"> </w:t>
      </w:r>
      <w:r w:rsidRPr="00282367">
        <w:rPr>
          <w:iCs/>
        </w:rPr>
        <w:t>64</w:t>
      </w:r>
      <w:r w:rsidR="009F356B">
        <w:rPr>
          <w:iCs/>
        </w:rPr>
        <w:t>–</w:t>
      </w:r>
      <w:r w:rsidRPr="00282367">
        <w:rPr>
          <w:iCs/>
        </w:rPr>
        <w:t>66;</w:t>
      </w:r>
      <w:r w:rsidR="00264C6E" w:rsidRPr="00282367">
        <w:rPr>
          <w:i/>
          <w:iCs/>
        </w:rPr>
        <w:t xml:space="preserve"> </w:t>
      </w:r>
      <w:r w:rsidRPr="00282367">
        <w:rPr>
          <w:i/>
          <w:iCs/>
        </w:rPr>
        <w:t>Autorité des marchés financiers c. Bossé,</w:t>
      </w:r>
      <w:r w:rsidRPr="00282367">
        <w:rPr>
          <w:iCs/>
        </w:rPr>
        <w:t xml:space="preserve"> 2017 QCCQ 15048 at para</w:t>
      </w:r>
      <w:r w:rsidR="009F356B">
        <w:rPr>
          <w:iCs/>
        </w:rPr>
        <w:t>s</w:t>
      </w:r>
      <w:r w:rsidRPr="00282367">
        <w:rPr>
          <w:iCs/>
        </w:rPr>
        <w:t>.</w:t>
      </w:r>
      <w:r w:rsidR="00264C6E" w:rsidRPr="00282367">
        <w:rPr>
          <w:iCs/>
        </w:rPr>
        <w:t xml:space="preserve"> </w:t>
      </w:r>
      <w:r w:rsidRPr="00282367">
        <w:rPr>
          <w:iCs/>
        </w:rPr>
        <w:t>17–36;</w:t>
      </w:r>
      <w:r w:rsidR="00264C6E" w:rsidRPr="00282367">
        <w:rPr>
          <w:i/>
          <w:iCs/>
        </w:rPr>
        <w:t xml:space="preserve"> Autorité des marchés financiers c. Boivin,</w:t>
      </w:r>
      <w:r w:rsidR="00264C6E" w:rsidRPr="00282367">
        <w:rPr>
          <w:iCs/>
        </w:rPr>
        <w:t xml:space="preserve"> 2014 QCCQ 869</w:t>
      </w:r>
      <w:r w:rsidRPr="00282367">
        <w:rPr>
          <w:iCs/>
        </w:rPr>
        <w:t xml:space="preserve"> at</w:t>
      </w:r>
      <w:r w:rsidR="00264C6E" w:rsidRPr="00282367">
        <w:rPr>
          <w:iCs/>
        </w:rPr>
        <w:t xml:space="preserve"> par</w:t>
      </w:r>
      <w:r w:rsidRPr="00282367">
        <w:rPr>
          <w:iCs/>
        </w:rPr>
        <w:t>as</w:t>
      </w:r>
      <w:r w:rsidR="00264C6E" w:rsidRPr="00282367">
        <w:rPr>
          <w:iCs/>
        </w:rPr>
        <w:t xml:space="preserve">. </w:t>
      </w:r>
      <w:r w:rsidR="00264C6E" w:rsidRPr="001C4B76">
        <w:rPr>
          <w:iCs/>
          <w:lang w:val="en-CA"/>
        </w:rPr>
        <w:t>13–17;</w:t>
      </w:r>
      <w:r w:rsidR="00264C6E" w:rsidRPr="001C4B76">
        <w:rPr>
          <w:i/>
          <w:iCs/>
          <w:lang w:val="en-CA"/>
        </w:rPr>
        <w:t xml:space="preserve"> Autorité des </w:t>
      </w:r>
      <w:proofErr w:type="spellStart"/>
      <w:r w:rsidR="00264C6E" w:rsidRPr="001C4B76">
        <w:rPr>
          <w:i/>
          <w:iCs/>
          <w:lang w:val="en-CA"/>
        </w:rPr>
        <w:t>marchés</w:t>
      </w:r>
      <w:proofErr w:type="spellEnd"/>
      <w:r w:rsidR="00264C6E" w:rsidRPr="001C4B76">
        <w:rPr>
          <w:i/>
          <w:iCs/>
          <w:lang w:val="en-CA"/>
        </w:rPr>
        <w:t xml:space="preserve"> financiers c. Greeley,</w:t>
      </w:r>
      <w:r w:rsidR="00264C6E" w:rsidRPr="001C4B76">
        <w:rPr>
          <w:iCs/>
          <w:lang w:val="en-CA"/>
        </w:rPr>
        <w:t xml:space="preserve"> 2010 QCCQ 2879</w:t>
      </w:r>
      <w:r w:rsidRPr="001C4B76">
        <w:rPr>
          <w:iCs/>
          <w:lang w:val="en-CA"/>
        </w:rPr>
        <w:t xml:space="preserve"> at</w:t>
      </w:r>
      <w:r w:rsidR="00264C6E" w:rsidRPr="001C4B76">
        <w:rPr>
          <w:iCs/>
          <w:lang w:val="en-CA"/>
        </w:rPr>
        <w:t xml:space="preserve"> par</w:t>
      </w:r>
      <w:r w:rsidRPr="001C4B76">
        <w:rPr>
          <w:iCs/>
          <w:lang w:val="en-CA"/>
        </w:rPr>
        <w:t>as</w:t>
      </w:r>
      <w:r w:rsidR="00264C6E" w:rsidRPr="001C4B76">
        <w:rPr>
          <w:iCs/>
          <w:lang w:val="en-CA"/>
        </w:rPr>
        <w:t>. 34–38).</w:t>
      </w:r>
    </w:p>
    <w:p w14:paraId="1B228A55" w14:textId="77777777" w:rsidR="00264C6E" w:rsidRPr="001C4B76" w:rsidRDefault="00DA4881" w:rsidP="00696B98">
      <w:pPr>
        <w:pStyle w:val="Citationenretrait"/>
        <w:rPr>
          <w:lang w:val="en-CA"/>
        </w:rPr>
      </w:pPr>
      <w:r w:rsidRPr="001C4B76">
        <w:rPr>
          <w:lang w:val="en-CA"/>
        </w:rPr>
        <w:t xml:space="preserve">[114] </w:t>
      </w:r>
      <w:r w:rsidRPr="001C4B76">
        <w:rPr>
          <w:u w:val="single"/>
          <w:lang w:val="en-CA"/>
        </w:rPr>
        <w:t>Moreover, s.</w:t>
      </w:r>
      <w:r w:rsidR="00264C6E" w:rsidRPr="001C4B76">
        <w:rPr>
          <w:u w:val="single"/>
          <w:lang w:val="en-CA"/>
        </w:rPr>
        <w:t xml:space="preserve"> </w:t>
      </w:r>
      <w:r w:rsidRPr="001C4B76">
        <w:rPr>
          <w:u w:val="single"/>
          <w:lang w:val="en-CA"/>
        </w:rPr>
        <w:t xml:space="preserve">202 of the </w:t>
      </w:r>
      <w:r w:rsidRPr="001C4B76">
        <w:rPr>
          <w:i/>
          <w:u w:val="single"/>
          <w:lang w:val="en-CA"/>
        </w:rPr>
        <w:t>SA</w:t>
      </w:r>
      <w:r w:rsidRPr="001C4B76">
        <w:rPr>
          <w:u w:val="single"/>
          <w:lang w:val="en-CA"/>
        </w:rPr>
        <w:t xml:space="preserve"> provides that “</w:t>
      </w:r>
      <w:r w:rsidRPr="001C4B76">
        <w:rPr>
          <w:rFonts w:cs="Arial"/>
          <w:u w:val="single"/>
          <w:lang w:val="en-CA"/>
        </w:rPr>
        <w:t>[</w:t>
      </w:r>
      <w:r w:rsidRPr="001C4B76">
        <w:rPr>
          <w:u w:val="single"/>
          <w:lang w:val="en-CA"/>
        </w:rPr>
        <w:t>i</w:t>
      </w:r>
      <w:r w:rsidRPr="001C4B76">
        <w:rPr>
          <w:rFonts w:cs="Arial"/>
          <w:u w:val="single"/>
          <w:lang w:val="en-CA"/>
        </w:rPr>
        <w:t>]</w:t>
      </w:r>
      <w:r w:rsidRPr="001C4B76">
        <w:rPr>
          <w:u w:val="single"/>
          <w:lang w:val="en-CA"/>
        </w:rPr>
        <w:t>n determining the penalty, the court shall take particular account of the harm done to the investors and the advantages derived from the offence.”</w:t>
      </w:r>
    </w:p>
    <w:p w14:paraId="1721AA8F" w14:textId="77777777" w:rsidR="00264C6E" w:rsidRPr="001C4B76" w:rsidRDefault="00DA4881" w:rsidP="00696B98">
      <w:pPr>
        <w:pStyle w:val="Citationenretrait"/>
        <w:rPr>
          <w:lang w:val="en-CA"/>
        </w:rPr>
      </w:pPr>
      <w:r w:rsidRPr="001C4B76">
        <w:rPr>
          <w:lang w:val="en-CA"/>
        </w:rPr>
        <w:t xml:space="preserve">[115] In short, in regulatory </w:t>
      </w:r>
      <w:r w:rsidR="002512A0" w:rsidRPr="001C4B76">
        <w:rPr>
          <w:lang w:val="en-CA"/>
        </w:rPr>
        <w:t xml:space="preserve">penal </w:t>
      </w:r>
      <w:r w:rsidRPr="001C4B76">
        <w:rPr>
          <w:lang w:val="en-CA"/>
        </w:rPr>
        <w:t xml:space="preserve">matters, the penalty must be adapted to the regulatory context </w:t>
      </w:r>
      <w:r w:rsidR="002512A0" w:rsidRPr="001C4B76">
        <w:rPr>
          <w:lang w:val="en-CA"/>
        </w:rPr>
        <w:t>and essentially</w:t>
      </w:r>
      <w:r w:rsidRPr="001C4B76">
        <w:rPr>
          <w:lang w:val="en-CA"/>
        </w:rPr>
        <w:t xml:space="preserve"> encourage compliance with applicable standards by correcting </w:t>
      </w:r>
      <w:r w:rsidR="000131F1">
        <w:rPr>
          <w:lang w:val="en-CA"/>
        </w:rPr>
        <w:t xml:space="preserve">misconduct </w:t>
      </w:r>
      <w:r w:rsidRPr="001C4B76">
        <w:rPr>
          <w:lang w:val="en-CA"/>
        </w:rPr>
        <w:t xml:space="preserve">and preventing future </w:t>
      </w:r>
      <w:r w:rsidR="0031073F">
        <w:rPr>
          <w:lang w:val="en-CA"/>
        </w:rPr>
        <w:t>breaches</w:t>
      </w:r>
      <w:r w:rsidRPr="001C4B76">
        <w:rPr>
          <w:lang w:val="en-CA"/>
        </w:rPr>
        <w:t xml:space="preserve"> all while remaining proportionate to the circumstances of the offence and of the offender. </w:t>
      </w:r>
    </w:p>
    <w:p w14:paraId="0198F4F6" w14:textId="77777777" w:rsidR="00264C6E" w:rsidRPr="001C4B76" w:rsidRDefault="00DA4881" w:rsidP="00696B98">
      <w:pPr>
        <w:pStyle w:val="Citationenretrait"/>
        <w:rPr>
          <w:lang w:val="en-CA"/>
        </w:rPr>
      </w:pPr>
      <w:r w:rsidRPr="001C4B76">
        <w:rPr>
          <w:lang w:val="en-CA"/>
        </w:rPr>
        <w:t xml:space="preserve">[116] In this case, the trial judge was correct in imposing severe </w:t>
      </w:r>
      <w:r w:rsidR="002512A0" w:rsidRPr="001C4B76">
        <w:rPr>
          <w:lang w:val="en-CA"/>
        </w:rPr>
        <w:t>penalties</w:t>
      </w:r>
      <w:r w:rsidRPr="001C4B76">
        <w:rPr>
          <w:lang w:val="en-CA"/>
        </w:rPr>
        <w:t xml:space="preserve"> on the appellants.</w:t>
      </w:r>
      <w:r w:rsidR="00264C6E" w:rsidRPr="001C4B76">
        <w:rPr>
          <w:lang w:val="en-CA"/>
        </w:rPr>
        <w:t xml:space="preserve"> </w:t>
      </w:r>
      <w:r w:rsidRPr="001C4B76">
        <w:rPr>
          <w:lang w:val="en-CA"/>
        </w:rPr>
        <w:t xml:space="preserve">They committed serious offences under an important law that establishes standards </w:t>
      </w:r>
      <w:r w:rsidR="009F32B1">
        <w:rPr>
          <w:lang w:val="en-CA"/>
        </w:rPr>
        <w:t xml:space="preserve">to </w:t>
      </w:r>
      <w:r w:rsidRPr="001C4B76">
        <w:rPr>
          <w:lang w:val="en-CA"/>
        </w:rPr>
        <w:t xml:space="preserve">protect investors and maintain the public’s </w:t>
      </w:r>
      <w:r w:rsidR="009F32B1">
        <w:rPr>
          <w:lang w:val="en-CA"/>
        </w:rPr>
        <w:t xml:space="preserve">confidence </w:t>
      </w:r>
      <w:r w:rsidRPr="001C4B76">
        <w:rPr>
          <w:lang w:val="en-CA"/>
        </w:rPr>
        <w:t>in financial markets.</w:t>
      </w:r>
      <w:r w:rsidR="00264C6E" w:rsidRPr="001C4B76">
        <w:rPr>
          <w:lang w:val="en-CA"/>
        </w:rPr>
        <w:t xml:space="preserve"> </w:t>
      </w:r>
      <w:r w:rsidRPr="001C4B76">
        <w:rPr>
          <w:lang w:val="en-CA"/>
        </w:rPr>
        <w:t xml:space="preserve">The </w:t>
      </w:r>
      <w:r w:rsidR="002512A0">
        <w:rPr>
          <w:lang w:val="en-CA"/>
        </w:rPr>
        <w:t>gravity</w:t>
      </w:r>
      <w:r w:rsidRPr="001C4B76">
        <w:rPr>
          <w:lang w:val="en-CA"/>
        </w:rPr>
        <w:t xml:space="preserve"> of these offences must not be trivialized due to their economic nature.</w:t>
      </w:r>
      <w:r w:rsidR="00264C6E" w:rsidRPr="001C4B76">
        <w:rPr>
          <w:lang w:val="en-CA"/>
        </w:rPr>
        <w:t xml:space="preserve"> </w:t>
      </w:r>
      <w:r w:rsidRPr="001C4B76">
        <w:rPr>
          <w:lang w:val="en-CA"/>
        </w:rPr>
        <w:t xml:space="preserve">Economic offences cause significant </w:t>
      </w:r>
      <w:r w:rsidR="002512A0">
        <w:rPr>
          <w:lang w:val="en-CA"/>
        </w:rPr>
        <w:t>harm</w:t>
      </w:r>
      <w:r w:rsidRPr="001C4B76">
        <w:rPr>
          <w:lang w:val="en-CA"/>
        </w:rPr>
        <w:t xml:space="preserve"> to victims and to society as a whole.</w:t>
      </w:r>
      <w:r w:rsidR="00264C6E" w:rsidRPr="001C4B76">
        <w:rPr>
          <w:lang w:val="en-CA"/>
        </w:rPr>
        <w:t xml:space="preserve"> </w:t>
      </w:r>
      <w:r w:rsidRPr="001C4B76">
        <w:rPr>
          <w:lang w:val="en-CA"/>
        </w:rPr>
        <w:t xml:space="preserve">In addition, the harm done to investors and the </w:t>
      </w:r>
      <w:r w:rsidR="00901147">
        <w:rPr>
          <w:lang w:val="en-CA"/>
        </w:rPr>
        <w:t>advantages</w:t>
      </w:r>
      <w:r w:rsidRPr="001C4B76">
        <w:rPr>
          <w:lang w:val="en-CA"/>
        </w:rPr>
        <w:t xml:space="preserve"> derived from the offences</w:t>
      </w:r>
      <w:r w:rsidR="009F32B1">
        <w:rPr>
          <w:lang w:val="en-CA"/>
        </w:rPr>
        <w:t xml:space="preserve"> had to be considered</w:t>
      </w:r>
      <w:r w:rsidRPr="001C4B76">
        <w:rPr>
          <w:lang w:val="en-CA"/>
        </w:rPr>
        <w:t>.</w:t>
      </w:r>
      <w:r w:rsidR="00264C6E" w:rsidRPr="001C4B76">
        <w:rPr>
          <w:lang w:val="en-CA"/>
        </w:rPr>
        <w:t xml:space="preserve"> </w:t>
      </w:r>
      <w:r w:rsidRPr="001C4B76">
        <w:rPr>
          <w:lang w:val="en-CA"/>
        </w:rPr>
        <w:t xml:space="preserve">Deterrence must be the central </w:t>
      </w:r>
      <w:r w:rsidR="009F32B1">
        <w:rPr>
          <w:lang w:val="en-CA"/>
        </w:rPr>
        <w:t xml:space="preserve">objective </w:t>
      </w:r>
      <w:r w:rsidRPr="001C4B76">
        <w:rPr>
          <w:lang w:val="en-CA"/>
        </w:rPr>
        <w:t>of the penalty.</w:t>
      </w:r>
      <w:r w:rsidR="00264C6E" w:rsidRPr="001C4B76">
        <w:rPr>
          <w:lang w:val="en-CA"/>
        </w:rPr>
        <w:t xml:space="preserve"> </w:t>
      </w:r>
      <w:r w:rsidRPr="001C4B76">
        <w:rPr>
          <w:lang w:val="en-CA"/>
        </w:rPr>
        <w:t>Fines and the resultant prison sentences were appropriate.</w:t>
      </w:r>
    </w:p>
    <w:p w14:paraId="63FA4001" w14:textId="77777777" w:rsidR="00264C6E" w:rsidRPr="001C4B76" w:rsidRDefault="00DA4881" w:rsidP="00696B98">
      <w:pPr>
        <w:pStyle w:val="Citationenretrait"/>
        <w:rPr>
          <w:lang w:val="en-CA"/>
        </w:rPr>
      </w:pPr>
      <w:r w:rsidRPr="001C4B76">
        <w:rPr>
          <w:lang w:val="en-CA"/>
        </w:rPr>
        <w:lastRenderedPageBreak/>
        <w:t xml:space="preserve">[117] The appellants were not, however, </w:t>
      </w:r>
      <w:r w:rsidR="009F32B1">
        <w:rPr>
          <w:lang w:val="en-CA"/>
        </w:rPr>
        <w:t xml:space="preserve">convicted </w:t>
      </w:r>
      <w:r w:rsidRPr="001C4B76">
        <w:rPr>
          <w:lang w:val="en-CA"/>
        </w:rPr>
        <w:t xml:space="preserve">of fraud or any other </w:t>
      </w:r>
      <w:r w:rsidR="009F32B1">
        <w:rPr>
          <w:lang w:val="en-CA"/>
        </w:rPr>
        <w:t>crime</w:t>
      </w:r>
      <w:r w:rsidRPr="001C4B76">
        <w:rPr>
          <w:lang w:val="en-CA"/>
        </w:rPr>
        <w:t>.</w:t>
      </w:r>
      <w:r w:rsidR="00264C6E" w:rsidRPr="001C4B76">
        <w:rPr>
          <w:lang w:val="en-CA"/>
        </w:rPr>
        <w:t xml:space="preserve"> </w:t>
      </w:r>
      <w:r w:rsidRPr="001C4B76">
        <w:rPr>
          <w:lang w:val="en-CA"/>
        </w:rPr>
        <w:t xml:space="preserve">The judge erred in principle, namely in paragraphs 16 and 18 of his judgment on the </w:t>
      </w:r>
      <w:r w:rsidR="009F32B1">
        <w:rPr>
          <w:lang w:val="en-CA"/>
        </w:rPr>
        <w:t>sentence</w:t>
      </w:r>
      <w:r w:rsidRPr="001C4B76">
        <w:rPr>
          <w:lang w:val="en-CA"/>
        </w:rPr>
        <w:t xml:space="preserve">, in </w:t>
      </w:r>
      <w:r w:rsidR="009F32B1">
        <w:rPr>
          <w:lang w:val="en-CA"/>
        </w:rPr>
        <w:t xml:space="preserve">equating </w:t>
      </w:r>
      <w:r w:rsidRPr="001C4B76">
        <w:rPr>
          <w:lang w:val="en-CA"/>
        </w:rPr>
        <w:t xml:space="preserve">the regulatory </w:t>
      </w:r>
      <w:r w:rsidR="002512A0" w:rsidRPr="001C4B76">
        <w:rPr>
          <w:lang w:val="en-CA"/>
        </w:rPr>
        <w:t xml:space="preserve">penal </w:t>
      </w:r>
      <w:r w:rsidRPr="001C4B76">
        <w:rPr>
          <w:lang w:val="en-CA"/>
        </w:rPr>
        <w:t xml:space="preserve">offences of which the appellants </w:t>
      </w:r>
      <w:r w:rsidR="009F32B1">
        <w:rPr>
          <w:lang w:val="en-CA"/>
        </w:rPr>
        <w:t xml:space="preserve">were convicted </w:t>
      </w:r>
      <w:r w:rsidRPr="001C4B76">
        <w:rPr>
          <w:lang w:val="en-CA"/>
        </w:rPr>
        <w:t>to criminal offences.</w:t>
      </w:r>
    </w:p>
    <w:p w14:paraId="127660E0" w14:textId="77777777" w:rsidR="00264C6E" w:rsidRPr="001C4B76" w:rsidRDefault="00DA4881" w:rsidP="00696B98">
      <w:pPr>
        <w:pStyle w:val="Citationenretrait"/>
        <w:rPr>
          <w:lang w:val="en-CA"/>
        </w:rPr>
      </w:pPr>
      <w:r w:rsidRPr="001C4B76">
        <w:rPr>
          <w:lang w:val="en-CA"/>
        </w:rPr>
        <w:t xml:space="preserve">[118] </w:t>
      </w:r>
      <w:r w:rsidR="002512A0" w:rsidRPr="001C4B76">
        <w:rPr>
          <w:lang w:val="en-CA"/>
        </w:rPr>
        <w:t>The</w:t>
      </w:r>
      <w:r w:rsidRPr="001C4B76">
        <w:rPr>
          <w:lang w:val="en-CA"/>
        </w:rPr>
        <w:t xml:space="preserve"> error </w:t>
      </w:r>
      <w:r w:rsidR="009F32B1">
        <w:rPr>
          <w:lang w:val="en-CA"/>
        </w:rPr>
        <w:t xml:space="preserve">clearly </w:t>
      </w:r>
      <w:r w:rsidRPr="001C4B76">
        <w:rPr>
          <w:lang w:val="en-CA"/>
        </w:rPr>
        <w:t xml:space="preserve">unduly contributed to the severity of the </w:t>
      </w:r>
      <w:r w:rsidR="002512A0" w:rsidRPr="001C4B76">
        <w:rPr>
          <w:lang w:val="en-CA"/>
        </w:rPr>
        <w:t>penalties</w:t>
      </w:r>
      <w:r w:rsidRPr="001C4B76">
        <w:rPr>
          <w:lang w:val="en-CA"/>
        </w:rPr>
        <w:t xml:space="preserve"> imposed.</w:t>
      </w:r>
      <w:r w:rsidR="00264C6E" w:rsidRPr="001C4B76">
        <w:rPr>
          <w:lang w:val="en-CA"/>
        </w:rPr>
        <w:t xml:space="preserve"> </w:t>
      </w:r>
      <w:r w:rsidRPr="001C4B76">
        <w:rPr>
          <w:lang w:val="en-CA"/>
        </w:rPr>
        <w:t>They are overly punitive.</w:t>
      </w:r>
    </w:p>
    <w:p w14:paraId="626F2FA3" w14:textId="77777777" w:rsidR="00264C6E" w:rsidRPr="001C4B76" w:rsidRDefault="00DA4881" w:rsidP="00696B98">
      <w:pPr>
        <w:pStyle w:val="Citationenretrait"/>
        <w:rPr>
          <w:lang w:val="en-CA"/>
        </w:rPr>
      </w:pPr>
      <w:r w:rsidRPr="001C4B76">
        <w:rPr>
          <w:lang w:val="en-CA"/>
        </w:rPr>
        <w:t xml:space="preserve">[119] Therefore, the </w:t>
      </w:r>
      <w:r w:rsidR="002512A0" w:rsidRPr="001C4B76">
        <w:rPr>
          <w:lang w:val="en-CA"/>
        </w:rPr>
        <w:t>penalties</w:t>
      </w:r>
      <w:r w:rsidRPr="001C4B76">
        <w:rPr>
          <w:lang w:val="en-CA"/>
        </w:rPr>
        <w:t xml:space="preserve"> must be corrected on appeal.</w:t>
      </w:r>
      <w:r w:rsidR="00264C6E" w:rsidRPr="001C4B76">
        <w:rPr>
          <w:lang w:val="en-CA"/>
        </w:rPr>
        <w:t xml:space="preserve"> </w:t>
      </w:r>
      <w:r w:rsidRPr="001C4B76">
        <w:rPr>
          <w:lang w:val="en-CA"/>
        </w:rPr>
        <w:t xml:space="preserve">The exercise is necessarily approximate, because it is difficult to </w:t>
      </w:r>
      <w:r w:rsidR="002512A0" w:rsidRPr="001C4B76">
        <w:rPr>
          <w:lang w:val="en-CA"/>
        </w:rPr>
        <w:t>precisely measure</w:t>
      </w:r>
      <w:r w:rsidRPr="001C4B76">
        <w:rPr>
          <w:lang w:val="en-CA"/>
        </w:rPr>
        <w:t xml:space="preserve"> the </w:t>
      </w:r>
      <w:r w:rsidR="009F32B1">
        <w:rPr>
          <w:lang w:val="en-CA"/>
        </w:rPr>
        <w:t xml:space="preserve">error’s </w:t>
      </w:r>
      <w:r w:rsidRPr="001C4B76">
        <w:rPr>
          <w:lang w:val="en-CA"/>
        </w:rPr>
        <w:t>impact on the sentences imposed, especially since sentencing is based on the consideration of multiple factors and on a global analysis.</w:t>
      </w:r>
      <w:r w:rsidR="00264C6E" w:rsidRPr="001C4B76">
        <w:rPr>
          <w:lang w:val="en-CA"/>
        </w:rPr>
        <w:t xml:space="preserve"> </w:t>
      </w:r>
      <w:r w:rsidRPr="001C4B76">
        <w:rPr>
          <w:lang w:val="en-CA"/>
        </w:rPr>
        <w:t>In other words, it is difficult to attribute the error in principle committed to one portion of the sentence.</w:t>
      </w:r>
      <w:r w:rsidR="00264C6E" w:rsidRPr="001C4B76">
        <w:rPr>
          <w:lang w:val="en-CA"/>
        </w:rPr>
        <w:t xml:space="preserve"> </w:t>
      </w:r>
      <w:r w:rsidRPr="001C4B76">
        <w:rPr>
          <w:lang w:val="en-CA"/>
        </w:rPr>
        <w:t>Moreover, the rule of deference invites moderation in appellate review.</w:t>
      </w:r>
    </w:p>
    <w:p w14:paraId="5E837E3E" w14:textId="77777777" w:rsidR="00264C6E" w:rsidRPr="001C4B76" w:rsidRDefault="00DA4881" w:rsidP="00696B98">
      <w:pPr>
        <w:pStyle w:val="Citationenretrait"/>
        <w:rPr>
          <w:lang w:val="en-CA"/>
        </w:rPr>
      </w:pPr>
      <w:r w:rsidRPr="001C4B76">
        <w:rPr>
          <w:lang w:val="en-CA"/>
        </w:rPr>
        <w:t>[120] In any event, the concurrent 18-month sentences imposed on Dax Ste-Marie are reduced to 15 months, the 36-month sentences imposed on Michel Ste-Marie are reduced to 30 months, and the 40-month sentences imposed on Richard Felx are reduced to 33 months.</w:t>
      </w:r>
    </w:p>
    <w:p w14:paraId="758EFE4A" w14:textId="77777777" w:rsidR="00264C6E" w:rsidRPr="001C4B76" w:rsidRDefault="00DA4881" w:rsidP="00696B98">
      <w:pPr>
        <w:pStyle w:val="Citationenretrait"/>
        <w:rPr>
          <w:lang w:val="en-CA"/>
        </w:rPr>
      </w:pPr>
      <w:r w:rsidRPr="001C4B76">
        <w:rPr>
          <w:lang w:val="en-CA"/>
        </w:rPr>
        <w:t>[121] The fines are upheld.</w:t>
      </w:r>
      <w:r w:rsidR="00264C6E" w:rsidRPr="001C4B76">
        <w:rPr>
          <w:lang w:val="en-CA"/>
        </w:rPr>
        <w:t xml:space="preserve"> </w:t>
      </w:r>
      <w:r w:rsidRPr="001C4B76">
        <w:rPr>
          <w:lang w:val="en-CA"/>
        </w:rPr>
        <w:t>They are justified given the objective of deterrence.</w:t>
      </w:r>
      <w:r w:rsidR="00264C6E" w:rsidRPr="001C4B76">
        <w:rPr>
          <w:lang w:val="en-CA"/>
        </w:rPr>
        <w:t xml:space="preserve"> </w:t>
      </w:r>
      <w:r w:rsidRPr="001C4B76">
        <w:rPr>
          <w:lang w:val="en-CA"/>
        </w:rPr>
        <w:t xml:space="preserve">Moreover, they are appropriate given the </w:t>
      </w:r>
      <w:r w:rsidR="002512A0">
        <w:rPr>
          <w:lang w:val="en-CA"/>
        </w:rPr>
        <w:t>gravity</w:t>
      </w:r>
      <w:r w:rsidRPr="001C4B76">
        <w:rPr>
          <w:lang w:val="en-CA"/>
        </w:rPr>
        <w:t xml:space="preserve"> of the offences, namely with respect to the financial losses suffered by </w:t>
      </w:r>
      <w:r w:rsidR="00216345">
        <w:rPr>
          <w:lang w:val="en-CA"/>
        </w:rPr>
        <w:t xml:space="preserve">the </w:t>
      </w:r>
      <w:r w:rsidRPr="001C4B76">
        <w:rPr>
          <w:lang w:val="en-CA"/>
        </w:rPr>
        <w:t>investors.</w:t>
      </w:r>
    </w:p>
    <w:p w14:paraId="09BE610F" w14:textId="77777777" w:rsidR="00264C6E" w:rsidRPr="001C4B76" w:rsidRDefault="00DA4881" w:rsidP="004401F8">
      <w:pPr>
        <w:pStyle w:val="Citationenretrait"/>
        <w:rPr>
          <w:lang w:val="en-CA"/>
        </w:rPr>
      </w:pPr>
      <w:r w:rsidRPr="001C4B76">
        <w:rPr>
          <w:lang w:val="en-CA"/>
        </w:rPr>
        <w:t xml:space="preserve">[122] The appellants </w:t>
      </w:r>
      <w:r w:rsidR="00216345">
        <w:rPr>
          <w:lang w:val="en-CA"/>
        </w:rPr>
        <w:t>have</w:t>
      </w:r>
      <w:r w:rsidR="00216345" w:rsidRPr="001C4B76">
        <w:rPr>
          <w:lang w:val="en-CA"/>
        </w:rPr>
        <w:t xml:space="preserve"> </w:t>
      </w:r>
      <w:r w:rsidRPr="001C4B76">
        <w:rPr>
          <w:lang w:val="en-CA"/>
        </w:rPr>
        <w:t xml:space="preserve">not </w:t>
      </w:r>
      <w:r w:rsidR="002512A0">
        <w:rPr>
          <w:lang w:val="en-CA"/>
        </w:rPr>
        <w:t>establish</w:t>
      </w:r>
      <w:r w:rsidR="00216345">
        <w:rPr>
          <w:lang w:val="en-CA"/>
        </w:rPr>
        <w:t>ed</w:t>
      </w:r>
      <w:r w:rsidR="002512A0">
        <w:rPr>
          <w:lang w:val="en-CA"/>
        </w:rPr>
        <w:t xml:space="preserve"> </w:t>
      </w:r>
      <w:r w:rsidR="00216345">
        <w:rPr>
          <w:lang w:val="en-CA"/>
        </w:rPr>
        <w:t xml:space="preserve">any other </w:t>
      </w:r>
      <w:r w:rsidRPr="001C4B76">
        <w:rPr>
          <w:lang w:val="en-CA"/>
        </w:rPr>
        <w:t>error in sentencing.</w:t>
      </w:r>
    </w:p>
    <w:p w14:paraId="679E3FCF" w14:textId="77777777" w:rsidR="004401F8" w:rsidRPr="001C4B76" w:rsidRDefault="00264C6E" w:rsidP="00E50295">
      <w:pPr>
        <w:pStyle w:val="Paragraphe"/>
        <w:numPr>
          <w:ilvl w:val="0"/>
          <w:numId w:val="0"/>
        </w:numPr>
        <w:spacing w:line="240" w:lineRule="auto"/>
        <w:rPr>
          <w:rFonts w:cs="Arial"/>
          <w:lang w:val="en-CA"/>
        </w:rPr>
      </w:pPr>
      <w:r w:rsidRPr="001C4B76">
        <w:rPr>
          <w:rFonts w:cs="Arial"/>
          <w:lang w:val="en-CA"/>
        </w:rPr>
        <w:tab/>
      </w:r>
      <w:r w:rsidRPr="001C4B76">
        <w:rPr>
          <w:rFonts w:cs="Arial"/>
          <w:lang w:val="en-CA"/>
        </w:rPr>
        <w:tab/>
      </w:r>
      <w:r w:rsidRPr="001C4B76">
        <w:rPr>
          <w:rFonts w:cs="Arial"/>
          <w:lang w:val="en-CA"/>
        </w:rPr>
        <w:tab/>
      </w:r>
      <w:r w:rsidRPr="001C4B76">
        <w:rPr>
          <w:rFonts w:cs="Arial"/>
          <w:lang w:val="en-CA"/>
        </w:rPr>
        <w:tab/>
      </w:r>
      <w:r w:rsidRPr="001C4B76">
        <w:rPr>
          <w:rFonts w:cs="Arial"/>
          <w:lang w:val="en-CA"/>
        </w:rPr>
        <w:tab/>
      </w:r>
      <w:r w:rsidRPr="001C4B76">
        <w:rPr>
          <w:rFonts w:cs="Arial"/>
          <w:lang w:val="en-CA"/>
        </w:rPr>
        <w:tab/>
        <w:t xml:space="preserve">  </w:t>
      </w:r>
      <w:r w:rsidRPr="001C4B76">
        <w:rPr>
          <w:rFonts w:cs="Arial"/>
          <w:lang w:val="en-CA"/>
        </w:rPr>
        <w:tab/>
      </w:r>
      <w:r w:rsidRPr="001C4B76">
        <w:rPr>
          <w:rFonts w:cs="Arial"/>
          <w:lang w:val="en-CA"/>
        </w:rPr>
        <w:tab/>
      </w:r>
      <w:r w:rsidR="00DA4881" w:rsidRPr="001C4B76">
        <w:rPr>
          <w:rFonts w:cs="Arial"/>
          <w:lang w:val="en-CA"/>
        </w:rPr>
        <w:t>[Emphasis added]</w:t>
      </w:r>
    </w:p>
    <w:p w14:paraId="3D02CD5A" w14:textId="77777777" w:rsidR="00264C6E" w:rsidRPr="001C4B76" w:rsidRDefault="000D5095" w:rsidP="002664B2">
      <w:pPr>
        <w:pStyle w:val="Paragraphe"/>
        <w:spacing w:line="240" w:lineRule="auto"/>
        <w:rPr>
          <w:rFonts w:cs="Arial"/>
          <w:lang w:val="en-CA"/>
        </w:rPr>
      </w:pPr>
      <w:r w:rsidRPr="001C4B76">
        <w:rPr>
          <w:rFonts w:cs="Arial"/>
          <w:lang w:val="en-CA"/>
        </w:rPr>
        <w:t xml:space="preserve">As </w:t>
      </w:r>
      <w:proofErr w:type="spellStart"/>
      <w:r w:rsidRPr="001C4B76">
        <w:rPr>
          <w:rFonts w:cs="Arial"/>
          <w:lang w:val="en-CA"/>
        </w:rPr>
        <w:t>Leblond</w:t>
      </w:r>
      <w:proofErr w:type="spellEnd"/>
      <w:r w:rsidRPr="001C4B76">
        <w:rPr>
          <w:rFonts w:cs="Arial"/>
          <w:lang w:val="en-CA"/>
        </w:rPr>
        <w:t xml:space="preserve"> J. noted in </w:t>
      </w:r>
      <w:r w:rsidRPr="001C4B76">
        <w:rPr>
          <w:rFonts w:cs="Arial"/>
          <w:i/>
          <w:lang w:val="en-CA"/>
        </w:rPr>
        <w:t xml:space="preserve">Duval et </w:t>
      </w:r>
      <w:proofErr w:type="spellStart"/>
      <w:r w:rsidRPr="001C4B76">
        <w:rPr>
          <w:rFonts w:cs="Arial"/>
          <w:i/>
          <w:lang w:val="en-CA"/>
        </w:rPr>
        <w:t>Sénécal</w:t>
      </w:r>
      <w:proofErr w:type="spellEnd"/>
      <w:r w:rsidRPr="001C4B76">
        <w:rPr>
          <w:rFonts w:cs="Arial"/>
          <w:i/>
          <w:lang w:val="en-CA"/>
        </w:rPr>
        <w:t>,</w:t>
      </w:r>
      <w:r w:rsidRPr="001C4B76">
        <w:rPr>
          <w:rFonts w:cs="Arial"/>
          <w:lang w:val="en-CA"/>
        </w:rPr>
        <w:t xml:space="preserve"> the defendants in </w:t>
      </w:r>
      <w:r w:rsidRPr="001C4B76">
        <w:rPr>
          <w:rFonts w:cs="Arial"/>
          <w:i/>
          <w:lang w:val="en-CA"/>
        </w:rPr>
        <w:t>Ste-Marie</w:t>
      </w:r>
      <w:r w:rsidRPr="001C4B76">
        <w:rPr>
          <w:rFonts w:cs="Arial"/>
          <w:lang w:val="en-CA"/>
        </w:rPr>
        <w:t xml:space="preserve"> were facing 215 charges.</w:t>
      </w:r>
      <w:r w:rsidR="00264C6E" w:rsidRPr="001C4B76">
        <w:rPr>
          <w:rFonts w:cs="Arial"/>
          <w:lang w:val="en-CA"/>
        </w:rPr>
        <w:t xml:space="preserve"> </w:t>
      </w:r>
      <w:r w:rsidRPr="001C4B76">
        <w:rPr>
          <w:rFonts w:cs="Arial"/>
          <w:lang w:val="en-CA"/>
        </w:rPr>
        <w:t xml:space="preserve">The AMF </w:t>
      </w:r>
      <w:r w:rsidR="00CB173F">
        <w:rPr>
          <w:rFonts w:cs="Arial"/>
          <w:lang w:val="en-CA"/>
        </w:rPr>
        <w:t xml:space="preserve">alleged that, using companies, </w:t>
      </w:r>
      <w:r w:rsidRPr="001C4B76">
        <w:rPr>
          <w:rFonts w:cs="Arial"/>
          <w:lang w:val="en-CA"/>
        </w:rPr>
        <w:t xml:space="preserve">they solicited and collected funds from several investors for international investment purposes, in violation of certain requirements under the </w:t>
      </w:r>
      <w:r w:rsidRPr="001C4B76">
        <w:rPr>
          <w:rFonts w:cs="Arial"/>
          <w:i/>
          <w:lang w:val="en-CA"/>
        </w:rPr>
        <w:t>SA</w:t>
      </w:r>
      <w:r w:rsidRPr="001C4B76">
        <w:rPr>
          <w:rFonts w:cs="Arial"/>
          <w:lang w:val="en-CA"/>
        </w:rPr>
        <w:t xml:space="preserve"> (from 2006 to 2008 </w:t>
      </w:r>
      <w:r w:rsidR="00CB173F">
        <w:rPr>
          <w:rFonts w:cs="Arial"/>
          <w:lang w:val="en-CA"/>
        </w:rPr>
        <w:t xml:space="preserve">a </w:t>
      </w:r>
      <w:r w:rsidRPr="001C4B76">
        <w:rPr>
          <w:rFonts w:cs="Arial"/>
          <w:lang w:val="en-CA"/>
        </w:rPr>
        <w:t>loss of approximately $1.2 million for investors).</w:t>
      </w:r>
      <w:r w:rsidR="00264C6E" w:rsidRPr="001C4B76">
        <w:rPr>
          <w:rFonts w:cs="Arial"/>
          <w:lang w:val="en-CA"/>
        </w:rPr>
        <w:t xml:space="preserve"> </w:t>
      </w:r>
      <w:r w:rsidRPr="001C4B76">
        <w:rPr>
          <w:rFonts w:cs="Arial"/>
          <w:lang w:val="en-CA"/>
        </w:rPr>
        <w:t>These offences involved distributions without a prospectus and acting as a broker without being registered as such with the AMF.</w:t>
      </w:r>
    </w:p>
    <w:p w14:paraId="2F8CD7C7" w14:textId="77777777" w:rsidR="00264C6E" w:rsidRPr="001C4B76" w:rsidRDefault="000D5095" w:rsidP="00057E23">
      <w:pPr>
        <w:pStyle w:val="Paragraphe"/>
        <w:keepNext/>
        <w:numPr>
          <w:ilvl w:val="0"/>
          <w:numId w:val="0"/>
        </w:numPr>
        <w:spacing w:line="240" w:lineRule="auto"/>
        <w:rPr>
          <w:rFonts w:cs="Arial"/>
          <w:b/>
          <w:bCs/>
          <w:lang w:val="en-CA"/>
        </w:rPr>
      </w:pPr>
      <w:r w:rsidRPr="001C4B76">
        <w:rPr>
          <w:rFonts w:cs="Arial"/>
          <w:b/>
          <w:bCs/>
          <w:lang w:val="en-CA"/>
        </w:rPr>
        <w:t xml:space="preserve">Aggravating </w:t>
      </w:r>
      <w:r w:rsidR="00CB173F">
        <w:rPr>
          <w:rFonts w:cs="Arial"/>
          <w:b/>
          <w:bCs/>
          <w:lang w:val="en-CA"/>
        </w:rPr>
        <w:t>and</w:t>
      </w:r>
      <w:r w:rsidRPr="001C4B76">
        <w:rPr>
          <w:rFonts w:cs="Arial"/>
          <w:b/>
          <w:bCs/>
          <w:lang w:val="en-CA"/>
        </w:rPr>
        <w:t xml:space="preserve"> mitigating circumstances </w:t>
      </w:r>
    </w:p>
    <w:p w14:paraId="493EBE37" w14:textId="77777777" w:rsidR="00264C6E" w:rsidRPr="001C4B76" w:rsidRDefault="000D5095" w:rsidP="00057E23">
      <w:pPr>
        <w:pStyle w:val="Paragraphe"/>
        <w:keepNext/>
        <w:numPr>
          <w:ilvl w:val="0"/>
          <w:numId w:val="0"/>
        </w:numPr>
        <w:spacing w:line="240" w:lineRule="auto"/>
        <w:rPr>
          <w:rFonts w:cs="Arial"/>
          <w:b/>
          <w:bCs/>
          <w:lang w:val="en-CA"/>
        </w:rPr>
      </w:pPr>
      <w:r w:rsidRPr="001C4B76">
        <w:rPr>
          <w:rFonts w:cs="Arial"/>
          <w:b/>
          <w:bCs/>
          <w:lang w:val="en-CA"/>
        </w:rPr>
        <w:t>Aggravating circumstances</w:t>
      </w:r>
    </w:p>
    <w:p w14:paraId="0714246B" w14:textId="77777777" w:rsidR="00264C6E" w:rsidRPr="001C4B76" w:rsidRDefault="000D5095" w:rsidP="00057E23">
      <w:pPr>
        <w:pStyle w:val="Paragraphe"/>
        <w:keepNext/>
        <w:numPr>
          <w:ilvl w:val="0"/>
          <w:numId w:val="0"/>
        </w:numPr>
        <w:spacing w:line="240" w:lineRule="auto"/>
        <w:rPr>
          <w:rFonts w:cs="Arial"/>
          <w:lang w:val="en-CA"/>
        </w:rPr>
      </w:pPr>
      <w:r w:rsidRPr="001C4B76">
        <w:rPr>
          <w:rFonts w:cs="Arial"/>
          <w:u w:val="single"/>
          <w:lang w:val="en-CA"/>
        </w:rPr>
        <w:t>The objective gravity of the offences</w:t>
      </w:r>
    </w:p>
    <w:p w14:paraId="2AC5C795" w14:textId="77777777" w:rsidR="00264C6E" w:rsidRPr="001C4B76" w:rsidRDefault="000D5095" w:rsidP="002664B2">
      <w:pPr>
        <w:pStyle w:val="Paragraphe"/>
        <w:spacing w:line="240" w:lineRule="auto"/>
        <w:rPr>
          <w:rFonts w:cs="Arial"/>
          <w:lang w:val="en-CA"/>
        </w:rPr>
      </w:pPr>
      <w:r w:rsidRPr="001C4B76">
        <w:rPr>
          <w:rFonts w:cs="Arial"/>
          <w:lang w:val="en-CA"/>
        </w:rPr>
        <w:t xml:space="preserve">Sections 204.1 and 208.1 of the </w:t>
      </w:r>
      <w:r w:rsidRPr="001C4B76">
        <w:rPr>
          <w:rFonts w:cs="Arial"/>
          <w:i/>
          <w:lang w:val="en-CA"/>
        </w:rPr>
        <w:t>SA</w:t>
      </w:r>
      <w:r w:rsidRPr="001C4B76">
        <w:rPr>
          <w:rFonts w:cs="Arial"/>
          <w:lang w:val="en-CA"/>
        </w:rPr>
        <w:t xml:space="preserve"> provide </w:t>
      </w:r>
      <w:r w:rsidR="003924DA" w:rsidRPr="001C4B76">
        <w:rPr>
          <w:rFonts w:cs="Arial"/>
          <w:lang w:val="en-CA"/>
        </w:rPr>
        <w:t>penalties that</w:t>
      </w:r>
      <w:r w:rsidRPr="001C4B76">
        <w:rPr>
          <w:rFonts w:cs="Arial"/>
          <w:lang w:val="en-CA"/>
        </w:rPr>
        <w:t xml:space="preserve"> reflect</w:t>
      </w:r>
      <w:r w:rsidR="00264C6E" w:rsidRPr="001C4B76">
        <w:rPr>
          <w:rFonts w:cs="Arial"/>
          <w:lang w:val="en-CA"/>
        </w:rPr>
        <w:t xml:space="preserve"> </w:t>
      </w:r>
      <w:r w:rsidRPr="001C4B76">
        <w:rPr>
          <w:rFonts w:cs="Arial"/>
          <w:lang w:val="en-CA"/>
        </w:rPr>
        <w:t>significant objective gravity.</w:t>
      </w:r>
    </w:p>
    <w:p w14:paraId="00866724" w14:textId="77777777" w:rsidR="00264C6E" w:rsidRPr="001C4B76" w:rsidRDefault="000D5095" w:rsidP="002664B2">
      <w:pPr>
        <w:pStyle w:val="Paragraphe"/>
        <w:spacing w:line="240" w:lineRule="auto"/>
        <w:rPr>
          <w:rFonts w:cs="Arial"/>
          <w:lang w:val="en-CA"/>
        </w:rPr>
      </w:pPr>
      <w:r w:rsidRPr="001C4B76">
        <w:rPr>
          <w:rFonts w:cs="Arial"/>
          <w:lang w:val="en-CA"/>
        </w:rPr>
        <w:t xml:space="preserve">The minimum </w:t>
      </w:r>
      <w:r w:rsidR="003924DA" w:rsidRPr="001C4B76">
        <w:rPr>
          <w:rFonts w:cs="Arial"/>
          <w:lang w:val="en-CA"/>
        </w:rPr>
        <w:t>penalties</w:t>
      </w:r>
      <w:r w:rsidRPr="001C4B76">
        <w:rPr>
          <w:rFonts w:cs="Arial"/>
          <w:lang w:val="en-CA"/>
        </w:rPr>
        <w:t xml:space="preserve"> are </w:t>
      </w:r>
      <w:r w:rsidR="00CB173F">
        <w:rPr>
          <w:rFonts w:cs="Arial"/>
          <w:lang w:val="en-CA"/>
        </w:rPr>
        <w:t>high</w:t>
      </w:r>
      <w:r w:rsidRPr="001C4B76">
        <w:rPr>
          <w:rFonts w:cs="Arial"/>
          <w:lang w:val="en-CA"/>
        </w:rPr>
        <w:t xml:space="preserve">, as is the maximum </w:t>
      </w:r>
      <w:r w:rsidR="00CB173F">
        <w:rPr>
          <w:rFonts w:cs="Arial"/>
          <w:lang w:val="en-CA"/>
        </w:rPr>
        <w:t xml:space="preserve">fine of </w:t>
      </w:r>
      <w:r w:rsidRPr="001C4B76">
        <w:rPr>
          <w:rFonts w:cs="Arial"/>
          <w:lang w:val="en-CA"/>
        </w:rPr>
        <w:t>$5 million.</w:t>
      </w:r>
      <w:r w:rsidR="00264C6E" w:rsidRPr="001C4B76">
        <w:rPr>
          <w:rFonts w:cs="Arial"/>
          <w:lang w:val="en-CA"/>
        </w:rPr>
        <w:t xml:space="preserve"> </w:t>
      </w:r>
      <w:r w:rsidR="003924DA">
        <w:rPr>
          <w:rFonts w:cs="Arial"/>
          <w:lang w:val="en-CA"/>
        </w:rPr>
        <w:t>Moreover</w:t>
      </w:r>
      <w:r w:rsidRPr="001C4B76">
        <w:rPr>
          <w:rFonts w:cs="Arial"/>
          <w:lang w:val="en-CA"/>
        </w:rPr>
        <w:t>, as set out in s.</w:t>
      </w:r>
      <w:r w:rsidR="00264C6E" w:rsidRPr="001C4B76">
        <w:rPr>
          <w:rFonts w:cs="Arial"/>
          <w:lang w:val="en-CA"/>
        </w:rPr>
        <w:t xml:space="preserve"> </w:t>
      </w:r>
      <w:r w:rsidRPr="001C4B76">
        <w:rPr>
          <w:rFonts w:cs="Arial"/>
          <w:lang w:val="en-CA"/>
        </w:rPr>
        <w:t xml:space="preserve">208.1 of the </w:t>
      </w:r>
      <w:r w:rsidRPr="00057E23">
        <w:rPr>
          <w:rFonts w:cs="Arial"/>
          <w:i/>
          <w:iCs/>
          <w:lang w:val="en-CA"/>
        </w:rPr>
        <w:t>Act</w:t>
      </w:r>
      <w:r w:rsidRPr="001C4B76">
        <w:rPr>
          <w:rFonts w:cs="Arial"/>
          <w:lang w:val="en-CA"/>
        </w:rPr>
        <w:t xml:space="preserve">, in addition to the fine, the court can impose a </w:t>
      </w:r>
      <w:r w:rsidR="003924DA">
        <w:rPr>
          <w:rFonts w:cs="Arial"/>
          <w:lang w:val="en-CA"/>
        </w:rPr>
        <w:t>term of imprisonment</w:t>
      </w:r>
      <w:r w:rsidRPr="001C4B76">
        <w:rPr>
          <w:rFonts w:cs="Arial"/>
          <w:lang w:val="en-CA"/>
        </w:rPr>
        <w:t xml:space="preserve"> not exceeding five years less one day in the case of a contravention of s. 195</w:t>
      </w:r>
      <w:r w:rsidR="00CB173F">
        <w:rPr>
          <w:rFonts w:cs="Arial"/>
          <w:lang w:val="en-CA"/>
        </w:rPr>
        <w:t>.2</w:t>
      </w:r>
      <w:r w:rsidR="003924DA">
        <w:rPr>
          <w:rFonts w:cs="Arial"/>
          <w:lang w:val="en-CA"/>
        </w:rPr>
        <w:t xml:space="preserve"> of the </w:t>
      </w:r>
      <w:r w:rsidR="003924DA">
        <w:rPr>
          <w:rFonts w:cs="Arial"/>
          <w:i/>
          <w:iCs/>
          <w:lang w:val="en-CA"/>
        </w:rPr>
        <w:t>SA</w:t>
      </w:r>
      <w:r w:rsidRPr="001C4B76">
        <w:rPr>
          <w:rFonts w:cs="Arial"/>
          <w:lang w:val="en-CA"/>
        </w:rPr>
        <w:t>.</w:t>
      </w:r>
    </w:p>
    <w:p w14:paraId="3F2F728C" w14:textId="77777777" w:rsidR="00264C6E" w:rsidRPr="001C4B76" w:rsidRDefault="00901147" w:rsidP="004401F8">
      <w:pPr>
        <w:pStyle w:val="Paragraphe"/>
        <w:numPr>
          <w:ilvl w:val="0"/>
          <w:numId w:val="0"/>
        </w:numPr>
        <w:spacing w:line="240" w:lineRule="auto"/>
        <w:rPr>
          <w:rFonts w:cs="Arial"/>
          <w:lang w:val="en-CA"/>
        </w:rPr>
      </w:pPr>
      <w:r>
        <w:rPr>
          <w:rFonts w:cs="Arial"/>
          <w:u w:val="single"/>
          <w:lang w:val="en-CA"/>
        </w:rPr>
        <w:lastRenderedPageBreak/>
        <w:t>Harm</w:t>
      </w:r>
      <w:r w:rsidR="000D5095" w:rsidRPr="001C4B76">
        <w:rPr>
          <w:rFonts w:cs="Arial"/>
          <w:u w:val="single"/>
          <w:lang w:val="en-CA"/>
        </w:rPr>
        <w:t xml:space="preserve"> caused to the markets</w:t>
      </w:r>
    </w:p>
    <w:p w14:paraId="1A4A2D9E" w14:textId="77777777" w:rsidR="00264C6E" w:rsidRPr="001C4B76" w:rsidRDefault="000D5095" w:rsidP="002664B2">
      <w:pPr>
        <w:pStyle w:val="Paragraphe"/>
        <w:spacing w:line="240" w:lineRule="auto"/>
        <w:rPr>
          <w:rFonts w:cs="Arial"/>
          <w:lang w:val="en-CA"/>
        </w:rPr>
      </w:pPr>
      <w:r w:rsidRPr="001C4B76">
        <w:rPr>
          <w:rFonts w:cs="Arial"/>
          <w:lang w:val="en-CA"/>
        </w:rPr>
        <w:t xml:space="preserve">Several obligations of integrity and honesty are imposed on individuals, </w:t>
      </w:r>
      <w:r w:rsidR="00901147" w:rsidRPr="001C4B76">
        <w:rPr>
          <w:rFonts w:cs="Arial"/>
          <w:lang w:val="en-CA"/>
        </w:rPr>
        <w:t>and on</w:t>
      </w:r>
      <w:r w:rsidRPr="001C4B76">
        <w:rPr>
          <w:rFonts w:cs="Arial"/>
          <w:lang w:val="en-CA"/>
        </w:rPr>
        <w:t xml:space="preserve"> legal persons trading on the stock markets, so that </w:t>
      </w:r>
      <w:r w:rsidR="00EB57D2">
        <w:rPr>
          <w:rFonts w:cs="Arial"/>
          <w:lang w:val="en-CA"/>
        </w:rPr>
        <w:t xml:space="preserve">people </w:t>
      </w:r>
      <w:r w:rsidRPr="001C4B76">
        <w:rPr>
          <w:rFonts w:cs="Arial"/>
          <w:lang w:val="en-CA"/>
        </w:rPr>
        <w:t>trading on the markets can do so bas</w:t>
      </w:r>
      <w:r w:rsidR="00EB57D2">
        <w:rPr>
          <w:rFonts w:cs="Arial"/>
          <w:lang w:val="en-CA"/>
        </w:rPr>
        <w:t>ed</w:t>
      </w:r>
      <w:r w:rsidRPr="001C4B76">
        <w:rPr>
          <w:rFonts w:cs="Arial"/>
          <w:lang w:val="en-CA"/>
        </w:rPr>
        <w:t xml:space="preserve"> o</w:t>
      </w:r>
      <w:r w:rsidR="00EB57D2">
        <w:rPr>
          <w:rFonts w:cs="Arial"/>
          <w:lang w:val="en-CA"/>
        </w:rPr>
        <w:t>n</w:t>
      </w:r>
      <w:r w:rsidRPr="001C4B76">
        <w:rPr>
          <w:rFonts w:cs="Arial"/>
          <w:lang w:val="en-CA"/>
        </w:rPr>
        <w:t xml:space="preserve"> clear, complete, honest, and timely information.</w:t>
      </w:r>
    </w:p>
    <w:p w14:paraId="2AC4D3A7" w14:textId="77777777" w:rsidR="00264C6E" w:rsidRPr="001C4B76" w:rsidRDefault="00EB57D2" w:rsidP="002664B2">
      <w:pPr>
        <w:pStyle w:val="Paragraphe"/>
        <w:spacing w:line="240" w:lineRule="auto"/>
        <w:rPr>
          <w:rFonts w:cs="Arial"/>
          <w:lang w:val="en-CA"/>
        </w:rPr>
      </w:pPr>
      <w:r>
        <w:rPr>
          <w:rFonts w:cs="Arial"/>
          <w:lang w:val="en-CA"/>
        </w:rPr>
        <w:t>Confidence is essential to t</w:t>
      </w:r>
      <w:r w:rsidR="000D5095" w:rsidRPr="001C4B76">
        <w:rPr>
          <w:rFonts w:cs="Arial"/>
          <w:lang w:val="en-CA"/>
        </w:rPr>
        <w:t xml:space="preserve">he proper </w:t>
      </w:r>
      <w:r>
        <w:rPr>
          <w:rFonts w:cs="Arial"/>
          <w:lang w:val="en-CA"/>
        </w:rPr>
        <w:t xml:space="preserve">functioning </w:t>
      </w:r>
      <w:r w:rsidR="000D5095" w:rsidRPr="001C4B76">
        <w:rPr>
          <w:rFonts w:cs="Arial"/>
          <w:lang w:val="en-CA"/>
        </w:rPr>
        <w:t xml:space="preserve">of the financial markets the </w:t>
      </w:r>
      <w:r w:rsidR="00A94B63" w:rsidRPr="00057E23">
        <w:rPr>
          <w:rFonts w:cs="Arial"/>
          <w:i/>
          <w:iCs/>
          <w:lang w:val="en-CA"/>
        </w:rPr>
        <w:t>SA</w:t>
      </w:r>
      <w:r w:rsidR="00A94B63" w:rsidRPr="001C4B76">
        <w:rPr>
          <w:rFonts w:cs="Arial"/>
          <w:lang w:val="en-CA"/>
        </w:rPr>
        <w:t xml:space="preserve"> </w:t>
      </w:r>
      <w:r w:rsidR="000D5095" w:rsidRPr="001C4B76">
        <w:rPr>
          <w:rFonts w:cs="Arial"/>
          <w:lang w:val="en-CA"/>
        </w:rPr>
        <w:t>seeks to protect.</w:t>
      </w:r>
    </w:p>
    <w:p w14:paraId="5BF86B8F" w14:textId="77777777" w:rsidR="00264C6E" w:rsidRPr="001C4B76" w:rsidRDefault="000D5095" w:rsidP="002664B2">
      <w:pPr>
        <w:pStyle w:val="Paragraphe"/>
        <w:spacing w:line="240" w:lineRule="auto"/>
        <w:rPr>
          <w:rFonts w:cs="Arial"/>
          <w:lang w:val="en-CA"/>
        </w:rPr>
      </w:pPr>
      <w:r w:rsidRPr="001C4B76">
        <w:rPr>
          <w:rFonts w:cs="Arial"/>
          <w:lang w:val="en-CA"/>
        </w:rPr>
        <w:t xml:space="preserve">As noted, the offence set out in s. </w:t>
      </w:r>
      <w:r w:rsidR="00901147" w:rsidRPr="001C4B76">
        <w:rPr>
          <w:rFonts w:cs="Arial"/>
          <w:lang w:val="en-CA"/>
        </w:rPr>
        <w:t xml:space="preserve">195.2 </w:t>
      </w:r>
      <w:r w:rsidRPr="001C4B76">
        <w:rPr>
          <w:rFonts w:cs="Arial"/>
          <w:lang w:val="en-CA"/>
        </w:rPr>
        <w:t>is one of the mo</w:t>
      </w:r>
      <w:r w:rsidR="00D47BCB">
        <w:rPr>
          <w:rFonts w:cs="Arial"/>
          <w:lang w:val="en-CA"/>
        </w:rPr>
        <w:t>st</w:t>
      </w:r>
      <w:r w:rsidRPr="001C4B76">
        <w:rPr>
          <w:rFonts w:cs="Arial"/>
          <w:lang w:val="en-CA"/>
        </w:rPr>
        <w:t xml:space="preserve"> serious offences under the </w:t>
      </w:r>
      <w:r w:rsidR="00EB57D2" w:rsidRPr="00057E23">
        <w:rPr>
          <w:rFonts w:cs="Arial"/>
          <w:i/>
          <w:iCs/>
          <w:lang w:val="en-CA"/>
        </w:rPr>
        <w:t>S</w:t>
      </w:r>
      <w:r w:rsidRPr="00057E23">
        <w:rPr>
          <w:rFonts w:cs="Arial"/>
          <w:i/>
          <w:iCs/>
          <w:lang w:val="en-CA"/>
        </w:rPr>
        <w:t>A</w:t>
      </w:r>
      <w:r w:rsidRPr="001C4B76">
        <w:rPr>
          <w:rFonts w:cs="Arial"/>
          <w:lang w:val="en-CA"/>
        </w:rPr>
        <w:t xml:space="preserve">, and </w:t>
      </w:r>
      <w:r w:rsidR="00EB57D2">
        <w:rPr>
          <w:rFonts w:cs="Arial"/>
          <w:lang w:val="en-CA"/>
        </w:rPr>
        <w:t>a</w:t>
      </w:r>
      <w:r w:rsidR="00EB57D2" w:rsidRPr="001C4B76">
        <w:rPr>
          <w:rFonts w:cs="Arial"/>
          <w:lang w:val="en-CA"/>
        </w:rPr>
        <w:t xml:space="preserve"> </w:t>
      </w:r>
      <w:r w:rsidRPr="001C4B76">
        <w:rPr>
          <w:rFonts w:cs="Arial"/>
          <w:lang w:val="en-CA"/>
        </w:rPr>
        <w:t xml:space="preserve">violation of that </w:t>
      </w:r>
      <w:r w:rsidR="00EB57D2">
        <w:rPr>
          <w:rFonts w:cs="Arial"/>
          <w:lang w:val="en-CA"/>
        </w:rPr>
        <w:t xml:space="preserve">provision </w:t>
      </w:r>
      <w:r w:rsidRPr="001C4B76">
        <w:rPr>
          <w:rFonts w:cs="Arial"/>
          <w:lang w:val="en-CA"/>
        </w:rPr>
        <w:t xml:space="preserve">can only have a very negative impact on the markets and on </w:t>
      </w:r>
      <w:r w:rsidR="00EB57D2">
        <w:rPr>
          <w:rFonts w:cs="Arial"/>
          <w:lang w:val="en-CA"/>
        </w:rPr>
        <w:t xml:space="preserve">investor </w:t>
      </w:r>
      <w:r w:rsidRPr="001C4B76">
        <w:rPr>
          <w:rFonts w:cs="Arial"/>
          <w:lang w:val="en-CA"/>
        </w:rPr>
        <w:t>confidence in them.</w:t>
      </w:r>
    </w:p>
    <w:p w14:paraId="64432823" w14:textId="77777777" w:rsidR="00264C6E" w:rsidRPr="001C4B76" w:rsidRDefault="000D5095" w:rsidP="002664B2">
      <w:pPr>
        <w:pStyle w:val="Paragraphe"/>
        <w:spacing w:line="240" w:lineRule="auto"/>
        <w:rPr>
          <w:rFonts w:cs="Arial"/>
          <w:lang w:val="en-CA"/>
        </w:rPr>
      </w:pPr>
      <w:r w:rsidRPr="001C4B76">
        <w:rPr>
          <w:rFonts w:cs="Arial"/>
          <w:lang w:val="en-CA"/>
        </w:rPr>
        <w:t xml:space="preserve">As established by the evidence adduced in this case, the defendants </w:t>
      </w:r>
      <w:r w:rsidR="00057E23">
        <w:rPr>
          <w:rFonts w:cs="Arial"/>
          <w:lang w:val="en-CA"/>
        </w:rPr>
        <w:t>prepared</w:t>
      </w:r>
      <w:r w:rsidRPr="001C4B76">
        <w:rPr>
          <w:rFonts w:cs="Arial"/>
          <w:lang w:val="en-CA"/>
        </w:rPr>
        <w:t xml:space="preserve"> and sent over the course of several months, if not years, fabricated</w:t>
      </w:r>
      <w:r w:rsidR="00EB57D2" w:rsidRPr="00EB57D2">
        <w:rPr>
          <w:rFonts w:cs="Arial"/>
          <w:lang w:val="en-CA"/>
        </w:rPr>
        <w:t xml:space="preserve"> </w:t>
      </w:r>
      <w:r w:rsidR="00EB57D2" w:rsidRPr="001C4B76">
        <w:rPr>
          <w:rFonts w:cs="Arial"/>
          <w:lang w:val="en-CA"/>
        </w:rPr>
        <w:t>press releases</w:t>
      </w:r>
      <w:r w:rsidR="00EB57D2">
        <w:rPr>
          <w:rFonts w:cs="Arial"/>
          <w:lang w:val="en-CA"/>
        </w:rPr>
        <w:t xml:space="preserve"> that were</w:t>
      </w:r>
      <w:r w:rsidRPr="001C4B76">
        <w:rPr>
          <w:rFonts w:cs="Arial"/>
          <w:lang w:val="en-CA"/>
        </w:rPr>
        <w:t xml:space="preserve"> misleading and often </w:t>
      </w:r>
      <w:r w:rsidR="003924DA" w:rsidRPr="001C4B76">
        <w:rPr>
          <w:rFonts w:cs="Arial"/>
          <w:lang w:val="en-CA"/>
        </w:rPr>
        <w:t>exaggerated</w:t>
      </w:r>
      <w:r w:rsidRPr="001C4B76">
        <w:rPr>
          <w:rFonts w:cs="Arial"/>
          <w:lang w:val="en-CA"/>
        </w:rPr>
        <w:t>.</w:t>
      </w:r>
    </w:p>
    <w:p w14:paraId="7F67A2B9" w14:textId="77777777" w:rsidR="00264C6E" w:rsidRPr="001C4B76" w:rsidRDefault="009C5E97" w:rsidP="002664B2">
      <w:pPr>
        <w:pStyle w:val="Paragraphe"/>
        <w:spacing w:line="240" w:lineRule="auto"/>
        <w:rPr>
          <w:rFonts w:cs="Arial"/>
          <w:lang w:val="en-CA"/>
        </w:rPr>
      </w:pPr>
      <w:r>
        <w:rPr>
          <w:rFonts w:cs="Arial"/>
          <w:lang w:val="en-CA"/>
        </w:rPr>
        <w:t>C</w:t>
      </w:r>
      <w:r w:rsidR="000D5095" w:rsidRPr="001C4B76">
        <w:rPr>
          <w:rFonts w:cs="Arial"/>
          <w:lang w:val="en-CA"/>
        </w:rPr>
        <w:t xml:space="preserve">rafting and sending the press releases was one of the major steps in the </w:t>
      </w:r>
      <w:r w:rsidR="00901147">
        <w:rPr>
          <w:rFonts w:cs="Arial"/>
          <w:lang w:val="en-CA"/>
        </w:rPr>
        <w:t>“p</w:t>
      </w:r>
      <w:r w:rsidR="000D5095" w:rsidRPr="001C4B76">
        <w:rPr>
          <w:rFonts w:cs="Arial"/>
          <w:lang w:val="en-CA"/>
        </w:rPr>
        <w:t xml:space="preserve">ump and </w:t>
      </w:r>
      <w:r w:rsidR="00901147">
        <w:rPr>
          <w:rFonts w:cs="Arial"/>
          <w:lang w:val="en-CA"/>
        </w:rPr>
        <w:t>d</w:t>
      </w:r>
      <w:r w:rsidR="000D5095" w:rsidRPr="001C4B76">
        <w:rPr>
          <w:rFonts w:cs="Arial"/>
          <w:lang w:val="en-CA"/>
        </w:rPr>
        <w:t>ump</w:t>
      </w:r>
      <w:r w:rsidR="00901147">
        <w:rPr>
          <w:rFonts w:cs="Arial"/>
          <w:lang w:val="en-CA"/>
        </w:rPr>
        <w:t>”</w:t>
      </w:r>
      <w:r w:rsidR="000D5095" w:rsidRPr="001C4B76">
        <w:rPr>
          <w:rFonts w:cs="Arial"/>
          <w:lang w:val="en-CA"/>
        </w:rPr>
        <w:t xml:space="preserve"> scheme </w:t>
      </w:r>
      <w:r>
        <w:rPr>
          <w:rFonts w:cs="Arial"/>
          <w:lang w:val="en-CA"/>
        </w:rPr>
        <w:t>in which</w:t>
      </w:r>
      <w:r w:rsidR="000D5095" w:rsidRPr="001C4B76">
        <w:rPr>
          <w:rFonts w:cs="Arial"/>
          <w:lang w:val="en-CA"/>
        </w:rPr>
        <w:t xml:space="preserve"> the defendants fully participated.</w:t>
      </w:r>
      <w:r w:rsidR="00264C6E" w:rsidRPr="001C4B76">
        <w:rPr>
          <w:rFonts w:cs="Arial"/>
          <w:lang w:val="en-CA"/>
        </w:rPr>
        <w:t xml:space="preserve"> </w:t>
      </w:r>
      <w:r w:rsidR="000D5095" w:rsidRPr="001C4B76">
        <w:rPr>
          <w:rFonts w:cs="Arial"/>
          <w:lang w:val="en-CA"/>
        </w:rPr>
        <w:t>Such actions undermine the confidence in our financial system.</w:t>
      </w:r>
    </w:p>
    <w:p w14:paraId="45DA9582" w14:textId="77777777" w:rsidR="00264C6E" w:rsidRPr="001C4B76" w:rsidRDefault="00901147" w:rsidP="008E3FF3">
      <w:pPr>
        <w:pStyle w:val="Paragraphe"/>
        <w:numPr>
          <w:ilvl w:val="0"/>
          <w:numId w:val="0"/>
        </w:numPr>
        <w:spacing w:line="240" w:lineRule="auto"/>
        <w:rPr>
          <w:rFonts w:cs="Arial"/>
          <w:u w:val="single"/>
          <w:lang w:val="en-CA"/>
        </w:rPr>
      </w:pPr>
      <w:r>
        <w:rPr>
          <w:rFonts w:cs="Arial"/>
          <w:u w:val="single"/>
          <w:lang w:val="en-CA"/>
        </w:rPr>
        <w:t>P</w:t>
      </w:r>
      <w:r w:rsidR="000D5095" w:rsidRPr="001C4B76">
        <w:rPr>
          <w:rFonts w:cs="Arial"/>
          <w:u w:val="single"/>
          <w:lang w:val="en-CA"/>
        </w:rPr>
        <w:t>lanning and premeditation, and the important role played by the defendants in the Andrea Cortellazzi organization</w:t>
      </w:r>
    </w:p>
    <w:p w14:paraId="6DA67145" w14:textId="77777777" w:rsidR="00264C6E" w:rsidRPr="001C4B76" w:rsidRDefault="000D5095" w:rsidP="002664B2">
      <w:pPr>
        <w:pStyle w:val="Paragraphe"/>
        <w:spacing w:line="240" w:lineRule="auto"/>
        <w:rPr>
          <w:rFonts w:cs="Arial"/>
          <w:lang w:val="en-CA"/>
        </w:rPr>
      </w:pPr>
      <w:r w:rsidRPr="001C4B76">
        <w:rPr>
          <w:rFonts w:cs="Arial"/>
          <w:lang w:val="en-CA"/>
        </w:rPr>
        <w:t xml:space="preserve">The evidence in this case establishes that the </w:t>
      </w:r>
      <w:r w:rsidR="00901147">
        <w:rPr>
          <w:rFonts w:cs="Arial"/>
          <w:lang w:val="en-CA"/>
        </w:rPr>
        <w:t>“p</w:t>
      </w:r>
      <w:r w:rsidRPr="001C4B76">
        <w:rPr>
          <w:rFonts w:cs="Arial"/>
          <w:lang w:val="en-CA"/>
        </w:rPr>
        <w:t xml:space="preserve">ump and </w:t>
      </w:r>
      <w:r w:rsidR="00901147">
        <w:rPr>
          <w:rFonts w:cs="Arial"/>
          <w:lang w:val="en-CA"/>
        </w:rPr>
        <w:t>d</w:t>
      </w:r>
      <w:r w:rsidRPr="001C4B76">
        <w:rPr>
          <w:rFonts w:cs="Arial"/>
          <w:lang w:val="en-CA"/>
        </w:rPr>
        <w:t>ump</w:t>
      </w:r>
      <w:r w:rsidR="00901147">
        <w:rPr>
          <w:rFonts w:cs="Arial"/>
          <w:lang w:val="en-CA"/>
        </w:rPr>
        <w:t>”</w:t>
      </w:r>
      <w:r w:rsidRPr="001C4B76">
        <w:rPr>
          <w:rFonts w:cs="Arial"/>
          <w:lang w:val="en-CA"/>
        </w:rPr>
        <w:t xml:space="preserve"> scheme employed by the Andrea Cortellazzi organization was fabricated for the sole purpose of manipulatin</w:t>
      </w:r>
      <w:r w:rsidR="009C5E97">
        <w:rPr>
          <w:rFonts w:cs="Arial"/>
          <w:lang w:val="en-CA"/>
        </w:rPr>
        <w:t>g</w:t>
      </w:r>
      <w:r w:rsidRPr="001C4B76">
        <w:rPr>
          <w:rFonts w:cs="Arial"/>
          <w:lang w:val="en-CA"/>
        </w:rPr>
        <w:t xml:space="preserve"> </w:t>
      </w:r>
      <w:r w:rsidR="009C5E97">
        <w:rPr>
          <w:rFonts w:cs="Arial"/>
          <w:lang w:val="en-CA"/>
        </w:rPr>
        <w:t xml:space="preserve">the market </w:t>
      </w:r>
      <w:r w:rsidRPr="001C4B76">
        <w:rPr>
          <w:rFonts w:cs="Arial"/>
          <w:lang w:val="en-CA"/>
        </w:rPr>
        <w:t xml:space="preserve">to generate profits for the members of the organization and its </w:t>
      </w:r>
      <w:r w:rsidR="00AF5C0B" w:rsidRPr="001C4B76">
        <w:rPr>
          <w:rFonts w:cs="Arial"/>
          <w:lang w:val="en-CA"/>
        </w:rPr>
        <w:t>collaborators</w:t>
      </w:r>
      <w:r w:rsidRPr="001C4B76">
        <w:rPr>
          <w:rFonts w:cs="Arial"/>
          <w:lang w:val="en-CA"/>
        </w:rPr>
        <w:t>.</w:t>
      </w:r>
    </w:p>
    <w:p w14:paraId="25544420" w14:textId="77777777" w:rsidR="00264C6E" w:rsidRPr="001C4B76" w:rsidRDefault="000D5095" w:rsidP="002664B2">
      <w:pPr>
        <w:pStyle w:val="Paragraphe"/>
        <w:spacing w:line="240" w:lineRule="auto"/>
        <w:rPr>
          <w:rFonts w:cs="Arial"/>
          <w:lang w:val="en-CA"/>
        </w:rPr>
      </w:pPr>
      <w:r w:rsidRPr="001C4B76">
        <w:rPr>
          <w:rFonts w:cs="Arial"/>
          <w:lang w:val="en-CA"/>
        </w:rPr>
        <w:t>The Court found that the defendant Raso Cortellazzi was aware of the various steps of the scheme and that he performed tasks related to every one of those steps.</w:t>
      </w:r>
      <w:r w:rsidR="00264C6E" w:rsidRPr="001C4B76">
        <w:rPr>
          <w:rFonts w:cs="Arial"/>
          <w:lang w:val="en-CA"/>
        </w:rPr>
        <w:t xml:space="preserve"> </w:t>
      </w:r>
      <w:r w:rsidRPr="001C4B76">
        <w:rPr>
          <w:rFonts w:cs="Arial"/>
          <w:lang w:val="en-CA"/>
        </w:rPr>
        <w:t>The Court found that he was an active member of the organization and played a leading role.</w:t>
      </w:r>
    </w:p>
    <w:p w14:paraId="2CC6545F" w14:textId="77777777" w:rsidR="00264C6E" w:rsidRPr="001C4B76" w:rsidRDefault="000D5095" w:rsidP="002664B2">
      <w:pPr>
        <w:pStyle w:val="Paragraphe"/>
        <w:spacing w:line="240" w:lineRule="auto"/>
        <w:rPr>
          <w:rFonts w:cs="Arial"/>
          <w:lang w:val="en-CA"/>
        </w:rPr>
      </w:pPr>
      <w:r w:rsidRPr="001C4B76">
        <w:rPr>
          <w:rFonts w:cs="Arial"/>
          <w:lang w:val="en-CA"/>
        </w:rPr>
        <w:t xml:space="preserve">The evidence also establishes that the various steps required for the scheme </w:t>
      </w:r>
      <w:r w:rsidR="009C5E97">
        <w:rPr>
          <w:rFonts w:cs="Arial"/>
          <w:lang w:val="en-CA"/>
        </w:rPr>
        <w:t xml:space="preserve">to work </w:t>
      </w:r>
      <w:r w:rsidRPr="001C4B76">
        <w:rPr>
          <w:rFonts w:cs="Arial"/>
          <w:lang w:val="en-CA"/>
        </w:rPr>
        <w:t>were planned.</w:t>
      </w:r>
      <w:r w:rsidR="00264C6E" w:rsidRPr="001C4B76">
        <w:rPr>
          <w:rFonts w:cs="Arial"/>
          <w:lang w:val="en-CA"/>
        </w:rPr>
        <w:t xml:space="preserve"> </w:t>
      </w:r>
      <w:r w:rsidRPr="001C4B76">
        <w:rPr>
          <w:rFonts w:cs="Arial"/>
          <w:lang w:val="en-CA"/>
        </w:rPr>
        <w:t>They were discussed in emails, including between members of the organization.</w:t>
      </w:r>
    </w:p>
    <w:p w14:paraId="4F9F84B2" w14:textId="77777777" w:rsidR="00264C6E" w:rsidRPr="001C4B76" w:rsidRDefault="000D5095" w:rsidP="002664B2">
      <w:pPr>
        <w:pStyle w:val="Paragraphe"/>
        <w:spacing w:line="240" w:lineRule="auto"/>
        <w:rPr>
          <w:rFonts w:cs="Arial"/>
          <w:lang w:val="en-CA"/>
        </w:rPr>
      </w:pPr>
      <w:r w:rsidRPr="001C4B76">
        <w:rPr>
          <w:rFonts w:cs="Arial"/>
          <w:lang w:val="en-CA"/>
        </w:rPr>
        <w:t>The Court also found that the defendant Savaris played an active role in the organization, that he participated in promoting the securities of the companies involved, but also in other steps of the scheme.</w:t>
      </w:r>
    </w:p>
    <w:p w14:paraId="35B285BE" w14:textId="77777777" w:rsidR="00264C6E" w:rsidRPr="001C4B76" w:rsidRDefault="000D5095" w:rsidP="00B54B02">
      <w:pPr>
        <w:pStyle w:val="Paragraphe"/>
        <w:numPr>
          <w:ilvl w:val="0"/>
          <w:numId w:val="0"/>
        </w:numPr>
        <w:spacing w:line="240" w:lineRule="auto"/>
        <w:rPr>
          <w:rFonts w:cs="Arial"/>
          <w:u w:val="single"/>
          <w:lang w:val="en-CA"/>
        </w:rPr>
      </w:pPr>
      <w:r w:rsidRPr="001C4B76">
        <w:rPr>
          <w:rFonts w:cs="Arial"/>
          <w:u w:val="single"/>
          <w:lang w:val="en-CA"/>
        </w:rPr>
        <w:t xml:space="preserve">Defendant </w:t>
      </w:r>
      <w:proofErr w:type="spellStart"/>
      <w:r w:rsidRPr="001C4B76">
        <w:rPr>
          <w:rFonts w:cs="Arial"/>
          <w:u w:val="single"/>
          <w:lang w:val="en-CA"/>
        </w:rPr>
        <w:t>Savaris’s</w:t>
      </w:r>
      <w:proofErr w:type="spellEnd"/>
      <w:r w:rsidRPr="001C4B76">
        <w:rPr>
          <w:rFonts w:cs="Arial"/>
          <w:u w:val="single"/>
          <w:lang w:val="en-CA"/>
        </w:rPr>
        <w:t xml:space="preserve"> prior professional experience</w:t>
      </w:r>
    </w:p>
    <w:p w14:paraId="1CC1A524" w14:textId="77777777" w:rsidR="00264C6E" w:rsidRPr="001C4B76" w:rsidRDefault="000D5095" w:rsidP="002664B2">
      <w:pPr>
        <w:pStyle w:val="Paragraphe"/>
        <w:spacing w:line="240" w:lineRule="auto"/>
        <w:rPr>
          <w:rFonts w:cs="Arial"/>
          <w:lang w:val="en-CA"/>
        </w:rPr>
      </w:pPr>
      <w:r w:rsidRPr="001C4B76">
        <w:rPr>
          <w:rFonts w:cs="Arial"/>
          <w:lang w:val="en-CA"/>
        </w:rPr>
        <w:t>This aggravating factor involves only this defendant.</w:t>
      </w:r>
    </w:p>
    <w:p w14:paraId="4BE904C2" w14:textId="77777777" w:rsidR="00264C6E" w:rsidRPr="001C4B76" w:rsidRDefault="000D5095" w:rsidP="002664B2">
      <w:pPr>
        <w:pStyle w:val="Paragraphe"/>
        <w:spacing w:line="240" w:lineRule="auto"/>
        <w:rPr>
          <w:rFonts w:cs="Arial"/>
          <w:lang w:val="en-CA"/>
        </w:rPr>
      </w:pPr>
      <w:r w:rsidRPr="001C4B76">
        <w:rPr>
          <w:rFonts w:cs="Arial"/>
          <w:lang w:val="en-CA"/>
        </w:rPr>
        <w:lastRenderedPageBreak/>
        <w:t xml:space="preserve">As appears from the evidence </w:t>
      </w:r>
      <w:r w:rsidR="009C5E97">
        <w:rPr>
          <w:rFonts w:cs="Arial"/>
          <w:lang w:val="en-CA"/>
        </w:rPr>
        <w:t>filed</w:t>
      </w:r>
      <w:r w:rsidR="009C5E97" w:rsidRPr="001C4B76">
        <w:rPr>
          <w:rFonts w:cs="Arial"/>
          <w:lang w:val="en-CA"/>
        </w:rPr>
        <w:t xml:space="preserve"> </w:t>
      </w:r>
      <w:r w:rsidRPr="001C4B76">
        <w:rPr>
          <w:rFonts w:cs="Arial"/>
          <w:lang w:val="en-CA"/>
        </w:rPr>
        <w:t>at trial, prior to the commission of these offence</w:t>
      </w:r>
      <w:r w:rsidR="006C702E" w:rsidRPr="001C4B76">
        <w:rPr>
          <w:rFonts w:cs="Arial"/>
          <w:lang w:val="en-CA"/>
        </w:rPr>
        <w:t>s</w:t>
      </w:r>
      <w:r w:rsidRPr="001C4B76">
        <w:rPr>
          <w:rFonts w:cs="Arial"/>
          <w:lang w:val="en-CA"/>
        </w:rPr>
        <w:t xml:space="preserve">, defendant Savaris was registered with the AMF </w:t>
      </w:r>
      <w:r w:rsidR="006C702E" w:rsidRPr="001C4B76">
        <w:rPr>
          <w:rFonts w:cs="Arial"/>
          <w:lang w:val="en-CA"/>
        </w:rPr>
        <w:t>from 2005 to 2009 such</w:t>
      </w:r>
      <w:r w:rsidRPr="001C4B76">
        <w:rPr>
          <w:rFonts w:cs="Arial"/>
          <w:lang w:val="en-CA"/>
        </w:rPr>
        <w:t xml:space="preserve"> that he was authorized to sell investment products.</w:t>
      </w:r>
    </w:p>
    <w:p w14:paraId="45686689" w14:textId="77777777" w:rsidR="00264C6E" w:rsidRPr="001C4B76" w:rsidRDefault="009C5E97" w:rsidP="002664B2">
      <w:pPr>
        <w:pStyle w:val="Paragraphe"/>
        <w:spacing w:line="240" w:lineRule="auto"/>
        <w:rPr>
          <w:rFonts w:cs="Arial"/>
          <w:lang w:val="en-CA"/>
        </w:rPr>
      </w:pPr>
      <w:r>
        <w:rPr>
          <w:rFonts w:cs="Arial"/>
          <w:lang w:val="en-CA"/>
        </w:rPr>
        <w:t>Due to</w:t>
      </w:r>
      <w:r w:rsidR="000D5095" w:rsidRPr="001C4B76">
        <w:rPr>
          <w:rFonts w:cs="Arial"/>
          <w:lang w:val="en-CA"/>
        </w:rPr>
        <w:t xml:space="preserve"> his experience</w:t>
      </w:r>
      <w:r>
        <w:rPr>
          <w:rFonts w:cs="Arial"/>
          <w:lang w:val="en-CA"/>
        </w:rPr>
        <w:t>,</w:t>
      </w:r>
      <w:r w:rsidR="000D5095" w:rsidRPr="001C4B76">
        <w:rPr>
          <w:rFonts w:cs="Arial"/>
          <w:lang w:val="en-CA"/>
        </w:rPr>
        <w:t xml:space="preserve"> he knew more about </w:t>
      </w:r>
      <w:r>
        <w:rPr>
          <w:rFonts w:cs="Arial"/>
          <w:lang w:val="en-CA"/>
        </w:rPr>
        <w:t xml:space="preserve">the </w:t>
      </w:r>
      <w:r w:rsidR="000D5095" w:rsidRPr="001C4B76">
        <w:rPr>
          <w:rFonts w:cs="Arial"/>
          <w:lang w:val="en-CA"/>
        </w:rPr>
        <w:t>investment</w:t>
      </w:r>
      <w:r>
        <w:rPr>
          <w:rFonts w:cs="Arial"/>
          <w:lang w:val="en-CA"/>
        </w:rPr>
        <w:t>s</w:t>
      </w:r>
      <w:r w:rsidR="000D5095" w:rsidRPr="001C4B76">
        <w:rPr>
          <w:rFonts w:cs="Arial"/>
          <w:lang w:val="en-CA"/>
        </w:rPr>
        <w:t xml:space="preserve"> than most people, and he knew how </w:t>
      </w:r>
      <w:r>
        <w:rPr>
          <w:rFonts w:cs="Arial"/>
          <w:lang w:val="en-CA"/>
        </w:rPr>
        <w:t xml:space="preserve">the </w:t>
      </w:r>
      <w:r w:rsidR="000D5095" w:rsidRPr="001C4B76">
        <w:rPr>
          <w:rFonts w:cs="Arial"/>
          <w:lang w:val="en-CA"/>
        </w:rPr>
        <w:t>markets operate.</w:t>
      </w:r>
    </w:p>
    <w:p w14:paraId="51326A5D" w14:textId="77777777" w:rsidR="00264C6E" w:rsidRPr="001C4B76" w:rsidRDefault="000D5095" w:rsidP="002664B2">
      <w:pPr>
        <w:pStyle w:val="Paragraphe"/>
        <w:spacing w:line="240" w:lineRule="auto"/>
        <w:rPr>
          <w:rFonts w:cs="Arial"/>
          <w:lang w:val="en-CA"/>
        </w:rPr>
      </w:pPr>
      <w:r w:rsidRPr="001C4B76">
        <w:rPr>
          <w:rFonts w:cs="Arial"/>
          <w:lang w:val="en-CA"/>
        </w:rPr>
        <w:t>He used brokerage accounts to sell shares that had been issued in his name.</w:t>
      </w:r>
      <w:r w:rsidR="00264C6E" w:rsidRPr="001C4B76">
        <w:rPr>
          <w:rFonts w:cs="Arial"/>
          <w:lang w:val="en-CA"/>
        </w:rPr>
        <w:t xml:space="preserve"> </w:t>
      </w:r>
      <w:r w:rsidRPr="001C4B76">
        <w:rPr>
          <w:rFonts w:cs="Arial"/>
          <w:lang w:val="en-CA"/>
        </w:rPr>
        <w:t>He knew that these shares had been issued on the basis of false documents.</w:t>
      </w:r>
    </w:p>
    <w:p w14:paraId="16274E66" w14:textId="77777777" w:rsidR="00264C6E" w:rsidRPr="001C4B76" w:rsidRDefault="006C702E" w:rsidP="008E3FF3">
      <w:pPr>
        <w:pStyle w:val="Paragraphe"/>
        <w:numPr>
          <w:ilvl w:val="0"/>
          <w:numId w:val="0"/>
        </w:numPr>
        <w:spacing w:line="240" w:lineRule="auto"/>
        <w:rPr>
          <w:rFonts w:cs="Arial"/>
          <w:lang w:val="en-CA"/>
        </w:rPr>
      </w:pPr>
      <w:r w:rsidRPr="001C4B76">
        <w:rPr>
          <w:rFonts w:cs="Arial"/>
          <w:u w:val="single"/>
          <w:lang w:val="en-CA"/>
        </w:rPr>
        <w:t>Repetitive acts over a long period of time</w:t>
      </w:r>
    </w:p>
    <w:p w14:paraId="7CF76602" w14:textId="77777777" w:rsidR="00264C6E" w:rsidRPr="001C4B76" w:rsidRDefault="006C702E" w:rsidP="002664B2">
      <w:pPr>
        <w:pStyle w:val="Paragraphe"/>
        <w:spacing w:line="240" w:lineRule="auto"/>
        <w:rPr>
          <w:rFonts w:cs="Arial"/>
          <w:lang w:val="en-CA"/>
        </w:rPr>
      </w:pPr>
      <w:r w:rsidRPr="001C4B76">
        <w:rPr>
          <w:rFonts w:cs="Arial"/>
          <w:iCs/>
          <w:lang w:val="en-CA"/>
        </w:rPr>
        <w:t>The repetition of acts is an aggravating factor.</w:t>
      </w:r>
      <w:r w:rsidR="00264C6E" w:rsidRPr="001C4B76">
        <w:rPr>
          <w:rFonts w:cs="Arial"/>
          <w:iCs/>
          <w:lang w:val="en-CA"/>
        </w:rPr>
        <w:t xml:space="preserve"> </w:t>
      </w:r>
      <w:r w:rsidRPr="001C4B76">
        <w:rPr>
          <w:rFonts w:cs="Arial"/>
          <w:lang w:val="en-CA"/>
        </w:rPr>
        <w:t xml:space="preserve">As </w:t>
      </w:r>
      <w:proofErr w:type="spellStart"/>
      <w:r w:rsidRPr="001C4B76">
        <w:rPr>
          <w:rFonts w:cs="Arial"/>
          <w:lang w:val="en-CA"/>
        </w:rPr>
        <w:t>Leblon</w:t>
      </w:r>
      <w:r w:rsidR="007E2E11" w:rsidRPr="001C4B76">
        <w:rPr>
          <w:rFonts w:cs="Arial"/>
          <w:lang w:val="en-CA"/>
        </w:rPr>
        <w:t>d</w:t>
      </w:r>
      <w:proofErr w:type="spellEnd"/>
      <w:r w:rsidRPr="001C4B76">
        <w:rPr>
          <w:rFonts w:cs="Arial"/>
          <w:lang w:val="en-CA"/>
        </w:rPr>
        <w:t xml:space="preserve"> J. stated in </w:t>
      </w:r>
      <w:r w:rsidRPr="001C4B76">
        <w:rPr>
          <w:rFonts w:cs="Arial"/>
          <w:i/>
          <w:lang w:val="en-CA"/>
        </w:rPr>
        <w:t xml:space="preserve">Duval et </w:t>
      </w:r>
      <w:proofErr w:type="spellStart"/>
      <w:r w:rsidRPr="001C4B76">
        <w:rPr>
          <w:rFonts w:cs="Arial"/>
          <w:i/>
          <w:lang w:val="en-CA"/>
        </w:rPr>
        <w:t>Sénécal</w:t>
      </w:r>
      <w:proofErr w:type="spellEnd"/>
      <w:r w:rsidRPr="001C4B76">
        <w:rPr>
          <w:rFonts w:cs="Arial"/>
          <w:lang w:val="en-CA"/>
        </w:rPr>
        <w:t>:</w:t>
      </w:r>
      <w:r w:rsidRPr="00057E23">
        <w:rPr>
          <w:rStyle w:val="Appelnotedebasdep"/>
          <w:rFonts w:cs="Arial"/>
          <w:iCs/>
          <w:lang w:val="en-CA"/>
        </w:rPr>
        <w:footnoteReference w:id="5"/>
      </w:r>
      <w:r w:rsidR="00264C6E" w:rsidRPr="001C4B76">
        <w:rPr>
          <w:rFonts w:cs="Arial"/>
          <w:lang w:val="en-CA"/>
        </w:rPr>
        <w:t xml:space="preserve"> </w:t>
      </w:r>
      <w:r w:rsidRPr="001C4B76">
        <w:rPr>
          <w:rFonts w:cs="Arial"/>
          <w:lang w:val="en-CA"/>
        </w:rPr>
        <w:t>[</w:t>
      </w:r>
      <w:r w:rsidRPr="001C4B76">
        <w:rPr>
          <w:rFonts w:cs="Arial"/>
          <w:smallCaps/>
          <w:lang w:val="en-CA"/>
        </w:rPr>
        <w:t>translation]</w:t>
      </w:r>
      <w:r w:rsidRPr="001C4B76">
        <w:rPr>
          <w:rFonts w:cs="Arial"/>
          <w:lang w:val="en-CA"/>
        </w:rPr>
        <w:t xml:space="preserve"> “The longer the period over which the offences </w:t>
      </w:r>
      <w:r w:rsidR="00AF5C0B">
        <w:rPr>
          <w:rFonts w:cs="Arial"/>
          <w:lang w:val="en-CA"/>
        </w:rPr>
        <w:t>are</w:t>
      </w:r>
      <w:r w:rsidRPr="001C4B76">
        <w:rPr>
          <w:rFonts w:cs="Arial"/>
          <w:lang w:val="en-CA"/>
        </w:rPr>
        <w:t xml:space="preserve"> committed, the more aggravating the circumstance”.</w:t>
      </w:r>
    </w:p>
    <w:p w14:paraId="3A115B74" w14:textId="77777777" w:rsidR="00264C6E" w:rsidRPr="001C4B76" w:rsidRDefault="009C5E97" w:rsidP="002664B2">
      <w:pPr>
        <w:pStyle w:val="Paragraphe"/>
        <w:spacing w:line="240" w:lineRule="auto"/>
        <w:rPr>
          <w:rFonts w:cs="Arial"/>
          <w:lang w:val="en-CA"/>
        </w:rPr>
      </w:pPr>
      <w:r>
        <w:rPr>
          <w:rFonts w:cs="Arial"/>
          <w:lang w:val="en-CA"/>
        </w:rPr>
        <w:t>Here</w:t>
      </w:r>
      <w:r w:rsidR="006C702E" w:rsidRPr="001C4B76">
        <w:rPr>
          <w:rFonts w:cs="Arial"/>
          <w:lang w:val="en-CA"/>
        </w:rPr>
        <w:t xml:space="preserve">, </w:t>
      </w:r>
      <w:r w:rsidR="00057E23">
        <w:rPr>
          <w:rFonts w:cs="Arial"/>
          <w:lang w:val="en-CA"/>
        </w:rPr>
        <w:t xml:space="preserve">in the case of </w:t>
      </w:r>
      <w:r w:rsidR="006C702E" w:rsidRPr="001C4B76">
        <w:rPr>
          <w:rFonts w:cs="Arial"/>
          <w:lang w:val="en-CA"/>
        </w:rPr>
        <w:t>each of defendant</w:t>
      </w:r>
      <w:r w:rsidR="00057E23">
        <w:rPr>
          <w:rFonts w:cs="Arial"/>
          <w:lang w:val="en-CA"/>
        </w:rPr>
        <w:t>,</w:t>
      </w:r>
      <w:r w:rsidR="006C702E" w:rsidRPr="001C4B76">
        <w:rPr>
          <w:rFonts w:cs="Arial"/>
          <w:lang w:val="en-CA"/>
        </w:rPr>
        <w:t xml:space="preserve"> </w:t>
      </w:r>
      <w:r w:rsidR="00057E23">
        <w:rPr>
          <w:rFonts w:cs="Arial"/>
          <w:lang w:val="en-CA"/>
        </w:rPr>
        <w:t>the</w:t>
      </w:r>
      <w:r w:rsidR="006C702E" w:rsidRPr="001C4B76">
        <w:rPr>
          <w:rFonts w:cs="Arial"/>
          <w:lang w:val="en-CA"/>
        </w:rPr>
        <w:t xml:space="preserve"> </w:t>
      </w:r>
      <w:r>
        <w:rPr>
          <w:rFonts w:cs="Arial"/>
          <w:lang w:val="en-CA"/>
        </w:rPr>
        <w:t xml:space="preserve">offences </w:t>
      </w:r>
      <w:r w:rsidR="00057E23">
        <w:rPr>
          <w:rFonts w:cs="Arial"/>
          <w:lang w:val="en-CA"/>
        </w:rPr>
        <w:t>were committed</w:t>
      </w:r>
      <w:r w:rsidR="006C702E" w:rsidRPr="001C4B76">
        <w:rPr>
          <w:rFonts w:cs="Arial"/>
          <w:lang w:val="en-CA"/>
        </w:rPr>
        <w:t xml:space="preserve"> over a long period</w:t>
      </w:r>
      <w:r w:rsidR="00057E23">
        <w:rPr>
          <w:rFonts w:cs="Arial"/>
          <w:lang w:val="en-CA"/>
        </w:rPr>
        <w:t xml:space="preserve"> of time</w:t>
      </w:r>
      <w:r w:rsidR="006C702E" w:rsidRPr="001C4B76">
        <w:rPr>
          <w:rFonts w:cs="Arial"/>
          <w:lang w:val="en-CA"/>
        </w:rPr>
        <w:t>.</w:t>
      </w:r>
    </w:p>
    <w:p w14:paraId="46EE4D61" w14:textId="77777777" w:rsidR="00264C6E" w:rsidRPr="001C4B76" w:rsidRDefault="00AF5C0B" w:rsidP="002664B2">
      <w:pPr>
        <w:pStyle w:val="Paragraphe"/>
        <w:spacing w:line="240" w:lineRule="auto"/>
        <w:rPr>
          <w:rFonts w:cs="Arial"/>
          <w:lang w:val="en-CA"/>
        </w:rPr>
      </w:pPr>
      <w:r>
        <w:rPr>
          <w:rFonts w:cs="Arial"/>
          <w:lang w:val="en-CA"/>
        </w:rPr>
        <w:t>For the defendant</w:t>
      </w:r>
      <w:r w:rsidR="00264C6E" w:rsidRPr="001C4B76">
        <w:rPr>
          <w:rFonts w:cs="Arial"/>
          <w:lang w:val="en-CA"/>
        </w:rPr>
        <w:t xml:space="preserve"> Savaris: </w:t>
      </w:r>
      <w:r w:rsidR="006C702E" w:rsidRPr="001C4B76">
        <w:rPr>
          <w:rFonts w:cs="Arial"/>
          <w:lang w:val="en-CA"/>
        </w:rPr>
        <w:t>duration of the offence:</w:t>
      </w:r>
      <w:r w:rsidR="00264C6E" w:rsidRPr="001C4B76">
        <w:rPr>
          <w:rFonts w:cs="Arial"/>
          <w:lang w:val="en-CA"/>
        </w:rPr>
        <w:t xml:space="preserve"> </w:t>
      </w:r>
      <w:r w:rsidR="006C702E" w:rsidRPr="001C4B76">
        <w:rPr>
          <w:rFonts w:cs="Arial"/>
          <w:lang w:val="en-CA"/>
        </w:rPr>
        <w:t>(Count No. 6):</w:t>
      </w:r>
      <w:r w:rsidR="00264C6E" w:rsidRPr="001C4B76">
        <w:rPr>
          <w:rFonts w:cs="Arial"/>
          <w:lang w:val="en-CA"/>
        </w:rPr>
        <w:t xml:space="preserve"> </w:t>
      </w:r>
      <w:r w:rsidR="006C702E" w:rsidRPr="001C4B76">
        <w:rPr>
          <w:rFonts w:cs="Arial"/>
          <w:lang w:val="en-CA"/>
        </w:rPr>
        <w:t>5 months and 10 days:</w:t>
      </w:r>
      <w:r w:rsidR="00264C6E" w:rsidRPr="001C4B76">
        <w:rPr>
          <w:rFonts w:cs="Arial"/>
          <w:lang w:val="en-CA"/>
        </w:rPr>
        <w:t xml:space="preserve"> </w:t>
      </w:r>
      <w:r w:rsidR="006C702E" w:rsidRPr="001C4B76">
        <w:rPr>
          <w:rFonts w:cs="Arial"/>
          <w:lang w:val="en-CA"/>
        </w:rPr>
        <w:t>(Count No. 7):</w:t>
      </w:r>
      <w:r w:rsidR="00264C6E" w:rsidRPr="001C4B76">
        <w:rPr>
          <w:rFonts w:cs="Arial"/>
          <w:lang w:val="en-CA"/>
        </w:rPr>
        <w:t xml:space="preserve"> </w:t>
      </w:r>
      <w:r w:rsidR="006C702E" w:rsidRPr="001C4B76">
        <w:rPr>
          <w:rFonts w:cs="Arial"/>
          <w:lang w:val="en-CA"/>
        </w:rPr>
        <w:t>4 months and 25 days.</w:t>
      </w:r>
    </w:p>
    <w:p w14:paraId="3F1B4CB8" w14:textId="77777777" w:rsidR="00264C6E" w:rsidRPr="001C4B76" w:rsidRDefault="006C702E" w:rsidP="002664B2">
      <w:pPr>
        <w:pStyle w:val="Paragraphe"/>
        <w:spacing w:line="240" w:lineRule="auto"/>
        <w:rPr>
          <w:rFonts w:cs="Arial"/>
          <w:lang w:val="en-CA"/>
        </w:rPr>
      </w:pPr>
      <w:r w:rsidRPr="001C4B76">
        <w:rPr>
          <w:rFonts w:cs="Arial"/>
          <w:lang w:val="en-CA"/>
        </w:rPr>
        <w:t>For the defendant Cortellazzi:</w:t>
      </w:r>
      <w:r w:rsidR="00264C6E" w:rsidRPr="001C4B76">
        <w:rPr>
          <w:rFonts w:cs="Arial"/>
          <w:lang w:val="en-CA"/>
        </w:rPr>
        <w:t xml:space="preserve"> </w:t>
      </w:r>
      <w:r w:rsidRPr="001C4B76">
        <w:rPr>
          <w:rFonts w:cs="Arial"/>
          <w:lang w:val="en-CA"/>
        </w:rPr>
        <w:t>duration of the offence:</w:t>
      </w:r>
      <w:r w:rsidR="00264C6E" w:rsidRPr="001C4B76">
        <w:rPr>
          <w:rFonts w:cs="Arial"/>
          <w:lang w:val="en-CA"/>
        </w:rPr>
        <w:t xml:space="preserve"> </w:t>
      </w:r>
      <w:r w:rsidRPr="001C4B76">
        <w:rPr>
          <w:rFonts w:cs="Arial"/>
          <w:lang w:val="en-CA"/>
        </w:rPr>
        <w:t>(Count No. 8):</w:t>
      </w:r>
      <w:r w:rsidR="00264C6E" w:rsidRPr="001C4B76">
        <w:rPr>
          <w:rFonts w:cs="Arial"/>
          <w:lang w:val="en-CA"/>
        </w:rPr>
        <w:t xml:space="preserve"> </w:t>
      </w:r>
      <w:r w:rsidRPr="001C4B76">
        <w:rPr>
          <w:rFonts w:cs="Arial"/>
          <w:lang w:val="en-CA"/>
        </w:rPr>
        <w:t>3 years, 2 months</w:t>
      </w:r>
      <w:r w:rsidR="00A2257F">
        <w:rPr>
          <w:rFonts w:cs="Arial"/>
          <w:lang w:val="en-CA"/>
        </w:rPr>
        <w:t>,</w:t>
      </w:r>
      <w:r w:rsidRPr="001C4B76">
        <w:rPr>
          <w:rFonts w:cs="Arial"/>
          <w:lang w:val="en-CA"/>
        </w:rPr>
        <w:t xml:space="preserve"> and 22 days;</w:t>
      </w:r>
      <w:r w:rsidR="00264C6E" w:rsidRPr="001C4B76">
        <w:rPr>
          <w:rFonts w:cs="Arial"/>
          <w:lang w:val="en-CA"/>
        </w:rPr>
        <w:t xml:space="preserve"> </w:t>
      </w:r>
      <w:r w:rsidRPr="001C4B76">
        <w:rPr>
          <w:rFonts w:cs="Arial"/>
          <w:lang w:val="en-CA"/>
        </w:rPr>
        <w:t>(Count No. 9):</w:t>
      </w:r>
      <w:r w:rsidR="00264C6E" w:rsidRPr="001C4B76">
        <w:rPr>
          <w:rFonts w:cs="Arial"/>
          <w:lang w:val="en-CA"/>
        </w:rPr>
        <w:t xml:space="preserve"> </w:t>
      </w:r>
      <w:r w:rsidRPr="001C4B76">
        <w:rPr>
          <w:rFonts w:cs="Arial"/>
          <w:lang w:val="en-CA"/>
        </w:rPr>
        <w:t>3 years</w:t>
      </w:r>
      <w:r w:rsidR="00A2257F">
        <w:rPr>
          <w:rFonts w:cs="Arial"/>
          <w:lang w:val="en-CA"/>
        </w:rPr>
        <w:t>,</w:t>
      </w:r>
      <w:r w:rsidRPr="001C4B76">
        <w:rPr>
          <w:rFonts w:cs="Arial"/>
          <w:lang w:val="en-CA"/>
        </w:rPr>
        <w:t xml:space="preserve"> 4 months</w:t>
      </w:r>
      <w:r w:rsidR="00A2257F">
        <w:rPr>
          <w:rFonts w:cs="Arial"/>
          <w:lang w:val="en-CA"/>
        </w:rPr>
        <w:t>,</w:t>
      </w:r>
      <w:r w:rsidRPr="001C4B76">
        <w:rPr>
          <w:rFonts w:cs="Arial"/>
          <w:lang w:val="en-CA"/>
        </w:rPr>
        <w:t xml:space="preserve"> and 24 days;</w:t>
      </w:r>
      <w:r w:rsidR="00264C6E" w:rsidRPr="001C4B76">
        <w:rPr>
          <w:rFonts w:cs="Arial"/>
          <w:lang w:val="en-CA"/>
        </w:rPr>
        <w:t xml:space="preserve"> </w:t>
      </w:r>
      <w:r w:rsidRPr="001C4B76">
        <w:rPr>
          <w:rFonts w:cs="Arial"/>
          <w:lang w:val="en-CA"/>
        </w:rPr>
        <w:t>(Count No. 10):</w:t>
      </w:r>
      <w:r w:rsidR="00264C6E" w:rsidRPr="001C4B76">
        <w:rPr>
          <w:rFonts w:cs="Arial"/>
          <w:lang w:val="en-CA"/>
        </w:rPr>
        <w:t xml:space="preserve"> </w:t>
      </w:r>
      <w:r w:rsidRPr="001C4B76">
        <w:rPr>
          <w:rFonts w:cs="Arial"/>
          <w:lang w:val="en-CA"/>
        </w:rPr>
        <w:t>3 months and 1 day.</w:t>
      </w:r>
    </w:p>
    <w:p w14:paraId="155AF774" w14:textId="77777777" w:rsidR="00264C6E" w:rsidRPr="001C4B76" w:rsidRDefault="006C702E" w:rsidP="002664B2">
      <w:pPr>
        <w:pStyle w:val="Paragraphe"/>
        <w:spacing w:line="240" w:lineRule="auto"/>
        <w:rPr>
          <w:rFonts w:cs="Arial"/>
          <w:lang w:val="en-CA"/>
        </w:rPr>
      </w:pPr>
      <w:r w:rsidRPr="001C4B76">
        <w:rPr>
          <w:rFonts w:cs="Arial"/>
          <w:lang w:val="en-CA"/>
        </w:rPr>
        <w:t>For the scheme to work, the defendants, along with the other members of the organization, had to repeatedly carry out several steps inherent to the scheme in a timely manner.</w:t>
      </w:r>
    </w:p>
    <w:p w14:paraId="5DD3D0FD" w14:textId="77777777" w:rsidR="00264C6E" w:rsidRPr="001C4B76" w:rsidRDefault="009F356B" w:rsidP="008E3FF3">
      <w:pPr>
        <w:pStyle w:val="Paragraphe"/>
        <w:numPr>
          <w:ilvl w:val="0"/>
          <w:numId w:val="0"/>
        </w:numPr>
        <w:spacing w:line="240" w:lineRule="auto"/>
        <w:rPr>
          <w:rFonts w:cs="Arial"/>
          <w:lang w:val="en-CA"/>
        </w:rPr>
      </w:pPr>
      <w:r>
        <w:rPr>
          <w:rFonts w:cs="Arial"/>
          <w:u w:val="single"/>
          <w:lang w:val="en-CA"/>
        </w:rPr>
        <w:t>Profits</w:t>
      </w:r>
      <w:r w:rsidRPr="001C4B76">
        <w:rPr>
          <w:rFonts w:cs="Arial"/>
          <w:u w:val="single"/>
          <w:lang w:val="en-CA"/>
        </w:rPr>
        <w:t xml:space="preserve"> </w:t>
      </w:r>
      <w:r w:rsidR="006C702E" w:rsidRPr="001C4B76">
        <w:rPr>
          <w:rFonts w:cs="Arial"/>
          <w:u w:val="single"/>
          <w:lang w:val="en-CA"/>
        </w:rPr>
        <w:t>derived from the offence</w:t>
      </w:r>
    </w:p>
    <w:p w14:paraId="22056E6D" w14:textId="77777777" w:rsidR="00264C6E" w:rsidRPr="001C4B76" w:rsidRDefault="006C702E" w:rsidP="002664B2">
      <w:pPr>
        <w:pStyle w:val="Paragraphe"/>
        <w:spacing w:line="240" w:lineRule="auto"/>
        <w:rPr>
          <w:rFonts w:cs="Arial"/>
          <w:lang w:val="en-CA"/>
        </w:rPr>
      </w:pPr>
      <w:r w:rsidRPr="001C4B76">
        <w:rPr>
          <w:rFonts w:cs="Arial"/>
          <w:lang w:val="en-CA"/>
        </w:rPr>
        <w:t xml:space="preserve">As appears from the transactions in each of the </w:t>
      </w:r>
      <w:r w:rsidR="00A94B63">
        <w:rPr>
          <w:rFonts w:cs="Arial"/>
          <w:lang w:val="en-CA"/>
        </w:rPr>
        <w:t>US</w:t>
      </w:r>
      <w:r w:rsidR="00A94B63" w:rsidRPr="001C4B76">
        <w:rPr>
          <w:rFonts w:cs="Arial"/>
          <w:lang w:val="en-CA"/>
        </w:rPr>
        <w:t xml:space="preserve"> </w:t>
      </w:r>
      <w:r w:rsidRPr="001C4B76">
        <w:rPr>
          <w:rFonts w:cs="Arial"/>
          <w:lang w:val="en-CA"/>
        </w:rPr>
        <w:t xml:space="preserve">brokerage accounts of the defendants, the </w:t>
      </w:r>
      <w:r w:rsidR="00A2257F">
        <w:rPr>
          <w:rFonts w:cs="Arial"/>
          <w:lang w:val="en-CA"/>
        </w:rPr>
        <w:t>profits</w:t>
      </w:r>
      <w:r w:rsidR="00A2257F" w:rsidRPr="001C4B76">
        <w:rPr>
          <w:rFonts w:cs="Arial"/>
          <w:lang w:val="en-CA"/>
        </w:rPr>
        <w:t xml:space="preserve"> </w:t>
      </w:r>
      <w:r w:rsidRPr="001C4B76">
        <w:rPr>
          <w:rFonts w:cs="Arial"/>
          <w:lang w:val="en-CA"/>
        </w:rPr>
        <w:t>are:</w:t>
      </w:r>
    </w:p>
    <w:p w14:paraId="456A1062" w14:textId="77777777" w:rsidR="00264C6E" w:rsidRPr="001C4B76" w:rsidRDefault="00AF5C0B" w:rsidP="002664B2">
      <w:pPr>
        <w:pStyle w:val="Paragraphe"/>
        <w:spacing w:line="240" w:lineRule="auto"/>
        <w:rPr>
          <w:rFonts w:cs="Arial"/>
          <w:lang w:val="en-CA"/>
        </w:rPr>
      </w:pPr>
      <w:r>
        <w:rPr>
          <w:rFonts w:cs="Arial"/>
          <w:lang w:val="en-CA"/>
        </w:rPr>
        <w:t>For the defendant</w:t>
      </w:r>
      <w:r w:rsidR="00264C6E" w:rsidRPr="001C4B76">
        <w:rPr>
          <w:rFonts w:cs="Arial"/>
          <w:lang w:val="en-CA"/>
        </w:rPr>
        <w:t xml:space="preserve"> Savaris: </w:t>
      </w:r>
      <w:r w:rsidR="006C702E" w:rsidRPr="001C4B76">
        <w:rPr>
          <w:rFonts w:cs="Arial"/>
          <w:lang w:val="en-CA"/>
        </w:rPr>
        <w:t>US$84,311.23</w:t>
      </w:r>
      <w:r w:rsidR="00A2257F">
        <w:rPr>
          <w:rFonts w:cs="Arial"/>
          <w:lang w:val="en-CA"/>
        </w:rPr>
        <w:t>.</w:t>
      </w:r>
    </w:p>
    <w:p w14:paraId="11034FB4" w14:textId="77777777" w:rsidR="00264C6E" w:rsidRPr="001C4B76" w:rsidRDefault="006C702E" w:rsidP="002664B2">
      <w:pPr>
        <w:pStyle w:val="Paragraphe"/>
        <w:spacing w:line="240" w:lineRule="auto"/>
        <w:rPr>
          <w:rFonts w:cs="Arial"/>
          <w:lang w:val="en-CA"/>
        </w:rPr>
      </w:pPr>
      <w:r w:rsidRPr="001C4B76">
        <w:rPr>
          <w:rFonts w:cs="Arial"/>
          <w:lang w:val="en-CA"/>
        </w:rPr>
        <w:t>For the defendant Raso Cortellazzi and his company MJRC Inc.:</w:t>
      </w:r>
      <w:r w:rsidR="00264C6E" w:rsidRPr="001C4B76">
        <w:rPr>
          <w:rFonts w:cs="Arial"/>
          <w:lang w:val="en-CA"/>
        </w:rPr>
        <w:t xml:space="preserve"> </w:t>
      </w:r>
      <w:r w:rsidRPr="001C4B76">
        <w:rPr>
          <w:rFonts w:cs="Arial"/>
          <w:lang w:val="en-CA"/>
        </w:rPr>
        <w:t>US$196,223.15</w:t>
      </w:r>
      <w:r w:rsidR="00A2257F">
        <w:rPr>
          <w:rFonts w:cs="Arial"/>
          <w:lang w:val="en-CA"/>
        </w:rPr>
        <w:t>.</w:t>
      </w:r>
    </w:p>
    <w:p w14:paraId="47156689" w14:textId="77777777" w:rsidR="00264C6E" w:rsidRPr="001C4B76" w:rsidRDefault="006C702E" w:rsidP="008E3FF3">
      <w:pPr>
        <w:pStyle w:val="Paragraphe"/>
        <w:numPr>
          <w:ilvl w:val="0"/>
          <w:numId w:val="0"/>
        </w:numPr>
        <w:spacing w:line="240" w:lineRule="auto"/>
        <w:rPr>
          <w:rFonts w:cs="Arial"/>
          <w:u w:val="single"/>
          <w:lang w:val="en-CA"/>
        </w:rPr>
      </w:pPr>
      <w:r w:rsidRPr="001C4B76">
        <w:rPr>
          <w:rFonts w:cs="Arial"/>
          <w:u w:val="single"/>
          <w:lang w:val="en-CA"/>
        </w:rPr>
        <w:t>Breach of trust</w:t>
      </w:r>
    </w:p>
    <w:p w14:paraId="1B0B6DD0" w14:textId="77777777" w:rsidR="00264C6E" w:rsidRPr="001C4B76" w:rsidRDefault="006C702E" w:rsidP="002664B2">
      <w:pPr>
        <w:pStyle w:val="Paragraphe"/>
        <w:spacing w:line="240" w:lineRule="auto"/>
        <w:rPr>
          <w:rFonts w:cs="Arial"/>
          <w:lang w:val="en-CA"/>
        </w:rPr>
      </w:pPr>
      <w:r w:rsidRPr="001C4B76">
        <w:rPr>
          <w:rFonts w:cs="Arial"/>
          <w:lang w:val="en-CA"/>
        </w:rPr>
        <w:t xml:space="preserve">This is an aggravating circumstance under s. 718.2 (a)(iii) of the </w:t>
      </w:r>
      <w:r w:rsidRPr="001C4B76">
        <w:rPr>
          <w:rFonts w:cs="Arial"/>
          <w:i/>
          <w:lang w:val="en-CA"/>
        </w:rPr>
        <w:t>Criminal Code</w:t>
      </w:r>
      <w:r w:rsidRPr="001C4B76">
        <w:rPr>
          <w:rFonts w:cs="Arial"/>
          <w:lang w:val="en-CA"/>
        </w:rPr>
        <w:t>.</w:t>
      </w:r>
    </w:p>
    <w:p w14:paraId="20808873" w14:textId="77777777" w:rsidR="00264C6E" w:rsidRPr="001C4B76" w:rsidRDefault="006C702E" w:rsidP="002664B2">
      <w:pPr>
        <w:pStyle w:val="Paragraphe"/>
        <w:spacing w:line="240" w:lineRule="auto"/>
        <w:rPr>
          <w:rFonts w:cs="Arial"/>
          <w:lang w:val="en-CA"/>
        </w:rPr>
      </w:pPr>
      <w:r w:rsidRPr="001C4B76">
        <w:rPr>
          <w:rFonts w:cs="Arial"/>
          <w:lang w:val="en-CA"/>
        </w:rPr>
        <w:lastRenderedPageBreak/>
        <w:t xml:space="preserve">As appears from the evidence, the defendants were not the only ones to benefit, other members of the organization and their collaborators </w:t>
      </w:r>
      <w:r w:rsidR="00A2257F">
        <w:rPr>
          <w:rFonts w:cs="Arial"/>
          <w:lang w:val="en-CA"/>
        </w:rPr>
        <w:t xml:space="preserve">also </w:t>
      </w:r>
      <w:r w:rsidR="00917D79">
        <w:rPr>
          <w:rFonts w:cs="Arial"/>
          <w:lang w:val="en-CA"/>
        </w:rPr>
        <w:t>profited</w:t>
      </w:r>
      <w:r w:rsidRPr="001C4B76">
        <w:rPr>
          <w:rFonts w:cs="Arial"/>
          <w:lang w:val="en-CA"/>
        </w:rPr>
        <w:t xml:space="preserve"> from the shares they sold and traded using the scheme.</w:t>
      </w:r>
      <w:r w:rsidR="00264C6E" w:rsidRPr="001C4B76">
        <w:rPr>
          <w:rFonts w:cs="Arial"/>
          <w:lang w:val="en-CA"/>
        </w:rPr>
        <w:t xml:space="preserve"> </w:t>
      </w:r>
      <w:r w:rsidRPr="001C4B76">
        <w:rPr>
          <w:rFonts w:cs="Arial"/>
          <w:lang w:val="en-CA"/>
        </w:rPr>
        <w:t xml:space="preserve">These </w:t>
      </w:r>
      <w:r w:rsidR="00917D79">
        <w:rPr>
          <w:rFonts w:cs="Arial"/>
          <w:lang w:val="en-CA"/>
        </w:rPr>
        <w:t>prof</w:t>
      </w:r>
      <w:r w:rsidR="00A94B63">
        <w:rPr>
          <w:rFonts w:cs="Arial"/>
          <w:lang w:val="en-CA"/>
        </w:rPr>
        <w:t>i</w:t>
      </w:r>
      <w:r w:rsidR="00917D79">
        <w:rPr>
          <w:rFonts w:cs="Arial"/>
          <w:lang w:val="en-CA"/>
        </w:rPr>
        <w:t>ts</w:t>
      </w:r>
      <w:r w:rsidRPr="001C4B76">
        <w:rPr>
          <w:rFonts w:cs="Arial"/>
          <w:lang w:val="en-CA"/>
        </w:rPr>
        <w:t xml:space="preserve"> were </w:t>
      </w:r>
      <w:r w:rsidR="00D160DD">
        <w:rPr>
          <w:rFonts w:cs="Arial"/>
          <w:lang w:val="en-CA"/>
        </w:rPr>
        <w:t>shared</w:t>
      </w:r>
      <w:r w:rsidRPr="001C4B76">
        <w:rPr>
          <w:rFonts w:cs="Arial"/>
          <w:lang w:val="en-CA"/>
        </w:rPr>
        <w:t xml:space="preserve"> among the </w:t>
      </w:r>
      <w:r w:rsidR="00917D79" w:rsidRPr="001C4B76">
        <w:rPr>
          <w:rFonts w:cs="Arial"/>
          <w:lang w:val="en-CA"/>
        </w:rPr>
        <w:t>individuals or</w:t>
      </w:r>
      <w:r w:rsidRPr="001C4B76">
        <w:rPr>
          <w:rFonts w:cs="Arial"/>
          <w:lang w:val="en-CA"/>
        </w:rPr>
        <w:t xml:space="preserve"> reinvested in the scheme to ensure </w:t>
      </w:r>
      <w:r w:rsidR="00A2257F">
        <w:rPr>
          <w:rFonts w:cs="Arial"/>
          <w:lang w:val="en-CA"/>
        </w:rPr>
        <w:t>that it worked</w:t>
      </w:r>
      <w:r w:rsidRPr="001C4B76">
        <w:rPr>
          <w:rFonts w:cs="Arial"/>
          <w:lang w:val="en-CA"/>
        </w:rPr>
        <w:t>.</w:t>
      </w:r>
    </w:p>
    <w:p w14:paraId="7DFF6CFB" w14:textId="77777777" w:rsidR="00264C6E" w:rsidRPr="001C4B76" w:rsidRDefault="006C702E" w:rsidP="002664B2">
      <w:pPr>
        <w:pStyle w:val="Paragraphe"/>
        <w:spacing w:line="240" w:lineRule="auto"/>
        <w:rPr>
          <w:rFonts w:cs="Arial"/>
          <w:lang w:val="en-CA"/>
        </w:rPr>
      </w:pPr>
      <w:r w:rsidRPr="001C4B76">
        <w:rPr>
          <w:rFonts w:cs="Arial"/>
          <w:lang w:val="en-CA"/>
        </w:rPr>
        <w:t xml:space="preserve">The scheme was entirely fraudulent and operated, among other things, </w:t>
      </w:r>
      <w:r w:rsidR="00A2257F">
        <w:rPr>
          <w:rFonts w:cs="Arial"/>
          <w:lang w:val="en-CA"/>
        </w:rPr>
        <w:t xml:space="preserve">based on </w:t>
      </w:r>
      <w:r w:rsidR="00D160DD" w:rsidRPr="001C4B76">
        <w:rPr>
          <w:rFonts w:cs="Arial"/>
          <w:lang w:val="en-CA"/>
        </w:rPr>
        <w:t xml:space="preserve">the </w:t>
      </w:r>
      <w:r w:rsidRPr="001C4B76">
        <w:rPr>
          <w:rFonts w:cs="Arial"/>
          <w:lang w:val="en-CA"/>
        </w:rPr>
        <w:t>misleading information contained in the press releases.</w:t>
      </w:r>
      <w:r w:rsidR="00B92DDC" w:rsidRPr="001C4B76">
        <w:rPr>
          <w:rFonts w:cs="Arial"/>
          <w:lang w:val="en-CA"/>
        </w:rPr>
        <w:t xml:space="preserve"> </w:t>
      </w:r>
      <w:r w:rsidRPr="001C4B76">
        <w:rPr>
          <w:rFonts w:cs="Arial"/>
          <w:lang w:val="en-CA"/>
        </w:rPr>
        <w:t xml:space="preserve">The defendants used the scheme to breach the trust of investors, who relied on this misleading information </w:t>
      </w:r>
      <w:r w:rsidR="00D160DD" w:rsidRPr="001C4B76">
        <w:rPr>
          <w:rFonts w:cs="Arial"/>
          <w:lang w:val="en-CA"/>
        </w:rPr>
        <w:t>to</w:t>
      </w:r>
      <w:r w:rsidRPr="001C4B76">
        <w:rPr>
          <w:rFonts w:cs="Arial"/>
          <w:lang w:val="en-CA"/>
        </w:rPr>
        <w:t xml:space="preserve"> invest.</w:t>
      </w:r>
    </w:p>
    <w:p w14:paraId="4B04C4C8" w14:textId="77777777" w:rsidR="00264C6E" w:rsidRPr="001C4B76" w:rsidRDefault="006C702E" w:rsidP="00E4511D">
      <w:pPr>
        <w:pStyle w:val="Paragraphe"/>
        <w:numPr>
          <w:ilvl w:val="0"/>
          <w:numId w:val="0"/>
        </w:numPr>
        <w:spacing w:line="240" w:lineRule="auto"/>
        <w:rPr>
          <w:rFonts w:cs="Arial"/>
          <w:b/>
          <w:bCs/>
          <w:lang w:val="en-CA"/>
        </w:rPr>
      </w:pPr>
      <w:r w:rsidRPr="001C4B76">
        <w:rPr>
          <w:rFonts w:cs="Arial"/>
          <w:b/>
          <w:bCs/>
          <w:lang w:val="en-CA"/>
        </w:rPr>
        <w:t>Mitigating circumstances</w:t>
      </w:r>
    </w:p>
    <w:p w14:paraId="10FE0034" w14:textId="77777777" w:rsidR="00264C6E" w:rsidRPr="001C4B76" w:rsidRDefault="006C702E" w:rsidP="002664B2">
      <w:pPr>
        <w:pStyle w:val="Paragraphe"/>
        <w:spacing w:line="240" w:lineRule="auto"/>
        <w:rPr>
          <w:rFonts w:cs="Arial"/>
          <w:lang w:val="en-CA"/>
        </w:rPr>
      </w:pPr>
      <w:r w:rsidRPr="001C4B76">
        <w:rPr>
          <w:rFonts w:cs="Arial"/>
          <w:lang w:val="en-CA"/>
        </w:rPr>
        <w:t>There is no mitigating circumstance in this case.</w:t>
      </w:r>
    </w:p>
    <w:p w14:paraId="7B5A92AB" w14:textId="77777777" w:rsidR="00264C6E" w:rsidRPr="001C4B76" w:rsidRDefault="006C702E" w:rsidP="002664B2">
      <w:pPr>
        <w:pStyle w:val="Paragraphe"/>
        <w:spacing w:line="240" w:lineRule="auto"/>
        <w:rPr>
          <w:rFonts w:cs="Arial"/>
          <w:lang w:val="en-CA"/>
        </w:rPr>
      </w:pPr>
      <w:r w:rsidRPr="001C4B76">
        <w:rPr>
          <w:rFonts w:cs="Arial"/>
          <w:lang w:val="en-CA"/>
        </w:rPr>
        <w:t>During submissions on sentencing</w:t>
      </w:r>
      <w:r w:rsidR="0057720B">
        <w:rPr>
          <w:rFonts w:cs="Arial"/>
          <w:lang w:val="en-CA"/>
        </w:rPr>
        <w:t>,</w:t>
      </w:r>
      <w:r w:rsidRPr="001C4B76">
        <w:rPr>
          <w:rFonts w:cs="Arial"/>
          <w:lang w:val="en-CA"/>
        </w:rPr>
        <w:t xml:space="preserve"> the defence </w:t>
      </w:r>
      <w:r w:rsidR="0057720B">
        <w:rPr>
          <w:rFonts w:cs="Arial"/>
          <w:lang w:val="en-CA"/>
        </w:rPr>
        <w:t xml:space="preserve">again </w:t>
      </w:r>
      <w:r w:rsidRPr="001C4B76">
        <w:rPr>
          <w:rFonts w:cs="Arial"/>
          <w:lang w:val="en-CA"/>
        </w:rPr>
        <w:t xml:space="preserve">argued, as it had done at trial, that the defendants were </w:t>
      </w:r>
      <w:r w:rsidR="0057720B">
        <w:rPr>
          <w:rFonts w:cs="Arial"/>
          <w:lang w:val="en-CA"/>
        </w:rPr>
        <w:t>merely</w:t>
      </w:r>
      <w:r w:rsidR="0057720B" w:rsidRPr="001C4B76">
        <w:rPr>
          <w:rFonts w:cs="Arial"/>
          <w:lang w:val="en-CA"/>
        </w:rPr>
        <w:t xml:space="preserve"> </w:t>
      </w:r>
      <w:r w:rsidRPr="001C4B76">
        <w:rPr>
          <w:rFonts w:cs="Arial"/>
          <w:lang w:val="en-CA"/>
        </w:rPr>
        <w:t>[</w:t>
      </w:r>
      <w:r w:rsidRPr="001C4B76">
        <w:rPr>
          <w:rFonts w:cs="Arial"/>
          <w:smallCaps/>
          <w:lang w:val="en-CA"/>
        </w:rPr>
        <w:t>translation]</w:t>
      </w:r>
      <w:r w:rsidRPr="001C4B76">
        <w:rPr>
          <w:rFonts w:cs="Arial"/>
          <w:lang w:val="en-CA"/>
        </w:rPr>
        <w:t xml:space="preserve"> “small fish”.</w:t>
      </w:r>
    </w:p>
    <w:p w14:paraId="5CB9AAC6" w14:textId="77777777" w:rsidR="00264C6E" w:rsidRPr="001C4B76" w:rsidRDefault="006C702E" w:rsidP="002664B2">
      <w:pPr>
        <w:pStyle w:val="Paragraphe"/>
        <w:spacing w:line="240" w:lineRule="auto"/>
        <w:rPr>
          <w:rFonts w:cs="Arial"/>
          <w:lang w:val="en-CA"/>
        </w:rPr>
      </w:pPr>
      <w:r w:rsidRPr="001C4B76">
        <w:rPr>
          <w:rFonts w:cs="Arial"/>
          <w:lang w:val="en-CA"/>
        </w:rPr>
        <w:t xml:space="preserve">In its judgment dated January 18, 2023, the Court rejected that </w:t>
      </w:r>
      <w:r w:rsidR="0057720B">
        <w:rPr>
          <w:rFonts w:cs="Arial"/>
          <w:lang w:val="en-CA"/>
        </w:rPr>
        <w:t>argument</w:t>
      </w:r>
      <w:r w:rsidR="0057720B" w:rsidRPr="001C4B76">
        <w:rPr>
          <w:rFonts w:cs="Arial"/>
          <w:lang w:val="en-CA"/>
        </w:rPr>
        <w:t xml:space="preserve"> </w:t>
      </w:r>
      <w:r w:rsidRPr="001C4B76">
        <w:rPr>
          <w:rFonts w:cs="Arial"/>
          <w:lang w:val="en-CA"/>
        </w:rPr>
        <w:t xml:space="preserve">and concluded that the defendants were </w:t>
      </w:r>
      <w:r w:rsidR="002A1C2D">
        <w:rPr>
          <w:rFonts w:cs="Arial"/>
          <w:lang w:val="en-CA"/>
        </w:rPr>
        <w:t>key players</w:t>
      </w:r>
      <w:r w:rsidRPr="001C4B76">
        <w:rPr>
          <w:rFonts w:cs="Arial"/>
          <w:lang w:val="en-CA"/>
        </w:rPr>
        <w:t xml:space="preserve"> in the organization.</w:t>
      </w:r>
    </w:p>
    <w:p w14:paraId="59D9431F" w14:textId="77777777" w:rsidR="00264C6E" w:rsidRPr="001C4B76" w:rsidRDefault="006C702E" w:rsidP="002664B2">
      <w:pPr>
        <w:pStyle w:val="Paragraphe"/>
        <w:spacing w:line="240" w:lineRule="auto"/>
        <w:rPr>
          <w:rFonts w:cs="Arial"/>
          <w:lang w:val="en-CA"/>
        </w:rPr>
      </w:pPr>
      <w:r w:rsidRPr="001C4B76">
        <w:rPr>
          <w:rFonts w:cs="Arial"/>
          <w:lang w:val="en-CA"/>
        </w:rPr>
        <w:t xml:space="preserve">Nor does the Court accept the </w:t>
      </w:r>
      <w:r w:rsidR="0057720B">
        <w:rPr>
          <w:rFonts w:cs="Arial"/>
          <w:lang w:val="en-CA"/>
        </w:rPr>
        <w:t xml:space="preserve">argument </w:t>
      </w:r>
      <w:r w:rsidRPr="001C4B76">
        <w:rPr>
          <w:rFonts w:cs="Arial"/>
          <w:lang w:val="en-CA"/>
        </w:rPr>
        <w:t xml:space="preserve">that Andrea Cortellazzi </w:t>
      </w:r>
      <w:r w:rsidR="0057720B">
        <w:rPr>
          <w:rFonts w:cs="Arial"/>
          <w:lang w:val="en-CA"/>
        </w:rPr>
        <w:t>mis</w:t>
      </w:r>
      <w:r w:rsidRPr="001C4B76">
        <w:rPr>
          <w:rFonts w:cs="Arial"/>
          <w:lang w:val="en-CA"/>
        </w:rPr>
        <w:t>used the defendant Savaris.</w:t>
      </w:r>
      <w:r w:rsidR="00264C6E" w:rsidRPr="001C4B76">
        <w:rPr>
          <w:rFonts w:cs="Arial"/>
          <w:lang w:val="en-CA"/>
        </w:rPr>
        <w:t xml:space="preserve"> </w:t>
      </w:r>
      <w:r w:rsidRPr="001C4B76">
        <w:rPr>
          <w:rFonts w:cs="Arial"/>
          <w:lang w:val="en-CA"/>
        </w:rPr>
        <w:t>As appears from the Court’s decision, defendant Savaris was certainly destitute when he started working for Andrea Cortellazzi, but eventually found his niche.</w:t>
      </w:r>
      <w:r w:rsidR="00264C6E" w:rsidRPr="001C4B76">
        <w:rPr>
          <w:rFonts w:cs="Arial"/>
          <w:lang w:val="en-CA"/>
        </w:rPr>
        <w:t xml:space="preserve"> </w:t>
      </w:r>
      <w:r w:rsidRPr="001C4B76">
        <w:rPr>
          <w:rFonts w:cs="Arial"/>
          <w:lang w:val="en-CA"/>
        </w:rPr>
        <w:t>Furthermore, the defendant was well versed in investment matters.</w:t>
      </w:r>
    </w:p>
    <w:p w14:paraId="7EF0EA41" w14:textId="77777777" w:rsidR="00264C6E" w:rsidRPr="001C4B76" w:rsidRDefault="006C702E" w:rsidP="002664B2">
      <w:pPr>
        <w:pStyle w:val="Paragraphe"/>
        <w:spacing w:line="240" w:lineRule="auto"/>
        <w:rPr>
          <w:rFonts w:cs="Arial"/>
          <w:lang w:val="en-CA"/>
        </w:rPr>
      </w:pPr>
      <w:r w:rsidRPr="001C4B76">
        <w:rPr>
          <w:rFonts w:cs="Arial"/>
          <w:lang w:val="en-CA"/>
        </w:rPr>
        <w:t>The defence also argued that defendant Raso Cortellazzi was young at the time the offences were committed.</w:t>
      </w:r>
      <w:r w:rsidR="00264C6E" w:rsidRPr="001C4B76">
        <w:rPr>
          <w:rFonts w:cs="Arial"/>
          <w:lang w:val="en-CA"/>
        </w:rPr>
        <w:t xml:space="preserve"> </w:t>
      </w:r>
      <w:r w:rsidRPr="001C4B76">
        <w:rPr>
          <w:rFonts w:cs="Arial"/>
          <w:lang w:val="en-CA"/>
        </w:rPr>
        <w:t>It is true that the defendant was young.</w:t>
      </w:r>
      <w:r w:rsidR="00264C6E" w:rsidRPr="001C4B76">
        <w:rPr>
          <w:rFonts w:cs="Arial"/>
          <w:lang w:val="en-CA"/>
        </w:rPr>
        <w:t xml:space="preserve"> </w:t>
      </w:r>
      <w:r w:rsidRPr="001C4B76">
        <w:rPr>
          <w:rFonts w:cs="Arial"/>
          <w:lang w:val="en-CA"/>
        </w:rPr>
        <w:t xml:space="preserve">Nevertheless, he appears to have </w:t>
      </w:r>
      <w:r w:rsidR="002A1C2D">
        <w:rPr>
          <w:rFonts w:cs="Arial"/>
          <w:lang w:val="en-CA"/>
        </w:rPr>
        <w:t xml:space="preserve">been well aware of </w:t>
      </w:r>
      <w:r w:rsidR="004A74E6">
        <w:rPr>
          <w:rFonts w:cs="Arial"/>
          <w:lang w:val="en-CA"/>
        </w:rPr>
        <w:t>how</w:t>
      </w:r>
      <w:r w:rsidRPr="001C4B76">
        <w:rPr>
          <w:rFonts w:cs="Arial"/>
          <w:lang w:val="en-CA"/>
        </w:rPr>
        <w:t xml:space="preserve"> the organization worked and in control of the situation.</w:t>
      </w:r>
    </w:p>
    <w:p w14:paraId="7B57B253" w14:textId="77777777" w:rsidR="00264C6E" w:rsidRPr="001C4B76" w:rsidRDefault="0067404B" w:rsidP="00E4511D">
      <w:pPr>
        <w:pStyle w:val="Paragraphe"/>
        <w:numPr>
          <w:ilvl w:val="0"/>
          <w:numId w:val="0"/>
        </w:numPr>
        <w:spacing w:line="240" w:lineRule="auto"/>
        <w:rPr>
          <w:rFonts w:cs="Arial"/>
          <w:b/>
          <w:bCs/>
          <w:lang w:val="en-CA"/>
        </w:rPr>
      </w:pPr>
      <w:r w:rsidRPr="001C4B76">
        <w:rPr>
          <w:rFonts w:cs="Arial"/>
          <w:b/>
          <w:bCs/>
          <w:lang w:val="en-CA"/>
        </w:rPr>
        <w:t>Other Project Consortium decisions</w:t>
      </w:r>
    </w:p>
    <w:p w14:paraId="6E611DF3" w14:textId="77777777" w:rsidR="00264C6E" w:rsidRPr="001C4B76" w:rsidRDefault="0067404B" w:rsidP="002664B2">
      <w:pPr>
        <w:pStyle w:val="Paragraphe"/>
        <w:spacing w:line="240" w:lineRule="auto"/>
        <w:rPr>
          <w:rFonts w:cs="Arial"/>
          <w:lang w:val="en-CA"/>
        </w:rPr>
      </w:pPr>
      <w:r w:rsidRPr="001C4B76">
        <w:rPr>
          <w:rFonts w:cs="Arial"/>
          <w:lang w:val="en-CA"/>
        </w:rPr>
        <w:t xml:space="preserve">The defendants were arrested as part of a vast investigation by the Autorité des </w:t>
      </w:r>
      <w:proofErr w:type="spellStart"/>
      <w:r w:rsidRPr="001C4B76">
        <w:rPr>
          <w:rFonts w:cs="Arial"/>
          <w:lang w:val="en-CA"/>
        </w:rPr>
        <w:t>marchés</w:t>
      </w:r>
      <w:proofErr w:type="spellEnd"/>
      <w:r w:rsidRPr="001C4B76">
        <w:rPr>
          <w:rFonts w:cs="Arial"/>
          <w:lang w:val="en-CA"/>
        </w:rPr>
        <w:t xml:space="preserve"> financiers named Consortium.</w:t>
      </w:r>
      <w:r w:rsidR="00264C6E" w:rsidRPr="001C4B76">
        <w:rPr>
          <w:rFonts w:cs="Arial"/>
          <w:lang w:val="en-CA"/>
        </w:rPr>
        <w:t xml:space="preserve"> </w:t>
      </w:r>
      <w:r w:rsidRPr="001C4B76">
        <w:rPr>
          <w:rFonts w:cs="Arial"/>
          <w:lang w:val="en-CA"/>
        </w:rPr>
        <w:t>Here are the results of certain sentences imposed on individuals involved in the Andrea Cortellazzi organization.</w:t>
      </w:r>
    </w:p>
    <w:p w14:paraId="1EC6E09A" w14:textId="77777777" w:rsidR="00264C6E" w:rsidRPr="001C4B76" w:rsidRDefault="0067404B" w:rsidP="00707B75">
      <w:pPr>
        <w:pStyle w:val="Paragraphe"/>
        <w:numPr>
          <w:ilvl w:val="0"/>
          <w:numId w:val="0"/>
        </w:numPr>
        <w:spacing w:line="240" w:lineRule="auto"/>
        <w:rPr>
          <w:rFonts w:cs="Arial"/>
          <w:lang w:val="en-CA"/>
        </w:rPr>
      </w:pPr>
      <w:r w:rsidRPr="001C4B76">
        <w:rPr>
          <w:rFonts w:cs="Arial"/>
          <w:b/>
          <w:lang w:val="en-CA"/>
        </w:rPr>
        <w:t>Michel de Montigny</w:t>
      </w:r>
      <w:r w:rsidR="00707B75" w:rsidRPr="001C4B76">
        <w:rPr>
          <w:rStyle w:val="Appelnotedebasdep"/>
          <w:rFonts w:cs="Arial"/>
          <w:b/>
          <w:lang w:val="en-CA"/>
        </w:rPr>
        <w:footnoteReference w:id="6"/>
      </w:r>
      <w:r w:rsidR="00264C6E" w:rsidRPr="001C4B76">
        <w:rPr>
          <w:rFonts w:cs="Arial"/>
          <w:b/>
          <w:lang w:val="en-CA"/>
        </w:rPr>
        <w:t xml:space="preserve"> </w:t>
      </w:r>
    </w:p>
    <w:p w14:paraId="4EA32805" w14:textId="77777777" w:rsidR="00264C6E" w:rsidRPr="001C4B76" w:rsidRDefault="0067404B" w:rsidP="002664B2">
      <w:pPr>
        <w:pStyle w:val="Paragraphe"/>
        <w:spacing w:line="240" w:lineRule="auto"/>
        <w:rPr>
          <w:rFonts w:cs="Arial"/>
          <w:lang w:val="en-CA"/>
        </w:rPr>
      </w:pPr>
      <w:r w:rsidRPr="001C4B76">
        <w:rPr>
          <w:rFonts w:cs="Arial"/>
          <w:lang w:val="en-CA"/>
        </w:rPr>
        <w:t xml:space="preserve">Michel de Montigny testified for the </w:t>
      </w:r>
      <w:r w:rsidR="002A1C2D">
        <w:rPr>
          <w:rFonts w:cs="Arial"/>
          <w:lang w:val="en-CA"/>
        </w:rPr>
        <w:t xml:space="preserve">prosecution </w:t>
      </w:r>
      <w:r w:rsidRPr="001C4B76">
        <w:rPr>
          <w:rFonts w:cs="Arial"/>
          <w:lang w:val="en-CA"/>
        </w:rPr>
        <w:t xml:space="preserve">at </w:t>
      </w:r>
      <w:r w:rsidR="002A1C2D">
        <w:rPr>
          <w:rFonts w:cs="Arial"/>
          <w:lang w:val="en-CA"/>
        </w:rPr>
        <w:t xml:space="preserve">the defendants’ </w:t>
      </w:r>
      <w:r w:rsidRPr="001C4B76">
        <w:rPr>
          <w:rFonts w:cs="Arial"/>
          <w:lang w:val="en-CA"/>
        </w:rPr>
        <w:t>trial.</w:t>
      </w:r>
      <w:r w:rsidR="00264C6E" w:rsidRPr="001C4B76">
        <w:rPr>
          <w:rFonts w:cs="Arial"/>
          <w:lang w:val="en-CA"/>
        </w:rPr>
        <w:t xml:space="preserve"> </w:t>
      </w:r>
      <w:r w:rsidRPr="001C4B76">
        <w:rPr>
          <w:rFonts w:cs="Arial"/>
          <w:lang w:val="en-CA"/>
        </w:rPr>
        <w:t>He participated in the scheme with several individuals, including the defendants.</w:t>
      </w:r>
    </w:p>
    <w:p w14:paraId="64432ADF" w14:textId="77777777" w:rsidR="00264C6E" w:rsidRPr="001C4B76" w:rsidRDefault="0067404B" w:rsidP="002664B2">
      <w:pPr>
        <w:pStyle w:val="Paragraphe"/>
        <w:spacing w:line="240" w:lineRule="auto"/>
        <w:rPr>
          <w:rFonts w:cs="Arial"/>
          <w:lang w:val="en-CA"/>
        </w:rPr>
      </w:pPr>
      <w:r w:rsidRPr="001C4B76">
        <w:rPr>
          <w:rFonts w:cs="Arial"/>
          <w:lang w:val="en-CA"/>
        </w:rPr>
        <w:t>On September 15, 2016, he pleaded guilty to 3 counts of market manipulation under s.</w:t>
      </w:r>
      <w:r w:rsidR="00264C6E" w:rsidRPr="001C4B76">
        <w:rPr>
          <w:rFonts w:cs="Arial"/>
          <w:lang w:val="en-CA"/>
        </w:rPr>
        <w:t xml:space="preserve"> </w:t>
      </w:r>
      <w:r w:rsidRPr="001C4B76">
        <w:rPr>
          <w:rFonts w:cs="Arial"/>
          <w:lang w:val="en-CA"/>
        </w:rPr>
        <w:t>195.</w:t>
      </w:r>
      <w:r w:rsidR="00264C6E" w:rsidRPr="001C4B76">
        <w:rPr>
          <w:rFonts w:cs="Arial"/>
          <w:lang w:val="en-CA"/>
        </w:rPr>
        <w:t xml:space="preserve"> </w:t>
      </w:r>
      <w:r w:rsidRPr="001C4B76">
        <w:rPr>
          <w:rFonts w:cs="Arial"/>
          <w:lang w:val="en-CA"/>
        </w:rPr>
        <w:t xml:space="preserve">2 of the </w:t>
      </w:r>
      <w:r w:rsidRPr="001C4B76">
        <w:rPr>
          <w:rFonts w:cs="Arial"/>
          <w:i/>
          <w:lang w:val="en-CA"/>
        </w:rPr>
        <w:t>SA</w:t>
      </w:r>
      <w:r w:rsidRPr="001C4B76">
        <w:rPr>
          <w:rFonts w:cs="Arial"/>
          <w:lang w:val="en-CA"/>
        </w:rPr>
        <w:t>.</w:t>
      </w:r>
      <w:r w:rsidR="00264C6E" w:rsidRPr="001C4B76">
        <w:rPr>
          <w:rFonts w:cs="Arial"/>
          <w:lang w:val="en-CA"/>
        </w:rPr>
        <w:t xml:space="preserve"> </w:t>
      </w:r>
      <w:r w:rsidRPr="001C4B76">
        <w:rPr>
          <w:rFonts w:cs="Arial"/>
          <w:lang w:val="en-CA"/>
        </w:rPr>
        <w:t>Pursuant to a joint submission</w:t>
      </w:r>
      <w:r w:rsidR="003F391D">
        <w:rPr>
          <w:rFonts w:cs="Arial"/>
          <w:lang w:val="en-CA"/>
        </w:rPr>
        <w:t>,</w:t>
      </w:r>
      <w:r w:rsidRPr="001C4B76">
        <w:rPr>
          <w:rFonts w:cs="Arial"/>
          <w:lang w:val="en-CA"/>
        </w:rPr>
        <w:t xml:space="preserve"> he was fined $1.25 million.</w:t>
      </w:r>
    </w:p>
    <w:p w14:paraId="7FD08BCB" w14:textId="77777777" w:rsidR="00264C6E" w:rsidRPr="001C4B76" w:rsidRDefault="00264C6E" w:rsidP="00707B75">
      <w:pPr>
        <w:pStyle w:val="Paragraphe"/>
        <w:numPr>
          <w:ilvl w:val="0"/>
          <w:numId w:val="0"/>
        </w:numPr>
        <w:spacing w:line="240" w:lineRule="auto"/>
        <w:rPr>
          <w:rFonts w:cs="Arial"/>
          <w:lang w:val="en-CA"/>
        </w:rPr>
      </w:pPr>
      <w:r w:rsidRPr="001C4B76">
        <w:rPr>
          <w:rFonts w:cs="Arial"/>
          <w:b/>
          <w:lang w:val="en-CA"/>
        </w:rPr>
        <w:lastRenderedPageBreak/>
        <w:t>Daniel F. Ryan</w:t>
      </w:r>
      <w:r w:rsidR="00707B75" w:rsidRPr="001C4B76">
        <w:rPr>
          <w:rStyle w:val="Appelnotedebasdep"/>
          <w:rFonts w:cs="Arial"/>
          <w:b/>
          <w:lang w:val="en-CA"/>
        </w:rPr>
        <w:footnoteReference w:id="7"/>
      </w:r>
      <w:r w:rsidRPr="001C4B76">
        <w:rPr>
          <w:rFonts w:cs="Arial"/>
          <w:b/>
          <w:lang w:val="en-CA"/>
        </w:rPr>
        <w:t xml:space="preserve"> </w:t>
      </w:r>
    </w:p>
    <w:p w14:paraId="7E8FE254" w14:textId="77777777" w:rsidR="00264C6E" w:rsidRPr="001C4B76" w:rsidRDefault="0067404B" w:rsidP="002664B2">
      <w:pPr>
        <w:pStyle w:val="Paragraphe"/>
        <w:spacing w:line="240" w:lineRule="auto"/>
        <w:rPr>
          <w:rFonts w:cs="Arial"/>
          <w:lang w:val="en-CA"/>
        </w:rPr>
      </w:pPr>
      <w:r w:rsidRPr="001C4B76">
        <w:rPr>
          <w:rFonts w:cs="Arial"/>
          <w:lang w:val="en-CA"/>
        </w:rPr>
        <w:t>On March 22, 2017, Daniel F. Ryan pleaded guilty to 3 counts of market manipulation under s.</w:t>
      </w:r>
      <w:r w:rsidR="00264C6E" w:rsidRPr="001C4B76">
        <w:rPr>
          <w:rFonts w:cs="Arial"/>
          <w:lang w:val="en-CA"/>
        </w:rPr>
        <w:t xml:space="preserve"> 195</w:t>
      </w:r>
      <w:r w:rsidR="004A74E6">
        <w:rPr>
          <w:rFonts w:cs="Arial"/>
          <w:lang w:val="en-CA"/>
        </w:rPr>
        <w:t>.</w:t>
      </w:r>
      <w:r w:rsidRPr="001C4B76">
        <w:rPr>
          <w:rFonts w:cs="Arial"/>
          <w:lang w:val="en-CA"/>
        </w:rPr>
        <w:t xml:space="preserve">2 of the </w:t>
      </w:r>
      <w:r w:rsidRPr="001C4B76">
        <w:rPr>
          <w:rFonts w:cs="Arial"/>
          <w:i/>
          <w:lang w:val="en-CA"/>
        </w:rPr>
        <w:t>SA</w:t>
      </w:r>
      <w:r w:rsidRPr="001C4B76">
        <w:rPr>
          <w:rFonts w:cs="Arial"/>
          <w:lang w:val="en-CA"/>
        </w:rPr>
        <w:t>.</w:t>
      </w:r>
      <w:r w:rsidR="00264C6E" w:rsidRPr="001C4B76">
        <w:rPr>
          <w:rFonts w:cs="Arial"/>
          <w:lang w:val="en-CA"/>
        </w:rPr>
        <w:t xml:space="preserve"> </w:t>
      </w:r>
      <w:r w:rsidRPr="001C4B76">
        <w:rPr>
          <w:rFonts w:cs="Arial"/>
          <w:lang w:val="en-CA"/>
        </w:rPr>
        <w:t>He was involved in the scheme from July 16, 2009, to February 11, 2010, that is, a period of 7 months.</w:t>
      </w:r>
      <w:r w:rsidR="00264C6E" w:rsidRPr="001C4B76">
        <w:rPr>
          <w:rFonts w:cs="Arial"/>
          <w:lang w:val="en-CA"/>
        </w:rPr>
        <w:t xml:space="preserve"> </w:t>
      </w:r>
      <w:r w:rsidRPr="001C4B76">
        <w:rPr>
          <w:rFonts w:cs="Arial"/>
          <w:lang w:val="en-CA"/>
        </w:rPr>
        <w:t>Pursuant to a joint submission</w:t>
      </w:r>
      <w:r w:rsidR="003F391D">
        <w:rPr>
          <w:rFonts w:cs="Arial"/>
          <w:lang w:val="en-CA"/>
        </w:rPr>
        <w:t>,</w:t>
      </w:r>
      <w:r w:rsidRPr="001C4B76">
        <w:rPr>
          <w:rFonts w:cs="Arial"/>
          <w:lang w:val="en-CA"/>
        </w:rPr>
        <w:t xml:space="preserve"> he was fined $225,000.</w:t>
      </w:r>
    </w:p>
    <w:p w14:paraId="70EAACD2" w14:textId="77777777" w:rsidR="00264C6E" w:rsidRPr="001C4B76" w:rsidRDefault="0067404B" w:rsidP="002664B2">
      <w:pPr>
        <w:pStyle w:val="Paragraphe"/>
        <w:spacing w:line="240" w:lineRule="auto"/>
        <w:rPr>
          <w:rFonts w:cs="Arial"/>
          <w:lang w:val="en-CA"/>
        </w:rPr>
      </w:pPr>
      <w:r w:rsidRPr="001C4B76">
        <w:rPr>
          <w:rFonts w:cs="Arial"/>
          <w:lang w:val="en-CA"/>
        </w:rPr>
        <w:t>Daniel F. Ryan was the organization’s promoter and acted on various levels.</w:t>
      </w:r>
    </w:p>
    <w:p w14:paraId="75F4DB50" w14:textId="77777777" w:rsidR="00264C6E" w:rsidRPr="001C4B76" w:rsidRDefault="00264C6E" w:rsidP="009111B7">
      <w:pPr>
        <w:pStyle w:val="Paragraphe"/>
        <w:numPr>
          <w:ilvl w:val="0"/>
          <w:numId w:val="0"/>
        </w:numPr>
        <w:spacing w:line="240" w:lineRule="auto"/>
        <w:rPr>
          <w:rFonts w:cs="Arial"/>
          <w:lang w:val="en-CA"/>
        </w:rPr>
      </w:pPr>
      <w:r w:rsidRPr="001C4B76">
        <w:rPr>
          <w:rFonts w:cs="Arial"/>
          <w:b/>
          <w:lang w:val="en-CA"/>
        </w:rPr>
        <w:t xml:space="preserve">Serge </w:t>
      </w:r>
      <w:proofErr w:type="spellStart"/>
      <w:r w:rsidRPr="001C4B76">
        <w:rPr>
          <w:rFonts w:cs="Arial"/>
          <w:b/>
          <w:lang w:val="en-CA"/>
        </w:rPr>
        <w:t>Ollu</w:t>
      </w:r>
      <w:proofErr w:type="spellEnd"/>
      <w:r w:rsidR="009111B7" w:rsidRPr="001C4B76">
        <w:rPr>
          <w:rStyle w:val="Appelnotedebasdep"/>
          <w:rFonts w:cs="Arial"/>
          <w:b/>
          <w:lang w:val="en-CA"/>
        </w:rPr>
        <w:footnoteReference w:id="8"/>
      </w:r>
      <w:r w:rsidRPr="001C4B76">
        <w:rPr>
          <w:rFonts w:cs="Arial"/>
          <w:b/>
          <w:lang w:val="en-CA"/>
        </w:rPr>
        <w:t xml:space="preserve"> </w:t>
      </w:r>
    </w:p>
    <w:p w14:paraId="4D8E82F9" w14:textId="77777777" w:rsidR="00264C6E" w:rsidRPr="001C4B76" w:rsidRDefault="0067404B" w:rsidP="002664B2">
      <w:pPr>
        <w:pStyle w:val="Paragraphe"/>
        <w:spacing w:line="240" w:lineRule="auto"/>
        <w:rPr>
          <w:rFonts w:cs="Arial"/>
          <w:lang w:val="en-CA"/>
        </w:rPr>
      </w:pPr>
      <w:r w:rsidRPr="001C4B76">
        <w:rPr>
          <w:rFonts w:cs="Arial"/>
          <w:lang w:val="en-CA"/>
        </w:rPr>
        <w:t xml:space="preserve">On April 3, 2018, Serge </w:t>
      </w:r>
      <w:proofErr w:type="spellStart"/>
      <w:r w:rsidRPr="001C4B76">
        <w:rPr>
          <w:rFonts w:cs="Arial"/>
          <w:lang w:val="en-CA"/>
        </w:rPr>
        <w:t>Ollu</w:t>
      </w:r>
      <w:proofErr w:type="spellEnd"/>
      <w:r w:rsidRPr="001C4B76">
        <w:rPr>
          <w:rFonts w:cs="Arial"/>
          <w:lang w:val="en-CA"/>
        </w:rPr>
        <w:t xml:space="preserve"> pleaded guilty to 3 counts of market manipulation under s.</w:t>
      </w:r>
      <w:r w:rsidR="00264C6E" w:rsidRPr="001C4B76">
        <w:rPr>
          <w:rFonts w:cs="Arial"/>
          <w:lang w:val="en-CA"/>
        </w:rPr>
        <w:t xml:space="preserve"> 195. </w:t>
      </w:r>
      <w:r w:rsidRPr="001C4B76">
        <w:rPr>
          <w:rFonts w:cs="Arial"/>
          <w:lang w:val="en-CA"/>
        </w:rPr>
        <w:t xml:space="preserve">2 of the </w:t>
      </w:r>
      <w:r w:rsidRPr="001C4B76">
        <w:rPr>
          <w:rFonts w:cs="Arial"/>
          <w:i/>
          <w:lang w:val="en-CA"/>
        </w:rPr>
        <w:t>SA</w:t>
      </w:r>
      <w:r w:rsidRPr="001C4B76">
        <w:rPr>
          <w:rFonts w:cs="Arial"/>
          <w:lang w:val="en-CA"/>
        </w:rPr>
        <w:t>.</w:t>
      </w:r>
      <w:r w:rsidR="00264C6E" w:rsidRPr="001C4B76">
        <w:rPr>
          <w:rFonts w:cs="Arial"/>
          <w:lang w:val="en-CA"/>
        </w:rPr>
        <w:t xml:space="preserve"> </w:t>
      </w:r>
      <w:r w:rsidRPr="001C4B76">
        <w:rPr>
          <w:rFonts w:cs="Arial"/>
          <w:lang w:val="en-CA"/>
        </w:rPr>
        <w:t>Pursuant to a joint submission</w:t>
      </w:r>
      <w:r w:rsidR="003F391D">
        <w:rPr>
          <w:rFonts w:cs="Arial"/>
          <w:lang w:val="en-CA"/>
        </w:rPr>
        <w:t>,</w:t>
      </w:r>
      <w:r w:rsidRPr="001C4B76">
        <w:rPr>
          <w:rFonts w:cs="Arial"/>
          <w:lang w:val="en-CA"/>
        </w:rPr>
        <w:t xml:space="preserve"> he was fined a total amount of $1.5 million.</w:t>
      </w:r>
      <w:r w:rsidR="00264C6E" w:rsidRPr="001C4B76">
        <w:rPr>
          <w:rFonts w:cs="Arial"/>
          <w:lang w:val="en-CA"/>
        </w:rPr>
        <w:t xml:space="preserve"> </w:t>
      </w:r>
    </w:p>
    <w:p w14:paraId="6F436E7C" w14:textId="77777777" w:rsidR="00264C6E" w:rsidRPr="001C4B76" w:rsidRDefault="0067404B" w:rsidP="002664B2">
      <w:pPr>
        <w:pStyle w:val="Paragraphe"/>
        <w:spacing w:line="240" w:lineRule="auto"/>
        <w:rPr>
          <w:rFonts w:cs="Arial"/>
          <w:lang w:val="en-CA"/>
        </w:rPr>
      </w:pPr>
      <w:r w:rsidRPr="001C4B76">
        <w:rPr>
          <w:rFonts w:cs="Arial"/>
          <w:lang w:val="en-CA"/>
        </w:rPr>
        <w:t xml:space="preserve">Like the other persons </w:t>
      </w:r>
      <w:r w:rsidR="003F391D">
        <w:rPr>
          <w:rFonts w:cs="Arial"/>
          <w:lang w:val="en-CA"/>
        </w:rPr>
        <w:t>sentenced</w:t>
      </w:r>
      <w:r w:rsidR="003F391D" w:rsidRPr="001C4B76">
        <w:rPr>
          <w:rFonts w:cs="Arial"/>
          <w:lang w:val="en-CA"/>
        </w:rPr>
        <w:t xml:space="preserve"> </w:t>
      </w:r>
      <w:r w:rsidRPr="001C4B76">
        <w:rPr>
          <w:rFonts w:cs="Arial"/>
          <w:lang w:val="en-CA"/>
        </w:rPr>
        <w:t xml:space="preserve">in this project, he participated in the </w:t>
      </w:r>
      <w:r w:rsidR="004A74E6">
        <w:rPr>
          <w:rFonts w:cs="Arial"/>
          <w:lang w:val="en-CA"/>
        </w:rPr>
        <w:t>“p</w:t>
      </w:r>
      <w:r w:rsidRPr="001C4B76">
        <w:rPr>
          <w:rFonts w:cs="Arial"/>
          <w:lang w:val="en-CA"/>
        </w:rPr>
        <w:t xml:space="preserve">ump and </w:t>
      </w:r>
      <w:r w:rsidR="004A74E6">
        <w:rPr>
          <w:rFonts w:cs="Arial"/>
          <w:lang w:val="en-CA"/>
        </w:rPr>
        <w:t>d</w:t>
      </w:r>
      <w:r w:rsidRPr="001C4B76">
        <w:rPr>
          <w:rFonts w:cs="Arial"/>
          <w:lang w:val="en-CA"/>
        </w:rPr>
        <w:t>ump</w:t>
      </w:r>
      <w:r w:rsidR="004A74E6">
        <w:rPr>
          <w:rFonts w:cs="Arial"/>
          <w:lang w:val="en-CA"/>
        </w:rPr>
        <w:t>”</w:t>
      </w:r>
      <w:r w:rsidRPr="001C4B76">
        <w:rPr>
          <w:rFonts w:cs="Arial"/>
          <w:lang w:val="en-CA"/>
        </w:rPr>
        <w:t xml:space="preserve"> scheme with the defendants and other individuals.</w:t>
      </w:r>
    </w:p>
    <w:p w14:paraId="08F277B2" w14:textId="77777777" w:rsidR="00264C6E" w:rsidRPr="001C4B76" w:rsidRDefault="0067404B" w:rsidP="002664B2">
      <w:pPr>
        <w:pStyle w:val="Paragraphe"/>
        <w:spacing w:line="240" w:lineRule="auto"/>
        <w:rPr>
          <w:rFonts w:cs="Arial"/>
          <w:lang w:val="en-CA"/>
        </w:rPr>
      </w:pPr>
      <w:r w:rsidRPr="001C4B76">
        <w:rPr>
          <w:rFonts w:cs="Arial"/>
          <w:lang w:val="en-CA"/>
        </w:rPr>
        <w:t>The revenue generated from the sale of shares, either through brokerage accounts in his name or controlled by him, totalled US$1.1 million.</w:t>
      </w:r>
    </w:p>
    <w:p w14:paraId="58E6A9D3" w14:textId="77777777" w:rsidR="00264C6E" w:rsidRPr="001C4B76" w:rsidRDefault="00264C6E" w:rsidP="009111B7">
      <w:pPr>
        <w:pStyle w:val="Paragraphe"/>
        <w:numPr>
          <w:ilvl w:val="0"/>
          <w:numId w:val="0"/>
        </w:numPr>
        <w:spacing w:line="240" w:lineRule="auto"/>
        <w:rPr>
          <w:rFonts w:cs="Arial"/>
          <w:lang w:val="en-CA"/>
        </w:rPr>
      </w:pPr>
      <w:r w:rsidRPr="001C4B76">
        <w:rPr>
          <w:rFonts w:cs="Arial"/>
          <w:b/>
          <w:lang w:val="en-CA"/>
        </w:rPr>
        <w:t xml:space="preserve">Jean-François </w:t>
      </w:r>
      <w:proofErr w:type="spellStart"/>
      <w:r w:rsidRPr="001C4B76">
        <w:rPr>
          <w:rFonts w:cs="Arial"/>
          <w:b/>
          <w:lang w:val="en-CA"/>
        </w:rPr>
        <w:t>Amyot</w:t>
      </w:r>
      <w:proofErr w:type="spellEnd"/>
      <w:r w:rsidR="009111B7" w:rsidRPr="001C4B76">
        <w:rPr>
          <w:rStyle w:val="Appelnotedebasdep"/>
          <w:rFonts w:cs="Arial"/>
          <w:b/>
          <w:lang w:val="en-CA"/>
        </w:rPr>
        <w:footnoteReference w:id="9"/>
      </w:r>
      <w:r w:rsidRPr="001C4B76">
        <w:rPr>
          <w:rFonts w:cs="Arial"/>
          <w:b/>
          <w:lang w:val="en-CA"/>
        </w:rPr>
        <w:t xml:space="preserve"> </w:t>
      </w:r>
    </w:p>
    <w:p w14:paraId="240DEC67" w14:textId="77777777" w:rsidR="00264C6E" w:rsidRPr="001C4B76" w:rsidRDefault="0067404B" w:rsidP="002664B2">
      <w:pPr>
        <w:pStyle w:val="Paragraphe"/>
        <w:spacing w:line="240" w:lineRule="auto"/>
        <w:rPr>
          <w:rFonts w:cs="Arial"/>
          <w:lang w:val="en-CA"/>
        </w:rPr>
      </w:pPr>
      <w:r w:rsidRPr="001C4B76">
        <w:rPr>
          <w:rFonts w:cs="Arial"/>
          <w:lang w:val="en-CA"/>
        </w:rPr>
        <w:t xml:space="preserve">On April 18, 2017, Jean-François </w:t>
      </w:r>
      <w:proofErr w:type="spellStart"/>
      <w:r w:rsidRPr="001C4B76">
        <w:rPr>
          <w:rFonts w:cs="Arial"/>
          <w:lang w:val="en-CA"/>
        </w:rPr>
        <w:t>Amyot</w:t>
      </w:r>
      <w:proofErr w:type="spellEnd"/>
      <w:r w:rsidRPr="001C4B76">
        <w:rPr>
          <w:rFonts w:cs="Arial"/>
          <w:lang w:val="en-CA"/>
        </w:rPr>
        <w:t xml:space="preserve"> pleaded guilty to 5 counts of market manipulation under s.</w:t>
      </w:r>
      <w:r w:rsidR="00264C6E" w:rsidRPr="001C4B76">
        <w:rPr>
          <w:rFonts w:cs="Arial"/>
          <w:lang w:val="en-CA"/>
        </w:rPr>
        <w:t xml:space="preserve"> 195.</w:t>
      </w:r>
      <w:r w:rsidRPr="001C4B76">
        <w:rPr>
          <w:rFonts w:cs="Arial"/>
          <w:lang w:val="en-CA"/>
        </w:rPr>
        <w:t xml:space="preserve">2 </w:t>
      </w:r>
      <w:r w:rsidR="003F391D">
        <w:rPr>
          <w:rFonts w:cs="Arial"/>
          <w:i/>
          <w:lang w:val="en-CA"/>
        </w:rPr>
        <w:t xml:space="preserve"> </w:t>
      </w:r>
      <w:r w:rsidR="003F391D">
        <w:rPr>
          <w:rFonts w:cs="Arial"/>
          <w:iCs/>
          <w:lang w:val="en-CA"/>
        </w:rPr>
        <w:t>and</w:t>
      </w:r>
      <w:r w:rsidRPr="001C4B76">
        <w:rPr>
          <w:rFonts w:cs="Arial"/>
          <w:lang w:val="en-CA"/>
        </w:rPr>
        <w:t xml:space="preserve"> other offences under th</w:t>
      </w:r>
      <w:r w:rsidR="003F391D">
        <w:rPr>
          <w:rFonts w:cs="Arial"/>
          <w:lang w:val="en-CA"/>
        </w:rPr>
        <w:t>e</w:t>
      </w:r>
      <w:r w:rsidRPr="001C4B76">
        <w:rPr>
          <w:rFonts w:cs="Arial"/>
          <w:lang w:val="en-CA"/>
        </w:rPr>
        <w:t xml:space="preserve"> </w:t>
      </w:r>
      <w:r w:rsidR="003F391D" w:rsidRPr="00057E23">
        <w:rPr>
          <w:rFonts w:cs="Arial"/>
          <w:i/>
          <w:iCs/>
          <w:lang w:val="en-CA"/>
        </w:rPr>
        <w:t>S</w:t>
      </w:r>
      <w:r w:rsidRPr="00057E23">
        <w:rPr>
          <w:rFonts w:cs="Arial"/>
          <w:i/>
          <w:iCs/>
          <w:lang w:val="en-CA"/>
        </w:rPr>
        <w:t>A</w:t>
      </w:r>
      <w:r w:rsidRPr="001C4B76">
        <w:rPr>
          <w:rFonts w:cs="Arial"/>
          <w:lang w:val="en-CA"/>
        </w:rPr>
        <w:t>.</w:t>
      </w:r>
    </w:p>
    <w:p w14:paraId="453302B6" w14:textId="77777777" w:rsidR="00264C6E" w:rsidRPr="001C4B76" w:rsidRDefault="0067404B" w:rsidP="002664B2">
      <w:pPr>
        <w:pStyle w:val="Paragraphe"/>
        <w:spacing w:line="240" w:lineRule="auto"/>
        <w:rPr>
          <w:rFonts w:cs="Arial"/>
          <w:lang w:val="en-CA"/>
        </w:rPr>
      </w:pPr>
      <w:r w:rsidRPr="001C4B76">
        <w:rPr>
          <w:rFonts w:cs="Arial"/>
          <w:lang w:val="en-CA"/>
        </w:rPr>
        <w:t>Pursuant to a joint submission, he was fined a total amount of $9 million and sentenced to 90 days’ imprisonment, to be served intermittently.</w:t>
      </w:r>
    </w:p>
    <w:p w14:paraId="50FBCB0B" w14:textId="77777777" w:rsidR="00264C6E" w:rsidRPr="001C4B76" w:rsidRDefault="0067404B" w:rsidP="002664B2">
      <w:pPr>
        <w:pStyle w:val="Paragraphe"/>
        <w:spacing w:line="240" w:lineRule="auto"/>
        <w:rPr>
          <w:rFonts w:cs="Arial"/>
          <w:lang w:val="en-CA"/>
        </w:rPr>
      </w:pPr>
      <w:r w:rsidRPr="001C4B76">
        <w:rPr>
          <w:rFonts w:cs="Arial"/>
          <w:lang w:val="en-CA"/>
        </w:rPr>
        <w:t>It goes without saying that his role in the organization was much more important than that of the defendants.</w:t>
      </w:r>
    </w:p>
    <w:p w14:paraId="66A95769" w14:textId="77777777" w:rsidR="00264C6E" w:rsidRPr="001C4B76" w:rsidRDefault="0067404B" w:rsidP="002664B2">
      <w:pPr>
        <w:pStyle w:val="Paragraphe"/>
        <w:spacing w:line="240" w:lineRule="auto"/>
        <w:rPr>
          <w:rFonts w:cs="Arial"/>
          <w:lang w:val="en-CA"/>
        </w:rPr>
      </w:pPr>
      <w:r w:rsidRPr="001C4B76">
        <w:rPr>
          <w:rFonts w:cs="Arial"/>
          <w:lang w:val="en-CA"/>
        </w:rPr>
        <w:t xml:space="preserve">For example, revenue of $5.4 million was generated in one of the brokerage accounts he held with one of his collaborators, Francis </w:t>
      </w:r>
      <w:proofErr w:type="spellStart"/>
      <w:r w:rsidRPr="001C4B76">
        <w:rPr>
          <w:rFonts w:cs="Arial"/>
          <w:lang w:val="en-CA"/>
        </w:rPr>
        <w:t>Mailhot</w:t>
      </w:r>
      <w:proofErr w:type="spellEnd"/>
      <w:r w:rsidRPr="001C4B76">
        <w:rPr>
          <w:rFonts w:cs="Arial"/>
          <w:lang w:val="en-CA"/>
        </w:rPr>
        <w:t>.</w:t>
      </w:r>
    </w:p>
    <w:p w14:paraId="098B3F00" w14:textId="77777777" w:rsidR="00264C6E" w:rsidRPr="001C4B76" w:rsidRDefault="00264C6E" w:rsidP="009111B7">
      <w:pPr>
        <w:pStyle w:val="Paragraphe"/>
        <w:numPr>
          <w:ilvl w:val="0"/>
          <w:numId w:val="0"/>
        </w:numPr>
        <w:spacing w:line="240" w:lineRule="auto"/>
        <w:rPr>
          <w:rFonts w:cs="Arial"/>
          <w:lang w:val="en-CA"/>
        </w:rPr>
      </w:pPr>
      <w:r w:rsidRPr="001C4B76">
        <w:rPr>
          <w:rFonts w:cs="Arial"/>
          <w:b/>
          <w:lang w:val="en-CA"/>
        </w:rPr>
        <w:t xml:space="preserve">Francis </w:t>
      </w:r>
      <w:proofErr w:type="spellStart"/>
      <w:r w:rsidRPr="001C4B76">
        <w:rPr>
          <w:rFonts w:cs="Arial"/>
          <w:b/>
          <w:lang w:val="en-CA"/>
        </w:rPr>
        <w:t>Mailhot</w:t>
      </w:r>
      <w:proofErr w:type="spellEnd"/>
      <w:r w:rsidR="009111B7" w:rsidRPr="001C4B76">
        <w:rPr>
          <w:rStyle w:val="Appelnotedebasdep"/>
          <w:rFonts w:cs="Arial"/>
          <w:b/>
          <w:lang w:val="en-CA"/>
        </w:rPr>
        <w:footnoteReference w:id="10"/>
      </w:r>
      <w:r w:rsidRPr="001C4B76">
        <w:rPr>
          <w:rFonts w:cs="Arial"/>
          <w:lang w:val="en-CA"/>
        </w:rPr>
        <w:t xml:space="preserve"> </w:t>
      </w:r>
    </w:p>
    <w:p w14:paraId="3DFC8D09" w14:textId="77777777" w:rsidR="00264C6E" w:rsidRPr="001C4B76" w:rsidRDefault="0067404B" w:rsidP="002664B2">
      <w:pPr>
        <w:pStyle w:val="Paragraphe"/>
        <w:spacing w:line="240" w:lineRule="auto"/>
        <w:rPr>
          <w:rFonts w:cs="Arial"/>
          <w:lang w:val="en-CA"/>
        </w:rPr>
      </w:pPr>
      <w:r w:rsidRPr="001C4B76">
        <w:rPr>
          <w:rFonts w:cs="Arial"/>
          <w:lang w:val="en-CA"/>
        </w:rPr>
        <w:t xml:space="preserve">On March 30, 2017, Francis </w:t>
      </w:r>
      <w:proofErr w:type="spellStart"/>
      <w:r w:rsidRPr="001C4B76">
        <w:rPr>
          <w:rFonts w:cs="Arial"/>
          <w:lang w:val="en-CA"/>
        </w:rPr>
        <w:t>Mailhot</w:t>
      </w:r>
      <w:proofErr w:type="spellEnd"/>
      <w:r w:rsidRPr="001C4B76">
        <w:rPr>
          <w:rFonts w:cs="Arial"/>
          <w:lang w:val="en-CA"/>
        </w:rPr>
        <w:t xml:space="preserve"> pleaded guilty to 3 counts of market manipulation under s.</w:t>
      </w:r>
      <w:r w:rsidR="00264C6E" w:rsidRPr="001C4B76">
        <w:rPr>
          <w:rFonts w:cs="Arial"/>
          <w:lang w:val="en-CA"/>
        </w:rPr>
        <w:t xml:space="preserve"> 195.</w:t>
      </w:r>
      <w:r w:rsidRPr="001C4B76">
        <w:rPr>
          <w:rFonts w:cs="Arial"/>
          <w:lang w:val="en-CA"/>
        </w:rPr>
        <w:t xml:space="preserve">2 </w:t>
      </w:r>
      <w:r w:rsidR="003F391D">
        <w:rPr>
          <w:rFonts w:cs="Arial"/>
          <w:lang w:val="en-CA"/>
        </w:rPr>
        <w:t>and</w:t>
      </w:r>
      <w:r w:rsidRPr="001C4B76">
        <w:rPr>
          <w:rFonts w:cs="Arial"/>
          <w:lang w:val="en-CA"/>
        </w:rPr>
        <w:t xml:space="preserve"> other charges under </w:t>
      </w:r>
      <w:r w:rsidR="003F391D">
        <w:rPr>
          <w:rFonts w:cs="Arial"/>
          <w:lang w:val="en-CA"/>
        </w:rPr>
        <w:t xml:space="preserve">the </w:t>
      </w:r>
      <w:r w:rsidR="003F391D" w:rsidRPr="00057E23">
        <w:rPr>
          <w:rFonts w:cs="Arial"/>
          <w:i/>
          <w:iCs/>
          <w:lang w:val="en-CA"/>
        </w:rPr>
        <w:t>SA</w:t>
      </w:r>
      <w:r w:rsidRPr="001C4B76">
        <w:rPr>
          <w:rFonts w:cs="Arial"/>
          <w:lang w:val="en-CA"/>
        </w:rPr>
        <w:t>.</w:t>
      </w:r>
    </w:p>
    <w:p w14:paraId="1CBB684A" w14:textId="77777777" w:rsidR="00264C6E" w:rsidRPr="001C4B76" w:rsidRDefault="0067404B" w:rsidP="002664B2">
      <w:pPr>
        <w:pStyle w:val="Paragraphe"/>
        <w:spacing w:line="240" w:lineRule="auto"/>
        <w:rPr>
          <w:rFonts w:cs="Arial"/>
          <w:lang w:val="en-CA"/>
        </w:rPr>
      </w:pPr>
      <w:r w:rsidRPr="001C4B76">
        <w:rPr>
          <w:rFonts w:cs="Arial"/>
          <w:lang w:val="en-CA"/>
        </w:rPr>
        <w:t>Pursuant to a joint submission</w:t>
      </w:r>
      <w:r w:rsidR="003F391D">
        <w:rPr>
          <w:rFonts w:cs="Arial"/>
          <w:lang w:val="en-CA"/>
        </w:rPr>
        <w:t>,</w:t>
      </w:r>
      <w:r w:rsidRPr="001C4B76">
        <w:rPr>
          <w:rFonts w:cs="Arial"/>
          <w:lang w:val="en-CA"/>
        </w:rPr>
        <w:t xml:space="preserve"> he was fined a total amount of $3.5 million.</w:t>
      </w:r>
    </w:p>
    <w:p w14:paraId="5C9CA670" w14:textId="77777777" w:rsidR="00264C6E" w:rsidRPr="001C4B76" w:rsidRDefault="0067404B" w:rsidP="002664B2">
      <w:pPr>
        <w:pStyle w:val="Paragraphe"/>
        <w:spacing w:line="240" w:lineRule="auto"/>
        <w:rPr>
          <w:rFonts w:cs="Arial"/>
          <w:lang w:val="en-CA"/>
        </w:rPr>
      </w:pPr>
      <w:r w:rsidRPr="001C4B76">
        <w:rPr>
          <w:rFonts w:cs="Arial"/>
          <w:lang w:val="en-CA"/>
        </w:rPr>
        <w:lastRenderedPageBreak/>
        <w:t xml:space="preserve">He was Jean-François </w:t>
      </w:r>
      <w:proofErr w:type="spellStart"/>
      <w:r w:rsidRPr="001C4B76">
        <w:rPr>
          <w:rFonts w:cs="Arial"/>
          <w:lang w:val="en-CA"/>
        </w:rPr>
        <w:t>Amyot’s</w:t>
      </w:r>
      <w:proofErr w:type="spellEnd"/>
      <w:r w:rsidRPr="001C4B76">
        <w:rPr>
          <w:rFonts w:cs="Arial"/>
          <w:lang w:val="en-CA"/>
        </w:rPr>
        <w:t xml:space="preserve"> partner and made profits of several million dollars.</w:t>
      </w:r>
    </w:p>
    <w:p w14:paraId="00AA0270" w14:textId="77777777" w:rsidR="00264C6E" w:rsidRPr="001C4B76" w:rsidRDefault="0067404B" w:rsidP="009111B7">
      <w:pPr>
        <w:pStyle w:val="Paragraphe"/>
        <w:numPr>
          <w:ilvl w:val="0"/>
          <w:numId w:val="0"/>
        </w:numPr>
        <w:spacing w:line="240" w:lineRule="auto"/>
        <w:rPr>
          <w:rFonts w:cs="Arial"/>
          <w:lang w:val="en-CA"/>
        </w:rPr>
      </w:pPr>
      <w:r w:rsidRPr="001C4B76">
        <w:rPr>
          <w:rFonts w:cs="Arial"/>
          <w:b/>
          <w:lang w:val="en-CA"/>
        </w:rPr>
        <w:t>Eric Boyd</w:t>
      </w:r>
      <w:r w:rsidR="009111B7" w:rsidRPr="001C4B76">
        <w:rPr>
          <w:rStyle w:val="Appelnotedebasdep"/>
          <w:rFonts w:cs="Arial"/>
          <w:b/>
          <w:lang w:val="en-CA"/>
        </w:rPr>
        <w:footnoteReference w:id="11"/>
      </w:r>
      <w:r w:rsidR="00264C6E" w:rsidRPr="001C4B76">
        <w:rPr>
          <w:rFonts w:cs="Arial"/>
          <w:lang w:val="en-CA"/>
        </w:rPr>
        <w:t xml:space="preserve"> </w:t>
      </w:r>
    </w:p>
    <w:p w14:paraId="152C3DCF" w14:textId="77777777" w:rsidR="00264C6E" w:rsidRPr="001C4B76" w:rsidRDefault="0067404B" w:rsidP="002664B2">
      <w:pPr>
        <w:pStyle w:val="Paragraphe"/>
        <w:spacing w:line="240" w:lineRule="auto"/>
        <w:rPr>
          <w:rFonts w:cs="Arial"/>
          <w:lang w:val="en-CA"/>
        </w:rPr>
      </w:pPr>
      <w:r w:rsidRPr="001C4B76">
        <w:rPr>
          <w:rFonts w:cs="Arial"/>
          <w:lang w:val="en-CA"/>
        </w:rPr>
        <w:t xml:space="preserve">On April 19, 2017, Eric Boyd pleaded guilty to </w:t>
      </w:r>
      <w:r w:rsidR="003F391D">
        <w:rPr>
          <w:rFonts w:cs="Arial"/>
          <w:lang w:val="en-CA"/>
        </w:rPr>
        <w:t>1</w:t>
      </w:r>
      <w:r w:rsidR="003F391D" w:rsidRPr="001C4B76">
        <w:rPr>
          <w:rFonts w:cs="Arial"/>
          <w:lang w:val="en-CA"/>
        </w:rPr>
        <w:t xml:space="preserve"> </w:t>
      </w:r>
      <w:r w:rsidRPr="001C4B76">
        <w:rPr>
          <w:rFonts w:cs="Arial"/>
          <w:lang w:val="en-CA"/>
        </w:rPr>
        <w:t>count of market manipulation under s.</w:t>
      </w:r>
      <w:r w:rsidR="00264C6E" w:rsidRPr="001C4B76">
        <w:rPr>
          <w:rFonts w:cs="Arial"/>
          <w:lang w:val="en-CA"/>
        </w:rPr>
        <w:t xml:space="preserve"> 195.</w:t>
      </w:r>
      <w:r w:rsidRPr="001C4B76">
        <w:rPr>
          <w:rFonts w:cs="Arial"/>
          <w:lang w:val="en-CA"/>
        </w:rPr>
        <w:t xml:space="preserve">2 of the </w:t>
      </w:r>
      <w:r w:rsidRPr="001C4B76">
        <w:rPr>
          <w:rFonts w:cs="Arial"/>
          <w:i/>
          <w:lang w:val="en-CA"/>
        </w:rPr>
        <w:t>SA</w:t>
      </w:r>
      <w:r w:rsidRPr="001C4B76">
        <w:rPr>
          <w:rFonts w:cs="Arial"/>
          <w:lang w:val="en-CA"/>
        </w:rPr>
        <w:t>.</w:t>
      </w:r>
      <w:r w:rsidR="00264C6E" w:rsidRPr="001C4B76">
        <w:rPr>
          <w:rFonts w:cs="Arial"/>
          <w:lang w:val="en-CA"/>
        </w:rPr>
        <w:t xml:space="preserve"> </w:t>
      </w:r>
      <w:r w:rsidRPr="001C4B76">
        <w:rPr>
          <w:rFonts w:cs="Arial"/>
          <w:lang w:val="en-CA"/>
        </w:rPr>
        <w:t>Pursuant to a joint submission</w:t>
      </w:r>
      <w:r w:rsidR="003F391D">
        <w:rPr>
          <w:rFonts w:cs="Arial"/>
          <w:lang w:val="en-CA"/>
        </w:rPr>
        <w:t>,</w:t>
      </w:r>
      <w:r w:rsidRPr="001C4B76">
        <w:rPr>
          <w:rFonts w:cs="Arial"/>
          <w:lang w:val="en-CA"/>
        </w:rPr>
        <w:t xml:space="preserve"> he was fined $30,000.</w:t>
      </w:r>
    </w:p>
    <w:p w14:paraId="5D4BEDBD" w14:textId="77777777" w:rsidR="00264C6E" w:rsidRPr="001C4B76" w:rsidRDefault="0067404B" w:rsidP="002664B2">
      <w:pPr>
        <w:pStyle w:val="Paragraphe"/>
        <w:spacing w:line="240" w:lineRule="auto"/>
        <w:rPr>
          <w:rFonts w:cs="Arial"/>
          <w:lang w:val="en-CA"/>
        </w:rPr>
      </w:pPr>
      <w:r w:rsidRPr="001C4B76">
        <w:rPr>
          <w:rFonts w:cs="Arial"/>
          <w:lang w:val="en-CA"/>
        </w:rPr>
        <w:t xml:space="preserve">He was involved in recruiting </w:t>
      </w:r>
      <w:r w:rsidR="00AC5020" w:rsidRPr="001C4B76">
        <w:rPr>
          <w:rFonts w:cs="Arial"/>
          <w:lang w:val="en-CA"/>
        </w:rPr>
        <w:t>promoters and</w:t>
      </w:r>
      <w:r w:rsidRPr="001C4B76">
        <w:rPr>
          <w:rFonts w:cs="Arial"/>
          <w:lang w:val="en-CA"/>
        </w:rPr>
        <w:t xml:space="preserve"> preparing and distributing press releases.</w:t>
      </w:r>
      <w:r w:rsidR="00264C6E" w:rsidRPr="001C4B76">
        <w:rPr>
          <w:rFonts w:cs="Arial"/>
          <w:lang w:val="en-CA"/>
        </w:rPr>
        <w:t xml:space="preserve"> </w:t>
      </w:r>
      <w:r w:rsidRPr="001C4B76">
        <w:rPr>
          <w:rFonts w:cs="Arial"/>
          <w:lang w:val="en-CA"/>
        </w:rPr>
        <w:t>He was on the lowest rung of the organization.</w:t>
      </w:r>
    </w:p>
    <w:p w14:paraId="44EC5233" w14:textId="77777777" w:rsidR="00264C6E" w:rsidRPr="001C4B76" w:rsidRDefault="0067404B" w:rsidP="00E4511D">
      <w:pPr>
        <w:pStyle w:val="Paragraphe"/>
        <w:numPr>
          <w:ilvl w:val="0"/>
          <w:numId w:val="0"/>
        </w:numPr>
        <w:spacing w:line="240" w:lineRule="auto"/>
        <w:rPr>
          <w:rFonts w:cs="Arial"/>
          <w:b/>
          <w:bCs/>
          <w:lang w:val="en-CA"/>
        </w:rPr>
      </w:pPr>
      <w:r w:rsidRPr="001C4B76">
        <w:rPr>
          <w:rFonts w:cs="Arial"/>
          <w:b/>
          <w:bCs/>
          <w:lang w:val="en-CA"/>
        </w:rPr>
        <w:t>Decision</w:t>
      </w:r>
    </w:p>
    <w:p w14:paraId="391A4B4A" w14:textId="77777777" w:rsidR="00264C6E" w:rsidRPr="001C4B76" w:rsidRDefault="0067404B" w:rsidP="002664B2">
      <w:pPr>
        <w:pStyle w:val="Paragraphe"/>
        <w:spacing w:line="240" w:lineRule="auto"/>
        <w:rPr>
          <w:rFonts w:cs="Arial"/>
          <w:lang w:val="en-CA"/>
        </w:rPr>
      </w:pPr>
      <w:r w:rsidRPr="001C4B76">
        <w:rPr>
          <w:rFonts w:cs="Arial"/>
          <w:lang w:val="en-CA"/>
        </w:rPr>
        <w:t>The Court is of the view that the numerous aggravating factors require that substantial fines be imposed on the defendants to reflect their degree of responsibility and the gravity of the offences.</w:t>
      </w:r>
    </w:p>
    <w:p w14:paraId="40C72AC7" w14:textId="77777777" w:rsidR="00264C6E" w:rsidRPr="001C4B76" w:rsidRDefault="0067404B" w:rsidP="002664B2">
      <w:pPr>
        <w:pStyle w:val="Paragraphe"/>
        <w:spacing w:line="240" w:lineRule="auto"/>
        <w:rPr>
          <w:rFonts w:cs="Arial"/>
          <w:lang w:val="en-CA"/>
        </w:rPr>
      </w:pPr>
      <w:r w:rsidRPr="001C4B76">
        <w:rPr>
          <w:rFonts w:cs="Arial"/>
          <w:lang w:val="en-CA"/>
        </w:rPr>
        <w:t>In this case, the objective of both specific and general deterrence is of great importance.</w:t>
      </w:r>
      <w:r w:rsidR="00264C6E" w:rsidRPr="001C4B76">
        <w:rPr>
          <w:rFonts w:cs="Arial"/>
          <w:lang w:val="en-CA"/>
        </w:rPr>
        <w:t xml:space="preserve"> </w:t>
      </w:r>
      <w:r w:rsidRPr="001C4B76">
        <w:rPr>
          <w:rFonts w:cs="Arial"/>
          <w:lang w:val="en-CA"/>
        </w:rPr>
        <w:t>The numerous aggravating factors listed in this judgment</w:t>
      </w:r>
      <w:r w:rsidR="009450A4">
        <w:rPr>
          <w:rFonts w:cs="Arial"/>
          <w:lang w:val="en-CA"/>
        </w:rPr>
        <w:t>,</w:t>
      </w:r>
      <w:r w:rsidRPr="001C4B76">
        <w:rPr>
          <w:rFonts w:cs="Arial"/>
          <w:lang w:val="en-CA"/>
        </w:rPr>
        <w:t xml:space="preserve"> combined with the case law </w:t>
      </w:r>
      <w:r w:rsidR="00451BB4">
        <w:rPr>
          <w:rFonts w:cs="Arial"/>
          <w:lang w:val="en-CA"/>
        </w:rPr>
        <w:t xml:space="preserve">according to which </w:t>
      </w:r>
      <w:r w:rsidRPr="001C4B76">
        <w:rPr>
          <w:rFonts w:cs="Arial"/>
          <w:lang w:val="en-CA"/>
        </w:rPr>
        <w:t>the objectives of denunciation</w:t>
      </w:r>
      <w:r w:rsidR="00451BB4">
        <w:rPr>
          <w:rFonts w:cs="Arial"/>
          <w:lang w:val="en-CA"/>
        </w:rPr>
        <w:t>,</w:t>
      </w:r>
      <w:r w:rsidRPr="001C4B76">
        <w:rPr>
          <w:rFonts w:cs="Arial"/>
          <w:lang w:val="en-CA"/>
        </w:rPr>
        <w:t xml:space="preserve"> deterrence</w:t>
      </w:r>
      <w:r w:rsidR="00451BB4">
        <w:rPr>
          <w:rFonts w:cs="Arial"/>
          <w:lang w:val="en-CA"/>
        </w:rPr>
        <w:t>, and making an example</w:t>
      </w:r>
      <w:r w:rsidRPr="001C4B76">
        <w:rPr>
          <w:rFonts w:cs="Arial"/>
          <w:lang w:val="en-CA"/>
        </w:rPr>
        <w:t xml:space="preserve"> must prevail, justify the sentences </w:t>
      </w:r>
      <w:r w:rsidR="00451BB4">
        <w:rPr>
          <w:rFonts w:cs="Arial"/>
          <w:lang w:val="en-CA"/>
        </w:rPr>
        <w:t xml:space="preserve">sought </w:t>
      </w:r>
      <w:r w:rsidRPr="001C4B76">
        <w:rPr>
          <w:rFonts w:cs="Arial"/>
          <w:lang w:val="en-CA"/>
        </w:rPr>
        <w:t xml:space="preserve">by the </w:t>
      </w:r>
      <w:r w:rsidR="00A94B63">
        <w:rPr>
          <w:rFonts w:cs="Arial"/>
          <w:lang w:val="en-CA"/>
        </w:rPr>
        <w:t>p</w:t>
      </w:r>
      <w:r w:rsidRPr="001C4B76">
        <w:rPr>
          <w:rFonts w:cs="Arial"/>
          <w:lang w:val="en-CA"/>
        </w:rPr>
        <w:t>rosecution.</w:t>
      </w:r>
    </w:p>
    <w:p w14:paraId="33C0E66A" w14:textId="77777777" w:rsidR="00264C6E" w:rsidRPr="001C4B76" w:rsidRDefault="0067404B" w:rsidP="002664B2">
      <w:pPr>
        <w:pStyle w:val="Paragraphe"/>
        <w:spacing w:line="240" w:lineRule="auto"/>
        <w:rPr>
          <w:rFonts w:cs="Arial"/>
          <w:lang w:val="en-CA"/>
        </w:rPr>
      </w:pPr>
      <w:r w:rsidRPr="001C4B76">
        <w:rPr>
          <w:rFonts w:cs="Arial"/>
          <w:lang w:val="en-CA"/>
        </w:rPr>
        <w:t>Indeed, deterrence must be at the heart of this matter.</w:t>
      </w:r>
      <w:r w:rsidR="00264C6E" w:rsidRPr="001C4B76">
        <w:rPr>
          <w:rFonts w:cs="Arial"/>
          <w:lang w:val="en-CA"/>
        </w:rPr>
        <w:t xml:space="preserve"> </w:t>
      </w:r>
      <w:r w:rsidRPr="001C4B76">
        <w:rPr>
          <w:rFonts w:cs="Arial"/>
          <w:lang w:val="en-CA"/>
        </w:rPr>
        <w:t xml:space="preserve">The actions of the defendants and of all those who participated in the </w:t>
      </w:r>
      <w:r w:rsidR="00AC5020">
        <w:rPr>
          <w:rFonts w:cs="Arial"/>
          <w:lang w:val="en-CA"/>
        </w:rPr>
        <w:t>“p</w:t>
      </w:r>
      <w:r w:rsidRPr="001C4B76">
        <w:rPr>
          <w:rFonts w:cs="Arial"/>
          <w:lang w:val="en-CA"/>
        </w:rPr>
        <w:t xml:space="preserve">ump and </w:t>
      </w:r>
      <w:r w:rsidR="00AC5020">
        <w:rPr>
          <w:rFonts w:cs="Arial"/>
          <w:lang w:val="en-CA"/>
        </w:rPr>
        <w:t>d</w:t>
      </w:r>
      <w:r w:rsidRPr="001C4B76">
        <w:rPr>
          <w:rFonts w:cs="Arial"/>
          <w:lang w:val="en-CA"/>
        </w:rPr>
        <w:t>ump</w:t>
      </w:r>
      <w:r w:rsidR="00AC5020">
        <w:rPr>
          <w:rFonts w:cs="Arial"/>
          <w:lang w:val="en-CA"/>
        </w:rPr>
        <w:t>”</w:t>
      </w:r>
      <w:r w:rsidRPr="001C4B76">
        <w:rPr>
          <w:rFonts w:cs="Arial"/>
          <w:lang w:val="en-CA"/>
        </w:rPr>
        <w:t xml:space="preserve"> scheme used by the Andrea Cortellazzi organization caused immense harm to the securities market, and </w:t>
      </w:r>
      <w:r w:rsidR="00A82656">
        <w:rPr>
          <w:rFonts w:cs="Arial"/>
          <w:lang w:val="en-CA"/>
        </w:rPr>
        <w:t>are likely to undermine</w:t>
      </w:r>
      <w:r w:rsidRPr="001C4B76">
        <w:rPr>
          <w:rFonts w:cs="Arial"/>
          <w:lang w:val="en-CA"/>
        </w:rPr>
        <w:t xml:space="preserve"> </w:t>
      </w:r>
      <w:r w:rsidR="00AC5020">
        <w:rPr>
          <w:rFonts w:cs="Arial"/>
          <w:lang w:val="en-CA"/>
        </w:rPr>
        <w:t>investor</w:t>
      </w:r>
      <w:r w:rsidRPr="001C4B76">
        <w:rPr>
          <w:rFonts w:cs="Arial"/>
          <w:lang w:val="en-CA"/>
        </w:rPr>
        <w:t xml:space="preserve"> </w:t>
      </w:r>
      <w:r w:rsidR="00AC5020">
        <w:rPr>
          <w:rFonts w:cs="Arial"/>
          <w:lang w:val="en-CA"/>
        </w:rPr>
        <w:t>confidence</w:t>
      </w:r>
      <w:r w:rsidRPr="001C4B76">
        <w:rPr>
          <w:rFonts w:cs="Arial"/>
          <w:lang w:val="en-CA"/>
        </w:rPr>
        <w:t xml:space="preserve"> in the market.</w:t>
      </w:r>
    </w:p>
    <w:p w14:paraId="0A544D59" w14:textId="77777777" w:rsidR="00264C6E" w:rsidRPr="001C4B76" w:rsidRDefault="0067404B" w:rsidP="002664B2">
      <w:pPr>
        <w:pStyle w:val="Paragraphe"/>
        <w:spacing w:line="240" w:lineRule="auto"/>
        <w:rPr>
          <w:rFonts w:cs="Arial"/>
          <w:lang w:val="en-CA"/>
        </w:rPr>
      </w:pPr>
      <w:r w:rsidRPr="001C4B76">
        <w:rPr>
          <w:rFonts w:cs="Arial"/>
          <w:lang w:val="en-CA"/>
        </w:rPr>
        <w:t xml:space="preserve">The fines suggested by the </w:t>
      </w:r>
      <w:r w:rsidR="00A94B63">
        <w:rPr>
          <w:rFonts w:cs="Arial"/>
          <w:lang w:val="en-CA"/>
        </w:rPr>
        <w:t>p</w:t>
      </w:r>
      <w:r w:rsidRPr="001C4B76">
        <w:rPr>
          <w:rFonts w:cs="Arial"/>
          <w:lang w:val="en-CA"/>
        </w:rPr>
        <w:t>rosecution are a good reflection of the principle of proportionality for the defendants, given the various aggravating factors listed in this judgment, the lack of mitigating factors, and the sentences imposed on other members of the organization.</w:t>
      </w:r>
    </w:p>
    <w:p w14:paraId="5F2804D4"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t>For these reasons, the Court imposes:</w:t>
      </w:r>
    </w:p>
    <w:p w14:paraId="1D4E2D62" w14:textId="77777777" w:rsidR="00264C6E" w:rsidRPr="001C4B76" w:rsidRDefault="00264C6E" w:rsidP="002664B2">
      <w:pPr>
        <w:pStyle w:val="Paragraphe"/>
        <w:numPr>
          <w:ilvl w:val="0"/>
          <w:numId w:val="0"/>
        </w:numPr>
        <w:spacing w:line="240" w:lineRule="auto"/>
        <w:rPr>
          <w:rFonts w:cs="Arial"/>
          <w:b/>
          <w:bCs/>
          <w:u w:val="single"/>
          <w:lang w:val="en-CA"/>
        </w:rPr>
      </w:pPr>
      <w:r w:rsidRPr="001C4B76">
        <w:rPr>
          <w:rFonts w:cs="Arial"/>
          <w:b/>
          <w:bCs/>
          <w:u w:val="single"/>
          <w:lang w:val="en-CA"/>
        </w:rPr>
        <w:t>Antonio Savaris</w:t>
      </w:r>
    </w:p>
    <w:p w14:paraId="5B2FBF73"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t>Count No. 6:</w:t>
      </w:r>
      <w:r w:rsidR="00264C6E" w:rsidRPr="001C4B76">
        <w:rPr>
          <w:rFonts w:cs="Arial"/>
          <w:b/>
          <w:bCs/>
          <w:lang w:val="en-CA"/>
        </w:rPr>
        <w:t xml:space="preserve"> </w:t>
      </w:r>
      <w:r w:rsidRPr="001C4B76">
        <w:rPr>
          <w:rFonts w:cs="Arial"/>
          <w:b/>
          <w:bCs/>
          <w:lang w:val="en-CA"/>
        </w:rPr>
        <w:t xml:space="preserve">a </w:t>
      </w:r>
      <w:r w:rsidR="005D7FCE">
        <w:rPr>
          <w:rFonts w:cs="Arial"/>
          <w:b/>
          <w:bCs/>
          <w:lang w:val="en-CA"/>
        </w:rPr>
        <w:t xml:space="preserve">fine of </w:t>
      </w:r>
      <w:r w:rsidRPr="001C4B76">
        <w:rPr>
          <w:rFonts w:cs="Arial"/>
          <w:b/>
          <w:bCs/>
          <w:lang w:val="en-CA"/>
        </w:rPr>
        <w:t>$125,000 and costs.</w:t>
      </w:r>
    </w:p>
    <w:p w14:paraId="51D0771E"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t>Count No. 7:</w:t>
      </w:r>
      <w:r w:rsidR="00264C6E" w:rsidRPr="001C4B76">
        <w:rPr>
          <w:rFonts w:cs="Arial"/>
          <w:b/>
          <w:bCs/>
          <w:lang w:val="en-CA"/>
        </w:rPr>
        <w:t xml:space="preserve"> </w:t>
      </w:r>
      <w:r w:rsidRPr="001C4B76">
        <w:rPr>
          <w:rFonts w:cs="Arial"/>
          <w:b/>
          <w:bCs/>
          <w:lang w:val="en-CA"/>
        </w:rPr>
        <w:t xml:space="preserve">a </w:t>
      </w:r>
      <w:r w:rsidR="005D7FCE">
        <w:rPr>
          <w:rFonts w:cs="Arial"/>
          <w:b/>
          <w:bCs/>
          <w:lang w:val="en-CA"/>
        </w:rPr>
        <w:t xml:space="preserve">fine of </w:t>
      </w:r>
      <w:r w:rsidRPr="001C4B76">
        <w:rPr>
          <w:rFonts w:cs="Arial"/>
          <w:b/>
          <w:bCs/>
          <w:lang w:val="en-CA"/>
        </w:rPr>
        <w:t>$125,000 and costs.</w:t>
      </w:r>
    </w:p>
    <w:p w14:paraId="457699A8" w14:textId="77777777" w:rsidR="00264C6E" w:rsidRPr="001C4B76" w:rsidRDefault="00264C6E" w:rsidP="002664B2">
      <w:pPr>
        <w:pStyle w:val="Paragraphe"/>
        <w:numPr>
          <w:ilvl w:val="0"/>
          <w:numId w:val="0"/>
        </w:numPr>
        <w:spacing w:line="240" w:lineRule="auto"/>
        <w:rPr>
          <w:rFonts w:cs="Arial"/>
          <w:b/>
          <w:bCs/>
          <w:u w:val="single"/>
          <w:lang w:val="en-CA"/>
        </w:rPr>
      </w:pPr>
      <w:r w:rsidRPr="001C4B76">
        <w:rPr>
          <w:rFonts w:cs="Arial"/>
          <w:b/>
          <w:bCs/>
          <w:u w:val="single"/>
          <w:lang w:val="en-CA"/>
        </w:rPr>
        <w:t>Michael Raso Cortellazzi</w:t>
      </w:r>
    </w:p>
    <w:p w14:paraId="71F1A11D"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t>Count No. 8:</w:t>
      </w:r>
      <w:r w:rsidR="00264C6E" w:rsidRPr="001C4B76">
        <w:rPr>
          <w:rFonts w:cs="Arial"/>
          <w:b/>
          <w:bCs/>
          <w:lang w:val="en-CA"/>
        </w:rPr>
        <w:t xml:space="preserve"> </w:t>
      </w:r>
      <w:r w:rsidRPr="001C4B76">
        <w:rPr>
          <w:rFonts w:cs="Arial"/>
          <w:b/>
          <w:bCs/>
          <w:lang w:val="en-CA"/>
        </w:rPr>
        <w:t xml:space="preserve">a </w:t>
      </w:r>
      <w:r w:rsidR="005D7FCE">
        <w:rPr>
          <w:rFonts w:cs="Arial"/>
          <w:b/>
          <w:bCs/>
          <w:lang w:val="en-CA"/>
        </w:rPr>
        <w:t xml:space="preserve">fine of </w:t>
      </w:r>
      <w:r w:rsidRPr="001C4B76">
        <w:rPr>
          <w:rFonts w:cs="Arial"/>
          <w:b/>
          <w:bCs/>
          <w:lang w:val="en-CA"/>
        </w:rPr>
        <w:t>$375,000 and costs.</w:t>
      </w:r>
    </w:p>
    <w:p w14:paraId="5DBEC2A1"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lastRenderedPageBreak/>
        <w:t>Count No. 9:</w:t>
      </w:r>
      <w:r w:rsidR="00264C6E" w:rsidRPr="001C4B76">
        <w:rPr>
          <w:rFonts w:cs="Arial"/>
          <w:b/>
          <w:bCs/>
          <w:lang w:val="en-CA"/>
        </w:rPr>
        <w:t xml:space="preserve"> </w:t>
      </w:r>
      <w:r w:rsidRPr="001C4B76">
        <w:rPr>
          <w:rFonts w:cs="Arial"/>
          <w:b/>
          <w:bCs/>
          <w:lang w:val="en-CA"/>
        </w:rPr>
        <w:t xml:space="preserve">a </w:t>
      </w:r>
      <w:r w:rsidR="005D7FCE">
        <w:rPr>
          <w:rFonts w:cs="Arial"/>
          <w:b/>
          <w:bCs/>
          <w:lang w:val="en-CA"/>
        </w:rPr>
        <w:t xml:space="preserve">fine of </w:t>
      </w:r>
      <w:r w:rsidRPr="001C4B76">
        <w:rPr>
          <w:rFonts w:cs="Arial"/>
          <w:b/>
          <w:bCs/>
          <w:lang w:val="en-CA"/>
        </w:rPr>
        <w:t>$50,000 and costs.</w:t>
      </w:r>
    </w:p>
    <w:p w14:paraId="7A3D864F" w14:textId="77777777" w:rsidR="00264C6E" w:rsidRPr="001C4B76" w:rsidRDefault="0067404B" w:rsidP="002664B2">
      <w:pPr>
        <w:pStyle w:val="Paragraphe"/>
        <w:numPr>
          <w:ilvl w:val="0"/>
          <w:numId w:val="0"/>
        </w:numPr>
        <w:spacing w:line="240" w:lineRule="auto"/>
        <w:rPr>
          <w:rFonts w:cs="Arial"/>
          <w:b/>
          <w:bCs/>
          <w:lang w:val="en-CA"/>
        </w:rPr>
      </w:pPr>
      <w:r w:rsidRPr="001C4B76">
        <w:rPr>
          <w:rFonts w:cs="Arial"/>
          <w:b/>
          <w:bCs/>
          <w:lang w:val="en-CA"/>
        </w:rPr>
        <w:t>Count No. 10:</w:t>
      </w:r>
      <w:r w:rsidR="00264C6E" w:rsidRPr="001C4B76">
        <w:rPr>
          <w:rFonts w:cs="Arial"/>
          <w:b/>
          <w:bCs/>
          <w:lang w:val="en-CA"/>
        </w:rPr>
        <w:t xml:space="preserve"> </w:t>
      </w:r>
      <w:r w:rsidRPr="001C4B76">
        <w:rPr>
          <w:rFonts w:cs="Arial"/>
          <w:b/>
          <w:bCs/>
          <w:lang w:val="en-CA"/>
        </w:rPr>
        <w:t xml:space="preserve">a </w:t>
      </w:r>
      <w:r w:rsidR="005D7FCE">
        <w:rPr>
          <w:rFonts w:cs="Arial"/>
          <w:b/>
          <w:bCs/>
          <w:lang w:val="en-CA"/>
        </w:rPr>
        <w:t xml:space="preserve">fine of </w:t>
      </w:r>
      <w:r w:rsidRPr="001C4B76">
        <w:rPr>
          <w:rFonts w:cs="Arial"/>
          <w:b/>
          <w:bCs/>
          <w:lang w:val="en-CA"/>
        </w:rPr>
        <w:t>$155,000 and costs.</w:t>
      </w:r>
    </w:p>
    <w:p w14:paraId="25566D27" w14:textId="77777777" w:rsidR="00130AD5" w:rsidRPr="001C4B76" w:rsidRDefault="0067404B" w:rsidP="002A684B">
      <w:pPr>
        <w:pStyle w:val="Paragraphe"/>
        <w:numPr>
          <w:ilvl w:val="0"/>
          <w:numId w:val="0"/>
        </w:numPr>
        <w:spacing w:line="240" w:lineRule="auto"/>
        <w:rPr>
          <w:rFonts w:cs="Arial"/>
          <w:b/>
          <w:bCs/>
          <w:lang w:val="en-CA"/>
        </w:rPr>
      </w:pPr>
      <w:r w:rsidRPr="001C4B76">
        <w:rPr>
          <w:rFonts w:cs="Arial"/>
          <w:b/>
          <w:bCs/>
          <w:lang w:val="en-CA"/>
        </w:rPr>
        <w:t>The defendants have 18 months to pay the fines and the costs.</w:t>
      </w:r>
    </w:p>
    <w:p w14:paraId="7FA62CBB" w14:textId="77777777" w:rsidR="002A684B" w:rsidRPr="001C4B76" w:rsidRDefault="002A684B" w:rsidP="002A684B">
      <w:pPr>
        <w:pStyle w:val="Paragraphe"/>
        <w:numPr>
          <w:ilvl w:val="0"/>
          <w:numId w:val="0"/>
        </w:numPr>
        <w:spacing w:line="240" w:lineRule="auto"/>
        <w:rPr>
          <w:rFonts w:cs="Arial"/>
          <w:b/>
          <w:bCs/>
          <w:lang w:val="en-CA"/>
        </w:rPr>
      </w:pPr>
    </w:p>
    <w:p w14:paraId="250F11A6" w14:textId="77777777" w:rsidR="002A684B" w:rsidRPr="001C4B76" w:rsidRDefault="002A684B" w:rsidP="002A684B">
      <w:pPr>
        <w:pStyle w:val="Paragraphe"/>
        <w:numPr>
          <w:ilvl w:val="0"/>
          <w:numId w:val="0"/>
        </w:numPr>
        <w:spacing w:line="240" w:lineRule="auto"/>
        <w:rPr>
          <w:rFonts w:cs="Arial"/>
          <w:b/>
          <w:bCs/>
          <w:lang w:val="en-CA"/>
        </w:rPr>
      </w:pPr>
    </w:p>
    <w:tbl>
      <w:tblPr>
        <w:tblW w:w="9505" w:type="dxa"/>
        <w:tblLayout w:type="fixed"/>
        <w:tblCellMar>
          <w:left w:w="70" w:type="dxa"/>
          <w:right w:w="70" w:type="dxa"/>
        </w:tblCellMar>
        <w:tblLook w:val="0000" w:firstRow="0" w:lastRow="0" w:firstColumn="0" w:lastColumn="0" w:noHBand="0" w:noVBand="0"/>
      </w:tblPr>
      <w:tblGrid>
        <w:gridCol w:w="2770"/>
        <w:gridCol w:w="2097"/>
        <w:gridCol w:w="4638"/>
      </w:tblGrid>
      <w:tr w:rsidR="006943F7" w:rsidRPr="001C4B76" w14:paraId="75437076" w14:textId="77777777">
        <w:trPr>
          <w:trHeight w:val="576"/>
        </w:trPr>
        <w:tc>
          <w:tcPr>
            <w:tcW w:w="9505" w:type="dxa"/>
            <w:gridSpan w:val="3"/>
          </w:tcPr>
          <w:p w14:paraId="4E24CFC4" w14:textId="77777777" w:rsidR="002A223C" w:rsidRPr="001C4B76" w:rsidRDefault="002A223C">
            <w:pPr>
              <w:keepNext/>
              <w:keepLines/>
              <w:rPr>
                <w:rFonts w:cs="Arial"/>
                <w:lang w:val="en-CA"/>
              </w:rPr>
            </w:pPr>
          </w:p>
        </w:tc>
      </w:tr>
      <w:tr w:rsidR="006943F7" w:rsidRPr="00282367" w14:paraId="010FFD58" w14:textId="77777777">
        <w:tblPrEx>
          <w:tblCellMar>
            <w:left w:w="0" w:type="dxa"/>
            <w:right w:w="0" w:type="dxa"/>
          </w:tblCellMar>
        </w:tblPrEx>
        <w:trPr>
          <w:cantSplit/>
        </w:trPr>
        <w:tc>
          <w:tcPr>
            <w:tcW w:w="4867" w:type="dxa"/>
            <w:gridSpan w:val="2"/>
          </w:tcPr>
          <w:p w14:paraId="373E4C0A" w14:textId="77777777" w:rsidR="005A55CB" w:rsidRPr="001C4B76" w:rsidRDefault="005A55CB">
            <w:pPr>
              <w:rPr>
                <w:rFonts w:cs="Arial"/>
                <w:lang w:val="en-CA"/>
              </w:rPr>
            </w:pPr>
          </w:p>
        </w:tc>
        <w:tc>
          <w:tcPr>
            <w:tcW w:w="4638" w:type="dxa"/>
          </w:tcPr>
          <w:p w14:paraId="6BF7E822" w14:textId="77777777" w:rsidR="005A55CB" w:rsidRPr="00282367" w:rsidRDefault="005A55CB">
            <w:pPr>
              <w:pStyle w:val="zSoquijdatSignature3Juge"/>
              <w:rPr>
                <w:rFonts w:cs="Arial"/>
              </w:rPr>
            </w:pPr>
            <w:r w:rsidRPr="00282367">
              <w:rPr>
                <w:rFonts w:cs="Arial"/>
              </w:rPr>
              <w:t>__________________________________</w:t>
            </w:r>
          </w:p>
          <w:p w14:paraId="20914BA7" w14:textId="77777777" w:rsidR="005A55CB" w:rsidRPr="00282367" w:rsidRDefault="005A55CB">
            <w:pPr>
              <w:pStyle w:val="zSoquijdatSignature3Juge"/>
              <w:rPr>
                <w:rFonts w:cs="Arial"/>
              </w:rPr>
            </w:pPr>
            <w:r w:rsidRPr="00282367">
              <w:rPr>
                <w:rFonts w:cs="Arial"/>
              </w:rPr>
              <w:t>JOSÉE BÉLANGER, J.C.Q.</w:t>
            </w:r>
          </w:p>
        </w:tc>
      </w:tr>
      <w:tr w:rsidR="006943F7" w:rsidRPr="00282367" w14:paraId="0FA381C9" w14:textId="77777777">
        <w:tc>
          <w:tcPr>
            <w:tcW w:w="9505" w:type="dxa"/>
            <w:gridSpan w:val="3"/>
          </w:tcPr>
          <w:p w14:paraId="5D76CADF" w14:textId="77777777" w:rsidR="00C42330" w:rsidRPr="00282367" w:rsidRDefault="00C42330">
            <w:pPr>
              <w:rPr>
                <w:rFonts w:cs="Arial"/>
              </w:rPr>
            </w:pPr>
          </w:p>
          <w:p w14:paraId="3151A5CE" w14:textId="77777777" w:rsidR="00E6291C" w:rsidRPr="00282367" w:rsidRDefault="00E6291C">
            <w:pPr>
              <w:rPr>
                <w:rFonts w:cs="Arial"/>
              </w:rPr>
            </w:pPr>
          </w:p>
          <w:p w14:paraId="24529825" w14:textId="77777777" w:rsidR="00D2355E" w:rsidRPr="00282367" w:rsidRDefault="00D2355E">
            <w:pPr>
              <w:rPr>
                <w:rFonts w:cs="Arial"/>
              </w:rPr>
            </w:pPr>
          </w:p>
        </w:tc>
      </w:tr>
      <w:tr w:rsidR="006943F7" w:rsidRPr="00282367" w14:paraId="3F309397" w14:textId="77777777">
        <w:trPr>
          <w:cantSplit/>
        </w:trPr>
        <w:tc>
          <w:tcPr>
            <w:tcW w:w="9505" w:type="dxa"/>
            <w:gridSpan w:val="3"/>
          </w:tcPr>
          <w:p w14:paraId="0EB6B44B" w14:textId="77777777" w:rsidR="005A55CB" w:rsidRPr="00282367" w:rsidRDefault="005A55CB" w:rsidP="00ED296F">
            <w:pPr>
              <w:pStyle w:val="zSoquijdatNomProcureurDem"/>
              <w:rPr>
                <w:rFonts w:cs="Arial"/>
              </w:rPr>
            </w:pPr>
            <w:r w:rsidRPr="00282367">
              <w:rPr>
                <w:rFonts w:cs="Arial"/>
              </w:rPr>
              <w:t>Mtre Sébastien Simard</w:t>
            </w:r>
          </w:p>
          <w:p w14:paraId="122F6489" w14:textId="77777777" w:rsidR="00E75C08" w:rsidRPr="00282367" w:rsidRDefault="00E75C08" w:rsidP="00ED296F">
            <w:pPr>
              <w:pStyle w:val="zSoquijdatNomProcureurDem"/>
              <w:rPr>
                <w:rFonts w:cs="Arial"/>
              </w:rPr>
            </w:pPr>
            <w:r w:rsidRPr="00282367">
              <w:rPr>
                <w:rFonts w:cs="Arial"/>
              </w:rPr>
              <w:t>Mtre Marie-Michelle Côté</w:t>
            </w:r>
          </w:p>
        </w:tc>
      </w:tr>
      <w:tr w:rsidR="006943F7" w:rsidRPr="001C4B76" w14:paraId="63AB85FF" w14:textId="77777777">
        <w:trPr>
          <w:cantSplit/>
        </w:trPr>
        <w:tc>
          <w:tcPr>
            <w:tcW w:w="9505" w:type="dxa"/>
            <w:gridSpan w:val="3"/>
          </w:tcPr>
          <w:p w14:paraId="459AEE0F" w14:textId="77777777" w:rsidR="005A55CB" w:rsidRPr="001C4B76" w:rsidRDefault="0067404B">
            <w:pPr>
              <w:pStyle w:val="zSoquijdatCabinetProcureurDem"/>
              <w:rPr>
                <w:rFonts w:cs="Arial"/>
                <w:lang w:val="en-CA"/>
              </w:rPr>
            </w:pPr>
            <w:r w:rsidRPr="001C4B76">
              <w:rPr>
                <w:rFonts w:cs="Arial"/>
                <w:lang w:val="en-CA"/>
              </w:rPr>
              <w:t>Counsel for the prosecution</w:t>
            </w:r>
          </w:p>
        </w:tc>
      </w:tr>
      <w:tr w:rsidR="006943F7" w:rsidRPr="001C4B76" w14:paraId="306C6589" w14:textId="77777777">
        <w:trPr>
          <w:cantSplit/>
        </w:trPr>
        <w:tc>
          <w:tcPr>
            <w:tcW w:w="9505" w:type="dxa"/>
            <w:gridSpan w:val="3"/>
          </w:tcPr>
          <w:p w14:paraId="46406B97" w14:textId="77777777" w:rsidR="005A55CB" w:rsidRPr="001C4B76" w:rsidRDefault="005A55CB" w:rsidP="00ED296F">
            <w:pPr>
              <w:pStyle w:val="zSoquijlblProcureurDem"/>
              <w:rPr>
                <w:rFonts w:cs="Arial"/>
                <w:lang w:val="en-CA"/>
              </w:rPr>
            </w:pPr>
          </w:p>
        </w:tc>
      </w:tr>
      <w:tr w:rsidR="006943F7" w:rsidRPr="001C4B76" w14:paraId="3D2D8C1D" w14:textId="77777777">
        <w:trPr>
          <w:cantSplit/>
        </w:trPr>
        <w:tc>
          <w:tcPr>
            <w:tcW w:w="9505" w:type="dxa"/>
            <w:gridSpan w:val="3"/>
          </w:tcPr>
          <w:p w14:paraId="497FFEE7" w14:textId="77777777" w:rsidR="00E75C08" w:rsidRPr="001C4B76" w:rsidRDefault="00E75C08" w:rsidP="00E75C08">
            <w:pPr>
              <w:pStyle w:val="zSoquijdatNomProcureurDem"/>
              <w:rPr>
                <w:rFonts w:cs="Arial"/>
                <w:lang w:val="en-CA"/>
              </w:rPr>
            </w:pPr>
            <w:r w:rsidRPr="001C4B76">
              <w:rPr>
                <w:rFonts w:cs="Arial"/>
                <w:lang w:val="en-CA"/>
              </w:rPr>
              <w:t>Mtre Tom Pentefountas</w:t>
            </w:r>
          </w:p>
          <w:p w14:paraId="4E62BE5B" w14:textId="77777777" w:rsidR="005A55CB" w:rsidRPr="001C4B76" w:rsidRDefault="00E75C08" w:rsidP="00E75C08">
            <w:pPr>
              <w:rPr>
                <w:rFonts w:cs="Arial"/>
                <w:lang w:val="en-CA"/>
              </w:rPr>
            </w:pPr>
            <w:r w:rsidRPr="001C4B76">
              <w:rPr>
                <w:rFonts w:cs="Arial"/>
                <w:lang w:val="en-CA"/>
              </w:rPr>
              <w:t>Counsel for Antonio Savaris </w:t>
            </w:r>
          </w:p>
        </w:tc>
      </w:tr>
      <w:tr w:rsidR="006943F7" w:rsidRPr="001C4B76" w14:paraId="1BA30204" w14:textId="77777777">
        <w:trPr>
          <w:cantSplit/>
        </w:trPr>
        <w:tc>
          <w:tcPr>
            <w:tcW w:w="9505" w:type="dxa"/>
            <w:gridSpan w:val="3"/>
          </w:tcPr>
          <w:p w14:paraId="17651352" w14:textId="77777777" w:rsidR="00280AC1" w:rsidRPr="001C4B76" w:rsidRDefault="00280AC1">
            <w:pPr>
              <w:pStyle w:val="zSoquijdatNomProcureurDem"/>
              <w:rPr>
                <w:rFonts w:cs="Arial"/>
                <w:lang w:val="en-CA"/>
              </w:rPr>
            </w:pPr>
          </w:p>
        </w:tc>
      </w:tr>
      <w:tr w:rsidR="006943F7" w:rsidRPr="001C4B76" w14:paraId="1415316E" w14:textId="77777777">
        <w:trPr>
          <w:cantSplit/>
        </w:trPr>
        <w:tc>
          <w:tcPr>
            <w:tcW w:w="9505" w:type="dxa"/>
            <w:gridSpan w:val="3"/>
          </w:tcPr>
          <w:p w14:paraId="57910308" w14:textId="77777777" w:rsidR="005A55CB" w:rsidRPr="001C4B76" w:rsidRDefault="00E75C08">
            <w:pPr>
              <w:pStyle w:val="zSoquijdatCabinetProcureurDem"/>
              <w:rPr>
                <w:rFonts w:cs="Arial"/>
                <w:lang w:val="en-CA"/>
              </w:rPr>
            </w:pPr>
            <w:r w:rsidRPr="001C4B76">
              <w:rPr>
                <w:rFonts w:cs="Arial"/>
                <w:lang w:val="en-CA"/>
              </w:rPr>
              <w:t>Mtre George Calaritis</w:t>
            </w:r>
          </w:p>
          <w:p w14:paraId="712E30DB" w14:textId="77777777" w:rsidR="00E75C08" w:rsidRPr="001C4B76" w:rsidRDefault="00E75C08">
            <w:pPr>
              <w:pStyle w:val="zSoquijdatCabinetProcureurDem"/>
              <w:rPr>
                <w:rFonts w:cs="Arial"/>
                <w:lang w:val="en-CA"/>
              </w:rPr>
            </w:pPr>
            <w:r w:rsidRPr="001C4B76">
              <w:rPr>
                <w:rFonts w:cs="Arial"/>
                <w:lang w:val="en-CA"/>
              </w:rPr>
              <w:t>Counsel for Michael Raso Cortellazzi</w:t>
            </w:r>
          </w:p>
        </w:tc>
      </w:tr>
      <w:tr w:rsidR="006943F7" w:rsidRPr="001C4B76" w14:paraId="439BD9AF" w14:textId="77777777">
        <w:trPr>
          <w:cantSplit/>
        </w:trPr>
        <w:tc>
          <w:tcPr>
            <w:tcW w:w="9505" w:type="dxa"/>
            <w:gridSpan w:val="3"/>
          </w:tcPr>
          <w:p w14:paraId="0C1603C8" w14:textId="77777777" w:rsidR="005A55CB" w:rsidRPr="001C4B76" w:rsidRDefault="005A55CB">
            <w:pPr>
              <w:pStyle w:val="zSoquijlblProcureurDem"/>
              <w:rPr>
                <w:rFonts w:cs="Arial"/>
                <w:lang w:val="en-CA"/>
              </w:rPr>
            </w:pPr>
          </w:p>
        </w:tc>
      </w:tr>
      <w:tr w:rsidR="006943F7" w:rsidRPr="001C4B76" w14:paraId="53595DA8" w14:textId="77777777">
        <w:trPr>
          <w:cantSplit/>
        </w:trPr>
        <w:tc>
          <w:tcPr>
            <w:tcW w:w="9505" w:type="dxa"/>
            <w:gridSpan w:val="3"/>
          </w:tcPr>
          <w:p w14:paraId="4CFAFA19" w14:textId="77777777" w:rsidR="005A55CB" w:rsidRPr="001C4B76" w:rsidRDefault="005A55CB">
            <w:pPr>
              <w:rPr>
                <w:rFonts w:cs="Arial"/>
                <w:lang w:val="en-CA"/>
              </w:rPr>
            </w:pPr>
          </w:p>
        </w:tc>
      </w:tr>
      <w:tr w:rsidR="006943F7" w:rsidRPr="001C4B76" w14:paraId="6E5E8585" w14:textId="77777777">
        <w:tc>
          <w:tcPr>
            <w:tcW w:w="9505" w:type="dxa"/>
            <w:gridSpan w:val="3"/>
          </w:tcPr>
          <w:p w14:paraId="266AE84C" w14:textId="77777777" w:rsidR="005A55CB" w:rsidRPr="001C4B76" w:rsidRDefault="0067404B">
            <w:pPr>
              <w:rPr>
                <w:rFonts w:cs="Arial"/>
                <w:lang w:val="en-CA"/>
              </w:rPr>
            </w:pPr>
            <w:r w:rsidRPr="001C4B76">
              <w:rPr>
                <w:rFonts w:cs="Arial"/>
                <w:lang w:val="en-CA"/>
              </w:rPr>
              <w:t>Date of hearing:</w:t>
            </w:r>
            <w:r w:rsidR="00146D19" w:rsidRPr="001C4B76">
              <w:rPr>
                <w:rFonts w:cs="Arial"/>
                <w:lang w:val="en-CA"/>
              </w:rPr>
              <w:t xml:space="preserve"> </w:t>
            </w:r>
            <w:r w:rsidRPr="001C4B76">
              <w:rPr>
                <w:rFonts w:cs="Arial"/>
                <w:lang w:val="en-CA"/>
              </w:rPr>
              <w:t>May 15, 2023</w:t>
            </w:r>
          </w:p>
        </w:tc>
      </w:tr>
      <w:tr w:rsidR="006943F7" w:rsidRPr="001C4B76" w14:paraId="3B5FDEEC" w14:textId="77777777">
        <w:tc>
          <w:tcPr>
            <w:tcW w:w="2770" w:type="dxa"/>
          </w:tcPr>
          <w:p w14:paraId="3B353E52" w14:textId="77777777" w:rsidR="005A55CB" w:rsidRPr="001C4B76" w:rsidRDefault="005A55CB">
            <w:pPr>
              <w:pStyle w:val="zSoquijlblDateAudience"/>
              <w:rPr>
                <w:rFonts w:cs="Arial"/>
                <w:lang w:val="en-CA"/>
              </w:rPr>
            </w:pPr>
          </w:p>
        </w:tc>
        <w:tc>
          <w:tcPr>
            <w:tcW w:w="6735" w:type="dxa"/>
            <w:gridSpan w:val="2"/>
          </w:tcPr>
          <w:p w14:paraId="04A4A523" w14:textId="77777777" w:rsidR="005A55CB" w:rsidRPr="001C4B76" w:rsidRDefault="005A55CB">
            <w:pPr>
              <w:pStyle w:val="zSoquijdatDateAudience"/>
              <w:rPr>
                <w:rFonts w:cs="Arial"/>
                <w:lang w:val="en-CA"/>
              </w:rPr>
            </w:pPr>
          </w:p>
        </w:tc>
      </w:tr>
    </w:tbl>
    <w:p w14:paraId="67F7C7D8" w14:textId="77777777" w:rsidR="005A55CB" w:rsidRPr="001C4B76" w:rsidRDefault="005A55CB">
      <w:pPr>
        <w:rPr>
          <w:lang w:val="en-CA"/>
        </w:rPr>
      </w:pPr>
    </w:p>
    <w:sectPr w:rsidR="005A55CB" w:rsidRPr="001C4B76">
      <w:headerReference w:type="even" r:id="rId8"/>
      <w:headerReference w:type="default" r:id="rId9"/>
      <w:footerReference w:type="even" r:id="rId10"/>
      <w:headerReference w:type="first" r:id="rId11"/>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E00F" w14:textId="77777777" w:rsidR="00883FB4" w:rsidRDefault="00883FB4">
      <w:r>
        <w:separator/>
      </w:r>
    </w:p>
  </w:endnote>
  <w:endnote w:type="continuationSeparator" w:id="0">
    <w:p w14:paraId="131EC7B8" w14:textId="77777777" w:rsidR="00883FB4" w:rsidRDefault="008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91BC" w14:textId="77777777" w:rsidR="005A55CB" w:rsidRDefault="005A55CB">
    <w:pPr>
      <w:framePr w:wrap="around" w:vAnchor="text" w:hAnchor="margin" w:xAlign="right" w:y="1"/>
    </w:pPr>
    <w:r>
      <w:fldChar w:fldCharType="begin"/>
    </w:r>
    <w:r>
      <w:instrText xml:space="preserve">PAGE  </w:instrText>
    </w:r>
    <w:r>
      <w:fldChar w:fldCharType="separate"/>
    </w:r>
    <w:r>
      <w:rPr>
        <w:noProof/>
      </w:rPr>
      <w:t>1</w:t>
    </w:r>
    <w:r>
      <w:fldChar w:fldCharType="end"/>
    </w:r>
  </w:p>
  <w:p w14:paraId="2283C485" w14:textId="77777777" w:rsidR="005A55CB" w:rsidRDefault="005A55C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84C1" w14:textId="77777777" w:rsidR="00883FB4" w:rsidRDefault="00883FB4">
      <w:r>
        <w:separator/>
      </w:r>
    </w:p>
  </w:footnote>
  <w:footnote w:type="continuationSeparator" w:id="0">
    <w:p w14:paraId="12F7273D" w14:textId="77777777" w:rsidR="00883FB4" w:rsidRDefault="00883FB4">
      <w:r>
        <w:continuationSeparator/>
      </w:r>
    </w:p>
  </w:footnote>
  <w:footnote w:id="1">
    <w:p w14:paraId="238BBC65" w14:textId="77777777" w:rsidR="00CC047F" w:rsidRDefault="00CC047F" w:rsidP="00CC047F">
      <w:pPr>
        <w:pStyle w:val="Notedebasdepage"/>
      </w:pPr>
      <w:r>
        <w:rPr>
          <w:rStyle w:val="Appelnotedebasdep"/>
        </w:rPr>
        <w:footnoteRef/>
      </w:r>
      <w:r>
        <w:t xml:space="preserve"> </w:t>
      </w:r>
      <w:r w:rsidRPr="001C4B76">
        <w:t>CQLR,</w:t>
      </w:r>
      <w:r w:rsidRPr="001C4B76">
        <w:rPr>
          <w:i/>
          <w:iCs/>
        </w:rPr>
        <w:t xml:space="preserve"> </w:t>
      </w:r>
      <w:r w:rsidRPr="001C4B76">
        <w:t>c. V-1.1.</w:t>
      </w:r>
    </w:p>
  </w:footnote>
  <w:footnote w:id="2">
    <w:p w14:paraId="42C73978" w14:textId="77777777" w:rsidR="00CC047F" w:rsidRDefault="00CC047F" w:rsidP="00CC047F">
      <w:pPr>
        <w:pStyle w:val="Notedebasdepage"/>
      </w:pPr>
      <w:r>
        <w:rPr>
          <w:rStyle w:val="Appelnotedebasdep"/>
        </w:rPr>
        <w:footnoteRef/>
      </w:r>
      <w:r w:rsidRPr="001905E2">
        <w:t xml:space="preserve"> </w:t>
      </w:r>
      <w:r w:rsidRPr="0067404B">
        <w:rPr>
          <w:i/>
          <w:iCs/>
        </w:rPr>
        <w:t>Autorité des marchés financiers</w:t>
      </w:r>
      <w:r w:rsidR="00431234">
        <w:rPr>
          <w:i/>
          <w:iCs/>
        </w:rPr>
        <w:t>,</w:t>
      </w:r>
      <w:r w:rsidRPr="0067404B">
        <w:rPr>
          <w:i/>
          <w:iCs/>
        </w:rPr>
        <w:t xml:space="preserve"> c. Cortellazzi, </w:t>
      </w:r>
      <w:r w:rsidRPr="0067404B">
        <w:t>2023 QCCQ 4290</w:t>
      </w:r>
    </w:p>
  </w:footnote>
  <w:footnote w:id="3">
    <w:p w14:paraId="6FF49512" w14:textId="77777777" w:rsidR="0024581B" w:rsidRDefault="0024581B" w:rsidP="0024581B">
      <w:pPr>
        <w:pStyle w:val="Notedebasdepage"/>
        <w:ind w:left="142"/>
      </w:pPr>
      <w:r>
        <w:t xml:space="preserve">    </w:t>
      </w:r>
      <w:r>
        <w:rPr>
          <w:rStyle w:val="Appelnotedebasdep"/>
        </w:rPr>
        <w:footnoteRef/>
      </w:r>
      <w:r w:rsidRPr="001905E2">
        <w:rPr>
          <w:i/>
          <w:iCs/>
        </w:rPr>
        <w:t xml:space="preserve"> </w:t>
      </w:r>
      <w:r w:rsidR="007D191D">
        <w:rPr>
          <w:i/>
          <w:iCs/>
        </w:rPr>
        <w:t>R. c.</w:t>
      </w:r>
      <w:r>
        <w:t xml:space="preserve"> </w:t>
      </w:r>
      <w:r>
        <w:rPr>
          <w:i/>
          <w:iCs/>
        </w:rPr>
        <w:t>Daniel Duval</w:t>
      </w:r>
      <w:r w:rsidR="007D191D">
        <w:rPr>
          <w:i/>
          <w:iCs/>
        </w:rPr>
        <w:t xml:space="preserve"> </w:t>
      </w:r>
      <w:r w:rsidRPr="007D191D">
        <w:rPr>
          <w:i/>
          <w:iCs/>
        </w:rPr>
        <w:t>et</w:t>
      </w:r>
      <w:r>
        <w:t xml:space="preserve"> </w:t>
      </w:r>
      <w:r w:rsidRPr="001905E2">
        <w:rPr>
          <w:i/>
          <w:iCs/>
        </w:rPr>
        <w:t xml:space="preserve">Jean-Claude </w:t>
      </w:r>
      <w:proofErr w:type="spellStart"/>
      <w:r w:rsidRPr="001905E2">
        <w:rPr>
          <w:i/>
          <w:iCs/>
        </w:rPr>
        <w:t>Sénécal</w:t>
      </w:r>
      <w:proofErr w:type="spellEnd"/>
      <w:r w:rsidR="007D191D">
        <w:t xml:space="preserve"> (22 June 2020)</w:t>
      </w:r>
      <w:r w:rsidRPr="00367C96">
        <w:t xml:space="preserve"> C.Q.</w:t>
      </w:r>
      <w:r w:rsidR="007D191D">
        <w:t>,</w:t>
      </w:r>
      <w:r w:rsidRPr="001905E2">
        <w:rPr>
          <w:i/>
          <w:iCs/>
        </w:rPr>
        <w:t xml:space="preserve"> </w:t>
      </w:r>
      <w:r>
        <w:t>Montr</w:t>
      </w:r>
      <w:r w:rsidR="00E809B7">
        <w:t>e</w:t>
      </w:r>
      <w:r>
        <w:t>al, 500–61–381029–140</w:t>
      </w:r>
      <w:bookmarkStart w:id="1" w:name="_Hlk137116402"/>
      <w:r w:rsidR="007D191D">
        <w:t xml:space="preserve"> and</w:t>
      </w:r>
      <w:r>
        <w:t xml:space="preserve"> </w:t>
      </w:r>
      <w:bookmarkEnd w:id="1"/>
      <w:r w:rsidRPr="00367C96">
        <w:t>500–61–381030–148</w:t>
      </w:r>
      <w:r>
        <w:t>.</w:t>
      </w:r>
    </w:p>
  </w:footnote>
  <w:footnote w:id="4">
    <w:p w14:paraId="1507C3A2" w14:textId="77777777" w:rsidR="0024581B" w:rsidRDefault="0024581B" w:rsidP="00E219B8">
      <w:pPr>
        <w:pStyle w:val="Notedebasdepage"/>
        <w:ind w:left="142"/>
      </w:pPr>
      <w:r>
        <w:t xml:space="preserve">   </w:t>
      </w:r>
      <w:r>
        <w:rPr>
          <w:rStyle w:val="Appelnotedebasdep"/>
        </w:rPr>
        <w:footnoteRef/>
      </w:r>
      <w:r>
        <w:t xml:space="preserve">  </w:t>
      </w:r>
      <w:r w:rsidRPr="00416EFE">
        <w:rPr>
          <w:i/>
          <w:iCs/>
        </w:rPr>
        <w:t>Ste-Marie</w:t>
      </w:r>
      <w:r w:rsidR="00E219B8">
        <w:t xml:space="preserve"> </w:t>
      </w:r>
      <w:r w:rsidRPr="00E219B8">
        <w:rPr>
          <w:i/>
          <w:iCs/>
        </w:rPr>
        <w:t xml:space="preserve">c. </w:t>
      </w:r>
      <w:r w:rsidRPr="00416EFE">
        <w:rPr>
          <w:i/>
          <w:iCs/>
        </w:rPr>
        <w:t>Autorité des marchés financiers</w:t>
      </w:r>
      <w:r>
        <w:t xml:space="preserve">, </w:t>
      </w:r>
      <w:r w:rsidR="00E219B8">
        <w:t>2019 QCCS 2811</w:t>
      </w:r>
      <w:r w:rsidR="005D7FCE">
        <w:t>.</w:t>
      </w:r>
    </w:p>
  </w:footnote>
  <w:footnote w:id="5">
    <w:p w14:paraId="65E8ED80" w14:textId="77777777" w:rsidR="006C702E" w:rsidRDefault="006C702E" w:rsidP="006C702E">
      <w:pPr>
        <w:pStyle w:val="Notedebasdepage"/>
        <w:ind w:left="142"/>
      </w:pPr>
      <w:r>
        <w:t xml:space="preserve">   </w:t>
      </w:r>
      <w:r>
        <w:rPr>
          <w:rStyle w:val="Appelnotedebasdep"/>
        </w:rPr>
        <w:footnoteRef/>
      </w:r>
      <w:r>
        <w:t xml:space="preserve"> </w:t>
      </w:r>
      <w:r>
        <w:tab/>
      </w:r>
      <w:r w:rsidR="006E05F5">
        <w:rPr>
          <w:i/>
          <w:iCs/>
        </w:rPr>
        <w:t>R. c.</w:t>
      </w:r>
      <w:r>
        <w:t xml:space="preserve"> </w:t>
      </w:r>
      <w:r>
        <w:rPr>
          <w:i/>
          <w:iCs/>
        </w:rPr>
        <w:t>Daniel Duval</w:t>
      </w:r>
      <w:r w:rsidR="006E05F5">
        <w:rPr>
          <w:i/>
          <w:iCs/>
        </w:rPr>
        <w:t xml:space="preserve"> </w:t>
      </w:r>
      <w:r w:rsidRPr="006E05F5">
        <w:rPr>
          <w:i/>
          <w:iCs/>
        </w:rPr>
        <w:t xml:space="preserve">et </w:t>
      </w:r>
      <w:r w:rsidRPr="001905E2">
        <w:rPr>
          <w:i/>
          <w:iCs/>
        </w:rPr>
        <w:t xml:space="preserve">Jean-Claude </w:t>
      </w:r>
      <w:proofErr w:type="spellStart"/>
      <w:r w:rsidRPr="001905E2">
        <w:rPr>
          <w:i/>
          <w:iCs/>
        </w:rPr>
        <w:t>Sénécal</w:t>
      </w:r>
      <w:proofErr w:type="spellEnd"/>
      <w:r w:rsidR="006E05F5">
        <w:t xml:space="preserve"> (22 June 2020)</w:t>
      </w:r>
      <w:r>
        <w:t xml:space="preserve"> C.Q.</w:t>
      </w:r>
      <w:r w:rsidR="006E05F5">
        <w:t>,</w:t>
      </w:r>
      <w:r>
        <w:t xml:space="preserve"> Montr</w:t>
      </w:r>
      <w:r w:rsidR="006E05F5">
        <w:t>e</w:t>
      </w:r>
      <w:r>
        <w:t xml:space="preserve">al, 500–61–381029–140 </w:t>
      </w:r>
      <w:r w:rsidR="006E05F5">
        <w:t>and</w:t>
      </w:r>
      <w:r>
        <w:t xml:space="preserve"> 500–61–381030–148</w:t>
      </w:r>
      <w:r w:rsidR="006E05F5">
        <w:t>.</w:t>
      </w:r>
    </w:p>
    <w:p w14:paraId="33EC2490" w14:textId="77777777" w:rsidR="006C702E" w:rsidRDefault="006C702E" w:rsidP="006C702E">
      <w:pPr>
        <w:pStyle w:val="Notedebasdepage"/>
        <w:ind w:left="142"/>
      </w:pPr>
      <w:r>
        <w:t xml:space="preserve"> </w:t>
      </w:r>
    </w:p>
  </w:footnote>
  <w:footnote w:id="6">
    <w:p w14:paraId="054372B8" w14:textId="77777777" w:rsidR="00707B75" w:rsidRDefault="00707B75" w:rsidP="00A94B63">
      <w:pPr>
        <w:pStyle w:val="Notedebasdepage"/>
      </w:pPr>
      <w:r>
        <w:rPr>
          <w:rStyle w:val="Appelnotedebasdep"/>
        </w:rPr>
        <w:footnoteRef/>
      </w:r>
      <w:r w:rsidR="00FE287B">
        <w:t xml:space="preserve">  </w:t>
      </w:r>
      <w:r w:rsidRPr="001C4B76">
        <w:rPr>
          <w:i/>
          <w:iCs/>
        </w:rPr>
        <w:t>Autorité des marchés financiers</w:t>
      </w:r>
      <w:r w:rsidR="006E05F5" w:rsidRPr="001C4B76">
        <w:rPr>
          <w:i/>
          <w:iCs/>
        </w:rPr>
        <w:t xml:space="preserve"> c. </w:t>
      </w:r>
      <w:r w:rsidRPr="001C4B76">
        <w:rPr>
          <w:i/>
          <w:iCs/>
        </w:rPr>
        <w:t>Michel de Montigny</w:t>
      </w:r>
      <w:r w:rsidR="006E05F5" w:rsidRPr="001C4B76">
        <w:t xml:space="preserve"> (9 September 2016), </w:t>
      </w:r>
      <w:r w:rsidR="00000128" w:rsidRPr="001C4B76">
        <w:t>C.Q.</w:t>
      </w:r>
      <w:r w:rsidR="006E05F5" w:rsidRPr="001C4B76">
        <w:t xml:space="preserve">, </w:t>
      </w:r>
      <w:r w:rsidR="007D191D" w:rsidRPr="001C4B76">
        <w:t xml:space="preserve">Montreal, </w:t>
      </w:r>
      <w:r w:rsidR="00000128" w:rsidRPr="001C4B76">
        <w:t>500–61–406125</w:t>
      </w:r>
      <w:r w:rsidR="007D191D">
        <w:t>.</w:t>
      </w:r>
      <w:r w:rsidR="00000128">
        <w:t xml:space="preserve"> </w:t>
      </w:r>
    </w:p>
  </w:footnote>
  <w:footnote w:id="7">
    <w:p w14:paraId="0794BE7C" w14:textId="77777777" w:rsidR="00707B75" w:rsidRDefault="00707B75">
      <w:pPr>
        <w:pStyle w:val="Notedebasdepage"/>
      </w:pPr>
      <w:r>
        <w:rPr>
          <w:rStyle w:val="Appelnotedebasdep"/>
        </w:rPr>
        <w:footnoteRef/>
      </w:r>
      <w:r>
        <w:t xml:space="preserve">  </w:t>
      </w:r>
      <w:r w:rsidRPr="001C4B76">
        <w:rPr>
          <w:i/>
          <w:iCs/>
        </w:rPr>
        <w:t>Autorité des marchés financiers</w:t>
      </w:r>
      <w:r w:rsidR="007D191D" w:rsidRPr="001C4B76">
        <w:t xml:space="preserve"> </w:t>
      </w:r>
      <w:r w:rsidR="007D191D" w:rsidRPr="001C4B76">
        <w:rPr>
          <w:i/>
          <w:iCs/>
        </w:rPr>
        <w:t>c.</w:t>
      </w:r>
      <w:r w:rsidRPr="001C4B76">
        <w:t xml:space="preserve"> </w:t>
      </w:r>
      <w:r w:rsidRPr="001C4B76">
        <w:rPr>
          <w:i/>
          <w:iCs/>
        </w:rPr>
        <w:t>Ryan</w:t>
      </w:r>
      <w:r w:rsidR="007D191D" w:rsidRPr="001C4B76">
        <w:t xml:space="preserve"> (22 March 2017)</w:t>
      </w:r>
      <w:r w:rsidR="00FF1A8D" w:rsidRPr="001C4B76">
        <w:t xml:space="preserve"> C.Q.</w:t>
      </w:r>
      <w:r w:rsidR="007D191D" w:rsidRPr="001C4B76">
        <w:t>,</w:t>
      </w:r>
      <w:r w:rsidR="00FF1A8D" w:rsidRPr="001C4B76">
        <w:t xml:space="preserve"> Montr</w:t>
      </w:r>
      <w:r w:rsidR="007D191D" w:rsidRPr="001C4B76">
        <w:t>e</w:t>
      </w:r>
      <w:r w:rsidR="00FF1A8D" w:rsidRPr="001C4B76">
        <w:t>al, 500–61–406591–156</w:t>
      </w:r>
      <w:r w:rsidR="007D191D">
        <w:t>.</w:t>
      </w:r>
    </w:p>
  </w:footnote>
  <w:footnote w:id="8">
    <w:p w14:paraId="705C5304" w14:textId="77777777" w:rsidR="009111B7" w:rsidRDefault="009111B7">
      <w:pPr>
        <w:pStyle w:val="Notedebasdepage"/>
      </w:pPr>
      <w:r>
        <w:rPr>
          <w:rStyle w:val="Appelnotedebasdep"/>
        </w:rPr>
        <w:footnoteRef/>
      </w:r>
      <w:r w:rsidR="004B24DA">
        <w:t xml:space="preserve">   </w:t>
      </w:r>
      <w:r w:rsidRPr="001C4B76">
        <w:rPr>
          <w:i/>
          <w:iCs/>
        </w:rPr>
        <w:t>Autorité des marchés financiers</w:t>
      </w:r>
      <w:r w:rsidR="007D191D" w:rsidRPr="001C4B76">
        <w:t xml:space="preserve"> </w:t>
      </w:r>
      <w:r w:rsidR="007D191D" w:rsidRPr="001C4B76">
        <w:rPr>
          <w:i/>
          <w:iCs/>
        </w:rPr>
        <w:t xml:space="preserve">c. </w:t>
      </w:r>
      <w:proofErr w:type="spellStart"/>
      <w:r w:rsidRPr="001C4B76">
        <w:rPr>
          <w:i/>
          <w:iCs/>
        </w:rPr>
        <w:t>Ollu</w:t>
      </w:r>
      <w:proofErr w:type="spellEnd"/>
      <w:r w:rsidR="007D191D" w:rsidRPr="001C4B76">
        <w:rPr>
          <w:i/>
          <w:iCs/>
        </w:rPr>
        <w:t xml:space="preserve"> </w:t>
      </w:r>
      <w:r w:rsidR="007D191D" w:rsidRPr="001C4B76">
        <w:t>(April 6, 2018)</w:t>
      </w:r>
      <w:r w:rsidR="008C1EF8" w:rsidRPr="001C4B76">
        <w:t xml:space="preserve"> C.Q.</w:t>
      </w:r>
      <w:r w:rsidR="007D191D" w:rsidRPr="001C4B76">
        <w:t>,</w:t>
      </w:r>
      <w:r w:rsidR="008C1EF8" w:rsidRPr="001C4B76">
        <w:t xml:space="preserve"> Montr</w:t>
      </w:r>
      <w:r w:rsidR="007D191D" w:rsidRPr="001C4B76">
        <w:t>e</w:t>
      </w:r>
      <w:r w:rsidR="008C1EF8" w:rsidRPr="001C4B76">
        <w:t>al, 500–61-406125–04.</w:t>
      </w:r>
    </w:p>
  </w:footnote>
  <w:footnote w:id="9">
    <w:p w14:paraId="20E9B498" w14:textId="77777777" w:rsidR="009111B7" w:rsidRDefault="009111B7">
      <w:pPr>
        <w:pStyle w:val="Notedebasdepage"/>
      </w:pPr>
      <w:r>
        <w:rPr>
          <w:rStyle w:val="Appelnotedebasdep"/>
        </w:rPr>
        <w:footnoteRef/>
      </w:r>
      <w:r w:rsidR="004B24DA">
        <w:t xml:space="preserve">   </w:t>
      </w:r>
      <w:r w:rsidRPr="001C4B76">
        <w:rPr>
          <w:i/>
          <w:iCs/>
        </w:rPr>
        <w:t>Autorité des marchés financiers</w:t>
      </w:r>
      <w:r w:rsidR="007D191D" w:rsidRPr="001C4B76">
        <w:rPr>
          <w:i/>
          <w:iCs/>
        </w:rPr>
        <w:t xml:space="preserve"> </w:t>
      </w:r>
      <w:r w:rsidR="007D191D" w:rsidRPr="00057E23">
        <w:rPr>
          <w:i/>
          <w:iCs/>
        </w:rPr>
        <w:t>c</w:t>
      </w:r>
      <w:r w:rsidR="007D191D" w:rsidRPr="001C4B76">
        <w:t xml:space="preserve">. </w:t>
      </w:r>
      <w:r w:rsidRPr="001C4B76">
        <w:rPr>
          <w:i/>
          <w:iCs/>
        </w:rPr>
        <w:t>Amyot</w:t>
      </w:r>
      <w:r w:rsidR="007D191D" w:rsidRPr="001C4B76">
        <w:t xml:space="preserve"> (18 April 2017) </w:t>
      </w:r>
      <w:r w:rsidR="008C1EF8" w:rsidRPr="001C4B76">
        <w:t>C.Q.</w:t>
      </w:r>
      <w:r w:rsidR="007D191D" w:rsidRPr="001C4B76">
        <w:t>,</w:t>
      </w:r>
      <w:r w:rsidR="008C1EF8" w:rsidRPr="001C4B76">
        <w:t xml:space="preserve"> Montr</w:t>
      </w:r>
      <w:r w:rsidR="007D191D" w:rsidRPr="001C4B76">
        <w:t>e</w:t>
      </w:r>
      <w:r w:rsidR="008C1EF8" w:rsidRPr="001C4B76">
        <w:t>al, 500–61-395492–144</w:t>
      </w:r>
      <w:r w:rsidR="007D191D">
        <w:t>.</w:t>
      </w:r>
    </w:p>
  </w:footnote>
  <w:footnote w:id="10">
    <w:p w14:paraId="40C1F3AD" w14:textId="77777777" w:rsidR="009111B7" w:rsidRDefault="009111B7" w:rsidP="004B24DA">
      <w:pPr>
        <w:pStyle w:val="Notedebasdepage"/>
        <w:ind w:left="0" w:firstLine="0"/>
      </w:pPr>
      <w:r>
        <w:rPr>
          <w:rStyle w:val="Appelnotedebasdep"/>
        </w:rPr>
        <w:footnoteRef/>
      </w:r>
      <w:r>
        <w:rPr>
          <w:i/>
          <w:iCs/>
        </w:rPr>
        <w:t xml:space="preserve"> </w:t>
      </w:r>
      <w:r w:rsidRPr="001C4B76">
        <w:rPr>
          <w:i/>
          <w:iCs/>
        </w:rPr>
        <w:t>Autorité des marchés financiers</w:t>
      </w:r>
      <w:r w:rsidR="007D191D" w:rsidRPr="001C4B76">
        <w:rPr>
          <w:i/>
          <w:iCs/>
        </w:rPr>
        <w:t xml:space="preserve"> c.</w:t>
      </w:r>
      <w:r w:rsidRPr="001C4B76">
        <w:t xml:space="preserve"> </w:t>
      </w:r>
      <w:r w:rsidRPr="001C4B76">
        <w:rPr>
          <w:i/>
          <w:iCs/>
        </w:rPr>
        <w:t>Mailhot</w:t>
      </w:r>
      <w:r w:rsidR="007D191D" w:rsidRPr="001C4B76">
        <w:t xml:space="preserve"> (30 March 2017)</w:t>
      </w:r>
      <w:r w:rsidR="008C1EF8" w:rsidRPr="001C4B76">
        <w:t xml:space="preserve"> C.Q.</w:t>
      </w:r>
      <w:r w:rsidR="007D191D" w:rsidRPr="001C4B76">
        <w:t>,</w:t>
      </w:r>
      <w:r w:rsidR="008C1EF8" w:rsidRPr="001C4B76">
        <w:t xml:space="preserve"> Montr</w:t>
      </w:r>
      <w:r w:rsidR="007D191D" w:rsidRPr="001C4B76">
        <w:t>e</w:t>
      </w:r>
      <w:r w:rsidR="008C1EF8" w:rsidRPr="001C4B76">
        <w:t>al, 500–61–395492–144</w:t>
      </w:r>
      <w:r w:rsidR="007D191D" w:rsidRPr="001C4B76">
        <w:t>.</w:t>
      </w:r>
      <w:r w:rsidR="008C1EF8" w:rsidRPr="001C4B76">
        <w:t xml:space="preserve"> </w:t>
      </w:r>
    </w:p>
  </w:footnote>
  <w:footnote w:id="11">
    <w:p w14:paraId="6BAE001F" w14:textId="77777777" w:rsidR="009111B7" w:rsidRDefault="009111B7">
      <w:pPr>
        <w:pStyle w:val="Notedebasdepage"/>
      </w:pPr>
      <w:r>
        <w:rPr>
          <w:rStyle w:val="Appelnotedebasdep"/>
        </w:rPr>
        <w:footnoteRef/>
      </w:r>
      <w:r>
        <w:t xml:space="preserve"> </w:t>
      </w:r>
      <w:r w:rsidRPr="001C4B76">
        <w:rPr>
          <w:i/>
          <w:iCs/>
        </w:rPr>
        <w:t>Autorité des marchés financiers</w:t>
      </w:r>
      <w:r w:rsidRPr="001C4B76">
        <w:t xml:space="preserve">, </w:t>
      </w:r>
      <w:r w:rsidRPr="00057E23">
        <w:rPr>
          <w:i/>
          <w:iCs/>
        </w:rPr>
        <w:t>c</w:t>
      </w:r>
      <w:r w:rsidRPr="001C4B76">
        <w:t xml:space="preserve">. </w:t>
      </w:r>
      <w:r w:rsidRPr="001C4B76">
        <w:rPr>
          <w:i/>
          <w:iCs/>
        </w:rPr>
        <w:t>Boyd</w:t>
      </w:r>
      <w:r w:rsidR="007D191D" w:rsidRPr="001C4B76">
        <w:t xml:space="preserve"> (19 April 2017)</w:t>
      </w:r>
      <w:r w:rsidR="00586C7B" w:rsidRPr="001C4B76">
        <w:t xml:space="preserve"> C.Q.</w:t>
      </w:r>
      <w:r w:rsidR="007D191D" w:rsidRPr="001C4B76">
        <w:t>,</w:t>
      </w:r>
      <w:r w:rsidR="00586C7B" w:rsidRPr="001C4B76">
        <w:t xml:space="preserve"> Montr</w:t>
      </w:r>
      <w:r w:rsidR="007D191D" w:rsidRPr="001C4B76">
        <w:t>e</w:t>
      </w:r>
      <w:r w:rsidR="00586C7B" w:rsidRPr="001C4B76">
        <w:t>al, 500–61–395492-144</w:t>
      </w:r>
      <w:r w:rsidR="00BB3A0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B95" w14:textId="77777777" w:rsidR="001C4B76" w:rsidRDefault="00C271DB">
    <w:pPr>
      <w:pStyle w:val="En-tte"/>
    </w:pPr>
    <w:r>
      <w:rPr>
        <w:noProof/>
      </w:rPr>
      <w:pict w14:anchorId="11BBE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42626" o:spid="_x0000_s1026" type="#_x0000_t136" style="position:absolute;margin-left:0;margin-top:0;width:594pt;height:66pt;rotation:315;z-index:-251658752;mso-position-horizontal:center;mso-position-horizontal-relative:margin;mso-position-vertical:center;mso-position-vertical-relative:margin" o:allowincell="f" fillcolor="#bfbfbf" stroked="f">
          <v:fill opacity=".5"/>
          <v:textpath style="font-family:&quot;Arial&quot;;font-size:1pt" string="Courtesy Transl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F4AA" w14:textId="77777777" w:rsidR="005A55CB" w:rsidRDefault="00C271DB">
    <w:pPr>
      <w:tabs>
        <w:tab w:val="center" w:pos="4709"/>
        <w:tab w:val="right" w:pos="9360"/>
      </w:tabs>
      <w:ind w:right="524"/>
    </w:pPr>
    <w:r>
      <w:rPr>
        <w:noProof/>
      </w:rPr>
      <w:pict w14:anchorId="7002A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42627" o:spid="_x0000_s1027" type="#_x0000_t136" style="position:absolute;margin-left:0;margin-top:0;width:594pt;height:66pt;rotation:315;z-index:-251657728;mso-position-horizontal:center;mso-position-horizontal-relative:margin;mso-position-vertical:center;mso-position-vertical-relative:margin" o:allowincell="f" fillcolor="#bfbfbf" stroked="f">
          <v:fill opacity=".5"/>
          <v:textpath style="font-family:&quot;Arial&quot;;font-size:1pt" string="Courtesy Translation"/>
        </v:shape>
      </w:pict>
    </w:r>
    <w:r w:rsidR="00130AD5" w:rsidRPr="00D17C81">
      <w:rPr>
        <w:bCs/>
        <w:sz w:val="28"/>
        <w:szCs w:val="28"/>
      </w:rPr>
      <w:t>500-61-406191-156</w:t>
    </w:r>
    <w:r w:rsidR="005A55CB">
      <w:tab/>
    </w:r>
    <w:r w:rsidR="005A55CB">
      <w:tab/>
    </w:r>
    <w:r w:rsidR="005A55CB" w:rsidRPr="001C4B76">
      <w:t xml:space="preserve">PAGE: </w:t>
    </w:r>
    <w:r w:rsidR="005A55CB">
      <w:fldChar w:fldCharType="begin"/>
    </w:r>
    <w:r w:rsidR="005A55CB">
      <w:instrText xml:space="preserve"> PAGE </w:instrText>
    </w:r>
    <w:r w:rsidR="005A55CB">
      <w:fldChar w:fldCharType="separate"/>
    </w:r>
    <w:r w:rsidR="002C2502">
      <w:rPr>
        <w:noProof/>
      </w:rPr>
      <w:t>2</w:t>
    </w:r>
    <w:r w:rsidR="005A55CB">
      <w:fldChar w:fldCharType="end"/>
    </w:r>
  </w:p>
  <w:p w14:paraId="613FF5B9" w14:textId="77777777" w:rsidR="005A55CB" w:rsidRDefault="005A55CB">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D0E2" w14:textId="77777777" w:rsidR="001C4B76" w:rsidRDefault="00C271DB">
    <w:pPr>
      <w:pStyle w:val="En-tte"/>
    </w:pPr>
    <w:r>
      <w:rPr>
        <w:noProof/>
      </w:rPr>
      <w:pict w14:anchorId="30BED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42625" o:spid="_x0000_s1025" type="#_x0000_t136" style="position:absolute;margin-left:0;margin-top:0;width:594pt;height:66pt;rotation:315;z-index:-251659776;mso-position-horizontal:center;mso-position-horizontal-relative:margin;mso-position-vertical:center;mso-position-vertical-relative:margin" o:allowincell="f" fillcolor="#bfbfbf" stroked="f">
          <v:fill opacity=".5"/>
          <v:textpath style="font-family:&quot;Arial&quot;;font-size:1pt" string="Courtesy Transl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C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1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5247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00ED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84B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7A90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565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F010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346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0C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02767"/>
    <w:multiLevelType w:val="hybridMultilevel"/>
    <w:tmpl w:val="90A828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F38EE"/>
    <w:multiLevelType w:val="hybridMultilevel"/>
    <w:tmpl w:val="8B188C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0B93F10"/>
    <w:multiLevelType w:val="hybridMultilevel"/>
    <w:tmpl w:val="F7201D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42577DC"/>
    <w:multiLevelType w:val="hybridMultilevel"/>
    <w:tmpl w:val="049E7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9852F15"/>
    <w:multiLevelType w:val="hybridMultilevel"/>
    <w:tmpl w:val="AF5CCB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ECE6E9A"/>
    <w:multiLevelType w:val="hybridMultilevel"/>
    <w:tmpl w:val="CDA60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0B17160"/>
    <w:multiLevelType w:val="hybridMultilevel"/>
    <w:tmpl w:val="69DA2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91133E7"/>
    <w:multiLevelType w:val="hybridMultilevel"/>
    <w:tmpl w:val="E3024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29834A64"/>
    <w:multiLevelType w:val="hybridMultilevel"/>
    <w:tmpl w:val="6616D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17D4106"/>
    <w:multiLevelType w:val="hybridMultilevel"/>
    <w:tmpl w:val="9E48A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1B824EB"/>
    <w:multiLevelType w:val="hybridMultilevel"/>
    <w:tmpl w:val="195A0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27740BF"/>
    <w:multiLevelType w:val="hybridMultilevel"/>
    <w:tmpl w:val="53242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32B453A9"/>
    <w:multiLevelType w:val="hybridMultilevel"/>
    <w:tmpl w:val="95FEB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4D047F2"/>
    <w:multiLevelType w:val="hybridMultilevel"/>
    <w:tmpl w:val="AB182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34EE4EFD"/>
    <w:multiLevelType w:val="hybridMultilevel"/>
    <w:tmpl w:val="99C6E3C8"/>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549665C"/>
    <w:multiLevelType w:val="hybridMultilevel"/>
    <w:tmpl w:val="49362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3A0352F7"/>
    <w:multiLevelType w:val="hybridMultilevel"/>
    <w:tmpl w:val="35BA9A94"/>
    <w:lvl w:ilvl="0">
      <w:start w:val="5"/>
      <w:numFmt w:val="decimal"/>
      <w:lvlText w:val="%1."/>
      <w:lvlJc w:val="left"/>
      <w:pPr>
        <w:tabs>
          <w:tab w:val="num" w:pos="1095"/>
        </w:tabs>
        <w:ind w:left="1095" w:hanging="7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B765E97"/>
    <w:multiLevelType w:val="hybridMultilevel"/>
    <w:tmpl w:val="319EF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04E2077"/>
    <w:multiLevelType w:val="hybridMultilevel"/>
    <w:tmpl w:val="3926F072"/>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9" w15:restartNumberingAfterBreak="0">
    <w:nsid w:val="4C7B4038"/>
    <w:multiLevelType w:val="hybridMultilevel"/>
    <w:tmpl w:val="C456A7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CC73D08"/>
    <w:multiLevelType w:val="hybridMultilevel"/>
    <w:tmpl w:val="13F2AE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F08BD"/>
    <w:multiLevelType w:val="hybridMultilevel"/>
    <w:tmpl w:val="C1A0B8E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B4645A"/>
    <w:multiLevelType w:val="multilevel"/>
    <w:tmpl w:val="4FD0353C"/>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D025F33"/>
    <w:multiLevelType w:val="hybridMultilevel"/>
    <w:tmpl w:val="C03C4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F214AC4"/>
    <w:multiLevelType w:val="hybridMultilevel"/>
    <w:tmpl w:val="0178A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A1C0850"/>
    <w:multiLevelType w:val="hybridMultilevel"/>
    <w:tmpl w:val="3A264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78BA506D"/>
    <w:multiLevelType w:val="hybridMultilevel"/>
    <w:tmpl w:val="4350D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7C8B30FD"/>
    <w:multiLevelType w:val="hybridMultilevel"/>
    <w:tmpl w:val="42228E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49416368">
    <w:abstractNumId w:val="35"/>
  </w:num>
  <w:num w:numId="2" w16cid:durableId="989018634">
    <w:abstractNumId w:val="35"/>
  </w:num>
  <w:num w:numId="3" w16cid:durableId="1617641713">
    <w:abstractNumId w:val="35"/>
  </w:num>
  <w:num w:numId="4" w16cid:durableId="461846781">
    <w:abstractNumId w:val="8"/>
  </w:num>
  <w:num w:numId="5" w16cid:durableId="1861162016">
    <w:abstractNumId w:val="3"/>
  </w:num>
  <w:num w:numId="6" w16cid:durableId="1148786513">
    <w:abstractNumId w:val="2"/>
  </w:num>
  <w:num w:numId="7" w16cid:durableId="856188982">
    <w:abstractNumId w:val="1"/>
  </w:num>
  <w:num w:numId="8" w16cid:durableId="737629279">
    <w:abstractNumId w:val="0"/>
  </w:num>
  <w:num w:numId="9" w16cid:durableId="216012135">
    <w:abstractNumId w:val="9"/>
  </w:num>
  <w:num w:numId="10" w16cid:durableId="1092315781">
    <w:abstractNumId w:val="7"/>
  </w:num>
  <w:num w:numId="11" w16cid:durableId="728307606">
    <w:abstractNumId w:val="6"/>
  </w:num>
  <w:num w:numId="12" w16cid:durableId="236794818">
    <w:abstractNumId w:val="5"/>
  </w:num>
  <w:num w:numId="13" w16cid:durableId="1319456792">
    <w:abstractNumId w:val="4"/>
  </w:num>
  <w:num w:numId="14" w16cid:durableId="2062903099">
    <w:abstractNumId w:val="30"/>
  </w:num>
  <w:num w:numId="15" w16cid:durableId="50739486">
    <w:abstractNumId w:val="10"/>
  </w:num>
  <w:num w:numId="16" w16cid:durableId="25376934">
    <w:abstractNumId w:val="32"/>
  </w:num>
  <w:num w:numId="17" w16cid:durableId="1896697250">
    <w:abstractNumId w:val="38"/>
  </w:num>
  <w:num w:numId="18" w16cid:durableId="7022447">
    <w:abstractNumId w:val="24"/>
  </w:num>
  <w:num w:numId="19" w16cid:durableId="2070181090">
    <w:abstractNumId w:val="26"/>
  </w:num>
  <w:num w:numId="20" w16cid:durableId="1563978904">
    <w:abstractNumId w:val="31"/>
  </w:num>
  <w:num w:numId="21" w16cid:durableId="1431468323">
    <w:abstractNumId w:val="29"/>
  </w:num>
  <w:num w:numId="22" w16cid:durableId="125439157">
    <w:abstractNumId w:val="12"/>
  </w:num>
  <w:num w:numId="23" w16cid:durableId="623003260">
    <w:abstractNumId w:val="15"/>
  </w:num>
  <w:num w:numId="24" w16cid:durableId="989941069">
    <w:abstractNumId w:val="16"/>
  </w:num>
  <w:num w:numId="25" w16cid:durableId="1354960353">
    <w:abstractNumId w:val="25"/>
  </w:num>
  <w:num w:numId="26" w16cid:durableId="774130918">
    <w:abstractNumId w:val="36"/>
  </w:num>
  <w:num w:numId="27" w16cid:durableId="1464421180">
    <w:abstractNumId w:val="37"/>
  </w:num>
  <w:num w:numId="28" w16cid:durableId="16929026">
    <w:abstractNumId w:val="17"/>
  </w:num>
  <w:num w:numId="29" w16cid:durableId="320542258">
    <w:abstractNumId w:val="34"/>
  </w:num>
  <w:num w:numId="30" w16cid:durableId="663821480">
    <w:abstractNumId w:val="11"/>
  </w:num>
  <w:num w:numId="31" w16cid:durableId="179663858">
    <w:abstractNumId w:val="21"/>
  </w:num>
  <w:num w:numId="32" w16cid:durableId="1670912328">
    <w:abstractNumId w:val="18"/>
  </w:num>
  <w:num w:numId="33" w16cid:durableId="195697454">
    <w:abstractNumId w:val="14"/>
  </w:num>
  <w:num w:numId="34" w16cid:durableId="1760983352">
    <w:abstractNumId w:val="28"/>
  </w:num>
  <w:num w:numId="35" w16cid:durableId="726613647">
    <w:abstractNumId w:val="22"/>
  </w:num>
  <w:num w:numId="36" w16cid:durableId="821001230">
    <w:abstractNumId w:val="19"/>
  </w:num>
  <w:num w:numId="37" w16cid:durableId="2085490005">
    <w:abstractNumId w:val="13"/>
  </w:num>
  <w:num w:numId="38" w16cid:durableId="641155162">
    <w:abstractNumId w:val="20"/>
  </w:num>
  <w:num w:numId="39" w16cid:durableId="2131850024">
    <w:abstractNumId w:val="23"/>
  </w:num>
  <w:num w:numId="40" w16cid:durableId="214585440">
    <w:abstractNumId w:val="33"/>
  </w:num>
  <w:num w:numId="41" w16cid:durableId="12806040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3"/>
    <w:rsid w:val="00000128"/>
    <w:rsid w:val="00012601"/>
    <w:rsid w:val="000131F1"/>
    <w:rsid w:val="000146A9"/>
    <w:rsid w:val="0001544D"/>
    <w:rsid w:val="00017871"/>
    <w:rsid w:val="00020F11"/>
    <w:rsid w:val="000253BC"/>
    <w:rsid w:val="00034582"/>
    <w:rsid w:val="00046A91"/>
    <w:rsid w:val="00047169"/>
    <w:rsid w:val="00054D76"/>
    <w:rsid w:val="0005602E"/>
    <w:rsid w:val="00057E23"/>
    <w:rsid w:val="0007153A"/>
    <w:rsid w:val="00086915"/>
    <w:rsid w:val="000B622F"/>
    <w:rsid w:val="000C1770"/>
    <w:rsid w:val="000C5749"/>
    <w:rsid w:val="000D0450"/>
    <w:rsid w:val="000D5095"/>
    <w:rsid w:val="000E0B34"/>
    <w:rsid w:val="00113DE5"/>
    <w:rsid w:val="00115159"/>
    <w:rsid w:val="00117E57"/>
    <w:rsid w:val="00126680"/>
    <w:rsid w:val="00130AD5"/>
    <w:rsid w:val="00131FC0"/>
    <w:rsid w:val="00135995"/>
    <w:rsid w:val="00143E1B"/>
    <w:rsid w:val="00146D19"/>
    <w:rsid w:val="0015017A"/>
    <w:rsid w:val="001616A0"/>
    <w:rsid w:val="00164FF2"/>
    <w:rsid w:val="00174A9E"/>
    <w:rsid w:val="001804C4"/>
    <w:rsid w:val="001905E2"/>
    <w:rsid w:val="001A6CC2"/>
    <w:rsid w:val="001B6A2E"/>
    <w:rsid w:val="001B6B19"/>
    <w:rsid w:val="001C4B76"/>
    <w:rsid w:val="001F515F"/>
    <w:rsid w:val="001F5D73"/>
    <w:rsid w:val="00207BE7"/>
    <w:rsid w:val="00216345"/>
    <w:rsid w:val="0022260F"/>
    <w:rsid w:val="00236BB5"/>
    <w:rsid w:val="0024581B"/>
    <w:rsid w:val="002512A0"/>
    <w:rsid w:val="00262E39"/>
    <w:rsid w:val="00264C6E"/>
    <w:rsid w:val="002664B2"/>
    <w:rsid w:val="00266C07"/>
    <w:rsid w:val="00266E91"/>
    <w:rsid w:val="00280AC1"/>
    <w:rsid w:val="00282367"/>
    <w:rsid w:val="002905A2"/>
    <w:rsid w:val="00295B53"/>
    <w:rsid w:val="002A1C2D"/>
    <w:rsid w:val="002A223C"/>
    <w:rsid w:val="002A684B"/>
    <w:rsid w:val="002C2502"/>
    <w:rsid w:val="002F6346"/>
    <w:rsid w:val="0030227A"/>
    <w:rsid w:val="00307263"/>
    <w:rsid w:val="0031073F"/>
    <w:rsid w:val="003126C9"/>
    <w:rsid w:val="00326121"/>
    <w:rsid w:val="003270D5"/>
    <w:rsid w:val="00350F39"/>
    <w:rsid w:val="00360384"/>
    <w:rsid w:val="00367C96"/>
    <w:rsid w:val="003737FA"/>
    <w:rsid w:val="00383E6E"/>
    <w:rsid w:val="00384D84"/>
    <w:rsid w:val="00391CEE"/>
    <w:rsid w:val="003924DA"/>
    <w:rsid w:val="003A480D"/>
    <w:rsid w:val="003B0CC3"/>
    <w:rsid w:val="003C7B99"/>
    <w:rsid w:val="003F33E2"/>
    <w:rsid w:val="003F391D"/>
    <w:rsid w:val="003F4BB5"/>
    <w:rsid w:val="003F7AD1"/>
    <w:rsid w:val="00413284"/>
    <w:rsid w:val="00416EFE"/>
    <w:rsid w:val="00420925"/>
    <w:rsid w:val="00431234"/>
    <w:rsid w:val="004401F8"/>
    <w:rsid w:val="00451BB4"/>
    <w:rsid w:val="00452201"/>
    <w:rsid w:val="00466294"/>
    <w:rsid w:val="00470728"/>
    <w:rsid w:val="004844F0"/>
    <w:rsid w:val="00485E54"/>
    <w:rsid w:val="004A326C"/>
    <w:rsid w:val="004A74E6"/>
    <w:rsid w:val="004B24DA"/>
    <w:rsid w:val="004B4045"/>
    <w:rsid w:val="004B5831"/>
    <w:rsid w:val="004B5CEA"/>
    <w:rsid w:val="004C1742"/>
    <w:rsid w:val="004C2A19"/>
    <w:rsid w:val="004C5E1C"/>
    <w:rsid w:val="004D0F64"/>
    <w:rsid w:val="004E29D0"/>
    <w:rsid w:val="004F0F50"/>
    <w:rsid w:val="004F3C8A"/>
    <w:rsid w:val="00502188"/>
    <w:rsid w:val="00521A96"/>
    <w:rsid w:val="005440C0"/>
    <w:rsid w:val="00544FB0"/>
    <w:rsid w:val="005450B2"/>
    <w:rsid w:val="00563470"/>
    <w:rsid w:val="0057568B"/>
    <w:rsid w:val="0057720B"/>
    <w:rsid w:val="00580D43"/>
    <w:rsid w:val="00581B11"/>
    <w:rsid w:val="0058275E"/>
    <w:rsid w:val="00586C7B"/>
    <w:rsid w:val="00591BFA"/>
    <w:rsid w:val="005A55CB"/>
    <w:rsid w:val="005B07CC"/>
    <w:rsid w:val="005B0C9F"/>
    <w:rsid w:val="005B2679"/>
    <w:rsid w:val="005B770C"/>
    <w:rsid w:val="005B7A8C"/>
    <w:rsid w:val="005C15CE"/>
    <w:rsid w:val="005D0C17"/>
    <w:rsid w:val="005D7FCE"/>
    <w:rsid w:val="005E72E1"/>
    <w:rsid w:val="005E7902"/>
    <w:rsid w:val="005E7A54"/>
    <w:rsid w:val="005F214F"/>
    <w:rsid w:val="005F6DA9"/>
    <w:rsid w:val="00611317"/>
    <w:rsid w:val="00657A5C"/>
    <w:rsid w:val="00660DDE"/>
    <w:rsid w:val="00664D99"/>
    <w:rsid w:val="0067117A"/>
    <w:rsid w:val="0067404B"/>
    <w:rsid w:val="006748C7"/>
    <w:rsid w:val="006750B0"/>
    <w:rsid w:val="00683890"/>
    <w:rsid w:val="00690A39"/>
    <w:rsid w:val="006943F7"/>
    <w:rsid w:val="00696B98"/>
    <w:rsid w:val="006A53DB"/>
    <w:rsid w:val="006B44F2"/>
    <w:rsid w:val="006B5F12"/>
    <w:rsid w:val="006C64C9"/>
    <w:rsid w:val="006C66A3"/>
    <w:rsid w:val="006C702E"/>
    <w:rsid w:val="006E05F5"/>
    <w:rsid w:val="006E5E38"/>
    <w:rsid w:val="00707895"/>
    <w:rsid w:val="00707B75"/>
    <w:rsid w:val="0071422A"/>
    <w:rsid w:val="00720A9E"/>
    <w:rsid w:val="00720CAD"/>
    <w:rsid w:val="00721A1E"/>
    <w:rsid w:val="00742978"/>
    <w:rsid w:val="00750C08"/>
    <w:rsid w:val="00765361"/>
    <w:rsid w:val="00767833"/>
    <w:rsid w:val="00771479"/>
    <w:rsid w:val="0078737E"/>
    <w:rsid w:val="0079222B"/>
    <w:rsid w:val="0079594E"/>
    <w:rsid w:val="007A0DA9"/>
    <w:rsid w:val="007A5238"/>
    <w:rsid w:val="007B096A"/>
    <w:rsid w:val="007D191D"/>
    <w:rsid w:val="007E2E11"/>
    <w:rsid w:val="007E3004"/>
    <w:rsid w:val="007E51B0"/>
    <w:rsid w:val="007F3653"/>
    <w:rsid w:val="007F41C2"/>
    <w:rsid w:val="007F6750"/>
    <w:rsid w:val="00802392"/>
    <w:rsid w:val="00802CC9"/>
    <w:rsid w:val="00804F58"/>
    <w:rsid w:val="00810C6B"/>
    <w:rsid w:val="008140F2"/>
    <w:rsid w:val="00815C3B"/>
    <w:rsid w:val="00833148"/>
    <w:rsid w:val="00850920"/>
    <w:rsid w:val="008612F1"/>
    <w:rsid w:val="0086197B"/>
    <w:rsid w:val="0086336C"/>
    <w:rsid w:val="00877FDC"/>
    <w:rsid w:val="00883FB4"/>
    <w:rsid w:val="00894055"/>
    <w:rsid w:val="00895834"/>
    <w:rsid w:val="008A6DE8"/>
    <w:rsid w:val="008C1EF8"/>
    <w:rsid w:val="008C44EF"/>
    <w:rsid w:val="008D2893"/>
    <w:rsid w:val="008D7E1E"/>
    <w:rsid w:val="008E26F1"/>
    <w:rsid w:val="008E3FF3"/>
    <w:rsid w:val="00901147"/>
    <w:rsid w:val="009111B7"/>
    <w:rsid w:val="00913AFD"/>
    <w:rsid w:val="00917D79"/>
    <w:rsid w:val="00931B65"/>
    <w:rsid w:val="009378EE"/>
    <w:rsid w:val="009450A4"/>
    <w:rsid w:val="00946200"/>
    <w:rsid w:val="00956CF9"/>
    <w:rsid w:val="00966CC8"/>
    <w:rsid w:val="00971396"/>
    <w:rsid w:val="009754D6"/>
    <w:rsid w:val="00982373"/>
    <w:rsid w:val="00987CCE"/>
    <w:rsid w:val="009A3FB9"/>
    <w:rsid w:val="009A6273"/>
    <w:rsid w:val="009A7B02"/>
    <w:rsid w:val="009B2B10"/>
    <w:rsid w:val="009B46C4"/>
    <w:rsid w:val="009B7D94"/>
    <w:rsid w:val="009C5E97"/>
    <w:rsid w:val="009C6F07"/>
    <w:rsid w:val="009D2E52"/>
    <w:rsid w:val="009D398E"/>
    <w:rsid w:val="009E3EB6"/>
    <w:rsid w:val="009E66C3"/>
    <w:rsid w:val="009F17B2"/>
    <w:rsid w:val="009F2201"/>
    <w:rsid w:val="009F2373"/>
    <w:rsid w:val="009F32B1"/>
    <w:rsid w:val="009F356B"/>
    <w:rsid w:val="009F63D8"/>
    <w:rsid w:val="00A051A7"/>
    <w:rsid w:val="00A06D41"/>
    <w:rsid w:val="00A16306"/>
    <w:rsid w:val="00A17003"/>
    <w:rsid w:val="00A2257F"/>
    <w:rsid w:val="00A241BE"/>
    <w:rsid w:val="00A2708E"/>
    <w:rsid w:val="00A2756E"/>
    <w:rsid w:val="00A318E6"/>
    <w:rsid w:val="00A31CE6"/>
    <w:rsid w:val="00A52BCB"/>
    <w:rsid w:val="00A61EBA"/>
    <w:rsid w:val="00A62524"/>
    <w:rsid w:val="00A74CA0"/>
    <w:rsid w:val="00A82656"/>
    <w:rsid w:val="00A84064"/>
    <w:rsid w:val="00A87494"/>
    <w:rsid w:val="00A94B63"/>
    <w:rsid w:val="00AB2C33"/>
    <w:rsid w:val="00AC5020"/>
    <w:rsid w:val="00AC511F"/>
    <w:rsid w:val="00AE6329"/>
    <w:rsid w:val="00AF5C0B"/>
    <w:rsid w:val="00B245EF"/>
    <w:rsid w:val="00B31A75"/>
    <w:rsid w:val="00B54B02"/>
    <w:rsid w:val="00B70FEF"/>
    <w:rsid w:val="00B82254"/>
    <w:rsid w:val="00B83176"/>
    <w:rsid w:val="00B86E13"/>
    <w:rsid w:val="00B92DDC"/>
    <w:rsid w:val="00BB37DC"/>
    <w:rsid w:val="00BB3A0B"/>
    <w:rsid w:val="00BD0814"/>
    <w:rsid w:val="00BE46ED"/>
    <w:rsid w:val="00BE6287"/>
    <w:rsid w:val="00C05F49"/>
    <w:rsid w:val="00C07EE2"/>
    <w:rsid w:val="00C1257D"/>
    <w:rsid w:val="00C20E92"/>
    <w:rsid w:val="00C25C63"/>
    <w:rsid w:val="00C25E51"/>
    <w:rsid w:val="00C271DB"/>
    <w:rsid w:val="00C42330"/>
    <w:rsid w:val="00C44493"/>
    <w:rsid w:val="00C63D80"/>
    <w:rsid w:val="00C76C90"/>
    <w:rsid w:val="00C85FEA"/>
    <w:rsid w:val="00C90909"/>
    <w:rsid w:val="00C97F0D"/>
    <w:rsid w:val="00CB173F"/>
    <w:rsid w:val="00CB61EF"/>
    <w:rsid w:val="00CC047F"/>
    <w:rsid w:val="00CC2F14"/>
    <w:rsid w:val="00CC35CE"/>
    <w:rsid w:val="00CD4CFB"/>
    <w:rsid w:val="00CE3D9C"/>
    <w:rsid w:val="00CF6BA8"/>
    <w:rsid w:val="00D02627"/>
    <w:rsid w:val="00D046A8"/>
    <w:rsid w:val="00D0551A"/>
    <w:rsid w:val="00D11B2C"/>
    <w:rsid w:val="00D160DD"/>
    <w:rsid w:val="00D17C81"/>
    <w:rsid w:val="00D2355E"/>
    <w:rsid w:val="00D2413E"/>
    <w:rsid w:val="00D40EB3"/>
    <w:rsid w:val="00D47BCB"/>
    <w:rsid w:val="00D53BA8"/>
    <w:rsid w:val="00D56959"/>
    <w:rsid w:val="00D70EA6"/>
    <w:rsid w:val="00D7153A"/>
    <w:rsid w:val="00D828B1"/>
    <w:rsid w:val="00D82EA6"/>
    <w:rsid w:val="00D90E85"/>
    <w:rsid w:val="00DA4881"/>
    <w:rsid w:val="00DB39E5"/>
    <w:rsid w:val="00DC2EA1"/>
    <w:rsid w:val="00DC6945"/>
    <w:rsid w:val="00DE42BC"/>
    <w:rsid w:val="00DF4725"/>
    <w:rsid w:val="00E1028E"/>
    <w:rsid w:val="00E219B8"/>
    <w:rsid w:val="00E30F16"/>
    <w:rsid w:val="00E34E84"/>
    <w:rsid w:val="00E4511D"/>
    <w:rsid w:val="00E50295"/>
    <w:rsid w:val="00E6291C"/>
    <w:rsid w:val="00E62B94"/>
    <w:rsid w:val="00E636C0"/>
    <w:rsid w:val="00E75C08"/>
    <w:rsid w:val="00E75D0C"/>
    <w:rsid w:val="00E809B7"/>
    <w:rsid w:val="00E84887"/>
    <w:rsid w:val="00EB57D2"/>
    <w:rsid w:val="00EB73BE"/>
    <w:rsid w:val="00ED296F"/>
    <w:rsid w:val="00EE5B90"/>
    <w:rsid w:val="00F001D6"/>
    <w:rsid w:val="00F17E7A"/>
    <w:rsid w:val="00F22786"/>
    <w:rsid w:val="00F33E63"/>
    <w:rsid w:val="00F41D57"/>
    <w:rsid w:val="00F42F6E"/>
    <w:rsid w:val="00F55040"/>
    <w:rsid w:val="00F61DD0"/>
    <w:rsid w:val="00F7190D"/>
    <w:rsid w:val="00F71D97"/>
    <w:rsid w:val="00F7311D"/>
    <w:rsid w:val="00F85C19"/>
    <w:rsid w:val="00F95891"/>
    <w:rsid w:val="00FC49BF"/>
    <w:rsid w:val="00FE287B"/>
    <w:rsid w:val="00FE31B5"/>
    <w:rsid w:val="00FF1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2B36"/>
  <w15:chartTrackingRefBased/>
  <w15:docId w15:val="{C59672B3-20E1-4421-94BF-D57F3EA8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semiHidden/>
    <w:rPr>
      <w:noProof w:val="0"/>
      <w:lang w:val="fr-CA"/>
    </w:rPr>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Paragraphe">
    <w:name w:val="Paragraphe"/>
    <w:basedOn w:val="Normal"/>
    <w:pPr>
      <w:numPr>
        <w:numId w:val="2"/>
      </w:numPr>
      <w:tabs>
        <w:tab w:val="clear" w:pos="360"/>
      </w:tabs>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uiPriority w:val="99"/>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3"/>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paragraphe0">
    <w:name w:val="paragraphe"/>
    <w:basedOn w:val="Normal"/>
    <w:rPr>
      <w:rFonts w:ascii="Times New Roman" w:hAnsi="Times New Roman"/>
      <w:szCs w:val="24"/>
      <w:lang w:eastAsia="fr-CA"/>
    </w:rPr>
  </w:style>
  <w:style w:type="character" w:customStyle="1" w:styleId="ParagrapheCar">
    <w:name w:val="Paragraphe Car"/>
    <w:rPr>
      <w:rFonts w:ascii="Arial" w:hAnsi="Arial"/>
      <w:noProof w:val="0"/>
      <w:kern w:val="28"/>
      <w:sz w:val="24"/>
      <w:lang w:val="fr-CA" w:eastAsia="fr-FR" w:bidi="ar-SA"/>
    </w:rPr>
  </w:style>
  <w:style w:type="character" w:customStyle="1" w:styleId="ParagNonNumCar">
    <w:name w:val="ParagNonNum Car"/>
    <w:basedOn w:val="ParagrapheCar"/>
    <w:rPr>
      <w:rFonts w:ascii="Arial" w:hAnsi="Arial"/>
      <w:noProof w:val="0"/>
      <w:kern w:val="28"/>
      <w:sz w:val="24"/>
      <w:lang w:val="fr-CA" w:eastAsia="fr-FR" w:bidi="ar-SA"/>
    </w:rPr>
  </w:style>
  <w:style w:type="character" w:customStyle="1" w:styleId="ParagAlaMargeCar">
    <w:name w:val="ParagAlaMarge Car"/>
    <w:basedOn w:val="ParagNonNumCar"/>
    <w:rPr>
      <w:rFonts w:ascii="Arial" w:hAnsi="Arial"/>
      <w:noProof w:val="0"/>
      <w:kern w:val="28"/>
      <w:sz w:val="24"/>
      <w:lang w:val="fr-CA" w:eastAsia="fr-FR" w:bidi="ar-SA"/>
    </w:rPr>
  </w:style>
  <w:style w:type="character" w:customStyle="1" w:styleId="italic1">
    <w:name w:val="italic1"/>
    <w:rPr>
      <w:rFonts w:ascii="Verdana" w:hAnsi="Verdana" w:hint="default"/>
      <w:i/>
      <w:iCs/>
      <w:noProof w:val="0"/>
      <w:lang w:val="fr-CA"/>
    </w:rPr>
  </w:style>
  <w:style w:type="paragraph" w:customStyle="1" w:styleId="paragraphe1">
    <w:name w:val="paragraphe1"/>
    <w:basedOn w:val="Normal"/>
    <w:pPr>
      <w:spacing w:before="120" w:after="120"/>
      <w:jc w:val="both"/>
    </w:pPr>
    <w:rPr>
      <w:rFonts w:cs="Arial"/>
      <w:szCs w:val="24"/>
      <w:lang w:eastAsia="fr-CA"/>
    </w:rPr>
  </w:style>
  <w:style w:type="paragraph" w:customStyle="1" w:styleId="zsoquijlblpays0">
    <w:name w:val="zsoquijlblpays"/>
    <w:basedOn w:val="Normal"/>
    <w:pPr>
      <w:spacing w:before="100" w:beforeAutospacing="1" w:after="100" w:afterAutospacing="1"/>
    </w:pPr>
    <w:rPr>
      <w:rFonts w:ascii="Arial Unicode MS" w:eastAsia="Arial Unicode MS" w:hAnsi="Arial Unicode MS" w:cs="Arial Unicode MS"/>
      <w:szCs w:val="24"/>
    </w:rPr>
  </w:style>
  <w:style w:type="character" w:styleId="Appelnotedebasdep">
    <w:name w:val="footnote reference"/>
    <w:uiPriority w:val="99"/>
    <w:semiHidden/>
    <w:rPr>
      <w:noProof w:val="0"/>
      <w:vertAlign w:val="superscript"/>
      <w:lang w:val="fr-CA"/>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customStyle="1" w:styleId="NotedebasdepageCar">
    <w:name w:val="Note de bas de page Car"/>
    <w:link w:val="Notedebasdepage"/>
    <w:uiPriority w:val="99"/>
    <w:semiHidden/>
    <w:rsid w:val="002A223C"/>
    <w:rPr>
      <w:rFonts w:ascii="Arial" w:hAnsi="Arial"/>
      <w:lang w:eastAsia="fr-FR"/>
    </w:rPr>
  </w:style>
  <w:style w:type="character" w:customStyle="1" w:styleId="En-tteCar">
    <w:name w:val="En-tête Car"/>
    <w:link w:val="En-tte"/>
    <w:uiPriority w:val="99"/>
    <w:rsid w:val="002A223C"/>
    <w:rPr>
      <w:rFonts w:ascii="Arial" w:hAnsi="Arial"/>
      <w:noProof w:val="0"/>
      <w:sz w:val="24"/>
      <w:lang w:val="fr-CA" w:eastAsia="fr-FR"/>
    </w:rPr>
  </w:style>
  <w:style w:type="character" w:customStyle="1" w:styleId="PieddepageCar">
    <w:name w:val="Pied de page Car"/>
    <w:link w:val="Pieddepage"/>
    <w:uiPriority w:val="99"/>
    <w:rsid w:val="002A223C"/>
    <w:rPr>
      <w:rFonts w:ascii="Arial" w:hAnsi="Arial"/>
      <w:noProof w:val="0"/>
      <w:sz w:val="24"/>
      <w:lang w:val="fr-CA" w:eastAsia="fr-FR"/>
    </w:rPr>
  </w:style>
  <w:style w:type="paragraph" w:styleId="Paragraphedeliste">
    <w:name w:val="List Paragraph"/>
    <w:basedOn w:val="Normal"/>
    <w:uiPriority w:val="34"/>
    <w:qFormat/>
    <w:rsid w:val="002A223C"/>
    <w:pPr>
      <w:spacing w:after="160" w:line="259" w:lineRule="auto"/>
      <w:ind w:left="720"/>
      <w:contextualSpacing/>
    </w:pPr>
    <w:rPr>
      <w:rFonts w:ascii="Calibri" w:eastAsia="Calibri" w:hAnsi="Calibri"/>
      <w:sz w:val="22"/>
      <w:szCs w:val="22"/>
      <w:lang w:eastAsia="en-US"/>
    </w:rPr>
  </w:style>
  <w:style w:type="character" w:styleId="Marquedecommentaire">
    <w:name w:val="annotation reference"/>
    <w:rsid w:val="0024581B"/>
    <w:rPr>
      <w:noProof w:val="0"/>
      <w:sz w:val="16"/>
      <w:szCs w:val="16"/>
      <w:lang w:val="fr-CA"/>
    </w:rPr>
  </w:style>
  <w:style w:type="paragraph" w:styleId="Commentaire">
    <w:name w:val="annotation text"/>
    <w:basedOn w:val="Normal"/>
    <w:link w:val="CommentaireCar"/>
    <w:rsid w:val="0024581B"/>
    <w:rPr>
      <w:sz w:val="20"/>
    </w:rPr>
  </w:style>
  <w:style w:type="character" w:customStyle="1" w:styleId="CommentaireCar">
    <w:name w:val="Commentaire Car"/>
    <w:link w:val="Commentaire"/>
    <w:rsid w:val="0024581B"/>
    <w:rPr>
      <w:rFonts w:ascii="Arial" w:hAnsi="Arial"/>
      <w:noProof w:val="0"/>
      <w:lang w:val="fr-CA" w:eastAsia="fr-FR"/>
    </w:rPr>
  </w:style>
  <w:style w:type="paragraph" w:styleId="Objetducommentaire">
    <w:name w:val="annotation subject"/>
    <w:basedOn w:val="Commentaire"/>
    <w:next w:val="Commentaire"/>
    <w:link w:val="ObjetducommentaireCar"/>
    <w:rsid w:val="0024581B"/>
    <w:rPr>
      <w:b/>
      <w:bCs/>
    </w:rPr>
  </w:style>
  <w:style w:type="character" w:customStyle="1" w:styleId="ObjetducommentaireCar">
    <w:name w:val="Objet du commentaire Car"/>
    <w:link w:val="Objetducommentaire"/>
    <w:rsid w:val="0024581B"/>
    <w:rPr>
      <w:rFonts w:ascii="Arial" w:hAnsi="Arial"/>
      <w:b/>
      <w:bCs/>
      <w:noProof w:val="0"/>
      <w:lang w:val="fr-CA" w:eastAsia="fr-FR"/>
    </w:rPr>
  </w:style>
  <w:style w:type="character" w:styleId="Hyperlien">
    <w:name w:val="Hyperlink"/>
    <w:uiPriority w:val="99"/>
    <w:unhideWhenUsed/>
    <w:rsid w:val="00DA4881"/>
    <w:rPr>
      <w:noProof w:val="0"/>
      <w:color w:val="0000FF"/>
      <w:u w:val="single"/>
      <w:lang w:val="fr-CA"/>
    </w:rPr>
  </w:style>
  <w:style w:type="character" w:styleId="Mentionnonrsolue">
    <w:name w:val="Unresolved Mention"/>
    <w:uiPriority w:val="99"/>
    <w:semiHidden/>
    <w:unhideWhenUsed/>
    <w:rsid w:val="000D5095"/>
    <w:rPr>
      <w:noProof w:val="0"/>
      <w:color w:val="605E5C"/>
      <w:shd w:val="clear" w:color="auto" w:fill="E1DFDD"/>
      <w:lang w:val="fr-CA"/>
    </w:rPr>
  </w:style>
  <w:style w:type="paragraph" w:styleId="Rvision">
    <w:name w:val="Revision"/>
    <w:hidden/>
    <w:uiPriority w:val="99"/>
    <w:semiHidden/>
    <w:rsid w:val="00282367"/>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708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Gabarits_SOQUIJ\CQFr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CC29-5E52-4DA0-BA96-E7C359F0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CQFra.dot</Template>
  <TotalTime>0</TotalTime>
  <Pages>17</Pages>
  <Words>5264</Words>
  <Characters>28958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windows user</dc:creator>
  <cp:keywords/>
  <cp:lastModifiedBy>Gauthier, François</cp:lastModifiedBy>
  <cp:revision>2</cp:revision>
  <cp:lastPrinted>2023-09-18T14:21:00Z</cp:lastPrinted>
  <dcterms:created xsi:type="dcterms:W3CDTF">2023-10-16T11:59:00Z</dcterms:created>
  <dcterms:modified xsi:type="dcterms:W3CDTF">2023-10-16T11:59:00Z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CQ</vt:lpwstr>
  </property>
  <property fmtid="{D5CDD505-2E9C-101B-9397-08002B2CF9AE}" pid="3" name="Soquij_DateModification">
    <vt:lpwstr>01/24/2002</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