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AF40" w14:textId="46FC26A3" w:rsidR="004A5A56" w:rsidRPr="004A5A56" w:rsidRDefault="004A5A56">
      <w:pPr>
        <w:rPr>
          <w:lang w:val="en-CA"/>
        </w:rPr>
      </w:pPr>
      <w:r w:rsidRPr="00E739A4">
        <w:rPr>
          <w:rFonts w:cs="Arial"/>
          <w:bCs/>
          <w:lang w:val="en-CA"/>
        </w:rPr>
        <w:t>Unofficial English Translation of the Judgment of the Court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497"/>
        <w:gridCol w:w="174"/>
        <w:gridCol w:w="2616"/>
        <w:gridCol w:w="2771"/>
        <w:gridCol w:w="2272"/>
      </w:tblGrid>
      <w:tr w:rsidR="008F364A" w:rsidRPr="00C74276" w14:paraId="44E86D28" w14:textId="77777777">
        <w:trPr>
          <w:trHeight w:val="248"/>
        </w:trPr>
        <w:tc>
          <w:tcPr>
            <w:tcW w:w="7088" w:type="dxa"/>
            <w:gridSpan w:val="5"/>
          </w:tcPr>
          <w:p w14:paraId="78B10415" w14:textId="77777777" w:rsidR="008F364A" w:rsidRPr="00C554B2" w:rsidRDefault="00E2484A" w:rsidP="00E2484A">
            <w:pPr>
              <w:pStyle w:val="zSoquijdatRepertorie"/>
              <w:rPr>
                <w:rFonts w:cs="Arial"/>
              </w:rPr>
            </w:pPr>
            <w:r w:rsidRPr="00C554B2">
              <w:rPr>
                <w:rFonts w:cs="Arial"/>
              </w:rPr>
              <w:t>Druide Informatique inc. c. Éditions Québec Amérique inc.</w:t>
            </w:r>
          </w:p>
        </w:tc>
        <w:tc>
          <w:tcPr>
            <w:tcW w:w="2272" w:type="dxa"/>
          </w:tcPr>
          <w:p w14:paraId="39F69CC1" w14:textId="77777777" w:rsidR="008F364A" w:rsidRPr="00C74276" w:rsidRDefault="00DC5C72" w:rsidP="00DC5C72">
            <w:pPr>
              <w:pStyle w:val="zSoquijdatRefNeutre"/>
              <w:jc w:val="right"/>
              <w:rPr>
                <w:rFonts w:cs="Arial"/>
                <w:lang w:val="en-CA"/>
              </w:rPr>
            </w:pPr>
            <w:r w:rsidRPr="00C74276">
              <w:rPr>
                <w:rFonts w:cs="Arial"/>
                <w:lang w:val="en-CA"/>
              </w:rPr>
              <w:t>2020 QCCA 1197</w:t>
            </w:r>
          </w:p>
        </w:tc>
      </w:tr>
      <w:tr w:rsidR="008F364A" w:rsidRPr="00C74276" w14:paraId="43E8B073" w14:textId="77777777">
        <w:trPr>
          <w:trHeight w:val="247"/>
        </w:trPr>
        <w:tc>
          <w:tcPr>
            <w:tcW w:w="9360" w:type="dxa"/>
            <w:gridSpan w:val="6"/>
          </w:tcPr>
          <w:p w14:paraId="23B07797" w14:textId="080481ED" w:rsidR="008F364A" w:rsidRPr="00C74276" w:rsidRDefault="00FF0E6E">
            <w:pPr>
              <w:pStyle w:val="zSoquijlblCour"/>
              <w:rPr>
                <w:lang w:val="en-CA"/>
              </w:rPr>
            </w:pPr>
            <w:r w:rsidRPr="00C74276">
              <w:rPr>
                <w:lang w:val="en-CA"/>
              </w:rPr>
              <w:t xml:space="preserve">COURT OF APPEAL </w:t>
            </w:r>
          </w:p>
        </w:tc>
      </w:tr>
      <w:tr w:rsidR="008F364A" w:rsidRPr="00C74276" w14:paraId="583CAB49" w14:textId="77777777">
        <w:trPr>
          <w:trHeight w:val="540"/>
        </w:trPr>
        <w:tc>
          <w:tcPr>
            <w:tcW w:w="9360" w:type="dxa"/>
            <w:gridSpan w:val="6"/>
          </w:tcPr>
          <w:p w14:paraId="50C60863" w14:textId="77777777" w:rsidR="008F364A" w:rsidRPr="00C74276" w:rsidRDefault="008F364A">
            <w:pPr>
              <w:pStyle w:val="zSoquijdatDivision"/>
              <w:rPr>
                <w:lang w:val="en-CA"/>
              </w:rPr>
            </w:pPr>
          </w:p>
        </w:tc>
      </w:tr>
      <w:tr w:rsidR="008F364A" w:rsidRPr="00C74276" w14:paraId="21B05F31" w14:textId="77777777">
        <w:tc>
          <w:tcPr>
            <w:tcW w:w="9360" w:type="dxa"/>
            <w:gridSpan w:val="6"/>
          </w:tcPr>
          <w:p w14:paraId="2A83E9E2" w14:textId="77777777" w:rsidR="008F364A" w:rsidRPr="00C74276" w:rsidRDefault="00740A17">
            <w:pPr>
              <w:pStyle w:val="zSoquijlblPays"/>
              <w:rPr>
                <w:lang w:val="en-CA"/>
              </w:rPr>
            </w:pPr>
            <w:r w:rsidRPr="00C74276">
              <w:rPr>
                <w:lang w:val="en-CA"/>
              </w:rPr>
              <w:t>CANADA</w:t>
            </w:r>
          </w:p>
        </w:tc>
      </w:tr>
      <w:tr w:rsidR="008F364A" w:rsidRPr="00C74276" w14:paraId="76FADBD0" w14:textId="77777777">
        <w:tc>
          <w:tcPr>
            <w:tcW w:w="9360" w:type="dxa"/>
            <w:gridSpan w:val="6"/>
          </w:tcPr>
          <w:p w14:paraId="06409759" w14:textId="62F1AA80" w:rsidR="008F364A" w:rsidRPr="00C74276" w:rsidRDefault="00FF0E6E">
            <w:pPr>
              <w:pStyle w:val="zSoquijlblProvince"/>
              <w:rPr>
                <w:lang w:val="en-CA"/>
              </w:rPr>
            </w:pPr>
            <w:r w:rsidRPr="00C74276">
              <w:rPr>
                <w:lang w:val="en-CA"/>
              </w:rPr>
              <w:t>PROVINCE OF</w:t>
            </w:r>
            <w:r w:rsidR="00740A17" w:rsidRPr="00C74276">
              <w:rPr>
                <w:lang w:val="en-CA"/>
              </w:rPr>
              <w:t xml:space="preserve"> QUÉBEC</w:t>
            </w:r>
          </w:p>
        </w:tc>
      </w:tr>
      <w:tr w:rsidR="008F364A" w:rsidRPr="00C74276" w14:paraId="5FC04432" w14:textId="77777777" w:rsidTr="00FF0E6E">
        <w:tc>
          <w:tcPr>
            <w:tcW w:w="1527" w:type="dxa"/>
            <w:gridSpan w:val="2"/>
          </w:tcPr>
          <w:p w14:paraId="10CFBA65" w14:textId="471C76C4" w:rsidR="008F364A" w:rsidRPr="00C74276" w:rsidRDefault="00FF0E6E">
            <w:pPr>
              <w:pStyle w:val="zSoquijlblGreffe"/>
              <w:rPr>
                <w:lang w:val="en-CA"/>
              </w:rPr>
            </w:pPr>
            <w:r w:rsidRPr="00C74276">
              <w:rPr>
                <w:lang w:val="en-CA"/>
              </w:rPr>
              <w:t>DISTRICT OF</w:t>
            </w:r>
          </w:p>
          <w:p w14:paraId="0C2E63AD" w14:textId="77777777" w:rsidR="008F364A" w:rsidRPr="00C74276" w:rsidRDefault="008F364A">
            <w:pPr>
              <w:pStyle w:val="zSoquijlblGreffe"/>
              <w:rPr>
                <w:lang w:val="en-CA"/>
              </w:rPr>
            </w:pPr>
          </w:p>
        </w:tc>
        <w:tc>
          <w:tcPr>
            <w:tcW w:w="7833" w:type="dxa"/>
            <w:gridSpan w:val="4"/>
          </w:tcPr>
          <w:p w14:paraId="6AB2930D" w14:textId="7F573495" w:rsidR="008F364A" w:rsidRPr="00C74276" w:rsidRDefault="0074181B">
            <w:pPr>
              <w:pStyle w:val="zSoquijdatGreffe"/>
              <w:rPr>
                <w:lang w:val="en-CA"/>
              </w:rPr>
            </w:pPr>
            <w:bookmarkStart w:id="0" w:name="NomGreffe"/>
            <w:r w:rsidRPr="00C74276">
              <w:rPr>
                <w:lang w:val="en-CA"/>
              </w:rPr>
              <w:t xml:space="preserve"> </w:t>
            </w:r>
            <w:r w:rsidR="00104660" w:rsidRPr="00C74276">
              <w:rPr>
                <w:lang w:val="en-CA"/>
              </w:rPr>
              <w:t>MONTRÉAL</w:t>
            </w:r>
            <w:bookmarkEnd w:id="0"/>
          </w:p>
        </w:tc>
      </w:tr>
      <w:tr w:rsidR="008F364A" w:rsidRPr="00C74276" w14:paraId="79144A80" w14:textId="77777777">
        <w:tc>
          <w:tcPr>
            <w:tcW w:w="1030" w:type="dxa"/>
          </w:tcPr>
          <w:p w14:paraId="6E051046" w14:textId="56C68576" w:rsidR="008F364A" w:rsidRPr="00C74276" w:rsidRDefault="00FF0E6E">
            <w:pPr>
              <w:pStyle w:val="zSoquijlblNoDossier"/>
              <w:rPr>
                <w:lang w:val="en-CA"/>
              </w:rPr>
            </w:pPr>
            <w:r w:rsidRPr="00C74276">
              <w:rPr>
                <w:lang w:val="en-CA"/>
              </w:rPr>
              <w:t>N</w:t>
            </w:r>
            <w:r w:rsidR="0064112F" w:rsidRPr="00C74276">
              <w:rPr>
                <w:lang w:val="en-CA"/>
              </w:rPr>
              <w:t>o.</w:t>
            </w:r>
            <w:r w:rsidR="00740A17" w:rsidRPr="00C74276">
              <w:rPr>
                <w:lang w:val="en-CA"/>
              </w:rPr>
              <w:t>:</w:t>
            </w:r>
          </w:p>
        </w:tc>
        <w:tc>
          <w:tcPr>
            <w:tcW w:w="8330" w:type="dxa"/>
            <w:gridSpan w:val="5"/>
          </w:tcPr>
          <w:p w14:paraId="534E2CAA" w14:textId="77777777" w:rsidR="008F364A" w:rsidRPr="00C74276" w:rsidRDefault="009F0EE7">
            <w:pPr>
              <w:pStyle w:val="zSoquijdatNoDossier"/>
              <w:rPr>
                <w:lang w:val="en-CA"/>
              </w:rPr>
            </w:pPr>
            <w:r w:rsidRPr="00C74276">
              <w:rPr>
                <w:rFonts w:cs="Arial"/>
                <w:lang w:val="en-CA"/>
              </w:rPr>
              <w:t>500-09-027119-171</w:t>
            </w:r>
          </w:p>
        </w:tc>
      </w:tr>
      <w:tr w:rsidR="00104660" w:rsidRPr="00C74276" w14:paraId="7AFDE096" w14:textId="77777777">
        <w:tc>
          <w:tcPr>
            <w:tcW w:w="9360" w:type="dxa"/>
            <w:gridSpan w:val="6"/>
          </w:tcPr>
          <w:p w14:paraId="1A7AFB0D" w14:textId="77777777" w:rsidR="00104660" w:rsidRPr="00C74276" w:rsidRDefault="00104660" w:rsidP="00104660">
            <w:pPr>
              <w:pStyle w:val="zSoquijdatNoDossierAnt"/>
              <w:rPr>
                <w:lang w:val="en-CA"/>
              </w:rPr>
            </w:pPr>
            <w:r w:rsidRPr="00C74276">
              <w:rPr>
                <w:lang w:val="en-CA"/>
              </w:rPr>
              <w:t>(</w:t>
            </w:r>
            <w:r w:rsidR="009F0EE7" w:rsidRPr="00C74276">
              <w:rPr>
                <w:rFonts w:cs="Arial"/>
                <w:lang w:val="en-CA"/>
              </w:rPr>
              <w:t>500-17-073308-127</w:t>
            </w:r>
            <w:r w:rsidRPr="00C74276">
              <w:rPr>
                <w:lang w:val="en-CA"/>
              </w:rPr>
              <w:t>)</w:t>
            </w:r>
          </w:p>
        </w:tc>
      </w:tr>
      <w:tr w:rsidR="008F364A" w:rsidRPr="00C74276" w14:paraId="57637872" w14:textId="77777777">
        <w:tc>
          <w:tcPr>
            <w:tcW w:w="9360" w:type="dxa"/>
            <w:gridSpan w:val="6"/>
          </w:tcPr>
          <w:p w14:paraId="789DC38A" w14:textId="77777777" w:rsidR="008F364A" w:rsidRPr="00C74276" w:rsidRDefault="008F364A">
            <w:pPr>
              <w:rPr>
                <w:lang w:val="en-CA"/>
              </w:rPr>
            </w:pPr>
          </w:p>
        </w:tc>
      </w:tr>
      <w:tr w:rsidR="008F364A" w:rsidRPr="00C74276" w14:paraId="702C8D4B" w14:textId="77777777">
        <w:tc>
          <w:tcPr>
            <w:tcW w:w="1030" w:type="dxa"/>
          </w:tcPr>
          <w:p w14:paraId="1E109C3C" w14:textId="2A4BC99C" w:rsidR="008F364A" w:rsidRPr="00C74276" w:rsidRDefault="00FF0E6E">
            <w:pPr>
              <w:pStyle w:val="zSoquijlblDateJugement"/>
              <w:rPr>
                <w:lang w:val="en-CA"/>
              </w:rPr>
            </w:pPr>
            <w:r w:rsidRPr="00C74276">
              <w:rPr>
                <w:lang w:val="en-CA"/>
              </w:rPr>
              <w:t>DATE</w:t>
            </w:r>
            <w:r w:rsidR="00740A17" w:rsidRPr="00C74276">
              <w:rPr>
                <w:lang w:val="en-CA"/>
              </w:rPr>
              <w:t>:</w:t>
            </w:r>
          </w:p>
        </w:tc>
        <w:tc>
          <w:tcPr>
            <w:tcW w:w="8330" w:type="dxa"/>
            <w:gridSpan w:val="5"/>
          </w:tcPr>
          <w:p w14:paraId="7E467612" w14:textId="705DC4DB" w:rsidR="008F364A" w:rsidRPr="00C74276" w:rsidRDefault="00E757BD" w:rsidP="00E315F8">
            <w:pPr>
              <w:pStyle w:val="zSoquijdatDateJugement"/>
              <w:rPr>
                <w:lang w:val="en-CA"/>
              </w:rPr>
            </w:pPr>
            <w:r w:rsidRPr="00C74276">
              <w:rPr>
                <w:lang w:val="en-CA"/>
              </w:rPr>
              <w:t xml:space="preserve"> </w:t>
            </w:r>
            <w:r w:rsidR="00FF0E6E" w:rsidRPr="00C74276">
              <w:rPr>
                <w:lang w:val="en-CA"/>
              </w:rPr>
              <w:t>September</w:t>
            </w:r>
            <w:r w:rsidR="001B2D2A" w:rsidRPr="00C74276">
              <w:rPr>
                <w:lang w:val="en-CA"/>
              </w:rPr>
              <w:t xml:space="preserve"> </w:t>
            </w:r>
            <w:r w:rsidR="00FF0E6E" w:rsidRPr="00C74276">
              <w:rPr>
                <w:lang w:val="en-CA"/>
              </w:rPr>
              <w:t xml:space="preserve">18, </w:t>
            </w:r>
            <w:r w:rsidR="001B2D2A" w:rsidRPr="00C74276">
              <w:rPr>
                <w:lang w:val="en-CA"/>
              </w:rPr>
              <w:t>2020</w:t>
            </w:r>
          </w:p>
        </w:tc>
      </w:tr>
      <w:tr w:rsidR="008F364A" w:rsidRPr="00C74276" w14:paraId="32CC5108" w14:textId="77777777">
        <w:tc>
          <w:tcPr>
            <w:tcW w:w="9360" w:type="dxa"/>
            <w:gridSpan w:val="6"/>
            <w:tcBorders>
              <w:bottom w:val="single" w:sz="8" w:space="0" w:color="auto"/>
            </w:tcBorders>
          </w:tcPr>
          <w:p w14:paraId="783560B7" w14:textId="77777777" w:rsidR="008F364A" w:rsidRPr="00C74276" w:rsidRDefault="008F364A">
            <w:pPr>
              <w:rPr>
                <w:lang w:val="en-CA"/>
              </w:rPr>
            </w:pPr>
          </w:p>
        </w:tc>
      </w:tr>
      <w:tr w:rsidR="008F364A" w:rsidRPr="00C74276" w14:paraId="2A61D2CF" w14:textId="77777777">
        <w:tc>
          <w:tcPr>
            <w:tcW w:w="9360" w:type="dxa"/>
            <w:gridSpan w:val="6"/>
            <w:tcBorders>
              <w:top w:val="single" w:sz="8" w:space="0" w:color="auto"/>
            </w:tcBorders>
          </w:tcPr>
          <w:p w14:paraId="634D5FD1" w14:textId="77777777" w:rsidR="008F364A" w:rsidRPr="00C74276" w:rsidRDefault="008F364A">
            <w:pPr>
              <w:rPr>
                <w:lang w:val="en-CA"/>
              </w:rPr>
            </w:pPr>
          </w:p>
        </w:tc>
      </w:tr>
      <w:tr w:rsidR="00FF0E6E" w:rsidRPr="00C74276" w14:paraId="6B2D63AE" w14:textId="77777777" w:rsidTr="00FF0E6E">
        <w:tc>
          <w:tcPr>
            <w:tcW w:w="1701" w:type="dxa"/>
            <w:gridSpan w:val="3"/>
          </w:tcPr>
          <w:p w14:paraId="05E108AC" w14:textId="164D11B6" w:rsidR="008F364A" w:rsidRPr="00C74276" w:rsidRDefault="00DE68DB">
            <w:pPr>
              <w:pStyle w:val="zSoquijlblJuge"/>
              <w:rPr>
                <w:lang w:val="en-CA"/>
              </w:rPr>
            </w:pPr>
            <w:bookmarkStart w:id="1" w:name="Coram"/>
            <w:r w:rsidRPr="00C74276">
              <w:rPr>
                <w:lang w:val="en-CA"/>
              </w:rPr>
              <w:t>CORAM</w:t>
            </w:r>
            <w:r w:rsidR="00740A17" w:rsidRPr="00C74276">
              <w:rPr>
                <w:lang w:val="en-CA"/>
              </w:rPr>
              <w:t>:</w:t>
            </w:r>
            <w:bookmarkEnd w:id="1"/>
          </w:p>
        </w:tc>
        <w:tc>
          <w:tcPr>
            <w:tcW w:w="2616" w:type="dxa"/>
          </w:tcPr>
          <w:p w14:paraId="25166E2D" w14:textId="4C447784" w:rsidR="008F364A" w:rsidRPr="00C74276" w:rsidRDefault="00FF0E6E">
            <w:pPr>
              <w:pStyle w:val="zSoquijdatQteJuge"/>
              <w:rPr>
                <w:lang w:val="en-CA"/>
              </w:rPr>
            </w:pPr>
            <w:bookmarkStart w:id="2" w:name="Honorables"/>
            <w:r w:rsidRPr="00C74276">
              <w:rPr>
                <w:lang w:val="en-CA"/>
              </w:rPr>
              <w:t xml:space="preserve">THE </w:t>
            </w:r>
            <w:r w:rsidR="00740A17" w:rsidRPr="00C74276">
              <w:rPr>
                <w:lang w:val="en-CA"/>
              </w:rPr>
              <w:t>HONO</w:t>
            </w:r>
            <w:r w:rsidRPr="00C74276">
              <w:rPr>
                <w:lang w:val="en-CA"/>
              </w:rPr>
              <w:t>U</w:t>
            </w:r>
            <w:r w:rsidR="00740A17" w:rsidRPr="00C74276">
              <w:rPr>
                <w:lang w:val="en-CA"/>
              </w:rPr>
              <w:t>RABLE</w:t>
            </w:r>
            <w:bookmarkEnd w:id="2"/>
          </w:p>
        </w:tc>
        <w:tc>
          <w:tcPr>
            <w:tcW w:w="5043" w:type="dxa"/>
            <w:gridSpan w:val="2"/>
          </w:tcPr>
          <w:p w14:paraId="688D76F5" w14:textId="18FAEFAA" w:rsidR="008F364A" w:rsidRPr="00C554B2" w:rsidRDefault="009F0EE7">
            <w:pPr>
              <w:pStyle w:val="zSoquijdatJuge"/>
            </w:pPr>
            <w:bookmarkStart w:id="3" w:name="NomJuge1"/>
            <w:r w:rsidRPr="00C554B2">
              <w:t>YVES-MARIE MORISSETTE</w:t>
            </w:r>
            <w:r w:rsidR="00E318F1" w:rsidRPr="00C554B2">
              <w:t>, J.</w:t>
            </w:r>
            <w:r w:rsidR="00104660" w:rsidRPr="00C554B2">
              <w:t>A.</w:t>
            </w:r>
            <w:bookmarkEnd w:id="3"/>
          </w:p>
          <w:p w14:paraId="16198134" w14:textId="299CA853" w:rsidR="008F364A" w:rsidRPr="00C554B2" w:rsidRDefault="009F0EE7">
            <w:pPr>
              <w:pStyle w:val="zSoquijdatJuge"/>
            </w:pPr>
            <w:bookmarkStart w:id="4" w:name="NomJuge2"/>
            <w:r w:rsidRPr="00C554B2">
              <w:t>JOCELYN F. RANCOURT</w:t>
            </w:r>
            <w:r w:rsidR="00104660" w:rsidRPr="00C554B2">
              <w:t>, J.A.</w:t>
            </w:r>
            <w:bookmarkEnd w:id="4"/>
          </w:p>
          <w:p w14:paraId="6B7E6674" w14:textId="7A9E075F" w:rsidR="008F364A" w:rsidRPr="00C554B2" w:rsidRDefault="009F0EE7" w:rsidP="00104660">
            <w:pPr>
              <w:pStyle w:val="zSoquijdatJuge"/>
            </w:pPr>
            <w:bookmarkStart w:id="5" w:name="_Hlt520513784"/>
            <w:bookmarkStart w:id="6" w:name="NomJuge3"/>
            <w:bookmarkEnd w:id="5"/>
            <w:r w:rsidRPr="00C554B2">
              <w:t>MICHEL BEAUPRÉ</w:t>
            </w:r>
            <w:r w:rsidR="00104660" w:rsidRPr="00C554B2">
              <w:t>, J.A.</w:t>
            </w:r>
            <w:bookmarkEnd w:id="6"/>
          </w:p>
        </w:tc>
      </w:tr>
      <w:tr w:rsidR="008F364A" w:rsidRPr="00C74276" w14:paraId="45A49243" w14:textId="77777777">
        <w:tc>
          <w:tcPr>
            <w:tcW w:w="9360" w:type="dxa"/>
            <w:gridSpan w:val="6"/>
            <w:tcBorders>
              <w:bottom w:val="single" w:sz="8" w:space="0" w:color="auto"/>
            </w:tcBorders>
          </w:tcPr>
          <w:p w14:paraId="4755E7A5" w14:textId="77777777" w:rsidR="008F364A" w:rsidRPr="00C554B2" w:rsidRDefault="008F364A"/>
        </w:tc>
      </w:tr>
      <w:tr w:rsidR="008F364A" w:rsidRPr="00C74276" w14:paraId="74514B7A" w14:textId="77777777">
        <w:tc>
          <w:tcPr>
            <w:tcW w:w="9360" w:type="dxa"/>
            <w:gridSpan w:val="6"/>
          </w:tcPr>
          <w:p w14:paraId="558BEEB4" w14:textId="77777777" w:rsidR="008F364A" w:rsidRPr="00C554B2" w:rsidRDefault="008F364A">
            <w:pPr>
              <w:pStyle w:val="zSoquijlblTitrePartie"/>
            </w:pPr>
          </w:p>
        </w:tc>
      </w:tr>
      <w:tr w:rsidR="008F364A" w:rsidRPr="00C74276" w14:paraId="62FD03EB" w14:textId="77777777">
        <w:tc>
          <w:tcPr>
            <w:tcW w:w="9360" w:type="dxa"/>
            <w:gridSpan w:val="6"/>
          </w:tcPr>
          <w:p w14:paraId="6DC96A39" w14:textId="77777777" w:rsidR="008F364A" w:rsidRPr="00C74276" w:rsidRDefault="009F0EE7">
            <w:pPr>
              <w:pStyle w:val="zSoquijdatNomPartieDem"/>
              <w:rPr>
                <w:lang w:val="en-CA"/>
              </w:rPr>
            </w:pPr>
            <w:r w:rsidRPr="00C74276">
              <w:rPr>
                <w:lang w:val="en-CA"/>
              </w:rPr>
              <w:t>DRUIDE INFORMATIQUE INC.</w:t>
            </w:r>
          </w:p>
        </w:tc>
      </w:tr>
      <w:tr w:rsidR="008F364A" w:rsidRPr="00C74276" w14:paraId="5EE3F1CE" w14:textId="77777777">
        <w:tc>
          <w:tcPr>
            <w:tcW w:w="9360" w:type="dxa"/>
            <w:gridSpan w:val="6"/>
          </w:tcPr>
          <w:p w14:paraId="1F8C27EA" w14:textId="7E59F789" w:rsidR="008F364A" w:rsidRPr="00C74276" w:rsidRDefault="00104660">
            <w:pPr>
              <w:pStyle w:val="zSoquijdatQtePartieDem"/>
              <w:rPr>
                <w:lang w:val="en-CA"/>
              </w:rPr>
            </w:pPr>
            <w:r w:rsidRPr="00C74276">
              <w:rPr>
                <w:lang w:val="en-CA"/>
              </w:rPr>
              <w:t>APPEL</w:t>
            </w:r>
            <w:r w:rsidR="00DB2075" w:rsidRPr="00C74276">
              <w:rPr>
                <w:lang w:val="en-CA"/>
              </w:rPr>
              <w:t>L</w:t>
            </w:r>
            <w:r w:rsidRPr="00C74276">
              <w:rPr>
                <w:lang w:val="en-CA"/>
              </w:rPr>
              <w:t xml:space="preserve">ANT – </w:t>
            </w:r>
            <w:r w:rsidR="00FF0E6E" w:rsidRPr="00C74276">
              <w:rPr>
                <w:rFonts w:cs="Arial"/>
                <w:lang w:val="en-CA"/>
              </w:rPr>
              <w:t>Defendant</w:t>
            </w:r>
            <w:r w:rsidR="009F0EE7" w:rsidRPr="00C74276">
              <w:rPr>
                <w:rFonts w:cs="Arial"/>
                <w:lang w:val="en-CA"/>
              </w:rPr>
              <w:t>/</w:t>
            </w:r>
            <w:r w:rsidR="006F322D" w:rsidRPr="00C74276">
              <w:rPr>
                <w:rFonts w:cs="Arial"/>
                <w:lang w:val="en-CA"/>
              </w:rPr>
              <w:t>Cross-</w:t>
            </w:r>
            <w:r w:rsidR="00FF0E6E" w:rsidRPr="00C74276">
              <w:rPr>
                <w:rFonts w:cs="Arial"/>
                <w:lang w:val="en-CA"/>
              </w:rPr>
              <w:t xml:space="preserve">Plaintiff </w:t>
            </w:r>
          </w:p>
        </w:tc>
      </w:tr>
      <w:tr w:rsidR="008F364A" w:rsidRPr="00C74276" w14:paraId="12A4F3D9" w14:textId="77777777">
        <w:tc>
          <w:tcPr>
            <w:tcW w:w="9360" w:type="dxa"/>
            <w:gridSpan w:val="6"/>
          </w:tcPr>
          <w:p w14:paraId="69C055B5" w14:textId="449C1D12" w:rsidR="008F364A" w:rsidRPr="00C74276" w:rsidRDefault="00FF0E6E">
            <w:pPr>
              <w:pStyle w:val="zSoquijlblLienParties"/>
              <w:rPr>
                <w:lang w:val="en-CA"/>
              </w:rPr>
            </w:pPr>
            <w:r w:rsidRPr="00C74276">
              <w:rPr>
                <w:lang w:val="en-CA"/>
              </w:rPr>
              <w:t>v</w:t>
            </w:r>
            <w:r w:rsidR="00740A17" w:rsidRPr="00C74276">
              <w:rPr>
                <w:lang w:val="en-CA"/>
              </w:rPr>
              <w:t>.</w:t>
            </w:r>
          </w:p>
        </w:tc>
      </w:tr>
      <w:tr w:rsidR="008F364A" w:rsidRPr="00C74276" w14:paraId="68BFCB5E" w14:textId="77777777">
        <w:tc>
          <w:tcPr>
            <w:tcW w:w="9360" w:type="dxa"/>
            <w:gridSpan w:val="6"/>
          </w:tcPr>
          <w:p w14:paraId="5D2B7F4E" w14:textId="77777777" w:rsidR="008F364A" w:rsidRPr="00C74276" w:rsidRDefault="008F364A">
            <w:pPr>
              <w:rPr>
                <w:lang w:val="en-CA"/>
              </w:rPr>
            </w:pPr>
          </w:p>
        </w:tc>
      </w:tr>
      <w:tr w:rsidR="008F364A" w:rsidRPr="00C74276" w14:paraId="45997025" w14:textId="77777777">
        <w:tc>
          <w:tcPr>
            <w:tcW w:w="9360" w:type="dxa"/>
            <w:gridSpan w:val="6"/>
          </w:tcPr>
          <w:p w14:paraId="20E9D4E7" w14:textId="77777777" w:rsidR="008F364A" w:rsidRPr="00C554B2" w:rsidRDefault="009F0EE7">
            <w:pPr>
              <w:pStyle w:val="zSoquijdatNomPartieDef"/>
            </w:pPr>
            <w:r w:rsidRPr="00C554B2">
              <w:t>LES ÉDITIONS QUÉBEC AMÉRIQUE INC.</w:t>
            </w:r>
          </w:p>
        </w:tc>
      </w:tr>
      <w:tr w:rsidR="008F364A" w:rsidRPr="00C74276" w14:paraId="26D0D525" w14:textId="77777777">
        <w:tc>
          <w:tcPr>
            <w:tcW w:w="9360" w:type="dxa"/>
            <w:gridSpan w:val="6"/>
          </w:tcPr>
          <w:p w14:paraId="2A700732" w14:textId="58400973" w:rsidR="008F364A" w:rsidRPr="00C74276" w:rsidRDefault="00FF0E6E">
            <w:pPr>
              <w:pStyle w:val="zSoquijdatQtePartieDef"/>
              <w:rPr>
                <w:lang w:val="en-CA"/>
              </w:rPr>
            </w:pPr>
            <w:r w:rsidRPr="00C74276">
              <w:rPr>
                <w:rFonts w:cs="Arial"/>
                <w:caps/>
                <w:lang w:val="en-CA"/>
              </w:rPr>
              <w:t>respondent</w:t>
            </w:r>
            <w:r w:rsidRPr="00C74276">
              <w:rPr>
                <w:rFonts w:cs="Arial"/>
                <w:lang w:val="en-CA"/>
              </w:rPr>
              <w:t xml:space="preserve"> – Plaintiff</w:t>
            </w:r>
            <w:r w:rsidR="009F0EE7" w:rsidRPr="00C74276">
              <w:rPr>
                <w:rFonts w:cs="Arial"/>
                <w:lang w:val="en-CA"/>
              </w:rPr>
              <w:t>/</w:t>
            </w:r>
            <w:r w:rsidR="006F322D" w:rsidRPr="00C74276">
              <w:rPr>
                <w:rFonts w:cs="Arial"/>
                <w:lang w:val="en-CA"/>
              </w:rPr>
              <w:t>Cross-</w:t>
            </w:r>
            <w:r w:rsidR="00DE68DB" w:rsidRPr="00C74276">
              <w:rPr>
                <w:rFonts w:cs="Arial"/>
                <w:lang w:val="en-CA"/>
              </w:rPr>
              <w:t>Defendant</w:t>
            </w:r>
          </w:p>
        </w:tc>
      </w:tr>
      <w:tr w:rsidR="008F364A" w:rsidRPr="00C74276" w14:paraId="394AFFE3" w14:textId="77777777">
        <w:tc>
          <w:tcPr>
            <w:tcW w:w="9360" w:type="dxa"/>
            <w:gridSpan w:val="6"/>
          </w:tcPr>
          <w:p w14:paraId="348DA6F6" w14:textId="77777777" w:rsidR="009F0EE7" w:rsidRPr="00C74276" w:rsidRDefault="009F0EE7">
            <w:pPr>
              <w:rPr>
                <w:lang w:val="en-CA"/>
              </w:rPr>
            </w:pPr>
          </w:p>
        </w:tc>
      </w:tr>
      <w:tr w:rsidR="008F364A" w:rsidRPr="00C74276" w14:paraId="0A976641" w14:textId="77777777">
        <w:tc>
          <w:tcPr>
            <w:tcW w:w="9360" w:type="dxa"/>
            <w:gridSpan w:val="6"/>
            <w:tcBorders>
              <w:top w:val="single" w:sz="8" w:space="0" w:color="auto"/>
            </w:tcBorders>
          </w:tcPr>
          <w:p w14:paraId="0D477D1C" w14:textId="77777777" w:rsidR="008F364A" w:rsidRPr="00C74276" w:rsidRDefault="008F364A">
            <w:pPr>
              <w:rPr>
                <w:lang w:val="en-CA"/>
              </w:rPr>
            </w:pPr>
            <w:bookmarkStart w:id="7" w:name="Arret"/>
          </w:p>
        </w:tc>
      </w:tr>
      <w:tr w:rsidR="008F364A" w:rsidRPr="00C74276" w14:paraId="783026C4" w14:textId="77777777">
        <w:tc>
          <w:tcPr>
            <w:tcW w:w="9360" w:type="dxa"/>
            <w:gridSpan w:val="6"/>
          </w:tcPr>
          <w:p w14:paraId="6D3A7F3D" w14:textId="3C3192A7" w:rsidR="008F364A" w:rsidRPr="00C74276" w:rsidRDefault="00FF0E6E">
            <w:pPr>
              <w:pStyle w:val="zSoquijlblTypeDocument"/>
              <w:rPr>
                <w:lang w:val="en-CA"/>
              </w:rPr>
            </w:pPr>
            <w:bookmarkStart w:id="8" w:name="TitreDocument"/>
            <w:r w:rsidRPr="00C74276">
              <w:rPr>
                <w:lang w:val="en-CA"/>
              </w:rPr>
              <w:t xml:space="preserve">JUDGMENT </w:t>
            </w:r>
            <w:bookmarkEnd w:id="8"/>
          </w:p>
        </w:tc>
      </w:tr>
      <w:tr w:rsidR="008F364A" w:rsidRPr="00C74276" w14:paraId="06294F89" w14:textId="77777777">
        <w:tc>
          <w:tcPr>
            <w:tcW w:w="9360" w:type="dxa"/>
            <w:gridSpan w:val="6"/>
            <w:tcBorders>
              <w:bottom w:val="single" w:sz="8" w:space="0" w:color="auto"/>
            </w:tcBorders>
          </w:tcPr>
          <w:p w14:paraId="6A4C24B6" w14:textId="77777777" w:rsidR="008F364A" w:rsidRPr="00C74276" w:rsidRDefault="008F364A">
            <w:pPr>
              <w:rPr>
                <w:lang w:val="en-CA"/>
              </w:rPr>
            </w:pPr>
          </w:p>
        </w:tc>
      </w:tr>
      <w:tr w:rsidR="008F364A" w:rsidRPr="00C74276" w14:paraId="298D7101" w14:textId="77777777">
        <w:tc>
          <w:tcPr>
            <w:tcW w:w="9360" w:type="dxa"/>
            <w:gridSpan w:val="6"/>
            <w:tcBorders>
              <w:top w:val="single" w:sz="8" w:space="0" w:color="auto"/>
            </w:tcBorders>
          </w:tcPr>
          <w:p w14:paraId="79DCE015" w14:textId="77777777" w:rsidR="008F364A" w:rsidRPr="00C74276" w:rsidRDefault="008F364A">
            <w:pPr>
              <w:rPr>
                <w:lang w:val="en-CA"/>
              </w:rPr>
            </w:pPr>
          </w:p>
        </w:tc>
      </w:tr>
    </w:tbl>
    <w:p w14:paraId="3234F214" w14:textId="1D08C364" w:rsidR="009F0EE7" w:rsidRPr="00C74276" w:rsidRDefault="00891902" w:rsidP="0088623A">
      <w:pPr>
        <w:pStyle w:val="Paragraphe"/>
        <w:spacing w:before="240" w:line="280" w:lineRule="exact"/>
        <w:rPr>
          <w:lang w:val="en-CA"/>
        </w:rPr>
      </w:pPr>
      <w:r w:rsidRPr="00C74276">
        <w:rPr>
          <w:lang w:val="en-CA"/>
        </w:rPr>
        <w:t>The A</w:t>
      </w:r>
      <w:r w:rsidR="00FF0E6E" w:rsidRPr="00C74276">
        <w:rPr>
          <w:lang w:val="en-CA"/>
        </w:rPr>
        <w:t>ppel</w:t>
      </w:r>
      <w:r w:rsidR="00DB2075" w:rsidRPr="00C74276">
        <w:rPr>
          <w:lang w:val="en-CA"/>
        </w:rPr>
        <w:t>l</w:t>
      </w:r>
      <w:r w:rsidR="00FF0E6E" w:rsidRPr="00C74276">
        <w:rPr>
          <w:lang w:val="en-CA"/>
        </w:rPr>
        <w:t>ant appeal</w:t>
      </w:r>
      <w:r w:rsidR="0007451F" w:rsidRPr="00C74276">
        <w:rPr>
          <w:lang w:val="en-CA"/>
        </w:rPr>
        <w:t>s</w:t>
      </w:r>
      <w:r w:rsidR="00FF0E6E" w:rsidRPr="00C74276">
        <w:rPr>
          <w:lang w:val="en-CA"/>
        </w:rPr>
        <w:t xml:space="preserve"> </w:t>
      </w:r>
      <w:r w:rsidR="0007451F" w:rsidRPr="00C74276">
        <w:rPr>
          <w:lang w:val="en-CA"/>
        </w:rPr>
        <w:t xml:space="preserve">from </w:t>
      </w:r>
      <w:r w:rsidR="00FF0E6E" w:rsidRPr="00C74276">
        <w:rPr>
          <w:lang w:val="en-CA"/>
        </w:rPr>
        <w:t>a judgment rendered on September 14, 2017</w:t>
      </w:r>
      <w:r w:rsidR="0007451F" w:rsidRPr="00C74276">
        <w:rPr>
          <w:lang w:val="en-CA"/>
        </w:rPr>
        <w:t>,</w:t>
      </w:r>
      <w:r w:rsidR="00FF0E6E" w:rsidRPr="00C74276">
        <w:rPr>
          <w:lang w:val="en-CA"/>
        </w:rPr>
        <w:t xml:space="preserve"> by the Superior Court, </w:t>
      </w:r>
      <w:r w:rsidR="0007451F" w:rsidRPr="00C74276">
        <w:rPr>
          <w:lang w:val="en-CA"/>
        </w:rPr>
        <w:t>D</w:t>
      </w:r>
      <w:r w:rsidR="00FF0E6E" w:rsidRPr="00C74276">
        <w:rPr>
          <w:lang w:val="en-CA"/>
        </w:rPr>
        <w:t>istrict of Montreal (the Honourable Élise Poisson</w:t>
      </w:r>
      <w:r w:rsidR="00F744CE" w:rsidRPr="00C74276">
        <w:rPr>
          <w:lang w:val="en-CA"/>
        </w:rPr>
        <w:t>), grant</w:t>
      </w:r>
      <w:r w:rsidR="0007451F" w:rsidRPr="00C74276">
        <w:rPr>
          <w:lang w:val="en-CA"/>
        </w:rPr>
        <w:t>ing</w:t>
      </w:r>
      <w:r w:rsidR="00F744CE" w:rsidRPr="00C74276">
        <w:rPr>
          <w:lang w:val="en-CA"/>
        </w:rPr>
        <w:t xml:space="preserve"> the </w:t>
      </w:r>
      <w:r w:rsidR="0007451F" w:rsidRPr="00C74276">
        <w:rPr>
          <w:lang w:val="en-CA"/>
        </w:rPr>
        <w:t>r</w:t>
      </w:r>
      <w:r w:rsidR="00D42B2E" w:rsidRPr="00C74276">
        <w:rPr>
          <w:lang w:val="en-CA"/>
        </w:rPr>
        <w:t>esp</w:t>
      </w:r>
      <w:r w:rsidR="00EB2AAB" w:rsidRPr="00C74276">
        <w:rPr>
          <w:lang w:val="en-CA"/>
        </w:rPr>
        <w:t xml:space="preserve">ondent’s </w:t>
      </w:r>
      <w:r w:rsidR="00010AAA" w:rsidRPr="00C74276">
        <w:rPr>
          <w:lang w:val="en-CA"/>
        </w:rPr>
        <w:t>originating application</w:t>
      </w:r>
      <w:r w:rsidR="00F744CE" w:rsidRPr="00C74276">
        <w:rPr>
          <w:lang w:val="en-CA"/>
        </w:rPr>
        <w:t xml:space="preserve"> </w:t>
      </w:r>
      <w:r w:rsidRPr="00C74276">
        <w:rPr>
          <w:lang w:val="en-CA"/>
        </w:rPr>
        <w:t>and order</w:t>
      </w:r>
      <w:r w:rsidR="00010AAA" w:rsidRPr="00C74276">
        <w:rPr>
          <w:lang w:val="en-CA"/>
        </w:rPr>
        <w:t>ing</w:t>
      </w:r>
      <w:r w:rsidRPr="00C74276">
        <w:rPr>
          <w:lang w:val="en-CA"/>
        </w:rPr>
        <w:t xml:space="preserve"> the </w:t>
      </w:r>
      <w:r w:rsidR="00010AAA" w:rsidRPr="00C74276">
        <w:rPr>
          <w:lang w:val="en-CA"/>
        </w:rPr>
        <w:t>a</w:t>
      </w:r>
      <w:r w:rsidR="00F744CE" w:rsidRPr="00C74276">
        <w:rPr>
          <w:lang w:val="en-CA"/>
        </w:rPr>
        <w:t>ppel</w:t>
      </w:r>
      <w:r w:rsidR="005173A2" w:rsidRPr="00C74276">
        <w:rPr>
          <w:lang w:val="en-CA"/>
        </w:rPr>
        <w:t>l</w:t>
      </w:r>
      <w:r w:rsidR="00F744CE" w:rsidRPr="00C74276">
        <w:rPr>
          <w:lang w:val="en-CA"/>
        </w:rPr>
        <w:t>ant to cease reproducing, repr</w:t>
      </w:r>
      <w:r w:rsidR="00F20CB6" w:rsidRPr="00C74276">
        <w:rPr>
          <w:lang w:val="en-CA"/>
        </w:rPr>
        <w:t>esenting, remotely communicating</w:t>
      </w:r>
      <w:r w:rsidR="00D2052C" w:rsidRPr="00C74276">
        <w:rPr>
          <w:lang w:val="en-CA"/>
        </w:rPr>
        <w:t xml:space="preserve">, selling, </w:t>
      </w:r>
      <w:r w:rsidR="00010AAA" w:rsidRPr="00C74276">
        <w:rPr>
          <w:lang w:val="en-CA"/>
        </w:rPr>
        <w:t>or</w:t>
      </w:r>
      <w:r w:rsidR="00D2052C" w:rsidRPr="00C74276">
        <w:rPr>
          <w:lang w:val="en-CA"/>
        </w:rPr>
        <w:t xml:space="preserve"> </w:t>
      </w:r>
      <w:r w:rsidR="00010AAA" w:rsidRPr="00C74276">
        <w:rPr>
          <w:lang w:val="en-CA"/>
        </w:rPr>
        <w:t>using</w:t>
      </w:r>
      <w:r w:rsidR="00D2052C" w:rsidRPr="00C74276">
        <w:rPr>
          <w:lang w:val="en-CA"/>
        </w:rPr>
        <w:t xml:space="preserve"> in any way </w:t>
      </w:r>
      <w:r w:rsidR="00F744CE" w:rsidRPr="00C74276">
        <w:rPr>
          <w:lang w:val="en-CA"/>
        </w:rPr>
        <w:t>the literary and artistic works belonging to the</w:t>
      </w:r>
      <w:r w:rsidR="00FF0E6E" w:rsidRPr="00C74276">
        <w:rPr>
          <w:lang w:val="en-CA"/>
        </w:rPr>
        <w:t xml:space="preserve"> </w:t>
      </w:r>
      <w:r w:rsidR="00010AAA" w:rsidRPr="00C74276">
        <w:rPr>
          <w:lang w:val="en-CA"/>
        </w:rPr>
        <w:t>r</w:t>
      </w:r>
      <w:r w:rsidR="003B5F42" w:rsidRPr="00C74276">
        <w:rPr>
          <w:lang w:val="en-CA"/>
        </w:rPr>
        <w:t>espondent; to return</w:t>
      </w:r>
      <w:r w:rsidRPr="00C74276">
        <w:rPr>
          <w:lang w:val="en-CA"/>
        </w:rPr>
        <w:t xml:space="preserve"> the </w:t>
      </w:r>
      <w:r w:rsidR="00010AAA" w:rsidRPr="00C74276">
        <w:rPr>
          <w:lang w:val="en-CA"/>
        </w:rPr>
        <w:t>r</w:t>
      </w:r>
      <w:r w:rsidRPr="00C74276">
        <w:rPr>
          <w:lang w:val="en-CA"/>
        </w:rPr>
        <w:t>espondent’s</w:t>
      </w:r>
      <w:r w:rsidR="00A0613A" w:rsidRPr="00C74276">
        <w:rPr>
          <w:lang w:val="en-CA"/>
        </w:rPr>
        <w:t xml:space="preserve"> works in </w:t>
      </w:r>
      <w:r w:rsidR="000131A7">
        <w:rPr>
          <w:lang w:val="en-CA"/>
        </w:rPr>
        <w:t>its</w:t>
      </w:r>
      <w:r w:rsidR="00A0613A" w:rsidRPr="00C74276">
        <w:rPr>
          <w:lang w:val="en-CA"/>
        </w:rPr>
        <w:t xml:space="preserve"> </w:t>
      </w:r>
      <w:r w:rsidR="00F744CE" w:rsidRPr="00C74276">
        <w:rPr>
          <w:lang w:val="en-CA"/>
        </w:rPr>
        <w:t xml:space="preserve">possession </w:t>
      </w:r>
      <w:r w:rsidRPr="00C74276">
        <w:rPr>
          <w:lang w:val="en-CA"/>
        </w:rPr>
        <w:t xml:space="preserve">to the </w:t>
      </w:r>
      <w:r w:rsidR="00010AAA" w:rsidRPr="00C74276">
        <w:rPr>
          <w:lang w:val="en-CA"/>
        </w:rPr>
        <w:t>r</w:t>
      </w:r>
      <w:r w:rsidRPr="00C74276">
        <w:rPr>
          <w:lang w:val="en-CA"/>
        </w:rPr>
        <w:t>espondent</w:t>
      </w:r>
      <w:r w:rsidR="00010AAA" w:rsidRPr="00C74276">
        <w:rPr>
          <w:lang w:val="en-CA"/>
        </w:rPr>
        <w:t>;</w:t>
      </w:r>
      <w:r w:rsidRPr="00C74276">
        <w:rPr>
          <w:lang w:val="en-CA"/>
        </w:rPr>
        <w:t xml:space="preserve"> </w:t>
      </w:r>
      <w:r w:rsidR="00A0613A" w:rsidRPr="00C74276">
        <w:rPr>
          <w:lang w:val="en-CA"/>
        </w:rPr>
        <w:t>to destroy any copies</w:t>
      </w:r>
      <w:r w:rsidR="002462AB" w:rsidRPr="00C74276">
        <w:rPr>
          <w:lang w:val="en-CA"/>
        </w:rPr>
        <w:t xml:space="preserve"> </w:t>
      </w:r>
      <w:r w:rsidR="00010AAA" w:rsidRPr="00C74276">
        <w:rPr>
          <w:lang w:val="en-CA"/>
        </w:rPr>
        <w:t xml:space="preserve">in </w:t>
      </w:r>
      <w:r w:rsidR="000131A7">
        <w:rPr>
          <w:lang w:val="en-CA"/>
        </w:rPr>
        <w:t>its</w:t>
      </w:r>
      <w:r w:rsidR="00010AAA" w:rsidRPr="00C74276">
        <w:rPr>
          <w:lang w:val="en-CA"/>
        </w:rPr>
        <w:t xml:space="preserve"> possession</w:t>
      </w:r>
      <w:r w:rsidR="003B5F42" w:rsidRPr="00C74276">
        <w:rPr>
          <w:lang w:val="en-CA"/>
        </w:rPr>
        <w:t>;</w:t>
      </w:r>
      <w:r w:rsidR="00F744CE" w:rsidRPr="00C74276">
        <w:rPr>
          <w:lang w:val="en-CA"/>
        </w:rPr>
        <w:t xml:space="preserve"> and finally, </w:t>
      </w:r>
      <w:r w:rsidR="007C7550" w:rsidRPr="00C74276">
        <w:rPr>
          <w:lang w:val="en-CA"/>
        </w:rPr>
        <w:t xml:space="preserve">condemning the appellant </w:t>
      </w:r>
      <w:r w:rsidR="00F744CE" w:rsidRPr="00C74276">
        <w:rPr>
          <w:lang w:val="en-CA"/>
        </w:rPr>
        <w:t xml:space="preserve">to pay $100,000 in </w:t>
      </w:r>
      <w:r w:rsidR="00010AAA" w:rsidRPr="00C74276">
        <w:rPr>
          <w:lang w:val="en-CA"/>
        </w:rPr>
        <w:t xml:space="preserve">material </w:t>
      </w:r>
      <w:r w:rsidR="00F744CE" w:rsidRPr="00C74276">
        <w:rPr>
          <w:lang w:val="en-CA"/>
        </w:rPr>
        <w:t>damages and $25,000 in exemplary damages.</w:t>
      </w:r>
      <w:r w:rsidR="00F55EC5" w:rsidRPr="00C74276">
        <w:rPr>
          <w:rStyle w:val="Appelnotedebasdep"/>
          <w:lang w:val="en-CA"/>
        </w:rPr>
        <w:footnoteReference w:id="1"/>
      </w:r>
    </w:p>
    <w:p w14:paraId="3437C461" w14:textId="55117035" w:rsidR="00EE5DFC" w:rsidRPr="00C74276" w:rsidRDefault="002462AB" w:rsidP="00A64879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For the reasons expressed by</w:t>
      </w:r>
      <w:r w:rsidR="001C6A92" w:rsidRPr="00C74276">
        <w:rPr>
          <w:lang w:val="en-CA"/>
        </w:rPr>
        <w:t xml:space="preserve"> </w:t>
      </w:r>
      <w:r w:rsidR="00F744CE" w:rsidRPr="00C74276">
        <w:rPr>
          <w:lang w:val="en-CA"/>
        </w:rPr>
        <w:t>Rancourt</w:t>
      </w:r>
      <w:r w:rsidR="001C6A92" w:rsidRPr="00C74276">
        <w:rPr>
          <w:lang w:val="en-CA"/>
        </w:rPr>
        <w:t xml:space="preserve"> J.A., with which </w:t>
      </w:r>
      <w:r w:rsidR="00F744CE" w:rsidRPr="00C74276">
        <w:rPr>
          <w:lang w:val="en-CA"/>
        </w:rPr>
        <w:t>Morissette</w:t>
      </w:r>
      <w:r w:rsidR="001C6A92" w:rsidRPr="00C74276">
        <w:rPr>
          <w:lang w:val="en-CA"/>
        </w:rPr>
        <w:t xml:space="preserve"> </w:t>
      </w:r>
      <w:r w:rsidR="002177CC" w:rsidRPr="00C74276">
        <w:rPr>
          <w:lang w:val="en-CA"/>
        </w:rPr>
        <w:t>and Beaupré</w:t>
      </w:r>
      <w:r w:rsidR="001C6A92" w:rsidRPr="00C74276">
        <w:rPr>
          <w:lang w:val="en-CA"/>
        </w:rPr>
        <w:t xml:space="preserve"> J</w:t>
      </w:r>
      <w:r w:rsidR="000131A7">
        <w:rPr>
          <w:lang w:val="en-CA"/>
        </w:rPr>
        <w:t>J</w:t>
      </w:r>
      <w:r w:rsidR="001C6A92" w:rsidRPr="00C74276">
        <w:rPr>
          <w:lang w:val="en-CA"/>
        </w:rPr>
        <w:t xml:space="preserve">.A. </w:t>
      </w:r>
      <w:r w:rsidR="007C7550" w:rsidRPr="00C74276">
        <w:rPr>
          <w:lang w:val="en-CA"/>
        </w:rPr>
        <w:t>agree</w:t>
      </w:r>
      <w:r w:rsidR="00F744CE" w:rsidRPr="00C74276">
        <w:rPr>
          <w:lang w:val="en-CA"/>
        </w:rPr>
        <w:t xml:space="preserve">, </w:t>
      </w:r>
      <w:r w:rsidR="00F744CE" w:rsidRPr="00C74276">
        <w:rPr>
          <w:b/>
          <w:lang w:val="en-CA"/>
        </w:rPr>
        <w:t>THE COURT</w:t>
      </w:r>
      <w:r w:rsidR="00C65974" w:rsidRPr="00C74276">
        <w:rPr>
          <w:lang w:val="en-CA"/>
        </w:rPr>
        <w:t xml:space="preserve">: </w:t>
      </w:r>
    </w:p>
    <w:p w14:paraId="5A759248" w14:textId="67DC7C9C" w:rsidR="003B5A2D" w:rsidRPr="00C74276" w:rsidRDefault="007C7550" w:rsidP="00A64879">
      <w:pPr>
        <w:pStyle w:val="Paragraphe"/>
        <w:spacing w:line="280" w:lineRule="exact"/>
        <w:rPr>
          <w:lang w:val="en-CA"/>
        </w:rPr>
      </w:pPr>
      <w:r w:rsidRPr="00C74276">
        <w:rPr>
          <w:b/>
          <w:lang w:val="en-CA"/>
        </w:rPr>
        <w:t>ALLOWS</w:t>
      </w:r>
      <w:r w:rsidR="00F744CE" w:rsidRPr="00C74276">
        <w:rPr>
          <w:b/>
          <w:lang w:val="en-CA"/>
        </w:rPr>
        <w:t xml:space="preserve"> </w:t>
      </w:r>
      <w:r w:rsidR="00F744CE" w:rsidRPr="00C74276">
        <w:rPr>
          <w:lang w:val="en-CA"/>
        </w:rPr>
        <w:t>the appeal;</w:t>
      </w:r>
    </w:p>
    <w:p w14:paraId="6B79B436" w14:textId="10A55CEB" w:rsidR="003B5A2D" w:rsidRPr="00C74276" w:rsidRDefault="00DB7BCF" w:rsidP="00A64879">
      <w:pPr>
        <w:pStyle w:val="Paragraphe"/>
        <w:spacing w:line="280" w:lineRule="exact"/>
        <w:rPr>
          <w:lang w:val="en-CA"/>
        </w:rPr>
      </w:pPr>
      <w:r w:rsidRPr="00C74276">
        <w:rPr>
          <w:b/>
          <w:lang w:val="en-CA"/>
        </w:rPr>
        <w:lastRenderedPageBreak/>
        <w:t>REVERSES</w:t>
      </w:r>
      <w:r w:rsidR="00F744CE" w:rsidRPr="00C74276">
        <w:rPr>
          <w:b/>
          <w:lang w:val="en-CA"/>
        </w:rPr>
        <w:t xml:space="preserve"> </w:t>
      </w:r>
      <w:r w:rsidR="00B46BC4" w:rsidRPr="00C74276">
        <w:rPr>
          <w:lang w:val="en-CA"/>
        </w:rPr>
        <w:t>the trial judgment</w:t>
      </w:r>
      <w:r w:rsidR="00F744CE" w:rsidRPr="00C74276">
        <w:rPr>
          <w:lang w:val="en-CA"/>
        </w:rPr>
        <w:t>;</w:t>
      </w:r>
      <w:r w:rsidR="00F744CE" w:rsidRPr="00C74276">
        <w:rPr>
          <w:b/>
          <w:lang w:val="en-CA"/>
        </w:rPr>
        <w:t xml:space="preserve"> </w:t>
      </w:r>
    </w:p>
    <w:p w14:paraId="37037693" w14:textId="65A0954E" w:rsidR="003B5A2D" w:rsidRPr="00C74276" w:rsidRDefault="003D4E2D" w:rsidP="00A64879">
      <w:pPr>
        <w:pStyle w:val="Paragraphe"/>
        <w:spacing w:line="280" w:lineRule="exact"/>
        <w:rPr>
          <w:lang w:val="en-CA"/>
        </w:rPr>
      </w:pPr>
      <w:r w:rsidRPr="00C74276">
        <w:rPr>
          <w:b/>
          <w:lang w:val="en-CA"/>
        </w:rPr>
        <w:t>SETS ASIDE</w:t>
      </w:r>
      <w:r w:rsidR="00F744CE" w:rsidRPr="00C74276">
        <w:rPr>
          <w:b/>
          <w:lang w:val="en-CA"/>
        </w:rPr>
        <w:t xml:space="preserve"> </w:t>
      </w:r>
      <w:r w:rsidR="00EF5233" w:rsidRPr="00C74276">
        <w:rPr>
          <w:lang w:val="en-CA"/>
        </w:rPr>
        <w:t xml:space="preserve">the </w:t>
      </w:r>
      <w:r w:rsidR="00E06B86" w:rsidRPr="00C74276">
        <w:rPr>
          <w:lang w:val="en-CA"/>
        </w:rPr>
        <w:t>condemnation</w:t>
      </w:r>
      <w:r w:rsidR="00EF5233" w:rsidRPr="00C74276">
        <w:rPr>
          <w:lang w:val="en-CA"/>
        </w:rPr>
        <w:t xml:space="preserve"> </w:t>
      </w:r>
      <w:r w:rsidRPr="00C74276">
        <w:rPr>
          <w:lang w:val="en-CA"/>
        </w:rPr>
        <w:t>to pay</w:t>
      </w:r>
      <w:r w:rsidR="00EF5233" w:rsidRPr="00C74276">
        <w:rPr>
          <w:lang w:val="en-CA"/>
        </w:rPr>
        <w:t xml:space="preserve"> </w:t>
      </w:r>
      <w:r w:rsidR="002637B7" w:rsidRPr="00C74276">
        <w:rPr>
          <w:lang w:val="en-CA"/>
        </w:rPr>
        <w:t xml:space="preserve">material </w:t>
      </w:r>
      <w:r w:rsidR="00F744CE" w:rsidRPr="00C74276">
        <w:rPr>
          <w:lang w:val="en-CA"/>
        </w:rPr>
        <w:t xml:space="preserve">damages in the amount of $100,000; </w:t>
      </w:r>
    </w:p>
    <w:p w14:paraId="1AE8C217" w14:textId="2E860A5D" w:rsidR="003B5A2D" w:rsidRPr="00C74276" w:rsidRDefault="00E06B86" w:rsidP="00A64879">
      <w:pPr>
        <w:pStyle w:val="Paragraphe"/>
        <w:spacing w:line="280" w:lineRule="exact"/>
        <w:rPr>
          <w:lang w:val="en-CA"/>
        </w:rPr>
      </w:pPr>
      <w:r w:rsidRPr="00C74276">
        <w:rPr>
          <w:b/>
          <w:lang w:val="en-CA"/>
        </w:rPr>
        <w:t>SETS ASIDE</w:t>
      </w:r>
      <w:r w:rsidR="00F744CE" w:rsidRPr="00C74276">
        <w:rPr>
          <w:b/>
          <w:lang w:val="en-CA"/>
        </w:rPr>
        <w:t xml:space="preserve"> </w:t>
      </w:r>
      <w:r w:rsidR="00F744CE" w:rsidRPr="00C74276">
        <w:rPr>
          <w:lang w:val="en-CA"/>
        </w:rPr>
        <w:t xml:space="preserve">the </w:t>
      </w:r>
      <w:r w:rsidR="002637B7" w:rsidRPr="00C74276">
        <w:rPr>
          <w:lang w:val="en-CA"/>
        </w:rPr>
        <w:t>condemnation to pay</w:t>
      </w:r>
      <w:r w:rsidR="00C65974" w:rsidRPr="00C74276">
        <w:rPr>
          <w:lang w:val="en-CA"/>
        </w:rPr>
        <w:t xml:space="preserve"> </w:t>
      </w:r>
      <w:r w:rsidR="00F744CE" w:rsidRPr="00C74276">
        <w:rPr>
          <w:lang w:val="en-CA"/>
        </w:rPr>
        <w:t xml:space="preserve">exemplary damages in the amount of $25,000; </w:t>
      </w:r>
    </w:p>
    <w:p w14:paraId="6E6ABA47" w14:textId="2BE8B98B" w:rsidR="00054278" w:rsidRPr="00C74276" w:rsidRDefault="00F744CE" w:rsidP="00A64879">
      <w:pPr>
        <w:pStyle w:val="Paragraphe"/>
        <w:spacing w:line="280" w:lineRule="exact"/>
        <w:rPr>
          <w:lang w:val="en-CA"/>
        </w:rPr>
      </w:pPr>
      <w:r w:rsidRPr="00C74276">
        <w:rPr>
          <w:b/>
          <w:lang w:val="en-CA"/>
        </w:rPr>
        <w:t>THE WHOLE</w:t>
      </w:r>
      <w:r w:rsidRPr="00C74276">
        <w:rPr>
          <w:lang w:val="en-CA"/>
        </w:rPr>
        <w:t xml:space="preserve">, with </w:t>
      </w:r>
      <w:r w:rsidR="00B46BC4" w:rsidRPr="00C74276">
        <w:rPr>
          <w:lang w:val="en-CA"/>
        </w:rPr>
        <w:t xml:space="preserve">legal </w:t>
      </w:r>
      <w:r w:rsidRPr="00C74276">
        <w:rPr>
          <w:lang w:val="en-CA"/>
        </w:rPr>
        <w:t>costs.</w:t>
      </w:r>
      <w:r w:rsidRPr="00C74276">
        <w:rPr>
          <w:b/>
          <w:lang w:val="en-CA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2685"/>
        <w:gridCol w:w="4678"/>
      </w:tblGrid>
      <w:tr w:rsidR="008F364A" w:rsidRPr="00C554B2" w14:paraId="0FED3A36" w14:textId="77777777" w:rsidTr="00711D3A">
        <w:trPr>
          <w:trHeight w:val="585"/>
        </w:trPr>
        <w:tc>
          <w:tcPr>
            <w:tcW w:w="4682" w:type="dxa"/>
            <w:gridSpan w:val="2"/>
          </w:tcPr>
          <w:p w14:paraId="0F793267" w14:textId="77777777" w:rsidR="008F364A" w:rsidRPr="00C74276" w:rsidRDefault="008F364A">
            <w:pPr>
              <w:keepNext/>
              <w:rPr>
                <w:lang w:val="en-CA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14:paraId="378F4F98" w14:textId="77777777" w:rsidR="008F364A" w:rsidRPr="00C74276" w:rsidRDefault="008F364A">
            <w:pPr>
              <w:keepNext/>
              <w:rPr>
                <w:lang w:val="en-CA"/>
              </w:rPr>
            </w:pPr>
          </w:p>
        </w:tc>
      </w:tr>
      <w:tr w:rsidR="008F364A" w:rsidRPr="00C74276" w14:paraId="1A0081F1" w14:textId="77777777">
        <w:tc>
          <w:tcPr>
            <w:tcW w:w="4682" w:type="dxa"/>
            <w:gridSpan w:val="2"/>
          </w:tcPr>
          <w:p w14:paraId="1ADEE1BE" w14:textId="77777777" w:rsidR="008F364A" w:rsidRPr="00C74276" w:rsidRDefault="008F364A">
            <w:pPr>
              <w:keepNext/>
              <w:rPr>
                <w:lang w:val="en-CA"/>
              </w:rPr>
            </w:pPr>
          </w:p>
        </w:tc>
        <w:tc>
          <w:tcPr>
            <w:tcW w:w="4678" w:type="dxa"/>
            <w:tcBorders>
              <w:top w:val="single" w:sz="8" w:space="0" w:color="auto"/>
            </w:tcBorders>
          </w:tcPr>
          <w:p w14:paraId="7386EB5F" w14:textId="67485CC9" w:rsidR="008F364A" w:rsidRPr="00C554B2" w:rsidRDefault="00E757BD">
            <w:r w:rsidRPr="00C554B2">
              <w:t>YVES-MARIE MORISSETTE, J.A.</w:t>
            </w:r>
          </w:p>
        </w:tc>
      </w:tr>
      <w:tr w:rsidR="008F364A" w:rsidRPr="00C74276" w14:paraId="3D66E250" w14:textId="77777777">
        <w:tc>
          <w:tcPr>
            <w:tcW w:w="4682" w:type="dxa"/>
            <w:gridSpan w:val="2"/>
          </w:tcPr>
          <w:p w14:paraId="2085B9B8" w14:textId="77777777" w:rsidR="008F364A" w:rsidRPr="00C554B2" w:rsidRDefault="008F364A">
            <w:pPr>
              <w:keepNext/>
            </w:pPr>
            <w:bookmarkStart w:id="9" w:name="Signature2"/>
          </w:p>
        </w:tc>
        <w:tc>
          <w:tcPr>
            <w:tcW w:w="4678" w:type="dxa"/>
          </w:tcPr>
          <w:p w14:paraId="4532800A" w14:textId="77777777" w:rsidR="008F364A" w:rsidRPr="00C554B2" w:rsidRDefault="008F364A">
            <w:pPr>
              <w:keepNext/>
            </w:pPr>
          </w:p>
        </w:tc>
      </w:tr>
      <w:tr w:rsidR="008F364A" w:rsidRPr="00C74276" w14:paraId="52FDFAE4" w14:textId="77777777">
        <w:tc>
          <w:tcPr>
            <w:tcW w:w="4682" w:type="dxa"/>
            <w:gridSpan w:val="2"/>
          </w:tcPr>
          <w:p w14:paraId="2F04F95F" w14:textId="77777777" w:rsidR="008F364A" w:rsidRPr="00C554B2" w:rsidRDefault="008F364A">
            <w:pPr>
              <w:keepNext/>
            </w:pP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14:paraId="6CDF70F9" w14:textId="77777777" w:rsidR="008F364A" w:rsidRPr="00C554B2" w:rsidRDefault="008F364A">
            <w:pPr>
              <w:keepNext/>
            </w:pPr>
          </w:p>
        </w:tc>
      </w:tr>
      <w:tr w:rsidR="008F364A" w:rsidRPr="00C74276" w14:paraId="3B8AFB38" w14:textId="77777777">
        <w:tc>
          <w:tcPr>
            <w:tcW w:w="4682" w:type="dxa"/>
            <w:gridSpan w:val="2"/>
          </w:tcPr>
          <w:p w14:paraId="748ECF2C" w14:textId="77777777" w:rsidR="008F364A" w:rsidRPr="00C554B2" w:rsidRDefault="008F364A">
            <w:pPr>
              <w:keepNext/>
            </w:pPr>
          </w:p>
        </w:tc>
        <w:tc>
          <w:tcPr>
            <w:tcW w:w="4678" w:type="dxa"/>
            <w:tcBorders>
              <w:top w:val="single" w:sz="8" w:space="0" w:color="auto"/>
            </w:tcBorders>
          </w:tcPr>
          <w:p w14:paraId="25AEBCBA" w14:textId="5E1C8467" w:rsidR="008F364A" w:rsidRPr="00C74276" w:rsidRDefault="00E757BD">
            <w:pPr>
              <w:keepNext/>
              <w:rPr>
                <w:lang w:val="en-CA"/>
              </w:rPr>
            </w:pPr>
            <w:r w:rsidRPr="00C74276">
              <w:rPr>
                <w:lang w:val="en-CA"/>
              </w:rPr>
              <w:t>JOCELYN F. RANCOURT, J.A.</w:t>
            </w:r>
          </w:p>
        </w:tc>
      </w:tr>
      <w:tr w:rsidR="008F364A" w:rsidRPr="00C74276" w14:paraId="3D1EC313" w14:textId="77777777">
        <w:tc>
          <w:tcPr>
            <w:tcW w:w="4682" w:type="dxa"/>
            <w:gridSpan w:val="2"/>
          </w:tcPr>
          <w:p w14:paraId="5DD47067" w14:textId="77777777" w:rsidR="008F364A" w:rsidRPr="00C74276" w:rsidRDefault="008F364A">
            <w:pPr>
              <w:keepNext/>
              <w:rPr>
                <w:lang w:val="en-CA"/>
              </w:rPr>
            </w:pPr>
            <w:bookmarkStart w:id="10" w:name="Signature3"/>
            <w:bookmarkEnd w:id="9"/>
          </w:p>
        </w:tc>
        <w:tc>
          <w:tcPr>
            <w:tcW w:w="4678" w:type="dxa"/>
          </w:tcPr>
          <w:p w14:paraId="39E91030" w14:textId="77777777" w:rsidR="008F364A" w:rsidRPr="00C74276" w:rsidRDefault="008F364A">
            <w:pPr>
              <w:keepNext/>
              <w:rPr>
                <w:lang w:val="en-CA"/>
              </w:rPr>
            </w:pPr>
          </w:p>
        </w:tc>
      </w:tr>
      <w:tr w:rsidR="008F364A" w:rsidRPr="00C74276" w14:paraId="0952CA7F" w14:textId="77777777">
        <w:tc>
          <w:tcPr>
            <w:tcW w:w="4682" w:type="dxa"/>
            <w:gridSpan w:val="2"/>
          </w:tcPr>
          <w:p w14:paraId="602E8E3C" w14:textId="77777777" w:rsidR="008F364A" w:rsidRPr="00C74276" w:rsidRDefault="008F364A">
            <w:pPr>
              <w:keepNext/>
              <w:rPr>
                <w:lang w:val="en-CA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14:paraId="751387EF" w14:textId="77777777" w:rsidR="008F364A" w:rsidRPr="00C74276" w:rsidRDefault="008F364A">
            <w:pPr>
              <w:keepNext/>
              <w:rPr>
                <w:lang w:val="en-CA"/>
              </w:rPr>
            </w:pPr>
          </w:p>
        </w:tc>
      </w:tr>
      <w:tr w:rsidR="008F364A" w:rsidRPr="00C74276" w14:paraId="58FB1A2E" w14:textId="77777777">
        <w:tc>
          <w:tcPr>
            <w:tcW w:w="4682" w:type="dxa"/>
            <w:gridSpan w:val="2"/>
          </w:tcPr>
          <w:p w14:paraId="482F288D" w14:textId="77777777" w:rsidR="008F364A" w:rsidRPr="00C74276" w:rsidRDefault="008F364A">
            <w:pPr>
              <w:keepNext/>
              <w:rPr>
                <w:lang w:val="en-CA"/>
              </w:rPr>
            </w:pPr>
          </w:p>
        </w:tc>
        <w:tc>
          <w:tcPr>
            <w:tcW w:w="4678" w:type="dxa"/>
            <w:tcBorders>
              <w:top w:val="single" w:sz="8" w:space="0" w:color="auto"/>
            </w:tcBorders>
          </w:tcPr>
          <w:p w14:paraId="54338ED3" w14:textId="07104727" w:rsidR="008F364A" w:rsidRPr="00C74276" w:rsidRDefault="00E757BD">
            <w:pPr>
              <w:keepNext/>
              <w:rPr>
                <w:lang w:val="en-CA"/>
              </w:rPr>
            </w:pPr>
            <w:r w:rsidRPr="00C74276">
              <w:rPr>
                <w:lang w:val="en-CA"/>
              </w:rPr>
              <w:t>MICHEL BEAUPRÉ, J.A.</w:t>
            </w:r>
          </w:p>
        </w:tc>
      </w:tr>
      <w:bookmarkEnd w:id="10"/>
      <w:tr w:rsidR="008F364A" w:rsidRPr="00C74276" w14:paraId="05907AC0" w14:textId="77777777">
        <w:tc>
          <w:tcPr>
            <w:tcW w:w="9360" w:type="dxa"/>
            <w:gridSpan w:val="3"/>
          </w:tcPr>
          <w:p w14:paraId="34283546" w14:textId="77777777" w:rsidR="008F364A" w:rsidRPr="00C74276" w:rsidRDefault="008F364A">
            <w:pPr>
              <w:rPr>
                <w:lang w:val="en-CA"/>
              </w:rPr>
            </w:pPr>
          </w:p>
        </w:tc>
      </w:tr>
      <w:tr w:rsidR="008F364A" w:rsidRPr="00C74276" w14:paraId="1261AD10" w14:textId="77777777">
        <w:tc>
          <w:tcPr>
            <w:tcW w:w="9360" w:type="dxa"/>
            <w:gridSpan w:val="3"/>
          </w:tcPr>
          <w:p w14:paraId="12C1D3B2" w14:textId="5E2A6038" w:rsidR="008F364A" w:rsidRPr="00C554B2" w:rsidRDefault="00104660">
            <w:pPr>
              <w:pStyle w:val="zSoquijdatNomProcureurDem"/>
            </w:pPr>
            <w:r w:rsidRPr="00C554B2">
              <w:t>M</w:t>
            </w:r>
            <w:r w:rsidR="00F744CE" w:rsidRPr="00C554B2">
              <w:t>tr</w:t>
            </w:r>
            <w:r w:rsidRPr="00C554B2">
              <w:t xml:space="preserve">e </w:t>
            </w:r>
            <w:r w:rsidR="00B928FB" w:rsidRPr="00C554B2">
              <w:t>Benoî</w:t>
            </w:r>
            <w:r w:rsidR="00171015" w:rsidRPr="00C554B2">
              <w:t>t Bourgon</w:t>
            </w:r>
          </w:p>
          <w:p w14:paraId="30E31321" w14:textId="1ABA35B6" w:rsidR="00171015" w:rsidRPr="00C554B2" w:rsidRDefault="00171015">
            <w:pPr>
              <w:pStyle w:val="zSoquijdatNomProcureurDem"/>
            </w:pPr>
            <w:r w:rsidRPr="00C554B2">
              <w:t>M</w:t>
            </w:r>
            <w:r w:rsidR="00F744CE" w:rsidRPr="00C554B2">
              <w:t>tr</w:t>
            </w:r>
            <w:r w:rsidRPr="00C554B2">
              <w:t>e Ann-Julie Auclair</w:t>
            </w:r>
          </w:p>
        </w:tc>
      </w:tr>
      <w:tr w:rsidR="008F364A" w:rsidRPr="00C74276" w14:paraId="4A8E9FBF" w14:textId="77777777">
        <w:tc>
          <w:tcPr>
            <w:tcW w:w="9360" w:type="dxa"/>
            <w:gridSpan w:val="3"/>
          </w:tcPr>
          <w:p w14:paraId="4838EAA5" w14:textId="77777777" w:rsidR="008F364A" w:rsidRPr="00C74276" w:rsidRDefault="00171015">
            <w:pPr>
              <w:pStyle w:val="zSoquijdatCabinetProcureurDem"/>
              <w:rPr>
                <w:lang w:val="en-CA"/>
              </w:rPr>
            </w:pPr>
            <w:r w:rsidRPr="00C74276">
              <w:rPr>
                <w:lang w:val="en-CA"/>
              </w:rPr>
              <w:t>Robins</w:t>
            </w:r>
            <w:r w:rsidR="00B928FB" w:rsidRPr="00C74276">
              <w:rPr>
                <w:lang w:val="en-CA"/>
              </w:rPr>
              <w:t>on Sheppard Shapiro</w:t>
            </w:r>
          </w:p>
        </w:tc>
      </w:tr>
      <w:tr w:rsidR="008F364A" w:rsidRPr="00C74276" w14:paraId="1729D25E" w14:textId="77777777">
        <w:tc>
          <w:tcPr>
            <w:tcW w:w="9360" w:type="dxa"/>
            <w:gridSpan w:val="3"/>
          </w:tcPr>
          <w:p w14:paraId="5C933A20" w14:textId="16864D95" w:rsidR="008F364A" w:rsidRPr="00C74276" w:rsidRDefault="00F744CE">
            <w:pPr>
              <w:pStyle w:val="zSoquijlblProcureurDem"/>
              <w:rPr>
                <w:lang w:val="en-CA"/>
              </w:rPr>
            </w:pPr>
            <w:r w:rsidRPr="00C74276">
              <w:rPr>
                <w:lang w:val="en-CA"/>
              </w:rPr>
              <w:t xml:space="preserve">For the </w:t>
            </w:r>
            <w:r w:rsidR="00651DE9" w:rsidRPr="00C74276">
              <w:rPr>
                <w:lang w:val="en-CA"/>
              </w:rPr>
              <w:t>a</w:t>
            </w:r>
            <w:r w:rsidRPr="00C74276">
              <w:rPr>
                <w:lang w:val="en-CA"/>
              </w:rPr>
              <w:t>ppel</w:t>
            </w:r>
            <w:r w:rsidR="002177CC" w:rsidRPr="00C74276">
              <w:rPr>
                <w:lang w:val="en-CA"/>
              </w:rPr>
              <w:t>l</w:t>
            </w:r>
            <w:r w:rsidRPr="00C74276">
              <w:rPr>
                <w:lang w:val="en-CA"/>
              </w:rPr>
              <w:t xml:space="preserve">ant </w:t>
            </w:r>
          </w:p>
        </w:tc>
      </w:tr>
      <w:tr w:rsidR="008F364A" w:rsidRPr="00C74276" w14:paraId="2B8FF30F" w14:textId="77777777">
        <w:tc>
          <w:tcPr>
            <w:tcW w:w="9360" w:type="dxa"/>
            <w:gridSpan w:val="3"/>
          </w:tcPr>
          <w:p w14:paraId="3A78137A" w14:textId="77777777" w:rsidR="008F364A" w:rsidRPr="00C74276" w:rsidRDefault="008F364A">
            <w:pPr>
              <w:rPr>
                <w:lang w:val="en-CA"/>
              </w:rPr>
            </w:pPr>
          </w:p>
        </w:tc>
      </w:tr>
      <w:tr w:rsidR="008F364A" w:rsidRPr="00C74276" w14:paraId="7021FD51" w14:textId="77777777">
        <w:tc>
          <w:tcPr>
            <w:tcW w:w="9360" w:type="dxa"/>
            <w:gridSpan w:val="3"/>
          </w:tcPr>
          <w:p w14:paraId="4C6C41B8" w14:textId="74AB5A23" w:rsidR="008F364A" w:rsidRPr="00C74276" w:rsidRDefault="00104660">
            <w:pPr>
              <w:pStyle w:val="zSoquijdatNomProcureurDef"/>
              <w:rPr>
                <w:lang w:val="en-CA"/>
              </w:rPr>
            </w:pPr>
            <w:r w:rsidRPr="00C74276">
              <w:rPr>
                <w:lang w:val="en-CA"/>
              </w:rPr>
              <w:t>M</w:t>
            </w:r>
            <w:r w:rsidR="00F744CE" w:rsidRPr="00C74276">
              <w:rPr>
                <w:lang w:val="en-CA"/>
              </w:rPr>
              <w:t>tr</w:t>
            </w:r>
            <w:r w:rsidRPr="00C74276">
              <w:rPr>
                <w:lang w:val="en-CA"/>
              </w:rPr>
              <w:t xml:space="preserve">e </w:t>
            </w:r>
            <w:r w:rsidR="00171015" w:rsidRPr="00C74276">
              <w:rPr>
                <w:lang w:val="en-CA"/>
              </w:rPr>
              <w:t>Francine Martel</w:t>
            </w:r>
          </w:p>
        </w:tc>
      </w:tr>
      <w:tr w:rsidR="008F364A" w:rsidRPr="00C74276" w14:paraId="12E31A65" w14:textId="77777777">
        <w:tc>
          <w:tcPr>
            <w:tcW w:w="9360" w:type="dxa"/>
            <w:gridSpan w:val="3"/>
          </w:tcPr>
          <w:p w14:paraId="63000595" w14:textId="77777777" w:rsidR="008F364A" w:rsidRPr="00C74276" w:rsidRDefault="00171015">
            <w:pPr>
              <w:pStyle w:val="zSoquijdatCabinetProcureurDef"/>
              <w:rPr>
                <w:lang w:val="en-CA"/>
              </w:rPr>
            </w:pPr>
            <w:r w:rsidRPr="00C74276">
              <w:rPr>
                <w:lang w:val="en-CA"/>
              </w:rPr>
              <w:t>Gowling WLG (Canada)</w:t>
            </w:r>
          </w:p>
        </w:tc>
      </w:tr>
      <w:tr w:rsidR="008F364A" w:rsidRPr="00C74276" w14:paraId="7BFF3992" w14:textId="77777777">
        <w:tc>
          <w:tcPr>
            <w:tcW w:w="9360" w:type="dxa"/>
            <w:gridSpan w:val="3"/>
          </w:tcPr>
          <w:p w14:paraId="2D78526F" w14:textId="395AF943" w:rsidR="008F364A" w:rsidRPr="00C74276" w:rsidRDefault="00F744CE">
            <w:pPr>
              <w:pStyle w:val="zSoquijlblProcureurDef"/>
              <w:rPr>
                <w:lang w:val="en-CA"/>
              </w:rPr>
            </w:pPr>
            <w:r w:rsidRPr="00C74276">
              <w:rPr>
                <w:lang w:val="en-CA"/>
              </w:rPr>
              <w:t xml:space="preserve">For the </w:t>
            </w:r>
            <w:r w:rsidR="00651DE9" w:rsidRPr="00C74276">
              <w:rPr>
                <w:lang w:val="en-CA"/>
              </w:rPr>
              <w:t>r</w:t>
            </w:r>
            <w:r w:rsidRPr="00C74276">
              <w:rPr>
                <w:lang w:val="en-CA"/>
              </w:rPr>
              <w:t xml:space="preserve">espondent </w:t>
            </w:r>
          </w:p>
        </w:tc>
      </w:tr>
      <w:tr w:rsidR="008F364A" w:rsidRPr="00C74276" w14:paraId="7530285E" w14:textId="77777777">
        <w:tc>
          <w:tcPr>
            <w:tcW w:w="9360" w:type="dxa"/>
            <w:gridSpan w:val="3"/>
          </w:tcPr>
          <w:p w14:paraId="0950A0A9" w14:textId="77777777" w:rsidR="008F364A" w:rsidRPr="00C74276" w:rsidRDefault="008F364A">
            <w:pPr>
              <w:rPr>
                <w:lang w:val="en-CA"/>
              </w:rPr>
            </w:pPr>
          </w:p>
        </w:tc>
      </w:tr>
      <w:tr w:rsidR="00B928FB" w:rsidRPr="00C74276" w14:paraId="5E36FAED" w14:textId="77777777">
        <w:tc>
          <w:tcPr>
            <w:tcW w:w="9360" w:type="dxa"/>
            <w:gridSpan w:val="3"/>
          </w:tcPr>
          <w:p w14:paraId="53898819" w14:textId="63BBEA43" w:rsidR="00B928FB" w:rsidRPr="00C74276" w:rsidRDefault="00B928FB" w:rsidP="00B928FB">
            <w:pPr>
              <w:pStyle w:val="zSoquijdatNomProcureurDef"/>
              <w:rPr>
                <w:lang w:val="en-CA"/>
              </w:rPr>
            </w:pPr>
            <w:r w:rsidRPr="00C74276">
              <w:rPr>
                <w:lang w:val="en-CA"/>
              </w:rPr>
              <w:t>M</w:t>
            </w:r>
            <w:r w:rsidR="00F744CE" w:rsidRPr="00C74276">
              <w:rPr>
                <w:lang w:val="en-CA"/>
              </w:rPr>
              <w:t>tr</w:t>
            </w:r>
            <w:r w:rsidRPr="00C74276">
              <w:rPr>
                <w:lang w:val="en-CA"/>
              </w:rPr>
              <w:t>e Daniel Payette</w:t>
            </w:r>
          </w:p>
        </w:tc>
      </w:tr>
      <w:tr w:rsidR="00B928FB" w:rsidRPr="00C74276" w14:paraId="40C56AEB" w14:textId="77777777">
        <w:tc>
          <w:tcPr>
            <w:tcW w:w="9360" w:type="dxa"/>
            <w:gridSpan w:val="3"/>
          </w:tcPr>
          <w:p w14:paraId="7E4539C0" w14:textId="77777777" w:rsidR="00B928FB" w:rsidRPr="00C74276" w:rsidRDefault="00B928FB" w:rsidP="00B928FB">
            <w:pPr>
              <w:pStyle w:val="zSoquijdatCabinetProcureurDef"/>
              <w:rPr>
                <w:lang w:val="en-CA"/>
              </w:rPr>
            </w:pPr>
            <w:r w:rsidRPr="00C74276">
              <w:rPr>
                <w:lang w:val="en-CA"/>
              </w:rPr>
              <w:t>Cabinet Payette</w:t>
            </w:r>
          </w:p>
        </w:tc>
      </w:tr>
      <w:tr w:rsidR="00B928FB" w:rsidRPr="00C554B2" w14:paraId="4DDA95B8" w14:textId="77777777">
        <w:tc>
          <w:tcPr>
            <w:tcW w:w="9360" w:type="dxa"/>
            <w:gridSpan w:val="3"/>
          </w:tcPr>
          <w:p w14:paraId="70A3900F" w14:textId="721958A7" w:rsidR="00B928FB" w:rsidRPr="00C74276" w:rsidRDefault="002177CC" w:rsidP="00B928FB">
            <w:pPr>
              <w:pStyle w:val="zSoquijlblProcureurDef"/>
              <w:rPr>
                <w:lang w:val="en-CA"/>
              </w:rPr>
            </w:pPr>
            <w:r w:rsidRPr="00C74276">
              <w:rPr>
                <w:lang w:val="en-CA"/>
              </w:rPr>
              <w:t>Legal counsel</w:t>
            </w:r>
            <w:r w:rsidR="00F744CE" w:rsidRPr="00C74276">
              <w:rPr>
                <w:lang w:val="en-CA"/>
              </w:rPr>
              <w:t xml:space="preserve"> for the </w:t>
            </w:r>
            <w:r w:rsidR="00651DE9" w:rsidRPr="00C74276">
              <w:rPr>
                <w:lang w:val="en-CA"/>
              </w:rPr>
              <w:t>r</w:t>
            </w:r>
            <w:r w:rsidR="00F744CE" w:rsidRPr="00C74276">
              <w:rPr>
                <w:lang w:val="en-CA"/>
              </w:rPr>
              <w:t xml:space="preserve">espondent </w:t>
            </w:r>
          </w:p>
        </w:tc>
      </w:tr>
      <w:tr w:rsidR="00B928FB" w:rsidRPr="00C554B2" w14:paraId="275E2324" w14:textId="77777777">
        <w:tc>
          <w:tcPr>
            <w:tcW w:w="9360" w:type="dxa"/>
            <w:gridSpan w:val="3"/>
          </w:tcPr>
          <w:p w14:paraId="55AEA0DD" w14:textId="77777777" w:rsidR="00B928FB" w:rsidRPr="00C74276" w:rsidRDefault="00B928FB">
            <w:pPr>
              <w:rPr>
                <w:lang w:val="en-CA"/>
              </w:rPr>
            </w:pPr>
          </w:p>
        </w:tc>
      </w:tr>
      <w:tr w:rsidR="008F364A" w:rsidRPr="00C74276" w14:paraId="650EC208" w14:textId="77777777">
        <w:tc>
          <w:tcPr>
            <w:tcW w:w="1997" w:type="dxa"/>
          </w:tcPr>
          <w:p w14:paraId="6176E249" w14:textId="60D172B4" w:rsidR="008F364A" w:rsidRPr="00C74276" w:rsidRDefault="00740A17">
            <w:pPr>
              <w:pStyle w:val="zSoquijlblDateAudience"/>
              <w:rPr>
                <w:lang w:val="en-CA"/>
              </w:rPr>
            </w:pPr>
            <w:r w:rsidRPr="00C74276">
              <w:rPr>
                <w:lang w:val="en-CA"/>
              </w:rPr>
              <w:t xml:space="preserve">Date </w:t>
            </w:r>
            <w:r w:rsidR="00F744CE" w:rsidRPr="00C74276">
              <w:rPr>
                <w:lang w:val="en-CA"/>
              </w:rPr>
              <w:t xml:space="preserve">of hearing: </w:t>
            </w:r>
          </w:p>
        </w:tc>
        <w:tc>
          <w:tcPr>
            <w:tcW w:w="7363" w:type="dxa"/>
            <w:gridSpan w:val="2"/>
          </w:tcPr>
          <w:p w14:paraId="28D3EBEE" w14:textId="18C9102A" w:rsidR="008F364A" w:rsidRPr="00C74276" w:rsidRDefault="00F744CE">
            <w:pPr>
              <w:pStyle w:val="zSoquijdatDateAudience"/>
              <w:rPr>
                <w:lang w:val="en-CA"/>
              </w:rPr>
            </w:pPr>
            <w:r w:rsidRPr="00C74276">
              <w:rPr>
                <w:lang w:val="en-CA"/>
              </w:rPr>
              <w:t xml:space="preserve">January 28, </w:t>
            </w:r>
            <w:r w:rsidR="00171015" w:rsidRPr="00C74276">
              <w:rPr>
                <w:lang w:val="en-CA"/>
              </w:rPr>
              <w:t>2020</w:t>
            </w:r>
          </w:p>
        </w:tc>
      </w:tr>
    </w:tbl>
    <w:p w14:paraId="02368C12" w14:textId="77777777" w:rsidR="00634D8F" w:rsidRPr="00C74276" w:rsidRDefault="00634D8F" w:rsidP="00634D8F">
      <w:pPr>
        <w:rPr>
          <w:lang w:val="en-CA"/>
        </w:rPr>
        <w:sectPr w:rsidR="00634D8F" w:rsidRPr="00C74276" w:rsidSect="007629E2">
          <w:headerReference w:type="default" r:id="rId8"/>
          <w:pgSz w:w="12242" w:h="15842" w:code="1"/>
          <w:pgMar w:top="1440" w:right="1008" w:bottom="1440" w:left="1872" w:header="1440" w:footer="792" w:gutter="0"/>
          <w:paperSrc w:first="4" w:other="4"/>
          <w:cols w:space="720"/>
          <w:formProt w:val="0"/>
          <w:titlePg/>
          <w:docGrid w:linePitch="326"/>
        </w:sectPr>
      </w:pPr>
      <w:bookmarkStart w:id="11" w:name="Opinion"/>
      <w:bookmarkEnd w:id="7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634D8F" w:rsidRPr="00C74276" w14:paraId="2D27BA14" w14:textId="77777777" w:rsidTr="00B35FB3">
        <w:tc>
          <w:tcPr>
            <w:tcW w:w="9360" w:type="dxa"/>
            <w:tcBorders>
              <w:bottom w:val="single" w:sz="8" w:space="0" w:color="auto"/>
            </w:tcBorders>
          </w:tcPr>
          <w:p w14:paraId="01A835E1" w14:textId="77777777" w:rsidR="00634D8F" w:rsidRPr="00C74276" w:rsidRDefault="00634D8F" w:rsidP="00B35FB3">
            <w:pPr>
              <w:rPr>
                <w:lang w:val="en-CA"/>
              </w:rPr>
            </w:pPr>
          </w:p>
        </w:tc>
      </w:tr>
      <w:tr w:rsidR="00634D8F" w:rsidRPr="00C74276" w14:paraId="587D239E" w14:textId="77777777" w:rsidTr="00B35FB3">
        <w:tc>
          <w:tcPr>
            <w:tcW w:w="9360" w:type="dxa"/>
            <w:tcBorders>
              <w:top w:val="single" w:sz="8" w:space="0" w:color="auto"/>
            </w:tcBorders>
          </w:tcPr>
          <w:p w14:paraId="681A6AB9" w14:textId="77777777" w:rsidR="00634D8F" w:rsidRPr="00C74276" w:rsidRDefault="00634D8F" w:rsidP="00B35FB3">
            <w:pPr>
              <w:rPr>
                <w:lang w:val="en-CA"/>
              </w:rPr>
            </w:pPr>
          </w:p>
        </w:tc>
      </w:tr>
      <w:tr w:rsidR="00634D8F" w:rsidRPr="00C554B2" w14:paraId="6105F318" w14:textId="77777777" w:rsidTr="00B35FB3">
        <w:tc>
          <w:tcPr>
            <w:tcW w:w="9360" w:type="dxa"/>
          </w:tcPr>
          <w:p w14:paraId="53CC55D7" w14:textId="516AEC4A" w:rsidR="00634D8F" w:rsidRPr="00C74276" w:rsidRDefault="00927DEA" w:rsidP="00986FDF">
            <w:pPr>
              <w:pStyle w:val="zSoquijlblOpinionJuge"/>
              <w:rPr>
                <w:lang w:val="en-CA"/>
              </w:rPr>
            </w:pPr>
            <w:r w:rsidRPr="00C74276">
              <w:rPr>
                <w:lang w:val="en-CA"/>
              </w:rPr>
              <w:t xml:space="preserve">REASONS OF </w:t>
            </w:r>
            <w:r w:rsidR="00F744CE" w:rsidRPr="00C74276">
              <w:rPr>
                <w:lang w:val="en-CA"/>
              </w:rPr>
              <w:t>RANCOURT</w:t>
            </w:r>
            <w:r w:rsidRPr="00C74276">
              <w:rPr>
                <w:lang w:val="en-CA"/>
              </w:rPr>
              <w:t>, J.A.</w:t>
            </w:r>
            <w:r w:rsidR="00F744CE" w:rsidRPr="00C74276">
              <w:rPr>
                <w:lang w:val="en-CA"/>
              </w:rPr>
              <w:t xml:space="preserve"> </w:t>
            </w:r>
          </w:p>
        </w:tc>
      </w:tr>
      <w:tr w:rsidR="00634D8F" w:rsidRPr="00C554B2" w14:paraId="40F7CAAA" w14:textId="77777777" w:rsidTr="00B35FB3">
        <w:tc>
          <w:tcPr>
            <w:tcW w:w="9360" w:type="dxa"/>
            <w:tcBorders>
              <w:bottom w:val="single" w:sz="8" w:space="0" w:color="auto"/>
            </w:tcBorders>
          </w:tcPr>
          <w:p w14:paraId="3C4BBF54" w14:textId="77777777" w:rsidR="00634D8F" w:rsidRPr="00C74276" w:rsidRDefault="00634D8F" w:rsidP="00B35FB3">
            <w:pPr>
              <w:rPr>
                <w:lang w:val="en-CA"/>
              </w:rPr>
            </w:pPr>
          </w:p>
        </w:tc>
      </w:tr>
      <w:tr w:rsidR="00634D8F" w:rsidRPr="00C554B2" w14:paraId="4F70B301" w14:textId="77777777" w:rsidTr="00B35FB3">
        <w:tc>
          <w:tcPr>
            <w:tcW w:w="9360" w:type="dxa"/>
            <w:tcBorders>
              <w:top w:val="single" w:sz="8" w:space="0" w:color="auto"/>
            </w:tcBorders>
          </w:tcPr>
          <w:p w14:paraId="7D26AABB" w14:textId="77777777" w:rsidR="00634D8F" w:rsidRPr="00C74276" w:rsidRDefault="00634D8F" w:rsidP="00B35FB3">
            <w:pPr>
              <w:rPr>
                <w:lang w:val="en-CA"/>
              </w:rPr>
            </w:pPr>
          </w:p>
        </w:tc>
      </w:tr>
    </w:tbl>
    <w:p w14:paraId="31901CEF" w14:textId="0DF7A2D6" w:rsidR="00634D8F" w:rsidRPr="00C74276" w:rsidRDefault="00651DE9" w:rsidP="00FA34B7">
      <w:pPr>
        <w:pStyle w:val="Titre1"/>
        <w:numPr>
          <w:ilvl w:val="0"/>
          <w:numId w:val="32"/>
        </w:numPr>
        <w:spacing w:line="280" w:lineRule="exact"/>
        <w:ind w:hanging="720"/>
        <w:rPr>
          <w:lang w:val="en-CA"/>
        </w:rPr>
      </w:pPr>
      <w:r w:rsidRPr="00C74276">
        <w:rPr>
          <w:lang w:val="en-CA"/>
        </w:rPr>
        <w:t>BACKGROUND</w:t>
      </w:r>
      <w:r w:rsidR="004D1BFF" w:rsidRPr="00C74276">
        <w:rPr>
          <w:lang w:val="en-CA"/>
        </w:rPr>
        <w:t xml:space="preserve"> </w:t>
      </w:r>
    </w:p>
    <w:p w14:paraId="00B2C210" w14:textId="4688258F" w:rsidR="00634D8F" w:rsidRPr="00C74276" w:rsidRDefault="004D1BFF" w:rsidP="00FA34B7">
      <w:pPr>
        <w:pStyle w:val="Paragraphe"/>
        <w:spacing w:line="280" w:lineRule="exact"/>
        <w:rPr>
          <w:lang w:val="en-CA"/>
        </w:rPr>
      </w:pPr>
      <w:r w:rsidRPr="00C554B2">
        <w:t xml:space="preserve">The </w:t>
      </w:r>
      <w:r w:rsidR="00AB302E" w:rsidRPr="00C554B2">
        <w:t>a</w:t>
      </w:r>
      <w:r w:rsidRPr="00C554B2">
        <w:t>ppel</w:t>
      </w:r>
      <w:r w:rsidR="00927DEA" w:rsidRPr="00C554B2">
        <w:t>l</w:t>
      </w:r>
      <w:r w:rsidRPr="00C554B2">
        <w:t xml:space="preserve">ant, Druide Informatique Inc. </w:t>
      </w:r>
      <w:r w:rsidR="00DC4722" w:rsidRPr="00C74276">
        <w:rPr>
          <w:lang w:val="en-CA"/>
        </w:rPr>
        <w:t>(“Druide”</w:t>
      </w:r>
      <w:r w:rsidRPr="00C74276">
        <w:rPr>
          <w:lang w:val="en-CA"/>
        </w:rPr>
        <w:t>), is a co</w:t>
      </w:r>
      <w:r w:rsidR="00927DEA" w:rsidRPr="00C74276">
        <w:rPr>
          <w:lang w:val="en-CA"/>
        </w:rPr>
        <w:t xml:space="preserve">mpany known for the design </w:t>
      </w:r>
      <w:r w:rsidRPr="00C74276">
        <w:rPr>
          <w:lang w:val="en-CA"/>
        </w:rPr>
        <w:t xml:space="preserve">and great success of the writing assistance software Antidote, launched in 1996. </w:t>
      </w:r>
    </w:p>
    <w:p w14:paraId="64CB8CFE" w14:textId="0EBA93E6" w:rsidR="00634D8F" w:rsidRPr="00C74276" w:rsidRDefault="00DC4722" w:rsidP="00FA34B7">
      <w:pPr>
        <w:pStyle w:val="Paragraphe"/>
        <w:spacing w:line="280" w:lineRule="exact"/>
        <w:rPr>
          <w:lang w:val="en-CA"/>
        </w:rPr>
      </w:pPr>
      <w:r w:rsidRPr="00C554B2">
        <w:t xml:space="preserve">The </w:t>
      </w:r>
      <w:r w:rsidR="00AB302E" w:rsidRPr="00C554B2">
        <w:t>r</w:t>
      </w:r>
      <w:r w:rsidRPr="00C554B2">
        <w:t xml:space="preserve">espondent, Les éditions Québec Amérique </w:t>
      </w:r>
      <w:r w:rsidR="00AB302E" w:rsidRPr="00C554B2">
        <w:t>I</w:t>
      </w:r>
      <w:r w:rsidRPr="00C554B2">
        <w:t xml:space="preserve">nc. </w:t>
      </w:r>
      <w:r w:rsidRPr="00C74276">
        <w:rPr>
          <w:lang w:val="en-CA"/>
        </w:rPr>
        <w:t xml:space="preserve">(“QA”), founded in 1974, </w:t>
      </w:r>
      <w:r w:rsidR="00674B39" w:rsidRPr="00C74276">
        <w:rPr>
          <w:lang w:val="en-CA"/>
        </w:rPr>
        <w:t xml:space="preserve">is a </w:t>
      </w:r>
      <w:r w:rsidRPr="00C74276">
        <w:rPr>
          <w:lang w:val="en-CA"/>
        </w:rPr>
        <w:t xml:space="preserve">book publishing company, </w:t>
      </w:r>
      <w:r w:rsidR="00674B39" w:rsidRPr="00C74276">
        <w:rPr>
          <w:lang w:val="en-CA"/>
        </w:rPr>
        <w:t xml:space="preserve">well-known </w:t>
      </w:r>
      <w:r w:rsidRPr="00C74276">
        <w:rPr>
          <w:lang w:val="en-CA"/>
        </w:rPr>
        <w:t xml:space="preserve">both in Quebec and internationally. </w:t>
      </w:r>
      <w:r w:rsidR="00C3386B" w:rsidRPr="00C74276">
        <w:rPr>
          <w:lang w:val="en-CA"/>
        </w:rPr>
        <w:t>It designed</w:t>
      </w:r>
      <w:r w:rsidR="002462AB" w:rsidRPr="00C74276">
        <w:rPr>
          <w:lang w:val="en-CA"/>
        </w:rPr>
        <w:t xml:space="preserve"> and published</w:t>
      </w:r>
      <w:r w:rsidRPr="00C74276">
        <w:rPr>
          <w:lang w:val="en-CA"/>
        </w:rPr>
        <w:t xml:space="preserve"> </w:t>
      </w:r>
      <w:r w:rsidRPr="00747C14">
        <w:rPr>
          <w:i/>
          <w:iCs/>
          <w:lang w:val="en-CA"/>
        </w:rPr>
        <w:t>Le Visuel</w:t>
      </w:r>
      <w:r w:rsidRPr="00C74276">
        <w:rPr>
          <w:lang w:val="en-CA"/>
        </w:rPr>
        <w:t xml:space="preserve">, a printed thematic </w:t>
      </w:r>
      <w:r w:rsidR="002462AB" w:rsidRPr="00C74276">
        <w:rPr>
          <w:lang w:val="en-CA"/>
        </w:rPr>
        <w:t>dictionary that makes it possible to find words on the basis of</w:t>
      </w:r>
      <w:r w:rsidR="00755070" w:rsidRPr="00C74276">
        <w:rPr>
          <w:lang w:val="en-CA"/>
        </w:rPr>
        <w:t xml:space="preserve"> an illustration or theme. </w:t>
      </w:r>
      <w:r w:rsidR="00674B39" w:rsidRPr="00C74276">
        <w:rPr>
          <w:lang w:val="en-CA"/>
        </w:rPr>
        <w:t xml:space="preserve">Its originality, the rigour of its terminology, and the richness of its illustrations explain the immediate commercial success of this reference work. A computer-based version of this dictionary called </w:t>
      </w:r>
      <w:r w:rsidR="00E651CE" w:rsidRPr="00C74276">
        <w:rPr>
          <w:lang w:val="en-CA"/>
        </w:rPr>
        <w:t>Le Visuel Multimedia</w:t>
      </w:r>
      <w:r w:rsidR="00674B39" w:rsidRPr="00C74276">
        <w:rPr>
          <w:lang w:val="en-CA"/>
        </w:rPr>
        <w:t xml:space="preserve"> </w:t>
      </w:r>
      <w:r w:rsidR="00E651CE" w:rsidRPr="00C74276">
        <w:rPr>
          <w:lang w:val="en-CA"/>
        </w:rPr>
        <w:t xml:space="preserve">was launched in 1996. </w:t>
      </w:r>
    </w:p>
    <w:p w14:paraId="6FECDA6B" w14:textId="2C611344" w:rsidR="00634D8F" w:rsidRPr="00C74276" w:rsidRDefault="00674B39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In addition to the illustrations and the terminology in French and </w:t>
      </w:r>
      <w:r w:rsidR="00E651CE" w:rsidRPr="00C74276">
        <w:rPr>
          <w:lang w:val="en-CA"/>
        </w:rPr>
        <w:t xml:space="preserve">in </w:t>
      </w:r>
      <w:r w:rsidRPr="00C74276">
        <w:rPr>
          <w:lang w:val="en-CA"/>
        </w:rPr>
        <w:t>English</w:t>
      </w:r>
      <w:r w:rsidR="00E651CE" w:rsidRPr="00C74276">
        <w:rPr>
          <w:lang w:val="en-CA"/>
        </w:rPr>
        <w:t>,</w:t>
      </w:r>
      <w:r w:rsidRPr="00C74276">
        <w:rPr>
          <w:lang w:val="en-CA"/>
        </w:rPr>
        <w:t xml:space="preserve"> </w:t>
      </w:r>
      <w:r w:rsidR="00E651CE" w:rsidRPr="00C74276">
        <w:rPr>
          <w:lang w:val="en-CA"/>
        </w:rPr>
        <w:t xml:space="preserve">there is </w:t>
      </w:r>
      <w:r w:rsidR="002A1E3C" w:rsidRPr="00C74276">
        <w:rPr>
          <w:lang w:val="en-CA"/>
        </w:rPr>
        <w:t xml:space="preserve">sound pronunciation, </w:t>
      </w:r>
      <w:r w:rsidR="00204329" w:rsidRPr="00C74276">
        <w:rPr>
          <w:lang w:val="en-CA"/>
        </w:rPr>
        <w:t xml:space="preserve">all of </w:t>
      </w:r>
      <w:r w:rsidR="002A1E3C" w:rsidRPr="00C74276">
        <w:rPr>
          <w:lang w:val="en-CA"/>
        </w:rPr>
        <w:t>which constitute</w:t>
      </w:r>
      <w:r w:rsidR="00204329" w:rsidRPr="00C74276">
        <w:rPr>
          <w:lang w:val="en-CA"/>
        </w:rPr>
        <w:t>s, for the present purposes</w:t>
      </w:r>
      <w:r w:rsidR="002A1E3C" w:rsidRPr="00C74276">
        <w:rPr>
          <w:lang w:val="en-CA"/>
        </w:rPr>
        <w:t xml:space="preserve">, the </w:t>
      </w:r>
      <w:r w:rsidR="00204329" w:rsidRPr="00C74276">
        <w:rPr>
          <w:lang w:val="en-CA"/>
        </w:rPr>
        <w:t xml:space="preserve">protected literary and artistic </w:t>
      </w:r>
      <w:r w:rsidR="002A1E3C" w:rsidRPr="00C74276">
        <w:rPr>
          <w:lang w:val="en-CA"/>
        </w:rPr>
        <w:t>works (“the Works”</w:t>
      </w:r>
      <w:r w:rsidR="00204329" w:rsidRPr="00C74276">
        <w:rPr>
          <w:lang w:val="en-CA"/>
        </w:rPr>
        <w:t>) in</w:t>
      </w:r>
      <w:r w:rsidR="002A1E3C" w:rsidRPr="00C74276">
        <w:rPr>
          <w:lang w:val="en-CA"/>
        </w:rPr>
        <w:t xml:space="preserve"> </w:t>
      </w:r>
      <w:r w:rsidR="00204329" w:rsidRPr="00C74276">
        <w:rPr>
          <w:lang w:val="en-CA"/>
        </w:rPr>
        <w:t xml:space="preserve">the </w:t>
      </w:r>
      <w:r w:rsidR="002A1E3C" w:rsidRPr="00C74276">
        <w:rPr>
          <w:lang w:val="en-CA"/>
        </w:rPr>
        <w:t>QA software.</w:t>
      </w:r>
      <w:r w:rsidR="00634D8F" w:rsidRPr="00C74276">
        <w:rPr>
          <w:rStyle w:val="Appelnotedebasdep"/>
          <w:lang w:val="en-CA"/>
        </w:rPr>
        <w:footnoteReference w:id="2"/>
      </w:r>
    </w:p>
    <w:p w14:paraId="6C84209F" w14:textId="18A06E8C" w:rsidR="00634D8F" w:rsidRPr="00C74276" w:rsidRDefault="002A1E3C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In 1997, the leaders of the two companies met to promote their respective products, given their obvious complementarity.</w:t>
      </w:r>
      <w:r w:rsidR="00E955BC" w:rsidRPr="00C74276">
        <w:rPr>
          <w:lang w:val="en-CA"/>
        </w:rPr>
        <w:t xml:space="preserve"> These meetings resulted in the creation</w:t>
      </w:r>
      <w:r w:rsidR="00882180" w:rsidRPr="00C74276">
        <w:rPr>
          <w:lang w:val="en-CA"/>
        </w:rPr>
        <w:t>, the following year,</w:t>
      </w:r>
      <w:r w:rsidR="00E955BC" w:rsidRPr="00C74276">
        <w:rPr>
          <w:lang w:val="en-CA"/>
        </w:rPr>
        <w:t xml:space="preserve"> of a </w:t>
      </w:r>
      <w:r w:rsidR="00882180" w:rsidRPr="00C74276">
        <w:rPr>
          <w:lang w:val="en-CA"/>
        </w:rPr>
        <w:t>“</w:t>
      </w:r>
      <w:r w:rsidR="00E955BC" w:rsidRPr="00C74276">
        <w:rPr>
          <w:lang w:val="en-CA"/>
        </w:rPr>
        <w:t>computer bridge</w:t>
      </w:r>
      <w:r w:rsidR="00882180" w:rsidRPr="00C74276">
        <w:rPr>
          <w:lang w:val="en-CA"/>
        </w:rPr>
        <w:t xml:space="preserve">” </w:t>
      </w:r>
      <w:r w:rsidR="00E955BC" w:rsidRPr="00C74276">
        <w:rPr>
          <w:lang w:val="en-CA"/>
        </w:rPr>
        <w:t>between the new versions of the two parties’ soft</w:t>
      </w:r>
      <w:r w:rsidR="002207A4" w:rsidRPr="00C74276">
        <w:rPr>
          <w:lang w:val="en-CA"/>
        </w:rPr>
        <w:t>ware, Le Visue</w:t>
      </w:r>
      <w:r w:rsidR="00E955BC" w:rsidRPr="00C74276">
        <w:rPr>
          <w:lang w:val="en-CA"/>
        </w:rPr>
        <w:t xml:space="preserve">l Multimedia 2 and Antidote 98. Concretely, this bridge took the form of a two-way button between the two software programs by </w:t>
      </w:r>
      <w:r w:rsidR="00882180" w:rsidRPr="00C74276">
        <w:rPr>
          <w:lang w:val="en-CA"/>
        </w:rPr>
        <w:t xml:space="preserve">means of </w:t>
      </w:r>
      <w:r w:rsidR="002207A4" w:rsidRPr="00C74276">
        <w:rPr>
          <w:lang w:val="en-CA"/>
        </w:rPr>
        <w:t xml:space="preserve">which </w:t>
      </w:r>
      <w:r w:rsidR="00E955BC" w:rsidRPr="00C74276">
        <w:rPr>
          <w:lang w:val="en-CA"/>
        </w:rPr>
        <w:t>user</w:t>
      </w:r>
      <w:r w:rsidR="002207A4" w:rsidRPr="00C74276">
        <w:rPr>
          <w:lang w:val="en-CA"/>
        </w:rPr>
        <w:t>s were</w:t>
      </w:r>
      <w:r w:rsidR="00E955BC" w:rsidRPr="00C74276">
        <w:rPr>
          <w:lang w:val="en-CA"/>
        </w:rPr>
        <w:t xml:space="preserve"> invited to </w:t>
      </w:r>
      <w:r w:rsidR="002207A4" w:rsidRPr="00C74276">
        <w:rPr>
          <w:lang w:val="en-CA"/>
        </w:rPr>
        <w:t>acquire the software of</w:t>
      </w:r>
      <w:r w:rsidR="00E955BC" w:rsidRPr="00C74276">
        <w:rPr>
          <w:lang w:val="en-CA"/>
        </w:rPr>
        <w:t xml:space="preserve"> the other company. </w:t>
      </w:r>
      <w:r w:rsidR="00882180" w:rsidRPr="00C74276">
        <w:rPr>
          <w:lang w:val="en-CA"/>
        </w:rPr>
        <w:t>By purchasing the second software</w:t>
      </w:r>
      <w:r w:rsidR="00721B59" w:rsidRPr="00C74276">
        <w:rPr>
          <w:lang w:val="en-CA"/>
        </w:rPr>
        <w:t xml:space="preserve"> program</w:t>
      </w:r>
      <w:r w:rsidR="00882180" w:rsidRPr="00C74276">
        <w:rPr>
          <w:lang w:val="en-CA"/>
        </w:rPr>
        <w:t>, the user could take advantage of both products and their complementarity. The agreement</w:t>
      </w:r>
      <w:r w:rsidR="004B0135" w:rsidRPr="00C74276">
        <w:rPr>
          <w:lang w:val="en-CA"/>
        </w:rPr>
        <w:t xml:space="preserve"> between the parties was not in</w:t>
      </w:r>
      <w:r w:rsidR="00882180" w:rsidRPr="00C74276">
        <w:rPr>
          <w:lang w:val="en-CA"/>
        </w:rPr>
        <w:t xml:space="preserve"> the form of a written contract; it was verbal. </w:t>
      </w:r>
      <w:r w:rsidR="00E955BC" w:rsidRPr="00C74276">
        <w:rPr>
          <w:lang w:val="en-CA"/>
        </w:rPr>
        <w:t xml:space="preserve"> </w:t>
      </w:r>
    </w:p>
    <w:p w14:paraId="23E46761" w14:textId="43B360A9" w:rsidR="00634D8F" w:rsidRPr="00C74276" w:rsidRDefault="00762A88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This agreement marked the beginning of a</w:t>
      </w:r>
      <w:r w:rsidR="002049E9" w:rsidRPr="00C74276">
        <w:rPr>
          <w:lang w:val="en-CA"/>
        </w:rPr>
        <w:t xml:space="preserve"> business partner</w:t>
      </w:r>
      <w:r w:rsidRPr="00C74276">
        <w:rPr>
          <w:lang w:val="en-CA"/>
        </w:rPr>
        <w:t xml:space="preserve">ship that lasted more than a decade. </w:t>
      </w:r>
      <w:r w:rsidR="002049E9" w:rsidRPr="00C74276">
        <w:rPr>
          <w:lang w:val="en-CA"/>
        </w:rPr>
        <w:t>In addition to the cross-promotion of their respective software</w:t>
      </w:r>
      <w:r w:rsidR="00721B59" w:rsidRPr="00C74276">
        <w:rPr>
          <w:lang w:val="en-CA"/>
        </w:rPr>
        <w:t xml:space="preserve"> programs</w:t>
      </w:r>
      <w:r w:rsidR="002049E9" w:rsidRPr="00C74276">
        <w:rPr>
          <w:lang w:val="en-CA"/>
        </w:rPr>
        <w:t xml:space="preserve">, Druide and </w:t>
      </w:r>
      <w:r w:rsidR="00717F0B" w:rsidRPr="00C74276">
        <w:rPr>
          <w:lang w:val="en-CA"/>
        </w:rPr>
        <w:t xml:space="preserve">QA agreed to </w:t>
      </w:r>
      <w:r w:rsidR="009F3D6A" w:rsidRPr="00C74276">
        <w:rPr>
          <w:lang w:val="en-CA"/>
        </w:rPr>
        <w:t>participate</w:t>
      </w:r>
      <w:r w:rsidR="00721B59" w:rsidRPr="00C74276">
        <w:rPr>
          <w:lang w:val="en-CA"/>
        </w:rPr>
        <w:t xml:space="preserve"> together</w:t>
      </w:r>
      <w:r w:rsidR="002049E9" w:rsidRPr="00C74276">
        <w:rPr>
          <w:lang w:val="en-CA"/>
        </w:rPr>
        <w:t xml:space="preserve"> in </w:t>
      </w:r>
      <w:r w:rsidR="004446EE" w:rsidRPr="00C74276">
        <w:rPr>
          <w:lang w:val="en-CA"/>
        </w:rPr>
        <w:t>the major</w:t>
      </w:r>
      <w:r w:rsidR="002049E9" w:rsidRPr="00C74276">
        <w:rPr>
          <w:lang w:val="en-CA"/>
        </w:rPr>
        <w:t xml:space="preserve"> Quebec book fairs. Druide subsequently entrusted QA with the publishing contract for the publication of its thesauruses </w:t>
      </w:r>
      <w:r w:rsidR="002049E9" w:rsidRPr="00747C14">
        <w:rPr>
          <w:i/>
          <w:iCs/>
          <w:lang w:val="en-CA"/>
        </w:rPr>
        <w:t>Grand Druide</w:t>
      </w:r>
      <w:r w:rsidR="002049E9" w:rsidRPr="00C74276">
        <w:rPr>
          <w:lang w:val="en-CA"/>
        </w:rPr>
        <w:t xml:space="preserve"> and </w:t>
      </w:r>
      <w:r w:rsidR="002049E9" w:rsidRPr="00747C14">
        <w:rPr>
          <w:i/>
          <w:iCs/>
          <w:lang w:val="en-CA"/>
        </w:rPr>
        <w:t>Petit Druide</w:t>
      </w:r>
      <w:r w:rsidR="007256B3" w:rsidRPr="00C74276">
        <w:rPr>
          <w:lang w:val="en-CA"/>
        </w:rPr>
        <w:t>.</w:t>
      </w:r>
      <w:r w:rsidR="002049E9" w:rsidRPr="00C74276">
        <w:rPr>
          <w:lang w:val="en-CA"/>
        </w:rPr>
        <w:t xml:space="preserve"> D</w:t>
      </w:r>
      <w:r w:rsidR="00721B59" w:rsidRPr="00C74276">
        <w:rPr>
          <w:lang w:val="en-CA"/>
        </w:rPr>
        <w:t>ruide also ensured</w:t>
      </w:r>
      <w:r w:rsidR="003938AF" w:rsidRPr="00C74276">
        <w:rPr>
          <w:lang w:val="en-CA"/>
        </w:rPr>
        <w:t xml:space="preserve"> </w:t>
      </w:r>
      <w:r w:rsidR="003F1BAD" w:rsidRPr="00C74276">
        <w:rPr>
          <w:lang w:val="en-CA"/>
        </w:rPr>
        <w:t xml:space="preserve">the </w:t>
      </w:r>
      <w:r w:rsidR="002049E9" w:rsidRPr="00C74276">
        <w:rPr>
          <w:lang w:val="en-CA"/>
        </w:rPr>
        <w:t xml:space="preserve">distribution of </w:t>
      </w:r>
      <w:r w:rsidR="007256B3" w:rsidRPr="00C74276">
        <w:rPr>
          <w:lang w:val="en-CA"/>
        </w:rPr>
        <w:t xml:space="preserve">the </w:t>
      </w:r>
      <w:r w:rsidR="002049E9" w:rsidRPr="00C74276">
        <w:rPr>
          <w:lang w:val="en-CA"/>
        </w:rPr>
        <w:t xml:space="preserve">QA software. </w:t>
      </w:r>
    </w:p>
    <w:p w14:paraId="0C5EB235" w14:textId="10D2626E" w:rsidR="00634D8F" w:rsidRPr="00C74276" w:rsidRDefault="008F6C4A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In 2004, Druide and</w:t>
      </w:r>
      <w:r w:rsidR="00717F0B" w:rsidRPr="00C74276">
        <w:rPr>
          <w:lang w:val="en-CA"/>
        </w:rPr>
        <w:t xml:space="preserve"> QA l</w:t>
      </w:r>
      <w:r w:rsidRPr="00C74276">
        <w:rPr>
          <w:lang w:val="en-CA"/>
        </w:rPr>
        <w:t xml:space="preserve">aunched new versions of their </w:t>
      </w:r>
      <w:r w:rsidR="00717F0B" w:rsidRPr="00C74276">
        <w:rPr>
          <w:lang w:val="en-CA"/>
        </w:rPr>
        <w:t xml:space="preserve">respective </w:t>
      </w:r>
      <w:r w:rsidRPr="00C74276">
        <w:rPr>
          <w:lang w:val="en-CA"/>
        </w:rPr>
        <w:t>software</w:t>
      </w:r>
      <w:r w:rsidR="00721B59" w:rsidRPr="00C74276">
        <w:rPr>
          <w:lang w:val="en-CA"/>
        </w:rPr>
        <w:t xml:space="preserve"> programs</w:t>
      </w:r>
      <w:r w:rsidRPr="00C74276">
        <w:rPr>
          <w:lang w:val="en-CA"/>
        </w:rPr>
        <w:t xml:space="preserve">, namely Antidote Prisme 5 and Le Visuel Multimedia 3. </w:t>
      </w:r>
    </w:p>
    <w:p w14:paraId="27E7570C" w14:textId="5304B873" w:rsidR="00634D8F" w:rsidRPr="00C74276" w:rsidRDefault="00721B59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Le Visuel Multimedia 3 contained</w:t>
      </w:r>
      <w:r w:rsidR="00717F0B" w:rsidRPr="00C74276">
        <w:rPr>
          <w:lang w:val="en-CA"/>
        </w:rPr>
        <w:t xml:space="preserve"> an index </w:t>
      </w:r>
      <w:r w:rsidR="00473404" w:rsidRPr="00C74276">
        <w:rPr>
          <w:lang w:val="en-CA"/>
        </w:rPr>
        <w:t>called l’Index du Visuel</w:t>
      </w:r>
      <w:r w:rsidR="00473404">
        <w:rPr>
          <w:lang w:val="en-CA"/>
        </w:rPr>
        <w:t>, which</w:t>
      </w:r>
      <w:r w:rsidR="00717F0B" w:rsidRPr="00C74276">
        <w:rPr>
          <w:lang w:val="en-CA"/>
        </w:rPr>
        <w:t xml:space="preserve"> included </w:t>
      </w:r>
      <w:r w:rsidR="008F6C4A" w:rsidRPr="00C74276">
        <w:rPr>
          <w:lang w:val="en-CA"/>
        </w:rPr>
        <w:t xml:space="preserve">French terminology </w:t>
      </w:r>
      <w:r w:rsidR="000565A1" w:rsidRPr="00C74276">
        <w:rPr>
          <w:lang w:val="en-CA"/>
        </w:rPr>
        <w:t>as well as icons of the illustrations associated with th</w:t>
      </w:r>
      <w:r w:rsidR="008E6149" w:rsidRPr="00C74276">
        <w:rPr>
          <w:lang w:val="en-CA"/>
        </w:rPr>
        <w:t>e terminology</w:t>
      </w:r>
      <w:r w:rsidR="000565A1" w:rsidRPr="00C74276">
        <w:rPr>
          <w:lang w:val="en-CA"/>
        </w:rPr>
        <w:t xml:space="preserve">. The parties agreed to develop the </w:t>
      </w:r>
      <w:r w:rsidR="00E62AB4" w:rsidRPr="00C74276">
        <w:rPr>
          <w:lang w:val="en-CA"/>
        </w:rPr>
        <w:t>“c</w:t>
      </w:r>
      <w:r w:rsidR="000565A1" w:rsidRPr="00C74276">
        <w:rPr>
          <w:lang w:val="en-CA"/>
        </w:rPr>
        <w:t>omputer bridge</w:t>
      </w:r>
      <w:r w:rsidR="00E62AB4" w:rsidRPr="00C74276">
        <w:rPr>
          <w:lang w:val="en-CA"/>
        </w:rPr>
        <w:t>”</w:t>
      </w:r>
      <w:r w:rsidR="002C74A9" w:rsidRPr="00C74276">
        <w:rPr>
          <w:lang w:val="en-CA"/>
        </w:rPr>
        <w:t xml:space="preserve"> by integrating </w:t>
      </w:r>
      <w:r w:rsidR="004C7888" w:rsidRPr="00C74276">
        <w:rPr>
          <w:lang w:val="en-CA"/>
        </w:rPr>
        <w:t>l’Index du Visuel</w:t>
      </w:r>
      <w:r w:rsidR="000565A1" w:rsidRPr="00C74276">
        <w:rPr>
          <w:lang w:val="en-CA"/>
        </w:rPr>
        <w:t xml:space="preserve"> into the Antidote Prisme 5 software. The integration made it possible to illustrat</w:t>
      </w:r>
      <w:r w:rsidR="007256B3" w:rsidRPr="00C74276">
        <w:rPr>
          <w:lang w:val="en-CA"/>
        </w:rPr>
        <w:t xml:space="preserve">e 32,000 of the </w:t>
      </w:r>
      <w:r w:rsidR="007256B3" w:rsidRPr="00C74276">
        <w:rPr>
          <w:lang w:val="en-CA"/>
        </w:rPr>
        <w:lastRenderedPageBreak/>
        <w:t>117,000 words in</w:t>
      </w:r>
      <w:r w:rsidR="000565A1" w:rsidRPr="00C74276">
        <w:rPr>
          <w:lang w:val="en-CA"/>
        </w:rPr>
        <w:t xml:space="preserve"> the Antidote Prisme 5 software</w:t>
      </w:r>
      <w:r w:rsidRPr="00C74276">
        <w:rPr>
          <w:lang w:val="en-CA"/>
        </w:rPr>
        <w:t xml:space="preserve"> program</w:t>
      </w:r>
      <w:r w:rsidR="000565A1" w:rsidRPr="00C74276">
        <w:rPr>
          <w:lang w:val="en-CA"/>
        </w:rPr>
        <w:t>. Thus</w:t>
      </w:r>
      <w:r w:rsidR="004C7888" w:rsidRPr="00C74276">
        <w:rPr>
          <w:lang w:val="en-CA"/>
        </w:rPr>
        <w:t>,</w:t>
      </w:r>
      <w:r w:rsidR="000565A1" w:rsidRPr="00C74276">
        <w:rPr>
          <w:lang w:val="en-CA"/>
        </w:rPr>
        <w:t xml:space="preserve"> the Antidote user </w:t>
      </w:r>
      <w:r w:rsidR="009835FA" w:rsidRPr="00C74276">
        <w:rPr>
          <w:lang w:val="en-CA"/>
        </w:rPr>
        <w:t>could</w:t>
      </w:r>
      <w:r w:rsidR="00E62AB4" w:rsidRPr="00C74276">
        <w:rPr>
          <w:lang w:val="en-CA"/>
        </w:rPr>
        <w:t xml:space="preserve"> know if an image from Le</w:t>
      </w:r>
      <w:r w:rsidR="000565A1" w:rsidRPr="00C74276">
        <w:rPr>
          <w:lang w:val="en-CA"/>
        </w:rPr>
        <w:t xml:space="preserve"> V</w:t>
      </w:r>
      <w:r w:rsidR="00717F0B" w:rsidRPr="00C74276">
        <w:rPr>
          <w:lang w:val="en-CA"/>
        </w:rPr>
        <w:t>isue</w:t>
      </w:r>
      <w:r w:rsidR="009835FA" w:rsidRPr="00C74276">
        <w:rPr>
          <w:lang w:val="en-CA"/>
        </w:rPr>
        <w:t>l Multimedia 3 was</w:t>
      </w:r>
      <w:r w:rsidR="00717F0B" w:rsidRPr="00C74276">
        <w:rPr>
          <w:lang w:val="en-CA"/>
        </w:rPr>
        <w:t xml:space="preserve"> associated with a word selected</w:t>
      </w:r>
      <w:r w:rsidR="00E62AB4" w:rsidRPr="00C74276">
        <w:rPr>
          <w:lang w:val="en-CA"/>
        </w:rPr>
        <w:t xml:space="preserve"> in Antidote. </w:t>
      </w:r>
      <w:r w:rsidR="00717F0B" w:rsidRPr="00C74276">
        <w:rPr>
          <w:lang w:val="en-CA"/>
        </w:rPr>
        <w:t>By acquiring Le Visue</w:t>
      </w:r>
      <w:r w:rsidR="00E62AB4" w:rsidRPr="00C74276">
        <w:rPr>
          <w:lang w:val="en-CA"/>
        </w:rPr>
        <w:t xml:space="preserve">l Multimedia 3, the </w:t>
      </w:r>
      <w:r w:rsidR="009835FA" w:rsidRPr="00C74276">
        <w:rPr>
          <w:lang w:val="en-CA"/>
        </w:rPr>
        <w:t>“</w:t>
      </w:r>
      <w:r w:rsidR="00E62AB4" w:rsidRPr="00C74276">
        <w:rPr>
          <w:lang w:val="en-CA"/>
        </w:rPr>
        <w:t>computer bridge</w:t>
      </w:r>
      <w:r w:rsidR="009835FA" w:rsidRPr="00C74276">
        <w:rPr>
          <w:lang w:val="en-CA"/>
        </w:rPr>
        <w:t>”</w:t>
      </w:r>
      <w:r w:rsidR="00E62AB4" w:rsidRPr="00C74276">
        <w:rPr>
          <w:lang w:val="en-CA"/>
        </w:rPr>
        <w:t xml:space="preserve"> between the two software programs </w:t>
      </w:r>
      <w:r w:rsidR="009835FA" w:rsidRPr="00C74276">
        <w:rPr>
          <w:lang w:val="en-CA"/>
        </w:rPr>
        <w:t>allowed</w:t>
      </w:r>
      <w:r w:rsidR="00E62AB4" w:rsidRPr="00C74276">
        <w:rPr>
          <w:lang w:val="en-CA"/>
        </w:rPr>
        <w:t xml:space="preserve"> the Antidote user to acce</w:t>
      </w:r>
      <w:r w:rsidR="009835FA" w:rsidRPr="00C74276">
        <w:rPr>
          <w:lang w:val="en-CA"/>
        </w:rPr>
        <w:t>ss t</w:t>
      </w:r>
      <w:r w:rsidR="00E62AB4" w:rsidRPr="00C74276">
        <w:rPr>
          <w:lang w:val="en-CA"/>
        </w:rPr>
        <w:t>he image in question. This i</w:t>
      </w:r>
      <w:r w:rsidR="009835FA" w:rsidRPr="00C74276">
        <w:rPr>
          <w:lang w:val="en-CA"/>
        </w:rPr>
        <w:t>ntegration not only improved</w:t>
      </w:r>
      <w:r w:rsidR="00E62AB4" w:rsidRPr="00C74276">
        <w:rPr>
          <w:lang w:val="en-CA"/>
        </w:rPr>
        <w:t xml:space="preserve"> the Antidote software, but also serve</w:t>
      </w:r>
      <w:r w:rsidR="009835FA" w:rsidRPr="00C74276">
        <w:rPr>
          <w:lang w:val="en-CA"/>
        </w:rPr>
        <w:t>d</w:t>
      </w:r>
      <w:r w:rsidR="00E62AB4" w:rsidRPr="00C74276">
        <w:rPr>
          <w:lang w:val="en-CA"/>
        </w:rPr>
        <w:t xml:space="preserve"> to promote the QA software in a more attractive way.</w:t>
      </w:r>
      <w:r w:rsidR="00717F0B" w:rsidRPr="00C74276">
        <w:rPr>
          <w:lang w:val="en-CA"/>
        </w:rPr>
        <w:t xml:space="preserve"> Revenues from sales of Le Visue</w:t>
      </w:r>
      <w:r w:rsidR="007C2B7C" w:rsidRPr="00C74276">
        <w:rPr>
          <w:lang w:val="en-CA"/>
        </w:rPr>
        <w:t>l Multimedia 3</w:t>
      </w:r>
      <w:r w:rsidR="00E62AB4" w:rsidRPr="00C74276">
        <w:rPr>
          <w:lang w:val="en-CA"/>
        </w:rPr>
        <w:t xml:space="preserve"> generated from </w:t>
      </w:r>
      <w:r w:rsidR="007C2B7C" w:rsidRPr="00C74276">
        <w:rPr>
          <w:lang w:val="en-CA"/>
        </w:rPr>
        <w:t xml:space="preserve">the Antidote Prisme 5 software </w:t>
      </w:r>
      <w:r w:rsidRPr="00C74276">
        <w:rPr>
          <w:lang w:val="en-CA"/>
        </w:rPr>
        <w:t xml:space="preserve">program </w:t>
      </w:r>
      <w:r w:rsidR="009835FA" w:rsidRPr="00C74276">
        <w:rPr>
          <w:lang w:val="en-CA"/>
        </w:rPr>
        <w:t>were shared</w:t>
      </w:r>
      <w:r w:rsidR="00E62AB4" w:rsidRPr="00C74276">
        <w:rPr>
          <w:lang w:val="en-CA"/>
        </w:rPr>
        <w:t xml:space="preserve"> equally between Druide and QA.  </w:t>
      </w:r>
    </w:p>
    <w:p w14:paraId="71033F3F" w14:textId="0453FCB2" w:rsidR="00634D8F" w:rsidRPr="00C74276" w:rsidRDefault="009835FA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This agreement between the parties was also verbal. Although a draft contract was prepa</w:t>
      </w:r>
      <w:r w:rsidR="00721B59" w:rsidRPr="00C74276">
        <w:rPr>
          <w:lang w:val="en-CA"/>
        </w:rPr>
        <w:t>red the same year to</w:t>
      </w:r>
      <w:r w:rsidRPr="00C74276">
        <w:rPr>
          <w:lang w:val="en-CA"/>
        </w:rPr>
        <w:t xml:space="preserve"> precisely define the conditions for </w:t>
      </w:r>
      <w:r w:rsidR="00B50681" w:rsidRPr="00C74276">
        <w:rPr>
          <w:lang w:val="en-CA"/>
        </w:rPr>
        <w:t xml:space="preserve">integrating </w:t>
      </w:r>
      <w:r w:rsidR="003174AC" w:rsidRPr="00C74276">
        <w:rPr>
          <w:lang w:val="en-CA"/>
        </w:rPr>
        <w:t>l’Index du Visuel</w:t>
      </w:r>
      <w:r w:rsidRPr="00C74276">
        <w:rPr>
          <w:lang w:val="en-CA"/>
        </w:rPr>
        <w:t xml:space="preserve"> into Antidote Prisme 5, the draft was not signed.</w:t>
      </w:r>
      <w:r w:rsidR="00813129" w:rsidRPr="00C74276">
        <w:rPr>
          <w:rStyle w:val="Appelnotedebasdep"/>
          <w:lang w:val="en-CA"/>
        </w:rPr>
        <w:footnoteReference w:id="3"/>
      </w:r>
      <w:r w:rsidR="00813129" w:rsidRPr="00C74276">
        <w:rPr>
          <w:lang w:val="en-CA"/>
        </w:rPr>
        <w:t xml:space="preserve"> </w:t>
      </w:r>
      <w:r w:rsidRPr="00C74276">
        <w:rPr>
          <w:lang w:val="en-CA"/>
        </w:rPr>
        <w:t xml:space="preserve">During this period, the parties continued to maintain an excellent </w:t>
      </w:r>
      <w:r w:rsidR="005238A3" w:rsidRPr="00C74276">
        <w:rPr>
          <w:lang w:val="en-CA"/>
        </w:rPr>
        <w:t>business relationship</w:t>
      </w:r>
      <w:r w:rsidR="0098241A" w:rsidRPr="00C74276">
        <w:rPr>
          <w:lang w:val="en-CA"/>
        </w:rPr>
        <w:t>,</w:t>
      </w:r>
      <w:r w:rsidR="005238A3" w:rsidRPr="00C74276">
        <w:rPr>
          <w:lang w:val="en-CA"/>
        </w:rPr>
        <w:t xml:space="preserve"> and they trusted each other. </w:t>
      </w:r>
    </w:p>
    <w:p w14:paraId="249E5690" w14:textId="19A3902B" w:rsidR="00634D8F" w:rsidRPr="00C74276" w:rsidRDefault="00926180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In 2005, the parties </w:t>
      </w:r>
      <w:r w:rsidR="0098241A" w:rsidRPr="00C74276">
        <w:rPr>
          <w:lang w:val="en-CA"/>
        </w:rPr>
        <w:t>noted</w:t>
      </w:r>
      <w:r w:rsidR="00DD1A55" w:rsidRPr="00C74276">
        <w:rPr>
          <w:lang w:val="en-CA"/>
        </w:rPr>
        <w:t xml:space="preserve"> that the integration </w:t>
      </w:r>
      <w:r w:rsidR="00FE06D8" w:rsidRPr="00C74276">
        <w:rPr>
          <w:lang w:val="en-CA"/>
        </w:rPr>
        <w:t xml:space="preserve">of </w:t>
      </w:r>
      <w:r w:rsidR="003174AC" w:rsidRPr="00C74276">
        <w:rPr>
          <w:lang w:val="en-CA"/>
        </w:rPr>
        <w:t>l’Index du Visuel</w:t>
      </w:r>
      <w:r w:rsidR="00A665FE" w:rsidRPr="00C74276">
        <w:rPr>
          <w:lang w:val="en-CA"/>
        </w:rPr>
        <w:t xml:space="preserve"> into the An</w:t>
      </w:r>
      <w:r w:rsidR="001D1ABD" w:rsidRPr="00C74276">
        <w:rPr>
          <w:lang w:val="en-CA"/>
        </w:rPr>
        <w:t>tidote Prisme 5 software was not</w:t>
      </w:r>
      <w:r w:rsidR="00AE563E" w:rsidRPr="00C74276">
        <w:rPr>
          <w:lang w:val="en-CA"/>
        </w:rPr>
        <w:t xml:space="preserve"> </w:t>
      </w:r>
      <w:r w:rsidR="00473404">
        <w:rPr>
          <w:lang w:val="en-CA"/>
        </w:rPr>
        <w:t>providing</w:t>
      </w:r>
      <w:r w:rsidR="00AE563E" w:rsidRPr="00C74276">
        <w:rPr>
          <w:lang w:val="en-CA"/>
        </w:rPr>
        <w:t xml:space="preserve"> the expected visibility to</w:t>
      </w:r>
      <w:r w:rsidR="00A665FE" w:rsidRPr="00C74276">
        <w:rPr>
          <w:lang w:val="en-CA"/>
        </w:rPr>
        <w:t xml:space="preserve"> QA’s </w:t>
      </w:r>
      <w:r w:rsidR="001D1ABD" w:rsidRPr="00C74276">
        <w:rPr>
          <w:lang w:val="en-CA"/>
        </w:rPr>
        <w:t xml:space="preserve">Le </w:t>
      </w:r>
      <w:r w:rsidR="00A665FE" w:rsidRPr="00C74276">
        <w:rPr>
          <w:lang w:val="en-CA"/>
        </w:rPr>
        <w:t>Visuel Multimedia 3 software. In fact, the small size of the</w:t>
      </w:r>
      <w:r w:rsidR="00B50681" w:rsidRPr="00C74276">
        <w:rPr>
          <w:lang w:val="en-CA"/>
        </w:rPr>
        <w:t xml:space="preserve"> illustrations contained in </w:t>
      </w:r>
      <w:r w:rsidR="003174AC" w:rsidRPr="00C74276">
        <w:rPr>
          <w:lang w:val="en-CA"/>
        </w:rPr>
        <w:t>l’Index du Visuel</w:t>
      </w:r>
      <w:r w:rsidR="00AE563E" w:rsidRPr="00C74276">
        <w:rPr>
          <w:lang w:val="en-CA"/>
        </w:rPr>
        <w:t xml:space="preserve"> </w:t>
      </w:r>
      <w:r w:rsidR="00A665FE" w:rsidRPr="00C74276">
        <w:rPr>
          <w:lang w:val="en-CA"/>
        </w:rPr>
        <w:t>encourage</w:t>
      </w:r>
      <w:r w:rsidR="00AE563E" w:rsidRPr="00C74276">
        <w:rPr>
          <w:lang w:val="en-CA"/>
        </w:rPr>
        <w:t>d</w:t>
      </w:r>
      <w:r w:rsidR="00A665FE" w:rsidRPr="00C74276">
        <w:rPr>
          <w:lang w:val="en-CA"/>
        </w:rPr>
        <w:t xml:space="preserve"> </w:t>
      </w:r>
      <w:r w:rsidR="00AE563E" w:rsidRPr="00C74276">
        <w:rPr>
          <w:lang w:val="en-CA"/>
        </w:rPr>
        <w:t>very few Antidote users to purchase Le</w:t>
      </w:r>
      <w:r w:rsidR="00A665FE" w:rsidRPr="00C74276">
        <w:rPr>
          <w:lang w:val="en-CA"/>
        </w:rPr>
        <w:t xml:space="preserve"> Visuel Multimedia 3. The parties then began reflecting on how to integrate larger illustrations in future versions </w:t>
      </w:r>
      <w:r w:rsidR="00AE563E" w:rsidRPr="00C74276">
        <w:rPr>
          <w:lang w:val="en-CA"/>
        </w:rPr>
        <w:t>of Antidote to provide</w:t>
      </w:r>
      <w:r w:rsidR="00A665FE" w:rsidRPr="00C74276">
        <w:rPr>
          <w:lang w:val="en-CA"/>
        </w:rPr>
        <w:t xml:space="preserve"> </w:t>
      </w:r>
      <w:r w:rsidR="00AE563E" w:rsidRPr="00C74276">
        <w:rPr>
          <w:lang w:val="en-CA"/>
        </w:rPr>
        <w:t xml:space="preserve">increased </w:t>
      </w:r>
      <w:r w:rsidR="00A665FE" w:rsidRPr="00C74276">
        <w:rPr>
          <w:lang w:val="en-CA"/>
        </w:rPr>
        <w:t xml:space="preserve">visibility for QA without Antidote becoming, on its own, an illustrated dictionary.  </w:t>
      </w:r>
    </w:p>
    <w:p w14:paraId="696BA3C2" w14:textId="7CE3457B" w:rsidR="00634D8F" w:rsidRPr="00C74276" w:rsidRDefault="0043726A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This reflection gave </w:t>
      </w:r>
      <w:r w:rsidR="007256B3" w:rsidRPr="00C74276">
        <w:rPr>
          <w:lang w:val="en-CA"/>
        </w:rPr>
        <w:t xml:space="preserve">rise to the creation of the </w:t>
      </w:r>
      <w:r w:rsidRPr="00C74276">
        <w:rPr>
          <w:b/>
          <w:lang w:val="en-CA"/>
        </w:rPr>
        <w:t>Visuel Nano</w:t>
      </w:r>
      <w:r w:rsidRPr="00C74276">
        <w:rPr>
          <w:lang w:val="en-CA"/>
        </w:rPr>
        <w:t xml:space="preserve"> and </w:t>
      </w:r>
      <w:r w:rsidRPr="00C74276">
        <w:rPr>
          <w:b/>
          <w:lang w:val="en-CA"/>
        </w:rPr>
        <w:t xml:space="preserve">Visuel </w:t>
      </w:r>
      <w:r w:rsidR="00040DA3" w:rsidRPr="00C74276">
        <w:rPr>
          <w:b/>
          <w:lang w:val="en-CA"/>
        </w:rPr>
        <w:t>Intégré</w:t>
      </w:r>
      <w:r w:rsidR="007256B3" w:rsidRPr="00C74276">
        <w:rPr>
          <w:b/>
          <w:lang w:val="en-CA"/>
        </w:rPr>
        <w:t xml:space="preserve"> </w:t>
      </w:r>
      <w:r w:rsidR="007256B3" w:rsidRPr="00C74276">
        <w:rPr>
          <w:lang w:val="en-CA"/>
        </w:rPr>
        <w:t>interfaces</w:t>
      </w:r>
      <w:r w:rsidRPr="00C74276">
        <w:rPr>
          <w:lang w:val="en-CA"/>
        </w:rPr>
        <w:t xml:space="preserve">, designed and developed by Druide at its own expense. </w:t>
      </w:r>
    </w:p>
    <w:p w14:paraId="61763453" w14:textId="71DD2D9C" w:rsidR="00634D8F" w:rsidRPr="00C74276" w:rsidRDefault="0043726A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The </w:t>
      </w:r>
      <w:r w:rsidRPr="00C74276">
        <w:rPr>
          <w:b/>
          <w:lang w:val="en-CA"/>
        </w:rPr>
        <w:t>Visuel Nano</w:t>
      </w:r>
      <w:r w:rsidRPr="00C74276">
        <w:rPr>
          <w:lang w:val="en-CA"/>
        </w:rPr>
        <w:t xml:space="preserve"> and </w:t>
      </w:r>
      <w:r w:rsidRPr="00C74276">
        <w:rPr>
          <w:b/>
          <w:lang w:val="en-CA"/>
        </w:rPr>
        <w:t>V</w:t>
      </w:r>
      <w:r w:rsidR="00FE06D8" w:rsidRPr="00C74276">
        <w:rPr>
          <w:b/>
          <w:lang w:val="en-CA"/>
        </w:rPr>
        <w:t>isuel Intégré</w:t>
      </w:r>
      <w:r w:rsidR="00FE06D8" w:rsidRPr="00C74276">
        <w:rPr>
          <w:lang w:val="en-CA"/>
        </w:rPr>
        <w:t xml:space="preserve"> </w:t>
      </w:r>
      <w:r w:rsidRPr="00C74276">
        <w:rPr>
          <w:lang w:val="en-CA"/>
        </w:rPr>
        <w:t xml:space="preserve">interfaces were </w:t>
      </w:r>
      <w:r w:rsidR="00FB3450" w:rsidRPr="00C74276">
        <w:rPr>
          <w:lang w:val="en-CA"/>
        </w:rPr>
        <w:t>rolled out</w:t>
      </w:r>
      <w:r w:rsidRPr="00C74276">
        <w:rPr>
          <w:lang w:val="en-CA"/>
        </w:rPr>
        <w:t xml:space="preserve"> on October 20, 2009</w:t>
      </w:r>
      <w:r w:rsidR="00FB3450" w:rsidRPr="00C74276">
        <w:rPr>
          <w:lang w:val="en-CA"/>
        </w:rPr>
        <w:t>,</w:t>
      </w:r>
      <w:r w:rsidRPr="00C74276">
        <w:rPr>
          <w:lang w:val="en-CA"/>
        </w:rPr>
        <w:t xml:space="preserve"> during the highly publicized launch of the new version of the Antidote HD software. Several members of the QA team attended the launch</w:t>
      </w:r>
      <w:r w:rsidR="00FB3450" w:rsidRPr="00C74276">
        <w:rPr>
          <w:lang w:val="en-CA"/>
        </w:rPr>
        <w:t>,</w:t>
      </w:r>
      <w:r w:rsidRPr="00C74276">
        <w:rPr>
          <w:lang w:val="en-CA"/>
        </w:rPr>
        <w:t xml:space="preserve"> and a member of management spoke </w:t>
      </w:r>
      <w:r w:rsidR="00FE06D8" w:rsidRPr="00C74276">
        <w:rPr>
          <w:lang w:val="en-CA"/>
        </w:rPr>
        <w:t>at the event</w:t>
      </w:r>
      <w:r w:rsidR="009F4921" w:rsidRPr="00C74276">
        <w:rPr>
          <w:lang w:val="en-CA"/>
        </w:rPr>
        <w:t>.</w:t>
      </w:r>
      <w:r w:rsidR="00634D8F" w:rsidRPr="00C74276">
        <w:rPr>
          <w:rStyle w:val="Appelnotedebasdep"/>
          <w:lang w:val="en-CA"/>
        </w:rPr>
        <w:footnoteReference w:id="4"/>
      </w:r>
    </w:p>
    <w:p w14:paraId="0EC22EBE" w14:textId="4CD880E2" w:rsidR="00634D8F" w:rsidRPr="00C74276" w:rsidRDefault="009F4921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One week later, on October 27, 2009, QA launched the new version of its software Le Visuel Multimedia 4. </w:t>
      </w:r>
    </w:p>
    <w:p w14:paraId="4A87F9A7" w14:textId="74BB812E" w:rsidR="00634D8F" w:rsidRPr="00C74276" w:rsidRDefault="009F4921" w:rsidP="00FA34B7">
      <w:pPr>
        <w:pStyle w:val="Paragraphe"/>
        <w:spacing w:line="280" w:lineRule="exact"/>
        <w:rPr>
          <w:lang w:val="en-CA"/>
        </w:rPr>
      </w:pPr>
      <w:r w:rsidRPr="00C554B2">
        <w:rPr>
          <w:b/>
        </w:rPr>
        <w:t>Visuel Nano</w:t>
      </w:r>
      <w:r w:rsidRPr="00C554B2">
        <w:t xml:space="preserve"> replace</w:t>
      </w:r>
      <w:r w:rsidR="005F68BE" w:rsidRPr="00C554B2">
        <w:t>d</w:t>
      </w:r>
      <w:r w:rsidR="00B50681" w:rsidRPr="00C554B2">
        <w:t xml:space="preserve"> </w:t>
      </w:r>
      <w:r w:rsidR="00AB1702" w:rsidRPr="00C554B2">
        <w:t>l’Index du Visuel</w:t>
      </w:r>
      <w:r w:rsidRPr="00C554B2">
        <w:t xml:space="preserve">. </w:t>
      </w:r>
      <w:r w:rsidRPr="00C74276">
        <w:rPr>
          <w:lang w:val="en-CA"/>
        </w:rPr>
        <w:t>It was automatically integrated into Antidote HD without the user having t</w:t>
      </w:r>
      <w:r w:rsidR="00DE348C" w:rsidRPr="00C74276">
        <w:rPr>
          <w:lang w:val="en-CA"/>
        </w:rPr>
        <w:t>o obtain any other software. T</w:t>
      </w:r>
      <w:r w:rsidR="00244568" w:rsidRPr="00C74276">
        <w:rPr>
          <w:lang w:val="en-CA"/>
        </w:rPr>
        <w:t>he illustrations of Le Visue</w:t>
      </w:r>
      <w:r w:rsidRPr="00C74276">
        <w:rPr>
          <w:lang w:val="en-CA"/>
        </w:rPr>
        <w:t>l Multimedia 4 were</w:t>
      </w:r>
      <w:r w:rsidR="00DE348C" w:rsidRPr="00C74276">
        <w:rPr>
          <w:lang w:val="en-CA"/>
        </w:rPr>
        <w:t>, however,</w:t>
      </w:r>
      <w:r w:rsidRPr="00C74276">
        <w:rPr>
          <w:lang w:val="en-CA"/>
        </w:rPr>
        <w:t xml:space="preserve"> presented in a larger format to enco</w:t>
      </w:r>
      <w:r w:rsidR="00244568" w:rsidRPr="00C74276">
        <w:rPr>
          <w:lang w:val="en-CA"/>
        </w:rPr>
        <w:t xml:space="preserve">urage Antidote users to buy </w:t>
      </w:r>
      <w:r w:rsidR="00244568" w:rsidRPr="00C74276">
        <w:rPr>
          <w:b/>
          <w:lang w:val="en-CA"/>
        </w:rPr>
        <w:t>Visue</w:t>
      </w:r>
      <w:r w:rsidRPr="00C74276">
        <w:rPr>
          <w:b/>
          <w:lang w:val="en-CA"/>
        </w:rPr>
        <w:t xml:space="preserve">l </w:t>
      </w:r>
      <w:r w:rsidR="00244568" w:rsidRPr="00C74276">
        <w:rPr>
          <w:b/>
          <w:lang w:val="en-CA"/>
        </w:rPr>
        <w:t>Intégré</w:t>
      </w:r>
      <w:r w:rsidRPr="00C74276">
        <w:rPr>
          <w:lang w:val="en-CA"/>
        </w:rPr>
        <w:t xml:space="preserve">. </w:t>
      </w:r>
    </w:p>
    <w:p w14:paraId="5D815235" w14:textId="5857AB0F" w:rsidR="00634D8F" w:rsidRPr="00C74276" w:rsidRDefault="00244568" w:rsidP="00FA34B7">
      <w:pPr>
        <w:pStyle w:val="Paragraphe"/>
        <w:spacing w:line="280" w:lineRule="exact"/>
        <w:rPr>
          <w:lang w:val="en-CA"/>
        </w:rPr>
      </w:pPr>
      <w:r w:rsidRPr="00C74276">
        <w:rPr>
          <w:b/>
          <w:lang w:val="en-CA"/>
        </w:rPr>
        <w:t>Visuel Intégré</w:t>
      </w:r>
      <w:r w:rsidR="003806CD" w:rsidRPr="00C74276">
        <w:rPr>
          <w:lang w:val="en-CA"/>
        </w:rPr>
        <w:t xml:space="preserve"> was offered by Druide to Antidote HD users. It was sold separately. It </w:t>
      </w:r>
      <w:r w:rsidRPr="00C74276">
        <w:rPr>
          <w:lang w:val="en-CA"/>
        </w:rPr>
        <w:t xml:space="preserve">offered all the features of </w:t>
      </w:r>
      <w:r w:rsidR="003806CD" w:rsidRPr="00C74276">
        <w:rPr>
          <w:b/>
          <w:lang w:val="en-CA"/>
        </w:rPr>
        <w:t>Visuel Nano</w:t>
      </w:r>
      <w:r w:rsidR="003806CD" w:rsidRPr="00C74276">
        <w:rPr>
          <w:lang w:val="en-CA"/>
        </w:rPr>
        <w:t xml:space="preserve"> a</w:t>
      </w:r>
      <w:r w:rsidRPr="00C74276">
        <w:rPr>
          <w:lang w:val="en-CA"/>
        </w:rPr>
        <w:t xml:space="preserve">s well as some other complementary </w:t>
      </w:r>
      <w:r w:rsidR="003806CD" w:rsidRPr="00C74276">
        <w:rPr>
          <w:lang w:val="en-CA"/>
        </w:rPr>
        <w:t>features, such as larger ill</w:t>
      </w:r>
      <w:r w:rsidR="00A75BFE" w:rsidRPr="00C74276">
        <w:rPr>
          <w:lang w:val="en-CA"/>
        </w:rPr>
        <w:t xml:space="preserve">ustrations and </w:t>
      </w:r>
      <w:r w:rsidR="00926463" w:rsidRPr="00C74276">
        <w:rPr>
          <w:lang w:val="en-CA"/>
        </w:rPr>
        <w:t xml:space="preserve">their </w:t>
      </w:r>
      <w:r w:rsidR="002A3A69" w:rsidRPr="00C74276">
        <w:rPr>
          <w:lang w:val="en-CA"/>
        </w:rPr>
        <w:t>placement</w:t>
      </w:r>
      <w:r w:rsidR="00DE348C" w:rsidRPr="00C74276">
        <w:rPr>
          <w:lang w:val="en-CA"/>
        </w:rPr>
        <w:t xml:space="preserve"> </w:t>
      </w:r>
      <w:r w:rsidR="003806CD" w:rsidRPr="00C74276">
        <w:rPr>
          <w:lang w:val="en-CA"/>
        </w:rPr>
        <w:t xml:space="preserve">in the </w:t>
      </w:r>
      <w:r w:rsidR="00CC3E5F" w:rsidRPr="00C74276">
        <w:rPr>
          <w:lang w:val="en-CA"/>
        </w:rPr>
        <w:t xml:space="preserve">dictionaries of </w:t>
      </w:r>
      <w:r w:rsidR="003806CD" w:rsidRPr="00C74276">
        <w:rPr>
          <w:lang w:val="en-CA"/>
        </w:rPr>
        <w:t>definition</w:t>
      </w:r>
      <w:r w:rsidR="00A75BFE" w:rsidRPr="00C74276">
        <w:rPr>
          <w:lang w:val="en-CA"/>
        </w:rPr>
        <w:t>s</w:t>
      </w:r>
      <w:r w:rsidR="003806CD" w:rsidRPr="00C74276">
        <w:rPr>
          <w:lang w:val="en-CA"/>
        </w:rPr>
        <w:t xml:space="preserve"> and </w:t>
      </w:r>
      <w:r w:rsidR="00DE3F4A" w:rsidRPr="00C74276">
        <w:rPr>
          <w:lang w:val="en-CA"/>
        </w:rPr>
        <w:t>of phrases</w:t>
      </w:r>
      <w:r w:rsidR="003806CD" w:rsidRPr="00C74276">
        <w:rPr>
          <w:lang w:val="en-CA"/>
        </w:rPr>
        <w:t>.</w:t>
      </w:r>
      <w:r w:rsidR="00272CE2" w:rsidRPr="00C74276">
        <w:rPr>
          <w:rStyle w:val="Appelnotedebasdep"/>
          <w:lang w:val="en-CA"/>
        </w:rPr>
        <w:footnoteReference w:id="5"/>
      </w:r>
      <w:r w:rsidR="00272CE2" w:rsidRPr="00C74276">
        <w:rPr>
          <w:lang w:val="en-CA"/>
        </w:rPr>
        <w:t xml:space="preserve"> </w:t>
      </w:r>
      <w:r w:rsidR="003806CD" w:rsidRPr="00C74276">
        <w:rPr>
          <w:lang w:val="en-CA"/>
        </w:rPr>
        <w:t xml:space="preserve">This interface fully integrated </w:t>
      </w:r>
      <w:r w:rsidR="00272CE2" w:rsidRPr="00C74276">
        <w:rPr>
          <w:lang w:val="en-CA"/>
        </w:rPr>
        <w:t xml:space="preserve">the </w:t>
      </w:r>
      <w:r w:rsidR="003806CD" w:rsidRPr="00C74276">
        <w:rPr>
          <w:lang w:val="en-CA"/>
        </w:rPr>
        <w:t xml:space="preserve">QA Works into Antidote HD. Revenues generated from the sales of </w:t>
      </w:r>
      <w:r w:rsidR="00A75BFE" w:rsidRPr="00C74276">
        <w:rPr>
          <w:b/>
          <w:lang w:val="en-CA"/>
        </w:rPr>
        <w:t>Visuel Intégré</w:t>
      </w:r>
      <w:r w:rsidR="00A75BFE" w:rsidRPr="00C74276">
        <w:rPr>
          <w:lang w:val="en-CA"/>
        </w:rPr>
        <w:t xml:space="preserve"> were shared</w:t>
      </w:r>
      <w:r w:rsidR="003806CD" w:rsidRPr="00C74276">
        <w:rPr>
          <w:lang w:val="en-CA"/>
        </w:rPr>
        <w:t xml:space="preserve"> equally between Druide and QA. </w:t>
      </w:r>
    </w:p>
    <w:p w14:paraId="453BB397" w14:textId="364A4746" w:rsidR="00634D8F" w:rsidRPr="00C74276" w:rsidRDefault="0007123D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lastRenderedPageBreak/>
        <w:t xml:space="preserve">As was the case in 1998 and 2004, </w:t>
      </w:r>
      <w:r w:rsidR="00A75BFE" w:rsidRPr="00C74276">
        <w:rPr>
          <w:lang w:val="en-CA"/>
        </w:rPr>
        <w:t>there was no written contract to ratify</w:t>
      </w:r>
      <w:r w:rsidR="00A108A0" w:rsidRPr="00C74276">
        <w:rPr>
          <w:lang w:val="en-CA"/>
        </w:rPr>
        <w:t xml:space="preserve"> the agreement reached between the parties regarding the </w:t>
      </w:r>
      <w:r w:rsidR="00CE2E6E" w:rsidRPr="00C74276">
        <w:rPr>
          <w:lang w:val="en-CA"/>
        </w:rPr>
        <w:t>launch</w:t>
      </w:r>
      <w:r w:rsidR="00A108A0" w:rsidRPr="00C74276">
        <w:rPr>
          <w:lang w:val="en-CA"/>
        </w:rPr>
        <w:t xml:space="preserve"> of </w:t>
      </w:r>
      <w:r w:rsidR="00A75BFE" w:rsidRPr="00C74276">
        <w:rPr>
          <w:lang w:val="en-CA"/>
        </w:rPr>
        <w:t xml:space="preserve">the </w:t>
      </w:r>
      <w:r w:rsidR="00A108A0" w:rsidRPr="00C74276">
        <w:rPr>
          <w:b/>
          <w:lang w:val="en-CA"/>
        </w:rPr>
        <w:t>Visuel Nano</w:t>
      </w:r>
      <w:r w:rsidR="00A108A0" w:rsidRPr="00C74276">
        <w:rPr>
          <w:lang w:val="en-CA"/>
        </w:rPr>
        <w:t xml:space="preserve"> and </w:t>
      </w:r>
      <w:r w:rsidR="00A75BFE" w:rsidRPr="00C74276">
        <w:rPr>
          <w:b/>
          <w:lang w:val="en-CA"/>
        </w:rPr>
        <w:t>Visuel Intégré</w:t>
      </w:r>
      <w:r w:rsidR="00A75BFE" w:rsidRPr="00C74276">
        <w:rPr>
          <w:lang w:val="en-CA"/>
        </w:rPr>
        <w:t xml:space="preserve"> </w:t>
      </w:r>
      <w:r w:rsidR="00A108A0" w:rsidRPr="00C74276">
        <w:rPr>
          <w:lang w:val="en-CA"/>
        </w:rPr>
        <w:t xml:space="preserve">interfaces. </w:t>
      </w:r>
    </w:p>
    <w:p w14:paraId="1E6576C2" w14:textId="1233E78F" w:rsidR="00634D8F" w:rsidRPr="00C74276" w:rsidRDefault="00A75BFE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In 2010, QA underwent</w:t>
      </w:r>
      <w:r w:rsidR="009B1D9A" w:rsidRPr="00C74276">
        <w:rPr>
          <w:lang w:val="en-CA"/>
        </w:rPr>
        <w:t xml:space="preserve"> an internal reorganization. </w:t>
      </w:r>
      <w:r w:rsidR="00824461" w:rsidRPr="00C74276">
        <w:rPr>
          <w:lang w:val="en-CA"/>
        </w:rPr>
        <w:t xml:space="preserve">Its main contact with Druide, Luc Roberge, was demoted. Caroline Fortin took his place. Druide expressed its strong disagreement with this decision. </w:t>
      </w:r>
    </w:p>
    <w:p w14:paraId="3589AE38" w14:textId="2DAE36C9" w:rsidR="00634D8F" w:rsidRPr="00C74276" w:rsidRDefault="00394AE3" w:rsidP="00FA34B7">
      <w:pPr>
        <w:pStyle w:val="Paragraphe"/>
        <w:spacing w:line="280" w:lineRule="exact"/>
        <w:rPr>
          <w:lang w:val="en-CA"/>
        </w:rPr>
      </w:pPr>
      <w:r>
        <w:rPr>
          <w:lang w:val="en-CA"/>
        </w:rPr>
        <w:t>During</w:t>
      </w:r>
      <w:r w:rsidR="00824461" w:rsidRPr="00C74276">
        <w:rPr>
          <w:lang w:val="en-CA"/>
        </w:rPr>
        <w:t xml:space="preserve"> the same period, QA withheld certain invoices to be paid to Druide. The bond of trust between them weakened</w:t>
      </w:r>
      <w:r w:rsidR="00CE2E6E" w:rsidRPr="00C74276">
        <w:rPr>
          <w:lang w:val="en-CA"/>
        </w:rPr>
        <w:t>,</w:t>
      </w:r>
      <w:r w:rsidR="00824461" w:rsidRPr="00C74276">
        <w:rPr>
          <w:lang w:val="en-CA"/>
        </w:rPr>
        <w:t xml:space="preserve"> and their business relationship deteriorated considerably. </w:t>
      </w:r>
    </w:p>
    <w:p w14:paraId="7DED6797" w14:textId="00C09B8E" w:rsidR="00634D8F" w:rsidRPr="00C74276" w:rsidRDefault="00A75BFE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After </w:t>
      </w:r>
      <w:r w:rsidR="00D30815" w:rsidRPr="00C74276">
        <w:rPr>
          <w:lang w:val="en-CA"/>
        </w:rPr>
        <w:t>conducting</w:t>
      </w:r>
      <w:r w:rsidRPr="00C74276">
        <w:rPr>
          <w:lang w:val="en-CA"/>
        </w:rPr>
        <w:t xml:space="preserve"> </w:t>
      </w:r>
      <w:r w:rsidR="00824461" w:rsidRPr="00C74276">
        <w:rPr>
          <w:lang w:val="en-CA"/>
        </w:rPr>
        <w:t>due diligence, Druide decided in February 2011 to legally terminate the fo</w:t>
      </w:r>
      <w:r w:rsidR="00891C61" w:rsidRPr="00C74276">
        <w:rPr>
          <w:lang w:val="en-CA"/>
        </w:rPr>
        <w:t>llowing agreements that it had with</w:t>
      </w:r>
      <w:r w:rsidR="00824461" w:rsidRPr="00C74276">
        <w:rPr>
          <w:lang w:val="en-CA"/>
        </w:rPr>
        <w:t xml:space="preserve"> QA: </w:t>
      </w:r>
      <w:r w:rsidR="00D06F99" w:rsidRPr="00C74276">
        <w:rPr>
          <w:lang w:val="en-CA"/>
        </w:rPr>
        <w:t>(</w:t>
      </w:r>
      <w:r w:rsidR="00A55272" w:rsidRPr="00C74276">
        <w:rPr>
          <w:lang w:val="en-CA"/>
        </w:rPr>
        <w:t xml:space="preserve">1) </w:t>
      </w:r>
      <w:r w:rsidR="00824461" w:rsidRPr="00C74276">
        <w:rPr>
          <w:lang w:val="en-CA"/>
        </w:rPr>
        <w:t xml:space="preserve">the publishing contracts for the </w:t>
      </w:r>
      <w:r w:rsidR="00824461" w:rsidRPr="007A7728">
        <w:rPr>
          <w:i/>
          <w:iCs/>
          <w:lang w:val="en-CA"/>
        </w:rPr>
        <w:t>Grand Druide</w:t>
      </w:r>
      <w:r w:rsidR="00824461" w:rsidRPr="00C74276">
        <w:rPr>
          <w:lang w:val="en-CA"/>
        </w:rPr>
        <w:t xml:space="preserve"> and </w:t>
      </w:r>
      <w:r w:rsidR="00824461" w:rsidRPr="007A7728">
        <w:rPr>
          <w:i/>
          <w:iCs/>
          <w:lang w:val="en-CA"/>
        </w:rPr>
        <w:t>Petit Druide</w:t>
      </w:r>
      <w:r w:rsidR="00824461" w:rsidRPr="00C74276">
        <w:rPr>
          <w:lang w:val="en-CA"/>
        </w:rPr>
        <w:t xml:space="preserve"> thesauruses</w:t>
      </w:r>
      <w:r w:rsidR="00B50681" w:rsidRPr="00C74276">
        <w:rPr>
          <w:lang w:val="en-CA"/>
        </w:rPr>
        <w:t>, which had been providing</w:t>
      </w:r>
      <w:r w:rsidR="00A55272" w:rsidRPr="00C74276">
        <w:rPr>
          <w:lang w:val="en-CA"/>
        </w:rPr>
        <w:t xml:space="preserve"> substantial revenue to QA; </w:t>
      </w:r>
      <w:r w:rsidR="00D06F99" w:rsidRPr="00C74276">
        <w:rPr>
          <w:lang w:val="en-CA"/>
        </w:rPr>
        <w:t>(</w:t>
      </w:r>
      <w:r w:rsidR="00A55272" w:rsidRPr="00C74276">
        <w:rPr>
          <w:lang w:val="en-CA"/>
        </w:rPr>
        <w:t xml:space="preserve">2) </w:t>
      </w:r>
      <w:r w:rsidR="00891C61" w:rsidRPr="00C74276">
        <w:rPr>
          <w:lang w:val="en-CA"/>
        </w:rPr>
        <w:t xml:space="preserve">the </w:t>
      </w:r>
      <w:r w:rsidR="00A55272" w:rsidRPr="00C74276">
        <w:rPr>
          <w:lang w:val="en-CA"/>
        </w:rPr>
        <w:t>dis</w:t>
      </w:r>
      <w:r w:rsidR="00891C61" w:rsidRPr="00C74276">
        <w:rPr>
          <w:lang w:val="en-CA"/>
        </w:rPr>
        <w:t xml:space="preserve">tribution of QA software; and </w:t>
      </w:r>
      <w:r w:rsidR="00D06F99" w:rsidRPr="00C74276">
        <w:rPr>
          <w:lang w:val="en-CA"/>
        </w:rPr>
        <w:t>(</w:t>
      </w:r>
      <w:r w:rsidR="00891C61" w:rsidRPr="00C74276">
        <w:rPr>
          <w:lang w:val="en-CA"/>
        </w:rPr>
        <w:t>3</w:t>
      </w:r>
      <w:r w:rsidR="00A55272" w:rsidRPr="00C74276">
        <w:rPr>
          <w:lang w:val="en-CA"/>
        </w:rPr>
        <w:t xml:space="preserve">) their partnership at Quebec book fairs. </w:t>
      </w:r>
    </w:p>
    <w:p w14:paraId="17AC167A" w14:textId="724DDFBF" w:rsidR="00634D8F" w:rsidRPr="00C74276" w:rsidRDefault="00E90D99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A</w:t>
      </w:r>
      <w:r w:rsidR="00671D1A" w:rsidRPr="00C74276">
        <w:rPr>
          <w:lang w:val="en-CA"/>
        </w:rPr>
        <w:t>ngered</w:t>
      </w:r>
      <w:r w:rsidR="00343546" w:rsidRPr="00C74276">
        <w:rPr>
          <w:lang w:val="en-CA"/>
        </w:rPr>
        <w:t xml:space="preserve"> by the termination</w:t>
      </w:r>
      <w:r w:rsidR="00891C61" w:rsidRPr="00C74276">
        <w:rPr>
          <w:lang w:val="en-CA"/>
        </w:rPr>
        <w:t xml:space="preserve"> of these agreements, QA raised</w:t>
      </w:r>
      <w:r w:rsidR="00343546" w:rsidRPr="00C74276">
        <w:rPr>
          <w:lang w:val="en-CA"/>
        </w:rPr>
        <w:t xml:space="preserve"> the poss</w:t>
      </w:r>
      <w:r w:rsidR="00B50681" w:rsidRPr="00C74276">
        <w:rPr>
          <w:lang w:val="en-CA"/>
        </w:rPr>
        <w:t>ibility of withdrawing Druide’s right</w:t>
      </w:r>
      <w:r w:rsidR="00343546" w:rsidRPr="00C74276">
        <w:rPr>
          <w:lang w:val="en-CA"/>
        </w:rPr>
        <w:t xml:space="preserve"> to use its Works in the </w:t>
      </w:r>
      <w:r w:rsidR="00343546" w:rsidRPr="00C74276">
        <w:rPr>
          <w:b/>
          <w:lang w:val="en-CA"/>
        </w:rPr>
        <w:t>Visuel Nano</w:t>
      </w:r>
      <w:r w:rsidR="00343546" w:rsidRPr="00C74276">
        <w:rPr>
          <w:lang w:val="en-CA"/>
        </w:rPr>
        <w:t xml:space="preserve"> and </w:t>
      </w:r>
      <w:r w:rsidR="00343546" w:rsidRPr="00C74276">
        <w:rPr>
          <w:b/>
          <w:lang w:val="en-CA"/>
        </w:rPr>
        <w:t xml:space="preserve">Visuel </w:t>
      </w:r>
      <w:r w:rsidR="00194708" w:rsidRPr="00C74276">
        <w:rPr>
          <w:b/>
          <w:lang w:val="en-CA"/>
        </w:rPr>
        <w:t>Intégré</w:t>
      </w:r>
      <w:r w:rsidR="00194708" w:rsidRPr="00C74276">
        <w:rPr>
          <w:lang w:val="en-CA"/>
        </w:rPr>
        <w:t xml:space="preserve"> </w:t>
      </w:r>
      <w:r w:rsidR="00343546" w:rsidRPr="00C74276">
        <w:rPr>
          <w:lang w:val="en-CA"/>
        </w:rPr>
        <w:t>interfac</w:t>
      </w:r>
      <w:r w:rsidR="00E13844" w:rsidRPr="00C74276">
        <w:rPr>
          <w:lang w:val="en-CA"/>
        </w:rPr>
        <w:t>es in the</w:t>
      </w:r>
      <w:r w:rsidR="00343546" w:rsidRPr="00C74276">
        <w:rPr>
          <w:lang w:val="en-CA"/>
        </w:rPr>
        <w:t xml:space="preserve"> Antidote HD software, given the absence of a formal contract. </w:t>
      </w:r>
      <w:r w:rsidR="00B50681" w:rsidRPr="00C74276">
        <w:rPr>
          <w:lang w:val="en-CA"/>
        </w:rPr>
        <w:t xml:space="preserve">It then demanded that Druide </w:t>
      </w:r>
      <w:r w:rsidR="00343546" w:rsidRPr="00C74276">
        <w:rPr>
          <w:lang w:val="en-CA"/>
        </w:rPr>
        <w:t>si</w:t>
      </w:r>
      <w:r w:rsidR="00194708" w:rsidRPr="00C74276">
        <w:rPr>
          <w:lang w:val="en-CA"/>
        </w:rPr>
        <w:t>gn a written contract providing</w:t>
      </w:r>
      <w:r w:rsidR="00343546" w:rsidRPr="00C74276">
        <w:rPr>
          <w:lang w:val="en-CA"/>
        </w:rPr>
        <w:t xml:space="preserve"> for the use of its Works. </w:t>
      </w:r>
    </w:p>
    <w:p w14:paraId="3FE6FB4C" w14:textId="026C1597" w:rsidR="00634D8F" w:rsidRPr="00C74276" w:rsidRDefault="00343546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From March until June </w:t>
      </w:r>
      <w:r w:rsidR="007F1EC0" w:rsidRPr="00C74276">
        <w:rPr>
          <w:lang w:val="en-CA"/>
        </w:rPr>
        <w:t xml:space="preserve">2011, the parties </w:t>
      </w:r>
      <w:r w:rsidR="00B50681" w:rsidRPr="00C74276">
        <w:rPr>
          <w:lang w:val="en-CA"/>
        </w:rPr>
        <w:t>held</w:t>
      </w:r>
      <w:r w:rsidR="007F1EC0" w:rsidRPr="00C74276">
        <w:rPr>
          <w:lang w:val="en-CA"/>
        </w:rPr>
        <w:t xml:space="preserve"> discussions </w:t>
      </w:r>
      <w:r w:rsidR="00B50681" w:rsidRPr="00C74276">
        <w:rPr>
          <w:lang w:val="en-CA"/>
        </w:rPr>
        <w:t>in the hope</w:t>
      </w:r>
      <w:r w:rsidRPr="00C74276">
        <w:rPr>
          <w:lang w:val="en-CA"/>
        </w:rPr>
        <w:t xml:space="preserve"> of settling their d</w:t>
      </w:r>
      <w:r w:rsidR="00412FEA" w:rsidRPr="00C74276">
        <w:rPr>
          <w:lang w:val="en-CA"/>
        </w:rPr>
        <w:t xml:space="preserve">ispute regarding the use of </w:t>
      </w:r>
      <w:r w:rsidRPr="00C74276">
        <w:rPr>
          <w:lang w:val="en-CA"/>
        </w:rPr>
        <w:t>QA</w:t>
      </w:r>
      <w:r w:rsidR="00412FEA" w:rsidRPr="00C74276">
        <w:rPr>
          <w:lang w:val="en-CA"/>
        </w:rPr>
        <w:t>’s</w:t>
      </w:r>
      <w:r w:rsidRPr="00C74276">
        <w:rPr>
          <w:lang w:val="en-CA"/>
        </w:rPr>
        <w:t xml:space="preserve"> Works. T</w:t>
      </w:r>
      <w:r w:rsidR="009B137E" w:rsidRPr="00C74276">
        <w:rPr>
          <w:lang w:val="en-CA"/>
        </w:rPr>
        <w:t>heir efforts proved to be</w:t>
      </w:r>
      <w:r w:rsidRPr="00C74276">
        <w:rPr>
          <w:lang w:val="en-CA"/>
        </w:rPr>
        <w:t xml:space="preserve"> </w:t>
      </w:r>
      <w:r w:rsidR="009B137E" w:rsidRPr="00C74276">
        <w:rPr>
          <w:lang w:val="en-CA"/>
        </w:rPr>
        <w:t xml:space="preserve">in vain. </w:t>
      </w:r>
    </w:p>
    <w:p w14:paraId="1B435632" w14:textId="7C586A7C" w:rsidR="00634D8F" w:rsidRPr="00C74276" w:rsidRDefault="009B137E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On Ju</w:t>
      </w:r>
      <w:r w:rsidR="00412FEA" w:rsidRPr="00C74276">
        <w:rPr>
          <w:lang w:val="en-CA"/>
        </w:rPr>
        <w:t>ne 26, 2011, QA sent Druide a</w:t>
      </w:r>
      <w:r w:rsidR="00D06F99" w:rsidRPr="00C74276">
        <w:rPr>
          <w:lang w:val="en-CA"/>
        </w:rPr>
        <w:t xml:space="preserve"> [</w:t>
      </w:r>
      <w:r w:rsidR="00D06F99" w:rsidRPr="00C74276">
        <w:rPr>
          <w:smallCaps/>
          <w:lang w:val="en-CA"/>
        </w:rPr>
        <w:t>translation</w:t>
      </w:r>
      <w:r w:rsidR="00D06F99" w:rsidRPr="00C74276">
        <w:rPr>
          <w:lang w:val="en-CA"/>
        </w:rPr>
        <w:t>]</w:t>
      </w:r>
      <w:r w:rsidR="00412FEA" w:rsidRPr="00C74276">
        <w:rPr>
          <w:lang w:val="en-CA"/>
        </w:rPr>
        <w:t xml:space="preserve"> “</w:t>
      </w:r>
      <w:r w:rsidRPr="00C74276">
        <w:rPr>
          <w:lang w:val="en-CA"/>
        </w:rPr>
        <w:t>notice o</w:t>
      </w:r>
      <w:r w:rsidR="00412FEA" w:rsidRPr="00C74276">
        <w:rPr>
          <w:lang w:val="en-CA"/>
        </w:rPr>
        <w:t>f termination of authorization” whereby it</w:t>
      </w:r>
      <w:r w:rsidR="00D06F99" w:rsidRPr="00C74276">
        <w:rPr>
          <w:lang w:val="en-CA"/>
        </w:rPr>
        <w:t xml:space="preserve"> [</w:t>
      </w:r>
      <w:r w:rsidR="00D06F99" w:rsidRPr="00C74276">
        <w:rPr>
          <w:smallCaps/>
          <w:lang w:val="en-CA"/>
        </w:rPr>
        <w:t>translation</w:t>
      </w:r>
      <w:r w:rsidR="00D06F99" w:rsidRPr="00C74276">
        <w:rPr>
          <w:lang w:val="en-CA"/>
        </w:rPr>
        <w:t>]</w:t>
      </w:r>
      <w:r w:rsidR="00412FEA" w:rsidRPr="00C74276">
        <w:rPr>
          <w:lang w:val="en-CA"/>
        </w:rPr>
        <w:t xml:space="preserve"> “</w:t>
      </w:r>
      <w:r w:rsidRPr="00C74276">
        <w:rPr>
          <w:lang w:val="en-CA"/>
        </w:rPr>
        <w:t>terminated any non-exclusive authorization that may have</w:t>
      </w:r>
      <w:r w:rsidR="00DE3F4A" w:rsidRPr="00C74276">
        <w:rPr>
          <w:lang w:val="en-CA"/>
        </w:rPr>
        <w:t xml:space="preserve"> been granted to </w:t>
      </w:r>
      <w:r w:rsidR="00412FEA" w:rsidRPr="00C74276">
        <w:rPr>
          <w:lang w:val="en-CA"/>
        </w:rPr>
        <w:t>Druide”</w:t>
      </w:r>
      <w:r w:rsidR="000F4C03">
        <w:rPr>
          <w:lang w:val="en-CA"/>
        </w:rPr>
        <w:t>.</w:t>
      </w:r>
      <w:r w:rsidR="00734D12" w:rsidRPr="00C74276">
        <w:rPr>
          <w:rStyle w:val="Appelnotedebasdep"/>
          <w:lang w:val="en-CA"/>
        </w:rPr>
        <w:footnoteReference w:id="6"/>
      </w:r>
      <w:r w:rsidR="00272CE2" w:rsidRPr="00C74276">
        <w:rPr>
          <w:lang w:val="en-CA"/>
        </w:rPr>
        <w:t xml:space="preserve"> QA ordered Druide to remove its Works from the Antidote HD software.</w:t>
      </w:r>
    </w:p>
    <w:p w14:paraId="014E8FDD" w14:textId="44B7E84C" w:rsidR="00634D8F" w:rsidRPr="00C74276" w:rsidRDefault="009B137E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QA initially set Se</w:t>
      </w:r>
      <w:r w:rsidR="00412FEA" w:rsidRPr="00C74276">
        <w:rPr>
          <w:lang w:val="en-CA"/>
        </w:rPr>
        <w:t>ptember 28, 2011</w:t>
      </w:r>
      <w:r w:rsidR="00597442" w:rsidRPr="00C74276">
        <w:rPr>
          <w:lang w:val="en-CA"/>
        </w:rPr>
        <w:t>,</w:t>
      </w:r>
      <w:r w:rsidR="00412FEA" w:rsidRPr="00C74276">
        <w:rPr>
          <w:lang w:val="en-CA"/>
        </w:rPr>
        <w:t xml:space="preserve"> as the date for termination</w:t>
      </w:r>
      <w:r w:rsidRPr="00C74276">
        <w:rPr>
          <w:lang w:val="en-CA"/>
        </w:rPr>
        <w:t xml:space="preserve"> of its authorization. The date was postp</w:t>
      </w:r>
      <w:r w:rsidR="005863A4" w:rsidRPr="00C74276">
        <w:rPr>
          <w:lang w:val="en-CA"/>
        </w:rPr>
        <w:t>oned to November 25, 2011</w:t>
      </w:r>
      <w:r w:rsidR="00597442" w:rsidRPr="00C74276">
        <w:rPr>
          <w:lang w:val="en-CA"/>
        </w:rPr>
        <w:t>,</w:t>
      </w:r>
      <w:r w:rsidR="005863A4" w:rsidRPr="00C74276">
        <w:rPr>
          <w:rStyle w:val="Appelnotedebasdep"/>
          <w:lang w:val="en-CA"/>
        </w:rPr>
        <w:footnoteReference w:id="7"/>
      </w:r>
      <w:r w:rsidR="005863A4" w:rsidRPr="00C74276">
        <w:rPr>
          <w:lang w:val="en-CA"/>
        </w:rPr>
        <w:t xml:space="preserve"> </w:t>
      </w:r>
      <w:r w:rsidRPr="00C74276">
        <w:rPr>
          <w:lang w:val="en-CA"/>
        </w:rPr>
        <w:t>and then to January 13, 2012.</w:t>
      </w:r>
      <w:r w:rsidR="005863A4" w:rsidRPr="00C74276">
        <w:rPr>
          <w:rStyle w:val="Appelnotedebasdep"/>
          <w:lang w:val="en-CA"/>
        </w:rPr>
        <w:footnoteReference w:id="8"/>
      </w:r>
      <w:r w:rsidR="005863A4" w:rsidRPr="00C74276">
        <w:rPr>
          <w:lang w:val="en-CA"/>
        </w:rPr>
        <w:t xml:space="preserve"> </w:t>
      </w:r>
      <w:r w:rsidR="00412FEA" w:rsidRPr="00C74276">
        <w:rPr>
          <w:lang w:val="en-CA"/>
        </w:rPr>
        <w:t>The parties had discussions</w:t>
      </w:r>
      <w:r w:rsidRPr="00C74276">
        <w:rPr>
          <w:lang w:val="en-CA"/>
        </w:rPr>
        <w:t xml:space="preserve"> and exchanged s</w:t>
      </w:r>
      <w:r w:rsidR="00A37205" w:rsidRPr="00C74276">
        <w:rPr>
          <w:lang w:val="en-CA"/>
        </w:rPr>
        <w:t>everal draft contracts, without, however, r</w:t>
      </w:r>
      <w:r w:rsidR="00412FEA" w:rsidRPr="00C74276">
        <w:rPr>
          <w:lang w:val="en-CA"/>
        </w:rPr>
        <w:t>each</w:t>
      </w:r>
      <w:r w:rsidR="00A37205" w:rsidRPr="00C74276">
        <w:rPr>
          <w:lang w:val="en-CA"/>
        </w:rPr>
        <w:t>ing</w:t>
      </w:r>
      <w:r w:rsidR="00412FEA" w:rsidRPr="00C74276">
        <w:rPr>
          <w:lang w:val="en-CA"/>
        </w:rPr>
        <w:t xml:space="preserve"> a formal agreement</w:t>
      </w:r>
      <w:r w:rsidRPr="00C74276">
        <w:rPr>
          <w:lang w:val="en-CA"/>
        </w:rPr>
        <w:t>.</w:t>
      </w:r>
      <w:r w:rsidR="00634D8F" w:rsidRPr="00C74276">
        <w:rPr>
          <w:rStyle w:val="Appelnotedebasdep"/>
          <w:lang w:val="en-CA"/>
        </w:rPr>
        <w:footnoteReference w:id="9"/>
      </w:r>
    </w:p>
    <w:p w14:paraId="3DF1C0A4" w14:textId="4EB89E44" w:rsidR="00634D8F" w:rsidRPr="00C74276" w:rsidRDefault="008416EB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In August 2012, QA filed </w:t>
      </w:r>
      <w:r w:rsidR="00972D66" w:rsidRPr="00C74276">
        <w:rPr>
          <w:lang w:val="en-CA"/>
        </w:rPr>
        <w:t>an action</w:t>
      </w:r>
      <w:r w:rsidRPr="00C74276">
        <w:rPr>
          <w:lang w:val="en-CA"/>
        </w:rPr>
        <w:t xml:space="preserve"> in the Superior Court. It sought an order requiring Druide to immediately cease </w:t>
      </w:r>
      <w:r w:rsidR="00DB7BCF" w:rsidRPr="00C74276">
        <w:rPr>
          <w:lang w:val="en-CA"/>
        </w:rPr>
        <w:t>[</w:t>
      </w:r>
      <w:r w:rsidR="00DB7BCF" w:rsidRPr="00C74276">
        <w:rPr>
          <w:smallCaps/>
          <w:lang w:val="en-CA"/>
        </w:rPr>
        <w:t>translation</w:t>
      </w:r>
      <w:r w:rsidR="00DB7BCF" w:rsidRPr="00C74276">
        <w:rPr>
          <w:lang w:val="en-CA"/>
        </w:rPr>
        <w:t xml:space="preserve">] </w:t>
      </w:r>
      <w:r w:rsidR="00412FEA" w:rsidRPr="00C74276">
        <w:rPr>
          <w:lang w:val="en-CA"/>
        </w:rPr>
        <w:t xml:space="preserve">“reproducing, representing, </w:t>
      </w:r>
      <w:r w:rsidR="00F20CB6" w:rsidRPr="00C74276">
        <w:rPr>
          <w:lang w:val="en-CA"/>
        </w:rPr>
        <w:t>remotely communicating</w:t>
      </w:r>
      <w:r w:rsidR="00D2052C" w:rsidRPr="00C74276">
        <w:rPr>
          <w:lang w:val="en-CA"/>
        </w:rPr>
        <w:t>, selli</w:t>
      </w:r>
      <w:r w:rsidR="00FD19D8" w:rsidRPr="00C74276">
        <w:rPr>
          <w:lang w:val="en-CA"/>
        </w:rPr>
        <w:t>ng, or</w:t>
      </w:r>
      <w:r w:rsidR="00D2052C" w:rsidRPr="00C74276">
        <w:rPr>
          <w:lang w:val="en-CA"/>
        </w:rPr>
        <w:t xml:space="preserve"> </w:t>
      </w:r>
      <w:r w:rsidR="00DB7BCF" w:rsidRPr="00C74276">
        <w:rPr>
          <w:lang w:val="en-CA"/>
        </w:rPr>
        <w:t>using</w:t>
      </w:r>
      <w:r w:rsidR="00F20CB6" w:rsidRPr="00C74276">
        <w:rPr>
          <w:lang w:val="en-CA"/>
        </w:rPr>
        <w:t>,</w:t>
      </w:r>
      <w:r w:rsidRPr="00C74276">
        <w:rPr>
          <w:lang w:val="en-CA"/>
        </w:rPr>
        <w:t xml:space="preserve"> </w:t>
      </w:r>
      <w:r w:rsidR="00D2052C" w:rsidRPr="00C74276">
        <w:rPr>
          <w:lang w:val="en-CA"/>
        </w:rPr>
        <w:t>in any way</w:t>
      </w:r>
      <w:r w:rsidR="00F20CB6" w:rsidRPr="00C74276">
        <w:rPr>
          <w:lang w:val="en-CA"/>
        </w:rPr>
        <w:t>,</w:t>
      </w:r>
      <w:r w:rsidR="008A17F1" w:rsidRPr="00C74276">
        <w:rPr>
          <w:lang w:val="en-CA"/>
        </w:rPr>
        <w:t xml:space="preserve"> the Works and the software </w:t>
      </w:r>
      <w:r w:rsidR="00F20CB6" w:rsidRPr="00C74276">
        <w:rPr>
          <w:lang w:val="en-CA"/>
        </w:rPr>
        <w:t>in which it held the copyright</w:t>
      </w:r>
      <w:r w:rsidRPr="00C74276">
        <w:rPr>
          <w:lang w:val="en-CA"/>
        </w:rPr>
        <w:t>”</w:t>
      </w:r>
      <w:r w:rsidR="002C4609">
        <w:rPr>
          <w:lang w:val="en-CA"/>
        </w:rPr>
        <w:t>.</w:t>
      </w:r>
      <w:r w:rsidR="00950759" w:rsidRPr="00C74276">
        <w:rPr>
          <w:rStyle w:val="Appelnotedebasdep"/>
          <w:lang w:val="en-CA"/>
        </w:rPr>
        <w:footnoteReference w:id="10"/>
      </w:r>
      <w:r w:rsidRPr="00C74276">
        <w:rPr>
          <w:lang w:val="en-CA"/>
        </w:rPr>
        <w:t xml:space="preserve"> Druide </w:t>
      </w:r>
      <w:r w:rsidR="005C318A" w:rsidRPr="00C74276">
        <w:rPr>
          <w:lang w:val="en-CA"/>
        </w:rPr>
        <w:t xml:space="preserve">brought a </w:t>
      </w:r>
      <w:r w:rsidR="00972D66" w:rsidRPr="00C74276">
        <w:rPr>
          <w:lang w:val="en-CA"/>
        </w:rPr>
        <w:t>cross-application</w:t>
      </w:r>
      <w:r w:rsidR="005C318A" w:rsidRPr="00C74276">
        <w:rPr>
          <w:lang w:val="en-CA"/>
        </w:rPr>
        <w:t>.</w:t>
      </w:r>
      <w:r w:rsidRPr="00C74276">
        <w:rPr>
          <w:lang w:val="en-CA"/>
        </w:rPr>
        <w:t xml:space="preserve"> </w:t>
      </w:r>
    </w:p>
    <w:p w14:paraId="7E78259F" w14:textId="15148006" w:rsidR="00634D8F" w:rsidRPr="00C74276" w:rsidRDefault="00E00D5F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lastRenderedPageBreak/>
        <w:t xml:space="preserve">On January 21, 2013, Louis J. Gouin </w:t>
      </w:r>
      <w:r w:rsidR="00972D66" w:rsidRPr="00C74276">
        <w:rPr>
          <w:lang w:val="en-CA"/>
        </w:rPr>
        <w:t xml:space="preserve">J. </w:t>
      </w:r>
      <w:r w:rsidRPr="00C74276">
        <w:rPr>
          <w:lang w:val="en-CA"/>
        </w:rPr>
        <w:t xml:space="preserve">of the Superior Court dismissed </w:t>
      </w:r>
      <w:r w:rsidR="003F3C7C">
        <w:rPr>
          <w:lang w:val="en-CA"/>
        </w:rPr>
        <w:t>QA’s</w:t>
      </w:r>
      <w:r w:rsidRPr="00C74276">
        <w:rPr>
          <w:lang w:val="en-CA"/>
        </w:rPr>
        <w:t xml:space="preserve"> application for a safeguard order to prevent Druide from marketing Antidote</w:t>
      </w:r>
      <w:r w:rsidR="006A638B" w:rsidRPr="00C74276">
        <w:rPr>
          <w:lang w:val="en-CA"/>
        </w:rPr>
        <w:t> </w:t>
      </w:r>
      <w:r w:rsidRPr="00C74276">
        <w:rPr>
          <w:lang w:val="en-CA"/>
        </w:rPr>
        <w:t>8.</w:t>
      </w:r>
      <w:r w:rsidR="00634D8F" w:rsidRPr="00C74276">
        <w:rPr>
          <w:rStyle w:val="Appelnotedebasdep"/>
          <w:lang w:val="en-CA"/>
        </w:rPr>
        <w:footnoteReference w:id="11"/>
      </w:r>
    </w:p>
    <w:p w14:paraId="62484C75" w14:textId="58A4BA18" w:rsidR="00634D8F" w:rsidRPr="00C74276" w:rsidRDefault="00E00D5F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Between the time the proceedings were </w:t>
      </w:r>
      <w:r w:rsidR="0099407E" w:rsidRPr="00C74276">
        <w:rPr>
          <w:lang w:val="en-CA"/>
        </w:rPr>
        <w:t>instituted</w:t>
      </w:r>
      <w:r w:rsidRPr="00C74276">
        <w:rPr>
          <w:lang w:val="en-CA"/>
        </w:rPr>
        <w:t xml:space="preserve"> in August 2012 and </w:t>
      </w:r>
      <w:r w:rsidR="005C318A" w:rsidRPr="00C74276">
        <w:rPr>
          <w:lang w:val="en-CA"/>
        </w:rPr>
        <w:t>the issuance of the Superior Court</w:t>
      </w:r>
      <w:r w:rsidRPr="00C74276">
        <w:rPr>
          <w:lang w:val="en-CA"/>
        </w:rPr>
        <w:t xml:space="preserve"> judgment on September 14, 2017, Druide launche</w:t>
      </w:r>
      <w:r w:rsidR="005C318A" w:rsidRPr="00C74276">
        <w:rPr>
          <w:lang w:val="en-CA"/>
        </w:rPr>
        <w:t>d two updates to its software</w:t>
      </w:r>
      <w:r w:rsidRPr="00C74276">
        <w:rPr>
          <w:lang w:val="en-CA"/>
        </w:rPr>
        <w:t xml:space="preserve">: </w:t>
      </w:r>
      <w:r w:rsidR="0012121E" w:rsidRPr="00C74276">
        <w:rPr>
          <w:lang w:val="en-CA"/>
        </w:rPr>
        <w:t xml:space="preserve">a </w:t>
      </w:r>
      <w:r w:rsidRPr="00C74276">
        <w:rPr>
          <w:lang w:val="en-CA"/>
        </w:rPr>
        <w:t xml:space="preserve">first </w:t>
      </w:r>
      <w:r w:rsidR="005C318A" w:rsidRPr="00C74276">
        <w:rPr>
          <w:lang w:val="en-CA"/>
        </w:rPr>
        <w:t xml:space="preserve">one </w:t>
      </w:r>
      <w:r w:rsidRPr="00C74276">
        <w:rPr>
          <w:lang w:val="en-CA"/>
        </w:rPr>
        <w:t xml:space="preserve">in 2012 </w:t>
      </w:r>
      <w:r w:rsidR="005C318A" w:rsidRPr="00C74276">
        <w:rPr>
          <w:lang w:val="en-CA"/>
        </w:rPr>
        <w:t>with Antidote 8</w:t>
      </w:r>
      <w:r w:rsidR="0099407E" w:rsidRPr="00C74276">
        <w:rPr>
          <w:lang w:val="en-CA"/>
        </w:rPr>
        <w:t>,</w:t>
      </w:r>
      <w:r w:rsidR="005C318A" w:rsidRPr="00C74276">
        <w:rPr>
          <w:lang w:val="en-CA"/>
        </w:rPr>
        <w:t xml:space="preserve"> and </w:t>
      </w:r>
      <w:r w:rsidR="00A37205" w:rsidRPr="00C74276">
        <w:rPr>
          <w:lang w:val="en-CA"/>
        </w:rPr>
        <w:t xml:space="preserve">a </w:t>
      </w:r>
      <w:r w:rsidR="005C318A" w:rsidRPr="00C74276">
        <w:rPr>
          <w:lang w:val="en-CA"/>
        </w:rPr>
        <w:t>second</w:t>
      </w:r>
      <w:r w:rsidRPr="00C74276">
        <w:rPr>
          <w:lang w:val="en-CA"/>
        </w:rPr>
        <w:t xml:space="preserve"> </w:t>
      </w:r>
      <w:r w:rsidR="00A37205" w:rsidRPr="00C74276">
        <w:rPr>
          <w:lang w:val="en-CA"/>
        </w:rPr>
        <w:t xml:space="preserve">one </w:t>
      </w:r>
      <w:r w:rsidR="0099407E" w:rsidRPr="00C74276">
        <w:rPr>
          <w:lang w:val="en-CA"/>
        </w:rPr>
        <w:t xml:space="preserve">in 2015 </w:t>
      </w:r>
      <w:r w:rsidRPr="00C74276">
        <w:rPr>
          <w:lang w:val="en-CA"/>
        </w:rPr>
        <w:t xml:space="preserve">with Antidote 9. </w:t>
      </w:r>
    </w:p>
    <w:p w14:paraId="0AA9FC8C" w14:textId="0690286C" w:rsidR="00634D8F" w:rsidRPr="00C74276" w:rsidRDefault="00E00D5F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There are currently three versions of </w:t>
      </w:r>
      <w:r w:rsidR="0099407E" w:rsidRPr="00C74276">
        <w:rPr>
          <w:lang w:val="en-CA"/>
        </w:rPr>
        <w:t xml:space="preserve">the </w:t>
      </w:r>
      <w:r w:rsidRPr="00C74276">
        <w:rPr>
          <w:lang w:val="en-CA"/>
        </w:rPr>
        <w:t>Antidote products in circulation (Antidote</w:t>
      </w:r>
      <w:r w:rsidR="0099407E" w:rsidRPr="00C74276">
        <w:rPr>
          <w:lang w:val="en-CA"/>
        </w:rPr>
        <w:t> </w:t>
      </w:r>
      <w:r w:rsidRPr="00C74276">
        <w:rPr>
          <w:lang w:val="en-CA"/>
        </w:rPr>
        <w:t>HD,</w:t>
      </w:r>
      <w:r w:rsidR="00154458" w:rsidRPr="00C74276">
        <w:rPr>
          <w:lang w:val="en-CA"/>
        </w:rPr>
        <w:t xml:space="preserve"> Antidote 8</w:t>
      </w:r>
      <w:r w:rsidR="00671D1A" w:rsidRPr="00C74276">
        <w:rPr>
          <w:lang w:val="en-CA"/>
        </w:rPr>
        <w:t>,</w:t>
      </w:r>
      <w:r w:rsidR="005C318A" w:rsidRPr="00C74276">
        <w:rPr>
          <w:lang w:val="en-CA"/>
        </w:rPr>
        <w:t xml:space="preserve"> and Antidote 9) </w:t>
      </w:r>
      <w:r w:rsidR="00C77BCF" w:rsidRPr="00C74276">
        <w:rPr>
          <w:lang w:val="en-CA"/>
        </w:rPr>
        <w:t>that</w:t>
      </w:r>
      <w:r w:rsidR="005C318A" w:rsidRPr="00C74276">
        <w:rPr>
          <w:lang w:val="en-CA"/>
        </w:rPr>
        <w:t xml:space="preserve"> incorporate</w:t>
      </w:r>
      <w:r w:rsidR="00A37205" w:rsidRPr="00C74276">
        <w:rPr>
          <w:lang w:val="en-CA"/>
        </w:rPr>
        <w:t xml:space="preserve"> </w:t>
      </w:r>
      <w:r w:rsidR="00E860A5" w:rsidRPr="00C74276">
        <w:rPr>
          <w:lang w:val="en-CA"/>
        </w:rPr>
        <w:t>QA’s</w:t>
      </w:r>
      <w:r w:rsidR="00A37205" w:rsidRPr="00C74276">
        <w:rPr>
          <w:lang w:val="en-CA"/>
        </w:rPr>
        <w:t xml:space="preserve"> </w:t>
      </w:r>
      <w:r w:rsidR="005C318A" w:rsidRPr="00C74276">
        <w:rPr>
          <w:lang w:val="en-CA"/>
        </w:rPr>
        <w:t xml:space="preserve">Works </w:t>
      </w:r>
      <w:r w:rsidR="00154458" w:rsidRPr="00C74276">
        <w:rPr>
          <w:lang w:val="en-CA"/>
        </w:rPr>
        <w:t xml:space="preserve">by means of the </w:t>
      </w:r>
      <w:r w:rsidR="00154458" w:rsidRPr="00C74276">
        <w:rPr>
          <w:b/>
          <w:lang w:val="en-CA"/>
        </w:rPr>
        <w:t>Visuel Nano</w:t>
      </w:r>
      <w:r w:rsidR="00154458" w:rsidRPr="00C74276">
        <w:rPr>
          <w:lang w:val="en-CA"/>
        </w:rPr>
        <w:t xml:space="preserve"> and </w:t>
      </w:r>
      <w:r w:rsidR="005C318A" w:rsidRPr="00C74276">
        <w:rPr>
          <w:b/>
          <w:lang w:val="en-CA"/>
        </w:rPr>
        <w:t>Visuel Intégré</w:t>
      </w:r>
      <w:r w:rsidR="00154458" w:rsidRPr="00C74276">
        <w:rPr>
          <w:lang w:val="en-CA"/>
        </w:rPr>
        <w:t xml:space="preserve"> interfaces. </w:t>
      </w:r>
    </w:p>
    <w:p w14:paraId="364A4ABF" w14:textId="636B5B7F" w:rsidR="00634D8F" w:rsidRPr="00C74276" w:rsidRDefault="00154458" w:rsidP="00FA34B7">
      <w:pPr>
        <w:pStyle w:val="Titre1"/>
        <w:numPr>
          <w:ilvl w:val="0"/>
          <w:numId w:val="32"/>
        </w:numPr>
        <w:spacing w:line="280" w:lineRule="exact"/>
        <w:ind w:hanging="720"/>
        <w:rPr>
          <w:lang w:val="en-CA"/>
        </w:rPr>
      </w:pPr>
      <w:bookmarkStart w:id="12" w:name="_Toc509394945"/>
      <w:r w:rsidRPr="00C74276">
        <w:rPr>
          <w:lang w:val="en-CA"/>
        </w:rPr>
        <w:t>THE JUDGMENT</w:t>
      </w:r>
      <w:bookmarkEnd w:id="12"/>
      <w:r w:rsidR="00C77BCF" w:rsidRPr="00C74276">
        <w:rPr>
          <w:lang w:val="en-CA"/>
        </w:rPr>
        <w:t xml:space="preserve"> UNDER APPEAL</w:t>
      </w:r>
    </w:p>
    <w:p w14:paraId="5B224A97" w14:textId="6FAB8DE0" w:rsidR="00634D8F" w:rsidRPr="00C74276" w:rsidRDefault="00154458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The ju</w:t>
      </w:r>
      <w:r w:rsidR="00DE430B" w:rsidRPr="00C74276">
        <w:rPr>
          <w:lang w:val="en-CA"/>
        </w:rPr>
        <w:t xml:space="preserve">dge </w:t>
      </w:r>
      <w:r w:rsidR="00092360" w:rsidRPr="00C74276">
        <w:rPr>
          <w:lang w:val="en-CA"/>
        </w:rPr>
        <w:t>provided a meticulous outline of the facts</w:t>
      </w:r>
      <w:r w:rsidRPr="00C74276">
        <w:rPr>
          <w:lang w:val="en-CA"/>
        </w:rPr>
        <w:t xml:space="preserve">. </w:t>
      </w:r>
    </w:p>
    <w:p w14:paraId="4D946E74" w14:textId="3E22ABF6" w:rsidR="00634D8F" w:rsidRPr="00C74276" w:rsidRDefault="00154458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Before answering th</w:t>
      </w:r>
      <w:r w:rsidR="00E8394E" w:rsidRPr="00C74276">
        <w:rPr>
          <w:lang w:val="en-CA"/>
        </w:rPr>
        <w:t>e question of whether Druide</w:t>
      </w:r>
      <w:r w:rsidRPr="00C74276">
        <w:rPr>
          <w:lang w:val="en-CA"/>
        </w:rPr>
        <w:t xml:space="preserve"> infringed QA’s copyright, th</w:t>
      </w:r>
      <w:r w:rsidR="00E8394E" w:rsidRPr="00C74276">
        <w:rPr>
          <w:lang w:val="en-CA"/>
        </w:rPr>
        <w:t>e</w:t>
      </w:r>
      <w:r w:rsidRPr="00C74276">
        <w:rPr>
          <w:lang w:val="en-CA"/>
        </w:rPr>
        <w:t xml:space="preserve"> judge established the b</w:t>
      </w:r>
      <w:r w:rsidR="00A2579C" w:rsidRPr="00C74276">
        <w:rPr>
          <w:lang w:val="en-CA"/>
        </w:rPr>
        <w:t xml:space="preserve">urden of proof applicable to each </w:t>
      </w:r>
      <w:r w:rsidR="00D6521B" w:rsidRPr="00C74276">
        <w:rPr>
          <w:lang w:val="en-CA"/>
        </w:rPr>
        <w:t>party</w:t>
      </w:r>
      <w:r w:rsidR="00E8394E" w:rsidRPr="00C74276">
        <w:rPr>
          <w:lang w:val="en-CA"/>
        </w:rPr>
        <w:t xml:space="preserve">. QA had to convince </w:t>
      </w:r>
      <w:r w:rsidR="00092360" w:rsidRPr="00C74276">
        <w:rPr>
          <w:lang w:val="en-CA"/>
        </w:rPr>
        <w:t>her</w:t>
      </w:r>
      <w:r w:rsidR="00E8394E" w:rsidRPr="00C74276">
        <w:rPr>
          <w:lang w:val="en-CA"/>
        </w:rPr>
        <w:t xml:space="preserve"> that it owned</w:t>
      </w:r>
      <w:r w:rsidR="00D6521B" w:rsidRPr="00C74276">
        <w:rPr>
          <w:lang w:val="en-CA"/>
        </w:rPr>
        <w:t xml:space="preserve"> the copyright in</w:t>
      </w:r>
      <w:r w:rsidR="00E8394E" w:rsidRPr="00C74276">
        <w:rPr>
          <w:lang w:val="en-CA"/>
        </w:rPr>
        <w:t xml:space="preserve"> the Works and that the</w:t>
      </w:r>
      <w:r w:rsidR="00D6521B" w:rsidRPr="00C74276">
        <w:rPr>
          <w:lang w:val="en-CA"/>
        </w:rPr>
        <w:t xml:space="preserve"> actions taken by Druide infringe</w:t>
      </w:r>
      <w:r w:rsidR="005E66B0">
        <w:rPr>
          <w:lang w:val="en-CA"/>
        </w:rPr>
        <w:t>d</w:t>
      </w:r>
      <w:r w:rsidR="00E8394E" w:rsidRPr="00C74276">
        <w:rPr>
          <w:lang w:val="en-CA"/>
        </w:rPr>
        <w:t xml:space="preserve"> </w:t>
      </w:r>
      <w:r w:rsidR="00A2579C" w:rsidRPr="00C74276">
        <w:rPr>
          <w:lang w:val="en-CA"/>
        </w:rPr>
        <w:t xml:space="preserve">its exclusive copyright </w:t>
      </w:r>
      <w:r w:rsidR="00A2579C" w:rsidRPr="00C74276">
        <w:rPr>
          <w:u w:val="single"/>
          <w:lang w:val="en-CA"/>
        </w:rPr>
        <w:t>without its consent</w:t>
      </w:r>
      <w:r w:rsidR="00A2579C" w:rsidRPr="00C74276">
        <w:rPr>
          <w:lang w:val="en-CA"/>
        </w:rPr>
        <w:t>.</w:t>
      </w:r>
      <w:r w:rsidR="00950759" w:rsidRPr="00C74276">
        <w:rPr>
          <w:rStyle w:val="Appelnotedebasdep"/>
          <w:lang w:val="en-CA"/>
        </w:rPr>
        <w:footnoteReference w:id="12"/>
      </w:r>
      <w:r w:rsidR="00D6521B" w:rsidRPr="00C74276">
        <w:rPr>
          <w:lang w:val="en-CA"/>
        </w:rPr>
        <w:t xml:space="preserve"> </w:t>
      </w:r>
      <w:r w:rsidR="0032465C" w:rsidRPr="00C74276">
        <w:rPr>
          <w:lang w:val="en-CA"/>
        </w:rPr>
        <w:t>T</w:t>
      </w:r>
      <w:r w:rsidR="00D6521B" w:rsidRPr="00C74276">
        <w:rPr>
          <w:lang w:val="en-CA"/>
        </w:rPr>
        <w:t xml:space="preserve">o rebut QA’s allegations of copyright infringement, </w:t>
      </w:r>
      <w:r w:rsidR="00E8394E" w:rsidRPr="00C74276">
        <w:rPr>
          <w:lang w:val="en-CA"/>
        </w:rPr>
        <w:t xml:space="preserve">Druide had to </w:t>
      </w:r>
      <w:r w:rsidR="00D6521B" w:rsidRPr="00C74276">
        <w:rPr>
          <w:lang w:val="en-CA"/>
        </w:rPr>
        <w:t>establish that it took the alleged actions</w:t>
      </w:r>
      <w:r w:rsidR="00E8394E" w:rsidRPr="00C74276">
        <w:rPr>
          <w:lang w:val="en-CA"/>
        </w:rPr>
        <w:t xml:space="preserve"> </w:t>
      </w:r>
      <w:r w:rsidR="00E8394E" w:rsidRPr="00C74276">
        <w:rPr>
          <w:u w:val="single"/>
          <w:lang w:val="en-CA"/>
        </w:rPr>
        <w:t xml:space="preserve">with </w:t>
      </w:r>
      <w:r w:rsidR="006C5119" w:rsidRPr="00C74276">
        <w:rPr>
          <w:u w:val="single"/>
          <w:lang w:val="en-CA"/>
        </w:rPr>
        <w:t>the consent</w:t>
      </w:r>
      <w:r w:rsidR="006C5119" w:rsidRPr="005E66B0">
        <w:rPr>
          <w:lang w:val="en-CA"/>
        </w:rPr>
        <w:t xml:space="preserve"> </w:t>
      </w:r>
      <w:r w:rsidR="006C5119" w:rsidRPr="00C74276">
        <w:rPr>
          <w:lang w:val="en-CA"/>
        </w:rPr>
        <w:t>of QA</w:t>
      </w:r>
      <w:r w:rsidR="00E8394E" w:rsidRPr="00C74276">
        <w:rPr>
          <w:lang w:val="en-CA"/>
        </w:rPr>
        <w:t>.</w:t>
      </w:r>
      <w:r w:rsidR="00634D8F" w:rsidRPr="00C74276">
        <w:rPr>
          <w:rStyle w:val="Appelnotedebasdep"/>
          <w:lang w:val="en-CA"/>
        </w:rPr>
        <w:footnoteReference w:id="13"/>
      </w:r>
    </w:p>
    <w:p w14:paraId="525E2BAF" w14:textId="4EA26836" w:rsidR="00634D8F" w:rsidRPr="00C74276" w:rsidRDefault="00A2579C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The judge then considered</w:t>
      </w:r>
      <w:r w:rsidR="00242188" w:rsidRPr="00C74276">
        <w:rPr>
          <w:lang w:val="en-CA"/>
        </w:rPr>
        <w:t xml:space="preserve"> Druide’s contention</w:t>
      </w:r>
      <w:r w:rsidR="00880D8F" w:rsidRPr="00C74276">
        <w:rPr>
          <w:lang w:val="en-CA"/>
        </w:rPr>
        <w:t xml:space="preserve"> that </w:t>
      </w:r>
      <w:r w:rsidR="00242188" w:rsidRPr="00C74276">
        <w:rPr>
          <w:lang w:val="en-CA"/>
        </w:rPr>
        <w:t xml:space="preserve">not only </w:t>
      </w:r>
      <w:r w:rsidR="00880D8F" w:rsidRPr="00C74276">
        <w:rPr>
          <w:lang w:val="en-CA"/>
        </w:rPr>
        <w:t xml:space="preserve">had it </w:t>
      </w:r>
      <w:r w:rsidR="00242188" w:rsidRPr="00C74276">
        <w:rPr>
          <w:lang w:val="en-CA"/>
        </w:rPr>
        <w:t xml:space="preserve">obtained QA’s consent for the use of its Works, but </w:t>
      </w:r>
      <w:r w:rsidR="0032465C" w:rsidRPr="00C74276">
        <w:rPr>
          <w:lang w:val="en-CA"/>
        </w:rPr>
        <w:t xml:space="preserve">also </w:t>
      </w:r>
      <w:r w:rsidR="00242188" w:rsidRPr="00C74276">
        <w:rPr>
          <w:lang w:val="en-CA"/>
        </w:rPr>
        <w:t>that it hel</w:t>
      </w:r>
      <w:r w:rsidR="00DE5CAF" w:rsidRPr="00C74276">
        <w:rPr>
          <w:lang w:val="en-CA"/>
        </w:rPr>
        <w:t>d an implied</w:t>
      </w:r>
      <w:r w:rsidR="00AD7596" w:rsidRPr="00C74276">
        <w:rPr>
          <w:lang w:val="en-CA"/>
        </w:rPr>
        <w:t xml:space="preserve"> irrevocable licenc</w:t>
      </w:r>
      <w:r w:rsidR="00242188" w:rsidRPr="00C74276">
        <w:rPr>
          <w:lang w:val="en-CA"/>
        </w:rPr>
        <w:t>e of unlimited duration granted free of charge.</w:t>
      </w:r>
      <w:r w:rsidR="00950759" w:rsidRPr="00C74276">
        <w:rPr>
          <w:rStyle w:val="Appelnotedebasdep"/>
          <w:lang w:val="en-CA"/>
        </w:rPr>
        <w:footnoteReference w:id="14"/>
      </w:r>
      <w:r w:rsidR="00242188" w:rsidRPr="00C74276">
        <w:rPr>
          <w:lang w:val="en-CA"/>
        </w:rPr>
        <w:t xml:space="preserve"> </w:t>
      </w:r>
      <w:r w:rsidR="00880D8F" w:rsidRPr="00C74276">
        <w:rPr>
          <w:lang w:val="en-CA"/>
        </w:rPr>
        <w:t>The</w:t>
      </w:r>
      <w:r w:rsidR="00242188" w:rsidRPr="00C74276">
        <w:rPr>
          <w:lang w:val="en-CA"/>
        </w:rPr>
        <w:t xml:space="preserve"> judge analyzed subsection 13(4) of the </w:t>
      </w:r>
      <w:r w:rsidR="00242188" w:rsidRPr="00C74276">
        <w:rPr>
          <w:i/>
          <w:lang w:val="en-CA"/>
        </w:rPr>
        <w:t>Copyright Act</w:t>
      </w:r>
      <w:r w:rsidR="00950759" w:rsidRPr="00C74276">
        <w:rPr>
          <w:rStyle w:val="Appelnotedebasdep"/>
          <w:lang w:val="en-CA"/>
        </w:rPr>
        <w:footnoteReference w:id="15"/>
      </w:r>
      <w:r w:rsidR="00950759" w:rsidRPr="00C74276">
        <w:rPr>
          <w:lang w:val="en-CA"/>
        </w:rPr>
        <w:t xml:space="preserve"> </w:t>
      </w:r>
      <w:r w:rsidR="00242188" w:rsidRPr="00C74276">
        <w:rPr>
          <w:lang w:val="en-CA"/>
        </w:rPr>
        <w:t>(“</w:t>
      </w:r>
      <w:r w:rsidR="00242188" w:rsidRPr="00C74276">
        <w:rPr>
          <w:i/>
          <w:lang w:val="en-CA"/>
        </w:rPr>
        <w:t>CA</w:t>
      </w:r>
      <w:r w:rsidR="00242188" w:rsidRPr="00C74276">
        <w:rPr>
          <w:lang w:val="en-CA"/>
        </w:rPr>
        <w:t>”)</w:t>
      </w:r>
      <w:r w:rsidR="005A562F" w:rsidRPr="00C74276">
        <w:rPr>
          <w:lang w:val="en-CA"/>
        </w:rPr>
        <w:t>,</w:t>
      </w:r>
      <w:r w:rsidR="00242188" w:rsidRPr="00C74276">
        <w:rPr>
          <w:lang w:val="en-CA"/>
        </w:rPr>
        <w:t xml:space="preserve"> which deals in particular with the gra</w:t>
      </w:r>
      <w:r w:rsidR="00AD7596" w:rsidRPr="00C74276">
        <w:rPr>
          <w:lang w:val="en-CA"/>
        </w:rPr>
        <w:t xml:space="preserve">nting of an interest in </w:t>
      </w:r>
      <w:r w:rsidR="007311AF">
        <w:rPr>
          <w:lang w:val="en-CA"/>
        </w:rPr>
        <w:t xml:space="preserve">a </w:t>
      </w:r>
      <w:r w:rsidR="00F64B72" w:rsidRPr="00C74276">
        <w:rPr>
          <w:lang w:val="en-CA"/>
        </w:rPr>
        <w:t>copy</w:t>
      </w:r>
      <w:r w:rsidR="00AD7596" w:rsidRPr="00C74276">
        <w:rPr>
          <w:lang w:val="en-CA"/>
        </w:rPr>
        <w:t>right by licenc</w:t>
      </w:r>
      <w:r w:rsidR="00242188" w:rsidRPr="00C74276">
        <w:rPr>
          <w:lang w:val="en-CA"/>
        </w:rPr>
        <w:t>e.</w:t>
      </w:r>
      <w:r w:rsidR="00634D8F" w:rsidRPr="00C74276">
        <w:rPr>
          <w:rStyle w:val="Appelnotedebasdep"/>
          <w:lang w:val="en-CA"/>
        </w:rPr>
        <w:footnoteReference w:id="16"/>
      </w:r>
    </w:p>
    <w:p w14:paraId="01BEC6B9" w14:textId="725187AA" w:rsidR="00634D8F" w:rsidRPr="00C74276" w:rsidRDefault="00613557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</w:t>
      </w:r>
      <w:r w:rsidR="00F53C66" w:rsidRPr="00C74276">
        <w:rPr>
          <w:lang w:val="en-CA"/>
        </w:rPr>
        <w:t>e judge determined that Druide was</w:t>
      </w:r>
      <w:r w:rsidRPr="00C74276">
        <w:rPr>
          <w:lang w:val="en-CA"/>
        </w:rPr>
        <w:t xml:space="preserve"> not the holder of an</w:t>
      </w:r>
      <w:r w:rsidR="009F29FB" w:rsidRPr="00C74276">
        <w:rPr>
          <w:lang w:val="en-CA"/>
        </w:rPr>
        <w:t xml:space="preserve"> [</w:t>
      </w:r>
      <w:r w:rsidR="009F29FB" w:rsidRPr="00C74276">
        <w:rPr>
          <w:smallCaps/>
          <w:lang w:val="en-CA"/>
        </w:rPr>
        <w:t>translation</w:t>
      </w:r>
      <w:r w:rsidR="009F29FB" w:rsidRPr="00C74276">
        <w:rPr>
          <w:lang w:val="en-CA"/>
        </w:rPr>
        <w:t xml:space="preserve">] </w:t>
      </w:r>
      <w:r w:rsidRPr="00C74276">
        <w:rPr>
          <w:lang w:val="en-CA"/>
        </w:rPr>
        <w:t>“irrevocab</w:t>
      </w:r>
      <w:r w:rsidR="00F53C66" w:rsidRPr="00C74276">
        <w:rPr>
          <w:lang w:val="en-CA"/>
        </w:rPr>
        <w:t>le</w:t>
      </w:r>
      <w:r w:rsidR="00DE5CAF" w:rsidRPr="00C74276">
        <w:rPr>
          <w:lang w:val="en-CA"/>
        </w:rPr>
        <w:t xml:space="preserve"> non-exclusive implied licenc</w:t>
      </w:r>
      <w:r w:rsidRPr="00C74276">
        <w:rPr>
          <w:lang w:val="en-CA"/>
        </w:rPr>
        <w:t xml:space="preserve">e” </w:t>
      </w:r>
      <w:r w:rsidR="00804736" w:rsidRPr="00C74276">
        <w:rPr>
          <w:lang w:val="en-CA"/>
        </w:rPr>
        <w:t>that</w:t>
      </w:r>
      <w:r w:rsidRPr="00C74276">
        <w:rPr>
          <w:lang w:val="en-CA"/>
        </w:rPr>
        <w:t xml:space="preserve"> would </w:t>
      </w:r>
      <w:r w:rsidR="00F53C66" w:rsidRPr="00C74276">
        <w:rPr>
          <w:lang w:val="en-CA"/>
        </w:rPr>
        <w:t xml:space="preserve">have </w:t>
      </w:r>
      <w:r w:rsidRPr="00C74276">
        <w:rPr>
          <w:lang w:val="en-CA"/>
        </w:rPr>
        <w:t>authorize</w:t>
      </w:r>
      <w:r w:rsidR="00F53C66" w:rsidRPr="00C74276">
        <w:rPr>
          <w:lang w:val="en-CA"/>
        </w:rPr>
        <w:t>d</w:t>
      </w:r>
      <w:r w:rsidRPr="00C74276">
        <w:rPr>
          <w:lang w:val="en-CA"/>
        </w:rPr>
        <w:t xml:space="preserve"> it to </w:t>
      </w:r>
      <w:r w:rsidR="00804736" w:rsidRPr="00C74276">
        <w:rPr>
          <w:lang w:val="en-CA"/>
        </w:rPr>
        <w:t>[</w:t>
      </w:r>
      <w:r w:rsidR="00804736" w:rsidRPr="00C74276">
        <w:rPr>
          <w:smallCaps/>
          <w:lang w:val="en-CA"/>
        </w:rPr>
        <w:t>translation</w:t>
      </w:r>
      <w:r w:rsidR="00804736" w:rsidRPr="00C74276">
        <w:rPr>
          <w:lang w:val="en-CA"/>
        </w:rPr>
        <w:t xml:space="preserve">] </w:t>
      </w:r>
      <w:r w:rsidR="00675D9F" w:rsidRPr="00C74276">
        <w:rPr>
          <w:lang w:val="en-CA"/>
        </w:rPr>
        <w:t>“</w:t>
      </w:r>
      <w:r w:rsidRPr="00C74276">
        <w:rPr>
          <w:lang w:val="en-CA"/>
        </w:rPr>
        <w:t xml:space="preserve">adapt, produce, reproduce, </w:t>
      </w:r>
      <w:r w:rsidR="00DE5CAF" w:rsidRPr="00C74276">
        <w:rPr>
          <w:lang w:val="en-CA"/>
        </w:rPr>
        <w:t>represent</w:t>
      </w:r>
      <w:r w:rsidRPr="00C74276">
        <w:rPr>
          <w:lang w:val="en-CA"/>
        </w:rPr>
        <w:t>, and download”</w:t>
      </w:r>
      <w:r w:rsidR="00DE5CAF" w:rsidRPr="00C74276">
        <w:rPr>
          <w:lang w:val="en-CA"/>
        </w:rPr>
        <w:t xml:space="preserve"> </w:t>
      </w:r>
      <w:r w:rsidRPr="00C74276">
        <w:rPr>
          <w:lang w:val="en-CA"/>
        </w:rPr>
        <w:t>QA</w:t>
      </w:r>
      <w:r w:rsidR="00DE5CAF" w:rsidRPr="00C74276">
        <w:rPr>
          <w:lang w:val="en-CA"/>
        </w:rPr>
        <w:t>’s Works</w:t>
      </w:r>
      <w:r w:rsidRPr="00C74276">
        <w:rPr>
          <w:lang w:val="en-CA"/>
        </w:rPr>
        <w:t xml:space="preserve"> in all versions of Druide’s Antidote software.</w:t>
      </w:r>
      <w:r w:rsidR="00634D8F" w:rsidRPr="00C74276">
        <w:rPr>
          <w:rStyle w:val="Appelnotedebasdep"/>
          <w:lang w:val="en-CA"/>
        </w:rPr>
        <w:footnoteReference w:id="17"/>
      </w:r>
    </w:p>
    <w:p w14:paraId="0EDA5B23" w14:textId="78754C76" w:rsidR="00634D8F" w:rsidRPr="00C74276" w:rsidRDefault="00DA3328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</w:t>
      </w:r>
      <w:r w:rsidR="00675D9F" w:rsidRPr="00C74276">
        <w:rPr>
          <w:lang w:val="en-CA"/>
        </w:rPr>
        <w:t>he judge specified that QA gave Druide i</w:t>
      </w:r>
      <w:r w:rsidR="00DE5CAF" w:rsidRPr="00C74276">
        <w:rPr>
          <w:lang w:val="en-CA"/>
        </w:rPr>
        <w:t>ts consent for the integration of</w:t>
      </w:r>
      <w:r w:rsidR="00675D9F" w:rsidRPr="00C74276">
        <w:rPr>
          <w:lang w:val="en-CA"/>
        </w:rPr>
        <w:t xml:space="preserve"> its Works for the Antidote HD software.</w:t>
      </w:r>
      <w:r w:rsidR="00390D05" w:rsidRPr="00C74276">
        <w:rPr>
          <w:rStyle w:val="Appelnotedebasdep"/>
          <w:lang w:val="en-CA"/>
        </w:rPr>
        <w:footnoteReference w:id="18"/>
      </w:r>
      <w:r w:rsidR="00390D05" w:rsidRPr="00C74276">
        <w:rPr>
          <w:lang w:val="en-CA"/>
        </w:rPr>
        <w:t xml:space="preserve"> </w:t>
      </w:r>
      <w:r w:rsidRPr="00C74276">
        <w:rPr>
          <w:lang w:val="en-CA"/>
        </w:rPr>
        <w:t>However, t</w:t>
      </w:r>
      <w:r w:rsidR="00675D9F" w:rsidRPr="00C74276">
        <w:rPr>
          <w:lang w:val="en-CA"/>
        </w:rPr>
        <w:t xml:space="preserve">his </w:t>
      </w:r>
      <w:r w:rsidR="00675D9F" w:rsidRPr="00C74276">
        <w:rPr>
          <w:u w:val="single"/>
          <w:lang w:val="en-CA"/>
        </w:rPr>
        <w:t>consent</w:t>
      </w:r>
      <w:r w:rsidR="00675D9F" w:rsidRPr="00C74276">
        <w:rPr>
          <w:lang w:val="en-CA"/>
        </w:rPr>
        <w:t xml:space="preserve"> did not apply to the subsequent versions of the soft</w:t>
      </w:r>
      <w:r w:rsidR="00024C1B" w:rsidRPr="00C74276">
        <w:rPr>
          <w:lang w:val="en-CA"/>
        </w:rPr>
        <w:t>ware, Antidote 8 and Antidote 9.</w:t>
      </w:r>
      <w:r w:rsidR="00390D05" w:rsidRPr="00C74276">
        <w:rPr>
          <w:rStyle w:val="Appelnotedebasdep"/>
          <w:lang w:val="en-CA"/>
        </w:rPr>
        <w:footnoteReference w:id="19"/>
      </w:r>
      <w:r w:rsidR="00024C1B" w:rsidRPr="00C74276">
        <w:rPr>
          <w:lang w:val="en-CA"/>
        </w:rPr>
        <w:t xml:space="preserve"> </w:t>
      </w:r>
      <w:r w:rsidR="00675D9F" w:rsidRPr="00C74276">
        <w:rPr>
          <w:lang w:val="en-CA"/>
        </w:rPr>
        <w:t>A</w:t>
      </w:r>
      <w:r w:rsidR="00024C1B" w:rsidRPr="00C74276">
        <w:rPr>
          <w:lang w:val="en-CA"/>
        </w:rPr>
        <w:t>ccording to the judge, there was</w:t>
      </w:r>
      <w:r w:rsidR="00675D9F" w:rsidRPr="00C74276">
        <w:rPr>
          <w:lang w:val="en-CA"/>
        </w:rPr>
        <w:t xml:space="preserve"> no agreement on the </w:t>
      </w:r>
      <w:r w:rsidR="00675D9F" w:rsidRPr="00C74276">
        <w:rPr>
          <w:u w:val="single"/>
          <w:lang w:val="en-CA"/>
        </w:rPr>
        <w:t>essential elements</w:t>
      </w:r>
      <w:r w:rsidR="00675D9F" w:rsidRPr="00C74276">
        <w:rPr>
          <w:lang w:val="en-CA"/>
        </w:rPr>
        <w:t xml:space="preserve"> of an i</w:t>
      </w:r>
      <w:r w:rsidR="00F53C66" w:rsidRPr="00C74276">
        <w:rPr>
          <w:lang w:val="en-CA"/>
        </w:rPr>
        <w:t>rrevocable</w:t>
      </w:r>
      <w:r w:rsidR="00F74BE4" w:rsidRPr="00C74276">
        <w:rPr>
          <w:lang w:val="en-CA"/>
        </w:rPr>
        <w:t xml:space="preserve"> non-exclusive licenc</w:t>
      </w:r>
      <w:r w:rsidR="00675D9F" w:rsidRPr="00C74276">
        <w:rPr>
          <w:lang w:val="en-CA"/>
        </w:rPr>
        <w:t xml:space="preserve">e </w:t>
      </w:r>
      <w:r w:rsidR="00853F8A">
        <w:rPr>
          <w:lang w:val="en-CA"/>
        </w:rPr>
        <w:t xml:space="preserve">of </w:t>
      </w:r>
      <w:r w:rsidR="00675D9F" w:rsidRPr="00C74276">
        <w:rPr>
          <w:lang w:val="en-CA"/>
        </w:rPr>
        <w:lastRenderedPageBreak/>
        <w:t xml:space="preserve">unlimited </w:t>
      </w:r>
      <w:r w:rsidR="00853F8A">
        <w:rPr>
          <w:lang w:val="en-CA"/>
        </w:rPr>
        <w:t>duration</w:t>
      </w:r>
      <w:r w:rsidR="00675D9F" w:rsidRPr="00C74276">
        <w:rPr>
          <w:lang w:val="en-CA"/>
        </w:rPr>
        <w:t>.</w:t>
      </w:r>
      <w:r w:rsidR="00390D05" w:rsidRPr="00C74276">
        <w:rPr>
          <w:rStyle w:val="Appelnotedebasdep"/>
          <w:lang w:val="en-CA"/>
        </w:rPr>
        <w:footnoteReference w:id="20"/>
      </w:r>
      <w:r w:rsidR="00390D05" w:rsidRPr="00C74276">
        <w:rPr>
          <w:lang w:val="en-CA"/>
        </w:rPr>
        <w:t xml:space="preserve"> </w:t>
      </w:r>
      <w:r w:rsidR="00675D9F" w:rsidRPr="00C74276">
        <w:rPr>
          <w:lang w:val="en-CA"/>
        </w:rPr>
        <w:t xml:space="preserve">The judge determined that any agreement to be entered into for the use of the QA Works remained </w:t>
      </w:r>
      <w:r w:rsidRPr="00C74276">
        <w:rPr>
          <w:lang w:val="en-CA"/>
        </w:rPr>
        <w:t>[</w:t>
      </w:r>
      <w:r w:rsidRPr="00C74276">
        <w:rPr>
          <w:smallCaps/>
          <w:lang w:val="en-CA"/>
        </w:rPr>
        <w:t>translation</w:t>
      </w:r>
      <w:r w:rsidRPr="00C74276">
        <w:rPr>
          <w:lang w:val="en-CA"/>
        </w:rPr>
        <w:t xml:space="preserve">] </w:t>
      </w:r>
      <w:r w:rsidR="00675D9F" w:rsidRPr="00C74276">
        <w:rPr>
          <w:lang w:val="en-CA"/>
        </w:rPr>
        <w:t>“</w:t>
      </w:r>
      <w:r w:rsidR="00675D9F" w:rsidRPr="00C74276">
        <w:rPr>
          <w:u w:val="single"/>
          <w:lang w:val="en-CA"/>
        </w:rPr>
        <w:t>conditional on the writing of a document</w:t>
      </w:r>
      <w:r w:rsidR="00675D9F" w:rsidRPr="00C74276">
        <w:rPr>
          <w:lang w:val="en-CA"/>
        </w:rPr>
        <w:t xml:space="preserve"> because the parties had agreed that their discussions and agreements would be recorded in writing”</w:t>
      </w:r>
      <w:r w:rsidR="00C371E1">
        <w:rPr>
          <w:lang w:val="en-CA"/>
        </w:rPr>
        <w:t>.</w:t>
      </w:r>
      <w:r w:rsidR="00390D05" w:rsidRPr="00C74276">
        <w:rPr>
          <w:rStyle w:val="Appelnotedebasdep"/>
          <w:lang w:val="en-CA"/>
        </w:rPr>
        <w:footnoteReference w:id="21"/>
      </w:r>
      <w:r w:rsidR="00390D05" w:rsidRPr="00C74276">
        <w:rPr>
          <w:lang w:val="en-CA"/>
        </w:rPr>
        <w:t xml:space="preserve"> </w:t>
      </w:r>
      <w:r w:rsidR="00675D9F" w:rsidRPr="00C74276">
        <w:rPr>
          <w:lang w:val="en-CA"/>
        </w:rPr>
        <w:t xml:space="preserve">That led the judge to conclude </w:t>
      </w:r>
      <w:r w:rsidR="00F74BE4" w:rsidRPr="00C74276">
        <w:rPr>
          <w:lang w:val="en-CA"/>
        </w:rPr>
        <w:t>that</w:t>
      </w:r>
      <w:r w:rsidR="00634D8F" w:rsidRPr="00C74276">
        <w:rPr>
          <w:lang w:val="en-CA"/>
        </w:rPr>
        <w:t>:</w:t>
      </w:r>
    </w:p>
    <w:p w14:paraId="48BABACC" w14:textId="0FA0BE0F" w:rsidR="00DA3328" w:rsidRPr="00C74276" w:rsidRDefault="00DA3328" w:rsidP="00FA34B7">
      <w:pPr>
        <w:pStyle w:val="Citationenretrait"/>
        <w:rPr>
          <w:rFonts w:cs="Arial"/>
          <w:lang w:val="en-CA"/>
        </w:rPr>
      </w:pPr>
      <w:r w:rsidRPr="00C74276">
        <w:rPr>
          <w:rFonts w:cs="Arial"/>
          <w:lang w:val="en-CA"/>
        </w:rPr>
        <w:t>[</w:t>
      </w:r>
      <w:r w:rsidRPr="00C74276">
        <w:rPr>
          <w:rFonts w:cs="Arial"/>
          <w:smallCaps/>
          <w:lang w:val="en-CA"/>
        </w:rPr>
        <w:t>translation</w:t>
      </w:r>
      <w:r w:rsidRPr="00C74276">
        <w:rPr>
          <w:rFonts w:cs="Arial"/>
          <w:lang w:val="en-CA"/>
        </w:rPr>
        <w:t>]</w:t>
      </w:r>
    </w:p>
    <w:p w14:paraId="69E6FC78" w14:textId="25373769" w:rsidR="00634D8F" w:rsidRPr="00C74276" w:rsidRDefault="00634D8F" w:rsidP="00FA34B7">
      <w:pPr>
        <w:pStyle w:val="Citationenretrait"/>
        <w:rPr>
          <w:lang w:val="en-CA"/>
        </w:rPr>
      </w:pPr>
      <w:r w:rsidRPr="00C74276">
        <w:rPr>
          <w:rFonts w:cs="Arial"/>
          <w:lang w:val="en-CA"/>
        </w:rPr>
        <w:t>[</w:t>
      </w:r>
      <w:r w:rsidRPr="00C74276">
        <w:rPr>
          <w:lang w:val="en-CA"/>
        </w:rPr>
        <w:t>307</w:t>
      </w:r>
      <w:r w:rsidRPr="00C74276">
        <w:rPr>
          <w:rFonts w:cs="Arial"/>
          <w:lang w:val="en-CA"/>
        </w:rPr>
        <w:t>]</w:t>
      </w:r>
      <w:r w:rsidRPr="00C74276">
        <w:rPr>
          <w:lang w:val="en-CA"/>
        </w:rPr>
        <w:tab/>
      </w:r>
      <w:r w:rsidR="00DA3328" w:rsidRPr="00C74276">
        <w:rPr>
          <w:lang w:val="en-CA"/>
        </w:rPr>
        <w:t>Accordingly</w:t>
      </w:r>
      <w:r w:rsidR="00774415" w:rsidRPr="00C74276">
        <w:rPr>
          <w:lang w:val="en-CA"/>
        </w:rPr>
        <w:t xml:space="preserve">, </w:t>
      </w:r>
      <w:r w:rsidR="0069357C" w:rsidRPr="00C74276">
        <w:rPr>
          <w:lang w:val="en-CA"/>
        </w:rPr>
        <w:t>Druide Informatique did not infr</w:t>
      </w:r>
      <w:r w:rsidR="00F74BE4" w:rsidRPr="00C74276">
        <w:rPr>
          <w:lang w:val="en-CA"/>
        </w:rPr>
        <w:t>inge the copyright of Québec Amé</w:t>
      </w:r>
      <w:r w:rsidR="0069357C" w:rsidRPr="00C74276">
        <w:rPr>
          <w:lang w:val="en-CA"/>
        </w:rPr>
        <w:t>riqu</w:t>
      </w:r>
      <w:r w:rsidR="00F74BE4" w:rsidRPr="00C74276">
        <w:rPr>
          <w:lang w:val="en-CA"/>
        </w:rPr>
        <w:t>e by taking the alleged actions in respect of</w:t>
      </w:r>
      <w:r w:rsidR="0069357C" w:rsidRPr="00C74276">
        <w:rPr>
          <w:lang w:val="en-CA"/>
        </w:rPr>
        <w:t xml:space="preserve"> Antidote</w:t>
      </w:r>
      <w:r w:rsidR="00417BB1" w:rsidRPr="00C74276">
        <w:rPr>
          <w:lang w:val="en-CA"/>
        </w:rPr>
        <w:t> </w:t>
      </w:r>
      <w:r w:rsidR="0069357C" w:rsidRPr="00C74276">
        <w:rPr>
          <w:lang w:val="en-CA"/>
        </w:rPr>
        <w:t>HD. It did infr</w:t>
      </w:r>
      <w:r w:rsidR="00F74BE4" w:rsidRPr="00C74276">
        <w:rPr>
          <w:lang w:val="en-CA"/>
        </w:rPr>
        <w:t>inge Québec Amé</w:t>
      </w:r>
      <w:r w:rsidR="0069357C" w:rsidRPr="00C74276">
        <w:rPr>
          <w:lang w:val="en-CA"/>
        </w:rPr>
        <w:t>rique</w:t>
      </w:r>
      <w:r w:rsidR="00F74BE4" w:rsidRPr="00C74276">
        <w:rPr>
          <w:lang w:val="en-CA"/>
        </w:rPr>
        <w:t>’s copyright</w:t>
      </w:r>
      <w:r w:rsidR="0069357C" w:rsidRPr="00C74276">
        <w:rPr>
          <w:lang w:val="en-CA"/>
        </w:rPr>
        <w:t xml:space="preserve"> by taking the alle</w:t>
      </w:r>
      <w:r w:rsidR="00F74BE4" w:rsidRPr="00C74276">
        <w:rPr>
          <w:lang w:val="en-CA"/>
        </w:rPr>
        <w:t>ged actions with respect to</w:t>
      </w:r>
      <w:r w:rsidR="00390D05" w:rsidRPr="00C74276">
        <w:rPr>
          <w:lang w:val="en-CA"/>
        </w:rPr>
        <w:t xml:space="preserve"> Antidote 8 and 9.</w:t>
      </w:r>
      <w:r w:rsidRPr="00C74276">
        <w:rPr>
          <w:rStyle w:val="Appelnotedebasdep"/>
          <w:lang w:val="en-CA"/>
        </w:rPr>
        <w:footnoteReference w:id="22"/>
      </w:r>
    </w:p>
    <w:p w14:paraId="5D70859F" w14:textId="5C557777" w:rsidR="00634D8F" w:rsidRPr="00C74276" w:rsidRDefault="0069357C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The infringement of QA’s copyright thus established, the judge then considered whether Druide </w:t>
      </w:r>
      <w:r w:rsidR="00417BB1" w:rsidRPr="00C74276">
        <w:rPr>
          <w:lang w:val="en-CA"/>
        </w:rPr>
        <w:t xml:space="preserve">should be ordered </w:t>
      </w:r>
      <w:r w:rsidRPr="00C74276">
        <w:rPr>
          <w:lang w:val="en-CA"/>
        </w:rPr>
        <w:t xml:space="preserve">to stop using </w:t>
      </w:r>
      <w:r w:rsidR="00853F8A">
        <w:rPr>
          <w:lang w:val="en-CA"/>
        </w:rPr>
        <w:t>QA’s</w:t>
      </w:r>
      <w:r w:rsidRPr="00C74276">
        <w:rPr>
          <w:lang w:val="en-CA"/>
        </w:rPr>
        <w:t xml:space="preserve"> Works, and if so, under what conditions. </w:t>
      </w:r>
    </w:p>
    <w:p w14:paraId="40C31288" w14:textId="0CBCF843" w:rsidR="00634D8F" w:rsidRPr="00C74276" w:rsidRDefault="001725E4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Befo</w:t>
      </w:r>
      <w:r w:rsidR="00891902" w:rsidRPr="00C74276">
        <w:rPr>
          <w:lang w:val="en-CA"/>
        </w:rPr>
        <w:t>re doing so, the judge noted</w:t>
      </w:r>
      <w:r w:rsidRPr="00C74276">
        <w:rPr>
          <w:lang w:val="en-CA"/>
        </w:rPr>
        <w:t xml:space="preserve"> that the parties had debated at length the need to give Druide a reasonable</w:t>
      </w:r>
      <w:r w:rsidR="00891902" w:rsidRPr="00C74276">
        <w:rPr>
          <w:lang w:val="en-CA"/>
        </w:rPr>
        <w:t xml:space="preserve"> period of time to</w:t>
      </w:r>
      <w:r w:rsidRPr="00C74276">
        <w:rPr>
          <w:lang w:val="en-CA"/>
        </w:rPr>
        <w:t xml:space="preserve"> create a replacement product.</w:t>
      </w:r>
      <w:r w:rsidR="00B060B1" w:rsidRPr="00C74276">
        <w:rPr>
          <w:rStyle w:val="Appelnotedebasdep"/>
          <w:lang w:val="en-CA"/>
        </w:rPr>
        <w:footnoteReference w:id="23"/>
      </w:r>
      <w:r w:rsidR="00B060B1" w:rsidRPr="00C74276">
        <w:rPr>
          <w:lang w:val="en-CA"/>
        </w:rPr>
        <w:t xml:space="preserve"> </w:t>
      </w:r>
      <w:r w:rsidRPr="00C74276">
        <w:rPr>
          <w:lang w:val="en-CA"/>
        </w:rPr>
        <w:t>However, the judge considered that this was a false argument, because the parties</w:t>
      </w:r>
      <w:r w:rsidR="0002521C" w:rsidRPr="00C74276">
        <w:rPr>
          <w:lang w:val="en-CA"/>
        </w:rPr>
        <w:t xml:space="preserve"> [</w:t>
      </w:r>
      <w:r w:rsidR="0002521C" w:rsidRPr="00C74276">
        <w:rPr>
          <w:smallCaps/>
          <w:lang w:val="en-CA"/>
        </w:rPr>
        <w:t>translation</w:t>
      </w:r>
      <w:r w:rsidR="0002521C" w:rsidRPr="00C74276">
        <w:rPr>
          <w:lang w:val="en-CA"/>
        </w:rPr>
        <w:t>]</w:t>
      </w:r>
      <w:r w:rsidRPr="00C74276">
        <w:rPr>
          <w:lang w:val="en-CA"/>
        </w:rPr>
        <w:t xml:space="preserve"> “are not bound by an </w:t>
      </w:r>
      <w:r w:rsidR="00F53C66" w:rsidRPr="00C74276">
        <w:rPr>
          <w:lang w:val="en-CA"/>
        </w:rPr>
        <w:t xml:space="preserve">agreement </w:t>
      </w:r>
      <w:r w:rsidR="003F712C">
        <w:rPr>
          <w:lang w:val="en-CA"/>
        </w:rPr>
        <w:t>for an</w:t>
      </w:r>
      <w:r w:rsidR="00F53C66" w:rsidRPr="00C74276">
        <w:rPr>
          <w:lang w:val="en-CA"/>
        </w:rPr>
        <w:t xml:space="preserve"> indeterminate term</w:t>
      </w:r>
      <w:r w:rsidRPr="00C74276">
        <w:rPr>
          <w:lang w:val="en-CA"/>
        </w:rPr>
        <w:t>, which would have required the granting of such notice”</w:t>
      </w:r>
      <w:r w:rsidR="003F712C">
        <w:rPr>
          <w:lang w:val="en-CA"/>
        </w:rPr>
        <w:t>.</w:t>
      </w:r>
      <w:r w:rsidR="00B060B1" w:rsidRPr="00C74276">
        <w:rPr>
          <w:rStyle w:val="Appelnotedebasdep"/>
          <w:lang w:val="en-CA"/>
        </w:rPr>
        <w:footnoteReference w:id="24"/>
      </w:r>
      <w:r w:rsidR="00B060B1" w:rsidRPr="00C74276">
        <w:rPr>
          <w:lang w:val="en-CA"/>
        </w:rPr>
        <w:t xml:space="preserve"> </w:t>
      </w:r>
      <w:r w:rsidRPr="00C74276">
        <w:rPr>
          <w:lang w:val="en-CA"/>
        </w:rPr>
        <w:t>The judge reiterated tha</w:t>
      </w:r>
      <w:r w:rsidR="00FE6002" w:rsidRPr="00C74276">
        <w:rPr>
          <w:lang w:val="en-CA"/>
        </w:rPr>
        <w:t>t Druide had instead been given</w:t>
      </w:r>
      <w:r w:rsidR="00941991" w:rsidRPr="00C74276">
        <w:rPr>
          <w:lang w:val="en-CA"/>
        </w:rPr>
        <w:t xml:space="preserve"> </w:t>
      </w:r>
      <w:r w:rsidR="00FE6002" w:rsidRPr="00C74276">
        <w:rPr>
          <w:lang w:val="en-CA"/>
        </w:rPr>
        <w:t xml:space="preserve">consent to use </w:t>
      </w:r>
      <w:r w:rsidRPr="00C74276">
        <w:rPr>
          <w:lang w:val="en-CA"/>
        </w:rPr>
        <w:t>QA</w:t>
      </w:r>
      <w:r w:rsidR="00FE6002" w:rsidRPr="00C74276">
        <w:rPr>
          <w:lang w:val="en-CA"/>
        </w:rPr>
        <w:t>’s Works</w:t>
      </w:r>
      <w:r w:rsidRPr="00C74276">
        <w:rPr>
          <w:lang w:val="en-CA"/>
        </w:rPr>
        <w:t xml:space="preserve"> in Antidote HD.</w:t>
      </w:r>
      <w:r w:rsidR="00634D8F" w:rsidRPr="00C74276">
        <w:rPr>
          <w:rStyle w:val="Appelnotedebasdep"/>
          <w:lang w:val="en-CA"/>
        </w:rPr>
        <w:footnoteReference w:id="25"/>
      </w:r>
    </w:p>
    <w:p w14:paraId="16AAC938" w14:textId="173A6D89" w:rsidR="00634D8F" w:rsidRPr="00C74276" w:rsidRDefault="00941991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The judge ordered</w:t>
      </w:r>
      <w:r w:rsidR="00FE6002" w:rsidRPr="00C74276">
        <w:rPr>
          <w:lang w:val="en-CA"/>
        </w:rPr>
        <w:t xml:space="preserve"> Druide to cease </w:t>
      </w:r>
      <w:r w:rsidR="007E0DCB" w:rsidRPr="00C74276">
        <w:rPr>
          <w:lang w:val="en-CA"/>
        </w:rPr>
        <w:t>the use and all forms of exploitation of</w:t>
      </w:r>
      <w:r w:rsidR="00FE6002" w:rsidRPr="00C74276">
        <w:rPr>
          <w:lang w:val="en-CA"/>
        </w:rPr>
        <w:t xml:space="preserve"> QA’s Works</w:t>
      </w:r>
      <w:r w:rsidR="00E56796" w:rsidRPr="00C74276">
        <w:rPr>
          <w:lang w:val="en-CA"/>
        </w:rPr>
        <w:t>,</w:t>
      </w:r>
      <w:r w:rsidR="00FE6002" w:rsidRPr="00C74276">
        <w:rPr>
          <w:lang w:val="en-CA"/>
        </w:rPr>
        <w:t xml:space="preserve"> </w:t>
      </w:r>
      <w:r w:rsidR="007E0DCB" w:rsidRPr="00C74276">
        <w:rPr>
          <w:lang w:val="en-CA"/>
        </w:rPr>
        <w:t xml:space="preserve">but </w:t>
      </w:r>
      <w:r w:rsidRPr="00C74276">
        <w:rPr>
          <w:lang w:val="en-CA"/>
        </w:rPr>
        <w:t>nevertheless grant</w:t>
      </w:r>
      <w:r w:rsidR="00E56796" w:rsidRPr="00C74276">
        <w:rPr>
          <w:lang w:val="en-CA"/>
        </w:rPr>
        <w:t>ed</w:t>
      </w:r>
      <w:r w:rsidR="00FE6002" w:rsidRPr="00C74276">
        <w:rPr>
          <w:lang w:val="en-CA"/>
        </w:rPr>
        <w:t xml:space="preserve"> it a period of time </w:t>
      </w:r>
      <w:r w:rsidR="00F53C66" w:rsidRPr="00C74276">
        <w:rPr>
          <w:lang w:val="en-CA"/>
        </w:rPr>
        <w:t>equivalent to a prior notice</w:t>
      </w:r>
      <w:r w:rsidR="00E56796" w:rsidRPr="00C74276">
        <w:rPr>
          <w:lang w:val="en-CA"/>
        </w:rPr>
        <w:t xml:space="preserve"> to comply</w:t>
      </w:r>
      <w:r w:rsidR="00E52A7C" w:rsidRPr="00C74276">
        <w:rPr>
          <w:lang w:val="en-CA"/>
        </w:rPr>
        <w:t>, i.e.</w:t>
      </w:r>
      <w:r w:rsidR="00E56796" w:rsidRPr="00C74276">
        <w:rPr>
          <w:lang w:val="en-CA"/>
        </w:rPr>
        <w:t>,</w:t>
      </w:r>
      <w:r w:rsidR="00E52A7C" w:rsidRPr="00C74276">
        <w:rPr>
          <w:lang w:val="en-CA"/>
        </w:rPr>
        <w:t xml:space="preserve"> on the earlier of the following two dates</w:t>
      </w:r>
      <w:r w:rsidRPr="00C74276">
        <w:rPr>
          <w:lang w:val="en-CA"/>
        </w:rPr>
        <w:t xml:space="preserve">: </w:t>
      </w:r>
      <w:r w:rsidR="00E56796" w:rsidRPr="00C74276">
        <w:rPr>
          <w:lang w:val="en-CA"/>
        </w:rPr>
        <w:t>(</w:t>
      </w:r>
      <w:r w:rsidRPr="00C74276">
        <w:rPr>
          <w:lang w:val="en-CA"/>
        </w:rPr>
        <w:t>1) the</w:t>
      </w:r>
      <w:r w:rsidR="006C5119" w:rsidRPr="00C74276">
        <w:rPr>
          <w:lang w:val="en-CA"/>
        </w:rPr>
        <w:t xml:space="preserve"> launch date of the next version</w:t>
      </w:r>
      <w:r w:rsidRPr="00C74276">
        <w:rPr>
          <w:lang w:val="en-CA"/>
        </w:rPr>
        <w:t xml:space="preserve"> of Antidote scheduled for 2018; or </w:t>
      </w:r>
      <w:r w:rsidR="00E56796" w:rsidRPr="00C74276">
        <w:rPr>
          <w:lang w:val="en-CA"/>
        </w:rPr>
        <w:t>(</w:t>
      </w:r>
      <w:r w:rsidRPr="00C74276">
        <w:rPr>
          <w:lang w:val="en-CA"/>
        </w:rPr>
        <w:t>2) December 31, 2018</w:t>
      </w:r>
      <w:r w:rsidR="00B060B1" w:rsidRPr="00C74276">
        <w:rPr>
          <w:lang w:val="en-CA"/>
        </w:rPr>
        <w:t>.</w:t>
      </w:r>
      <w:r w:rsidR="00B060B1" w:rsidRPr="00C74276">
        <w:rPr>
          <w:rStyle w:val="Appelnotedebasdep"/>
          <w:lang w:val="en-CA"/>
        </w:rPr>
        <w:footnoteReference w:id="26"/>
      </w:r>
      <w:r w:rsidR="00B060B1" w:rsidRPr="00C74276">
        <w:rPr>
          <w:lang w:val="en-CA"/>
        </w:rPr>
        <w:t xml:space="preserve"> </w:t>
      </w:r>
      <w:r w:rsidRPr="00C74276">
        <w:rPr>
          <w:lang w:val="en-CA"/>
        </w:rPr>
        <w:t>This injuncti</w:t>
      </w:r>
      <w:r w:rsidR="00E56796" w:rsidRPr="00C74276">
        <w:rPr>
          <w:lang w:val="en-CA"/>
        </w:rPr>
        <w:t>ve</w:t>
      </w:r>
      <w:r w:rsidRPr="00C74276">
        <w:rPr>
          <w:lang w:val="en-CA"/>
        </w:rPr>
        <w:t xml:space="preserve"> </w:t>
      </w:r>
      <w:r w:rsidR="00E56796" w:rsidRPr="00C74276">
        <w:rPr>
          <w:lang w:val="en-CA"/>
        </w:rPr>
        <w:t xml:space="preserve">order </w:t>
      </w:r>
      <w:r w:rsidRPr="00C74276">
        <w:rPr>
          <w:lang w:val="en-CA"/>
        </w:rPr>
        <w:t>was accompanied by</w:t>
      </w:r>
      <w:r w:rsidR="00E56796" w:rsidRPr="00C74276">
        <w:rPr>
          <w:lang w:val="en-CA"/>
        </w:rPr>
        <w:t xml:space="preserve"> [</w:t>
      </w:r>
      <w:r w:rsidR="00E56796" w:rsidRPr="00C74276">
        <w:rPr>
          <w:smallCaps/>
          <w:lang w:val="en-CA"/>
        </w:rPr>
        <w:t>translation</w:t>
      </w:r>
      <w:r w:rsidR="00E56796" w:rsidRPr="00C74276">
        <w:rPr>
          <w:lang w:val="en-CA"/>
        </w:rPr>
        <w:t>]</w:t>
      </w:r>
      <w:r w:rsidRPr="00C74276">
        <w:rPr>
          <w:lang w:val="en-CA"/>
        </w:rPr>
        <w:t xml:space="preserve"> “fair compensat</w:t>
      </w:r>
      <w:r w:rsidR="00A46964" w:rsidRPr="00C74276">
        <w:rPr>
          <w:lang w:val="en-CA"/>
        </w:rPr>
        <w:t xml:space="preserve">ion” valued at $100,000 for </w:t>
      </w:r>
      <w:r w:rsidR="00E56796" w:rsidRPr="00C74276">
        <w:rPr>
          <w:lang w:val="en-CA"/>
        </w:rPr>
        <w:t>the unlawful</w:t>
      </w:r>
      <w:r w:rsidRPr="00C74276">
        <w:rPr>
          <w:lang w:val="en-CA"/>
        </w:rPr>
        <w:t xml:space="preserve"> use of the Works in the Antidote 8 and 9 editions.</w:t>
      </w:r>
      <w:r w:rsidR="00634D8F" w:rsidRPr="00C74276">
        <w:rPr>
          <w:rStyle w:val="Appelnotedebasdep"/>
          <w:lang w:val="en-CA"/>
        </w:rPr>
        <w:footnoteReference w:id="27"/>
      </w:r>
    </w:p>
    <w:p w14:paraId="30F62CB5" w14:textId="68CEDBA6" w:rsidR="00634D8F" w:rsidRPr="00C74276" w:rsidRDefault="00E56796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Last</w:t>
      </w:r>
      <w:r w:rsidR="00941991" w:rsidRPr="00C74276">
        <w:rPr>
          <w:lang w:val="en-CA"/>
        </w:rPr>
        <w:t>, the judge conclud</w:t>
      </w:r>
      <w:r w:rsidR="009B367A" w:rsidRPr="00C74276">
        <w:rPr>
          <w:lang w:val="en-CA"/>
        </w:rPr>
        <w:t xml:space="preserve">ed that the use of </w:t>
      </w:r>
      <w:r w:rsidR="00941991" w:rsidRPr="00C74276">
        <w:rPr>
          <w:lang w:val="en-CA"/>
        </w:rPr>
        <w:t>QA</w:t>
      </w:r>
      <w:r w:rsidR="008E4838" w:rsidRPr="00C74276">
        <w:rPr>
          <w:lang w:val="en-CA"/>
        </w:rPr>
        <w:t>’s</w:t>
      </w:r>
      <w:r w:rsidR="009B367A" w:rsidRPr="00C74276">
        <w:rPr>
          <w:lang w:val="en-CA"/>
        </w:rPr>
        <w:t xml:space="preserve"> Works</w:t>
      </w:r>
      <w:r w:rsidR="00941991" w:rsidRPr="00C74276">
        <w:rPr>
          <w:lang w:val="en-CA"/>
        </w:rPr>
        <w:t xml:space="preserve"> in the English section </w:t>
      </w:r>
      <w:r w:rsidR="000D2FDA" w:rsidRPr="00C74276">
        <w:rPr>
          <w:lang w:val="en-CA"/>
        </w:rPr>
        <w:t>of the bilingual version of Antidote 9 as well as the plagi</w:t>
      </w:r>
      <w:r w:rsidR="00D65D9D" w:rsidRPr="00C74276">
        <w:rPr>
          <w:lang w:val="en-CA"/>
        </w:rPr>
        <w:t xml:space="preserve">arism by Druide of some of </w:t>
      </w:r>
      <w:r w:rsidR="000D2FDA" w:rsidRPr="00C74276">
        <w:rPr>
          <w:lang w:val="en-CA"/>
        </w:rPr>
        <w:t>QA</w:t>
      </w:r>
      <w:r w:rsidR="00D65D9D" w:rsidRPr="00C74276">
        <w:rPr>
          <w:lang w:val="en-CA"/>
        </w:rPr>
        <w:t xml:space="preserve">’s definitions constituted </w:t>
      </w:r>
      <w:r w:rsidR="000D2FDA" w:rsidRPr="00C74276">
        <w:rPr>
          <w:lang w:val="en-CA"/>
        </w:rPr>
        <w:t xml:space="preserve">unlawful and intentional </w:t>
      </w:r>
      <w:r w:rsidR="00FE40FE" w:rsidRPr="00C74276">
        <w:rPr>
          <w:lang w:val="en-CA"/>
        </w:rPr>
        <w:t>interference with</w:t>
      </w:r>
      <w:r w:rsidR="000D2FDA" w:rsidRPr="00C74276">
        <w:rPr>
          <w:lang w:val="en-CA"/>
        </w:rPr>
        <w:t xml:space="preserve"> QA’s copyright. </w:t>
      </w:r>
      <w:r w:rsidR="00D65D9D" w:rsidRPr="00C74276">
        <w:rPr>
          <w:lang w:val="en-CA"/>
        </w:rPr>
        <w:t>The judge therefore awarded QA</w:t>
      </w:r>
      <w:r w:rsidR="00B060B1" w:rsidRPr="00C74276">
        <w:rPr>
          <w:lang w:val="en-CA"/>
        </w:rPr>
        <w:t xml:space="preserve"> $25,000 in punitive damages.</w:t>
      </w:r>
      <w:r w:rsidR="00634D8F" w:rsidRPr="00C74276">
        <w:rPr>
          <w:rStyle w:val="Appelnotedebasdep"/>
          <w:lang w:val="en-CA"/>
        </w:rPr>
        <w:footnoteReference w:id="28"/>
      </w:r>
    </w:p>
    <w:p w14:paraId="6F1DDA8B" w14:textId="62CD526F" w:rsidR="00634D8F" w:rsidRPr="00C74276" w:rsidRDefault="000D2FDA" w:rsidP="00FA34B7">
      <w:pPr>
        <w:pStyle w:val="Titre1"/>
        <w:numPr>
          <w:ilvl w:val="0"/>
          <w:numId w:val="32"/>
        </w:numPr>
        <w:spacing w:line="280" w:lineRule="exact"/>
        <w:ind w:hanging="720"/>
        <w:rPr>
          <w:caps/>
          <w:lang w:val="en-CA"/>
        </w:rPr>
      </w:pPr>
      <w:r w:rsidRPr="00C74276">
        <w:rPr>
          <w:caps/>
          <w:lang w:val="en-CA"/>
        </w:rPr>
        <w:t xml:space="preserve">ISSUES </w:t>
      </w:r>
    </w:p>
    <w:p w14:paraId="6755E893" w14:textId="47661A88" w:rsidR="00634D8F" w:rsidRPr="00C74276" w:rsidRDefault="000D2FDA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The </w:t>
      </w:r>
      <w:r w:rsidR="00FE40FE" w:rsidRPr="00C74276">
        <w:rPr>
          <w:lang w:val="en-CA"/>
        </w:rPr>
        <w:t xml:space="preserve">dispute raises the </w:t>
      </w:r>
      <w:r w:rsidRPr="00C74276">
        <w:rPr>
          <w:lang w:val="en-CA"/>
        </w:rPr>
        <w:t xml:space="preserve">following </w:t>
      </w:r>
      <w:r w:rsidR="00A46964" w:rsidRPr="00C74276">
        <w:rPr>
          <w:lang w:val="en-CA"/>
        </w:rPr>
        <w:t>issue</w:t>
      </w:r>
      <w:r w:rsidR="00FE40FE" w:rsidRPr="00C74276">
        <w:rPr>
          <w:lang w:val="en-CA"/>
        </w:rPr>
        <w:t>s</w:t>
      </w:r>
      <w:r w:rsidR="006F6263" w:rsidRPr="00C74276">
        <w:rPr>
          <w:lang w:val="en-CA"/>
        </w:rPr>
        <w:t>:</w:t>
      </w:r>
    </w:p>
    <w:p w14:paraId="65C846C3" w14:textId="6B377C5A" w:rsidR="00634D8F" w:rsidRPr="00C74276" w:rsidRDefault="00634D8F" w:rsidP="00FA34B7">
      <w:pPr>
        <w:spacing w:before="120" w:after="120"/>
        <w:ind w:left="1440" w:hanging="720"/>
        <w:jc w:val="both"/>
        <w:rPr>
          <w:lang w:val="en-CA"/>
        </w:rPr>
      </w:pPr>
      <w:r w:rsidRPr="00C74276">
        <w:rPr>
          <w:lang w:val="en-CA"/>
        </w:rPr>
        <w:lastRenderedPageBreak/>
        <w:t>1.</w:t>
      </w:r>
      <w:r w:rsidRPr="00C74276">
        <w:rPr>
          <w:lang w:val="en-CA"/>
        </w:rPr>
        <w:tab/>
      </w:r>
      <w:r w:rsidR="00F855FD" w:rsidRPr="00C74276">
        <w:rPr>
          <w:lang w:val="en-CA"/>
        </w:rPr>
        <w:t>Did the judge make a reviewable error in concluding t</w:t>
      </w:r>
      <w:r w:rsidR="002B65C3" w:rsidRPr="00C74276">
        <w:rPr>
          <w:lang w:val="en-CA"/>
        </w:rPr>
        <w:t>hat QA merely</w:t>
      </w:r>
      <w:r w:rsidR="00F855FD" w:rsidRPr="00C74276">
        <w:rPr>
          <w:lang w:val="en-CA"/>
        </w:rPr>
        <w:t xml:space="preserve"> </w:t>
      </w:r>
      <w:r w:rsidR="00E974D5" w:rsidRPr="00C74276">
        <w:rPr>
          <w:lang w:val="en-CA"/>
        </w:rPr>
        <w:t>[</w:t>
      </w:r>
      <w:r w:rsidR="00E974D5" w:rsidRPr="00C74276">
        <w:rPr>
          <w:smallCaps/>
          <w:lang w:val="en-CA"/>
        </w:rPr>
        <w:t>translation</w:t>
      </w:r>
      <w:r w:rsidR="00E974D5" w:rsidRPr="00C74276">
        <w:rPr>
          <w:lang w:val="en-CA"/>
        </w:rPr>
        <w:t xml:space="preserve">] </w:t>
      </w:r>
      <w:r w:rsidR="00F855FD" w:rsidRPr="00C74276">
        <w:rPr>
          <w:lang w:val="en-CA"/>
        </w:rPr>
        <w:t>“consented” to the use</w:t>
      </w:r>
      <w:r w:rsidR="00FC5817" w:rsidRPr="00C74276">
        <w:rPr>
          <w:lang w:val="en-CA"/>
        </w:rPr>
        <w:t xml:space="preserve"> of its Works in </w:t>
      </w:r>
      <w:r w:rsidR="00F855FD" w:rsidRPr="00C74276">
        <w:rPr>
          <w:b/>
          <w:lang w:val="en-CA"/>
        </w:rPr>
        <w:t>Visuel Nano</w:t>
      </w:r>
      <w:r w:rsidR="00F855FD" w:rsidRPr="00C74276">
        <w:rPr>
          <w:lang w:val="en-CA"/>
        </w:rPr>
        <w:t xml:space="preserve"> and </w:t>
      </w:r>
      <w:r w:rsidR="00F855FD" w:rsidRPr="00C74276">
        <w:rPr>
          <w:b/>
          <w:lang w:val="en-CA"/>
        </w:rPr>
        <w:t xml:space="preserve">Visuel </w:t>
      </w:r>
      <w:r w:rsidR="00FC5817" w:rsidRPr="00C74276">
        <w:rPr>
          <w:b/>
          <w:lang w:val="en-CA"/>
        </w:rPr>
        <w:t>Intégré</w:t>
      </w:r>
      <w:r w:rsidR="00F855FD" w:rsidRPr="00C74276">
        <w:rPr>
          <w:lang w:val="en-CA"/>
        </w:rPr>
        <w:t xml:space="preserve"> in the Antidote HD software? </w:t>
      </w:r>
    </w:p>
    <w:p w14:paraId="4F4F8E3E" w14:textId="59E853FD" w:rsidR="00634D8F" w:rsidRPr="00C74276" w:rsidRDefault="00634D8F" w:rsidP="00FA34B7">
      <w:pPr>
        <w:spacing w:before="120" w:after="120"/>
        <w:ind w:left="1440" w:hanging="720"/>
        <w:jc w:val="both"/>
        <w:rPr>
          <w:lang w:val="en-CA"/>
        </w:rPr>
      </w:pPr>
      <w:r w:rsidRPr="00C74276">
        <w:rPr>
          <w:lang w:val="en-CA"/>
        </w:rPr>
        <w:t>2.</w:t>
      </w:r>
      <w:r w:rsidRPr="00C74276">
        <w:rPr>
          <w:lang w:val="en-CA"/>
        </w:rPr>
        <w:tab/>
      </w:r>
      <w:r w:rsidR="00F855FD" w:rsidRPr="00C74276">
        <w:rPr>
          <w:lang w:val="en-CA"/>
        </w:rPr>
        <w:t xml:space="preserve">Did the judge make a reviewable error in awarding exemplary damages to QA? </w:t>
      </w:r>
    </w:p>
    <w:p w14:paraId="3A10AD7A" w14:textId="4A24A309" w:rsidR="00634D8F" w:rsidRPr="00C74276" w:rsidRDefault="00634D8F" w:rsidP="00FA34B7">
      <w:pPr>
        <w:pStyle w:val="Titre1"/>
        <w:spacing w:line="280" w:lineRule="exact"/>
        <w:rPr>
          <w:lang w:val="en-CA"/>
        </w:rPr>
      </w:pPr>
      <w:r w:rsidRPr="00C74276">
        <w:rPr>
          <w:lang w:val="en-CA"/>
        </w:rPr>
        <w:t>4.</w:t>
      </w:r>
      <w:r w:rsidRPr="00C74276">
        <w:rPr>
          <w:lang w:val="en-CA"/>
        </w:rPr>
        <w:tab/>
      </w:r>
      <w:r w:rsidR="000D2FDA" w:rsidRPr="00C74276">
        <w:rPr>
          <w:lang w:val="en-CA"/>
        </w:rPr>
        <w:t xml:space="preserve">ANALYSIS </w:t>
      </w:r>
    </w:p>
    <w:p w14:paraId="2CDBE9B4" w14:textId="0E6F3B15" w:rsidR="00634D8F" w:rsidRPr="00C74276" w:rsidRDefault="00634D8F" w:rsidP="00FA34B7">
      <w:pPr>
        <w:pStyle w:val="Titre2"/>
        <w:keepNext w:val="0"/>
        <w:ind w:left="709" w:hanging="709"/>
        <w:jc w:val="both"/>
        <w:rPr>
          <w:i w:val="0"/>
          <w:lang w:val="en-CA"/>
        </w:rPr>
      </w:pPr>
      <w:r w:rsidRPr="00C74276">
        <w:rPr>
          <w:i w:val="0"/>
          <w:lang w:val="en-CA"/>
        </w:rPr>
        <w:t>4.1.</w:t>
      </w:r>
      <w:r w:rsidRPr="00C74276">
        <w:rPr>
          <w:i w:val="0"/>
          <w:lang w:val="en-CA"/>
        </w:rPr>
        <w:tab/>
      </w:r>
      <w:r w:rsidR="000E5DF9" w:rsidRPr="00C74276">
        <w:rPr>
          <w:i w:val="0"/>
          <w:lang w:val="en-CA"/>
        </w:rPr>
        <w:t>Did the judge make a reviewable error</w:t>
      </w:r>
      <w:r w:rsidR="002B65C3" w:rsidRPr="00C74276">
        <w:rPr>
          <w:i w:val="0"/>
          <w:lang w:val="en-CA"/>
        </w:rPr>
        <w:t xml:space="preserve"> in concluding that QA merely</w:t>
      </w:r>
      <w:r w:rsidR="000E5DF9" w:rsidRPr="00C74276">
        <w:rPr>
          <w:i w:val="0"/>
          <w:lang w:val="en-CA"/>
        </w:rPr>
        <w:t xml:space="preserve"> </w:t>
      </w:r>
      <w:r w:rsidR="00B04FF9" w:rsidRPr="00C74276">
        <w:rPr>
          <w:i w:val="0"/>
          <w:lang w:val="en-CA"/>
        </w:rPr>
        <w:t>[</w:t>
      </w:r>
      <w:r w:rsidR="00B04FF9" w:rsidRPr="00C74276">
        <w:rPr>
          <w:i w:val="0"/>
          <w:smallCaps/>
          <w:lang w:val="en-CA"/>
        </w:rPr>
        <w:t>translation</w:t>
      </w:r>
      <w:r w:rsidR="00B04FF9" w:rsidRPr="00C74276">
        <w:rPr>
          <w:i w:val="0"/>
          <w:lang w:val="en-CA"/>
        </w:rPr>
        <w:t xml:space="preserve">] </w:t>
      </w:r>
      <w:r w:rsidR="000E5DF9" w:rsidRPr="00C74276">
        <w:rPr>
          <w:i w:val="0"/>
          <w:lang w:val="en-CA"/>
        </w:rPr>
        <w:t>“consent</w:t>
      </w:r>
      <w:r w:rsidR="00FC5817" w:rsidRPr="00C74276">
        <w:rPr>
          <w:i w:val="0"/>
          <w:lang w:val="en-CA"/>
        </w:rPr>
        <w:t xml:space="preserve">ed” to the integration of its Works </w:t>
      </w:r>
      <w:r w:rsidR="006F6263" w:rsidRPr="00C74276">
        <w:rPr>
          <w:i w:val="0"/>
          <w:lang w:val="en-CA"/>
        </w:rPr>
        <w:t>in</w:t>
      </w:r>
      <w:r w:rsidR="00A677A9" w:rsidRPr="00C74276">
        <w:rPr>
          <w:lang w:val="en-CA"/>
        </w:rPr>
        <w:t xml:space="preserve"> </w:t>
      </w:r>
      <w:r w:rsidR="00FC5817" w:rsidRPr="00C74276">
        <w:rPr>
          <w:i w:val="0"/>
          <w:lang w:val="en-CA"/>
        </w:rPr>
        <w:t xml:space="preserve">Visuel Nano and Visuel Intégré </w:t>
      </w:r>
      <w:r w:rsidR="000E5DF9" w:rsidRPr="00C74276">
        <w:rPr>
          <w:i w:val="0"/>
          <w:lang w:val="en-CA"/>
        </w:rPr>
        <w:t>in the Antidote HD software</w:t>
      </w:r>
      <w:r w:rsidRPr="00C74276">
        <w:rPr>
          <w:i w:val="0"/>
          <w:lang w:val="en-CA"/>
        </w:rPr>
        <w:t>?</w:t>
      </w:r>
    </w:p>
    <w:p w14:paraId="0BA163B4" w14:textId="27E80A4D" w:rsidR="00634D8F" w:rsidRPr="00C74276" w:rsidRDefault="00634D8F" w:rsidP="00FA34B7">
      <w:pPr>
        <w:pStyle w:val="Titre3"/>
        <w:keepNext w:val="0"/>
        <w:ind w:left="1560" w:hanging="851"/>
        <w:jc w:val="both"/>
        <w:rPr>
          <w:b/>
          <w:lang w:val="en-CA"/>
        </w:rPr>
      </w:pPr>
      <w:r w:rsidRPr="00C74276">
        <w:rPr>
          <w:b/>
          <w:lang w:val="en-CA"/>
        </w:rPr>
        <w:t>4.1.1</w:t>
      </w:r>
      <w:r w:rsidRPr="00C74276">
        <w:rPr>
          <w:b/>
          <w:lang w:val="en-CA"/>
        </w:rPr>
        <w:tab/>
      </w:r>
      <w:r w:rsidR="002F45F0" w:rsidRPr="00C74276">
        <w:rPr>
          <w:b/>
          <w:lang w:val="en-CA"/>
        </w:rPr>
        <w:t>Preliminary remarks</w:t>
      </w:r>
      <w:r w:rsidR="00A677A9" w:rsidRPr="00C74276">
        <w:rPr>
          <w:b/>
          <w:lang w:val="en-CA"/>
        </w:rPr>
        <w:t xml:space="preserve"> on the standard of review</w:t>
      </w:r>
      <w:r w:rsidR="002F45F0" w:rsidRPr="00C74276">
        <w:rPr>
          <w:b/>
          <w:lang w:val="en-CA"/>
        </w:rPr>
        <w:t xml:space="preserve"> and the burden of proof </w:t>
      </w:r>
    </w:p>
    <w:p w14:paraId="497AA48A" w14:textId="2BE452E4" w:rsidR="00634D8F" w:rsidRPr="00C74276" w:rsidRDefault="002F45F0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Before dealing with the substantive issue, it is necessary to specify the app</w:t>
      </w:r>
      <w:r w:rsidR="00A677A9" w:rsidRPr="00C74276">
        <w:rPr>
          <w:lang w:val="en-CA"/>
        </w:rPr>
        <w:t>licable standard of review</w:t>
      </w:r>
      <w:r w:rsidRPr="00C74276">
        <w:rPr>
          <w:lang w:val="en-CA"/>
        </w:rPr>
        <w:t xml:space="preserve"> and to establish whether the judge erred in assigning the burden of proof in a copyright infringement matter. </w:t>
      </w:r>
    </w:p>
    <w:p w14:paraId="01072C29" w14:textId="3ACA7A9C" w:rsidR="00634D8F" w:rsidRPr="00C74276" w:rsidRDefault="00634D8F" w:rsidP="00FA34B7">
      <w:pPr>
        <w:pStyle w:val="Titre4"/>
        <w:tabs>
          <w:tab w:val="left" w:pos="2552"/>
        </w:tabs>
        <w:ind w:left="2552" w:hanging="992"/>
        <w:rPr>
          <w:lang w:val="en-CA"/>
        </w:rPr>
      </w:pPr>
      <w:r w:rsidRPr="00C74276">
        <w:rPr>
          <w:lang w:val="en-CA"/>
        </w:rPr>
        <w:t>4.1.1.1</w:t>
      </w:r>
      <w:r w:rsidRPr="00C74276">
        <w:rPr>
          <w:lang w:val="en-CA"/>
        </w:rPr>
        <w:tab/>
      </w:r>
      <w:r w:rsidR="00B93B61" w:rsidRPr="00C74276">
        <w:rPr>
          <w:lang w:val="en-CA"/>
        </w:rPr>
        <w:t>The s</w:t>
      </w:r>
      <w:r w:rsidR="00A677A9" w:rsidRPr="00C74276">
        <w:rPr>
          <w:lang w:val="en-CA"/>
        </w:rPr>
        <w:t>tandard of review</w:t>
      </w:r>
      <w:r w:rsidR="002F45F0" w:rsidRPr="00C74276">
        <w:rPr>
          <w:lang w:val="en-CA"/>
        </w:rPr>
        <w:t xml:space="preserve"> </w:t>
      </w:r>
    </w:p>
    <w:p w14:paraId="0B35D533" w14:textId="451F8E88" w:rsidR="00634D8F" w:rsidRPr="00C74276" w:rsidRDefault="002F45F0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The dispute between the parties mainly concerns the characterization </w:t>
      </w:r>
      <w:r w:rsidR="0013089A" w:rsidRPr="00C74276">
        <w:rPr>
          <w:lang w:val="en-CA"/>
        </w:rPr>
        <w:t xml:space="preserve">of the contract </w:t>
      </w:r>
      <w:r w:rsidR="0012121E" w:rsidRPr="00C74276">
        <w:rPr>
          <w:lang w:val="en-CA"/>
        </w:rPr>
        <w:t>between them. Druide maintains</w:t>
      </w:r>
      <w:r w:rsidR="00A61963" w:rsidRPr="00C74276">
        <w:rPr>
          <w:lang w:val="en-CA"/>
        </w:rPr>
        <w:t xml:space="preserve"> that it holds an irrevocable</w:t>
      </w:r>
      <w:r w:rsidR="00067397" w:rsidRPr="00C74276">
        <w:rPr>
          <w:lang w:val="en-CA"/>
        </w:rPr>
        <w:t xml:space="preserve"> non-exclusive licenc</w:t>
      </w:r>
      <w:r w:rsidR="00A61963" w:rsidRPr="00C74276">
        <w:rPr>
          <w:lang w:val="en-CA"/>
        </w:rPr>
        <w:t xml:space="preserve">e </w:t>
      </w:r>
      <w:r w:rsidR="00067397" w:rsidRPr="00C74276">
        <w:rPr>
          <w:lang w:val="en-CA"/>
        </w:rPr>
        <w:t xml:space="preserve">allowing it to use </w:t>
      </w:r>
      <w:r w:rsidR="00A61963" w:rsidRPr="00C74276">
        <w:rPr>
          <w:lang w:val="en-CA"/>
        </w:rPr>
        <w:t>QA</w:t>
      </w:r>
      <w:r w:rsidR="00067397" w:rsidRPr="00C74276">
        <w:rPr>
          <w:lang w:val="en-CA"/>
        </w:rPr>
        <w:t>’s Works</w:t>
      </w:r>
      <w:r w:rsidR="00A61963" w:rsidRPr="00C74276">
        <w:rPr>
          <w:lang w:val="en-CA"/>
        </w:rPr>
        <w:t xml:space="preserve"> for an unlimited period. </w:t>
      </w:r>
      <w:r w:rsidR="00067397" w:rsidRPr="00C74276">
        <w:rPr>
          <w:lang w:val="en-CA"/>
        </w:rPr>
        <w:t xml:space="preserve">As for QA, it initially </w:t>
      </w:r>
      <w:r w:rsidR="000A0DF8" w:rsidRPr="00C74276">
        <w:rPr>
          <w:lang w:val="en-CA"/>
        </w:rPr>
        <w:t>argued</w:t>
      </w:r>
      <w:r w:rsidR="00A61963" w:rsidRPr="00C74276">
        <w:rPr>
          <w:lang w:val="en-CA"/>
        </w:rPr>
        <w:t xml:space="preserve"> that it </w:t>
      </w:r>
      <w:r w:rsidR="00067397" w:rsidRPr="00C74276">
        <w:rPr>
          <w:lang w:val="en-CA"/>
        </w:rPr>
        <w:t xml:space="preserve">had </w:t>
      </w:r>
      <w:r w:rsidR="00A61963" w:rsidRPr="00C74276">
        <w:rPr>
          <w:lang w:val="en-CA"/>
        </w:rPr>
        <w:t>never consented to the use of its Works by Drui</w:t>
      </w:r>
      <w:r w:rsidR="00DD6177" w:rsidRPr="00C74276">
        <w:rPr>
          <w:lang w:val="en-CA"/>
        </w:rPr>
        <w:t>de. Before the Court, it alleged</w:t>
      </w:r>
      <w:r w:rsidR="00067397" w:rsidRPr="00C74276">
        <w:rPr>
          <w:lang w:val="en-CA"/>
        </w:rPr>
        <w:t xml:space="preserve"> that there existed a</w:t>
      </w:r>
      <w:r w:rsidR="00DD6177" w:rsidRPr="00C74276">
        <w:rPr>
          <w:lang w:val="en-CA"/>
        </w:rPr>
        <w:t xml:space="preserve"> </w:t>
      </w:r>
      <w:r w:rsidR="00A61963" w:rsidRPr="00C74276">
        <w:rPr>
          <w:lang w:val="en-CA"/>
        </w:rPr>
        <w:t>work</w:t>
      </w:r>
      <w:r w:rsidR="00067397" w:rsidRPr="00C74276">
        <w:rPr>
          <w:lang w:val="en-CA"/>
        </w:rPr>
        <w:t xml:space="preserve"> </w:t>
      </w:r>
      <w:r w:rsidR="009B6507" w:rsidRPr="00C74276">
        <w:rPr>
          <w:lang w:val="en-CA"/>
        </w:rPr>
        <w:t xml:space="preserve">of joint authorship </w:t>
      </w:r>
      <w:r w:rsidR="00067397" w:rsidRPr="00C74276">
        <w:rPr>
          <w:lang w:val="en-CA"/>
        </w:rPr>
        <w:t xml:space="preserve">with Druide </w:t>
      </w:r>
      <w:r w:rsidR="000A0DF8" w:rsidRPr="00C74276">
        <w:rPr>
          <w:lang w:val="en-CA"/>
        </w:rPr>
        <w:t>that</w:t>
      </w:r>
      <w:r w:rsidR="00067397" w:rsidRPr="00C74276">
        <w:rPr>
          <w:lang w:val="en-CA"/>
        </w:rPr>
        <w:t xml:space="preserve"> required </w:t>
      </w:r>
      <w:r w:rsidR="00DD6177" w:rsidRPr="00C74276">
        <w:rPr>
          <w:lang w:val="en-CA"/>
        </w:rPr>
        <w:t xml:space="preserve">the </w:t>
      </w:r>
      <w:r w:rsidR="00A61963" w:rsidRPr="00C74276">
        <w:rPr>
          <w:lang w:val="en-CA"/>
        </w:rPr>
        <w:t xml:space="preserve">assignment by QA of its copyright by means of a written document, as provided for in subsection 13(4) of the </w:t>
      </w:r>
      <w:r w:rsidR="00A61963" w:rsidRPr="00C74276">
        <w:rPr>
          <w:i/>
          <w:lang w:val="en-CA"/>
        </w:rPr>
        <w:t>CA</w:t>
      </w:r>
      <w:r w:rsidR="00A61963" w:rsidRPr="00C74276">
        <w:rPr>
          <w:lang w:val="en-CA"/>
        </w:rPr>
        <w:t xml:space="preserve">. It </w:t>
      </w:r>
      <w:r w:rsidR="00DD6177" w:rsidRPr="00C74276">
        <w:rPr>
          <w:lang w:val="en-CA"/>
        </w:rPr>
        <w:t xml:space="preserve">then </w:t>
      </w:r>
      <w:r w:rsidR="00A61963" w:rsidRPr="00C74276">
        <w:rPr>
          <w:lang w:val="en-CA"/>
        </w:rPr>
        <w:t xml:space="preserve">argued that that </w:t>
      </w:r>
      <w:r w:rsidR="00067397" w:rsidRPr="00C74276">
        <w:rPr>
          <w:lang w:val="en-CA"/>
        </w:rPr>
        <w:t>no such written document exists</w:t>
      </w:r>
      <w:r w:rsidR="00A61963" w:rsidRPr="00C74276">
        <w:rPr>
          <w:lang w:val="en-CA"/>
        </w:rPr>
        <w:t xml:space="preserve">. </w:t>
      </w:r>
    </w:p>
    <w:p w14:paraId="2B40B0C4" w14:textId="090DE4E5" w:rsidR="00634D8F" w:rsidRPr="00C74276" w:rsidRDefault="00A61963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The Supreme Court of Canada and this Court have confirmed that the ch</w:t>
      </w:r>
      <w:r w:rsidR="00D50F9F" w:rsidRPr="00C74276">
        <w:rPr>
          <w:lang w:val="en-CA"/>
        </w:rPr>
        <w:t>aracterization of a contract can</w:t>
      </w:r>
      <w:r w:rsidRPr="00C74276">
        <w:rPr>
          <w:lang w:val="en-CA"/>
        </w:rPr>
        <w:t xml:space="preserve"> be considered a question of mixed fact and law in certain circumstances, particularly</w:t>
      </w:r>
      <w:r w:rsidR="00EB5BDB" w:rsidRPr="00C74276">
        <w:rPr>
          <w:lang w:val="en-CA"/>
        </w:rPr>
        <w:t xml:space="preserve"> when it is necessary to consider</w:t>
      </w:r>
      <w:r w:rsidRPr="00C74276">
        <w:rPr>
          <w:lang w:val="en-CA"/>
        </w:rPr>
        <w:t xml:space="preserve"> the </w:t>
      </w:r>
      <w:r w:rsidR="00EB5BDB" w:rsidRPr="00C74276">
        <w:rPr>
          <w:lang w:val="en-CA"/>
        </w:rPr>
        <w:t>parties’ common intention</w:t>
      </w:r>
      <w:r w:rsidRPr="00C74276">
        <w:rPr>
          <w:lang w:val="en-CA"/>
        </w:rPr>
        <w:t>.</w:t>
      </w:r>
      <w:bookmarkStart w:id="13" w:name="_Ref50644313"/>
      <w:r w:rsidR="00B93B61" w:rsidRPr="00C74276">
        <w:rPr>
          <w:vertAlign w:val="superscript"/>
          <w:lang w:val="en-CA"/>
        </w:rPr>
        <w:footnoteReference w:id="29"/>
      </w:r>
      <w:bookmarkEnd w:id="13"/>
      <w:r w:rsidRPr="00C74276">
        <w:rPr>
          <w:lang w:val="en-CA"/>
        </w:rPr>
        <w:t xml:space="preserve"> </w:t>
      </w:r>
      <w:r w:rsidR="001B75F9" w:rsidRPr="00C74276">
        <w:rPr>
          <w:lang w:val="en-CA"/>
        </w:rPr>
        <w:t>I</w:t>
      </w:r>
      <w:r w:rsidR="00BF7A5C" w:rsidRPr="00C74276">
        <w:rPr>
          <w:lang w:val="en-CA"/>
        </w:rPr>
        <w:t>n that</w:t>
      </w:r>
      <w:r w:rsidR="001B75F9" w:rsidRPr="00C74276">
        <w:rPr>
          <w:lang w:val="en-CA"/>
        </w:rPr>
        <w:t xml:space="preserve"> case, the app</w:t>
      </w:r>
      <w:r w:rsidR="003C5AC9" w:rsidRPr="00C74276">
        <w:rPr>
          <w:lang w:val="en-CA"/>
        </w:rPr>
        <w:t>licable standard of review</w:t>
      </w:r>
      <w:r w:rsidR="001B75F9" w:rsidRPr="00C74276">
        <w:rPr>
          <w:lang w:val="en-CA"/>
        </w:rPr>
        <w:t xml:space="preserve"> is that of </w:t>
      </w:r>
      <w:r w:rsidR="00517DDF" w:rsidRPr="00C74276">
        <w:rPr>
          <w:lang w:val="en-CA"/>
        </w:rPr>
        <w:t xml:space="preserve">palpable </w:t>
      </w:r>
      <w:r w:rsidR="00D50F9F" w:rsidRPr="00C74276">
        <w:rPr>
          <w:lang w:val="en-CA"/>
        </w:rPr>
        <w:t xml:space="preserve">and overriding </w:t>
      </w:r>
      <w:r w:rsidR="001B75F9" w:rsidRPr="00C74276">
        <w:rPr>
          <w:lang w:val="en-CA"/>
        </w:rPr>
        <w:t>error</w:t>
      </w:r>
      <w:r w:rsidR="00634D8F" w:rsidRPr="00C74276">
        <w:rPr>
          <w:lang w:val="en-CA"/>
        </w:rPr>
        <w:t>:</w:t>
      </w:r>
    </w:p>
    <w:p w14:paraId="00E1CCD5" w14:textId="77777777" w:rsidR="003427C0" w:rsidRPr="00C74276" w:rsidRDefault="003427C0" w:rsidP="00FA34B7">
      <w:pPr>
        <w:spacing w:before="120" w:after="120"/>
        <w:ind w:left="720" w:right="720"/>
        <w:jc w:val="both"/>
        <w:rPr>
          <w:kern w:val="24"/>
          <w:sz w:val="22"/>
          <w:lang w:val="en-CA"/>
        </w:rPr>
      </w:pPr>
    </w:p>
    <w:p w14:paraId="0EA665A9" w14:textId="77777777" w:rsidR="003427C0" w:rsidRPr="00C74276" w:rsidRDefault="003427C0" w:rsidP="00FA34B7">
      <w:pPr>
        <w:spacing w:before="120" w:after="120"/>
        <w:ind w:left="720" w:right="720"/>
        <w:jc w:val="both"/>
        <w:rPr>
          <w:kern w:val="24"/>
          <w:sz w:val="22"/>
          <w:lang w:val="en-CA"/>
        </w:rPr>
      </w:pPr>
    </w:p>
    <w:p w14:paraId="239CA2F9" w14:textId="7B32FB04" w:rsidR="003427C0" w:rsidRPr="00C74276" w:rsidRDefault="003427C0" w:rsidP="000E2D2A">
      <w:pPr>
        <w:keepNext/>
        <w:spacing w:before="120" w:after="120"/>
        <w:ind w:left="720" w:right="720"/>
        <w:jc w:val="both"/>
        <w:rPr>
          <w:kern w:val="24"/>
          <w:sz w:val="22"/>
          <w:lang w:val="en-CA"/>
        </w:rPr>
      </w:pPr>
      <w:r w:rsidRPr="00C74276">
        <w:rPr>
          <w:kern w:val="24"/>
          <w:sz w:val="22"/>
          <w:lang w:val="en-CA"/>
        </w:rPr>
        <w:lastRenderedPageBreak/>
        <w:t>[</w:t>
      </w:r>
      <w:r w:rsidRPr="00C74276">
        <w:rPr>
          <w:smallCaps/>
          <w:kern w:val="24"/>
          <w:sz w:val="22"/>
          <w:lang w:val="en-CA"/>
        </w:rPr>
        <w:t>translation</w:t>
      </w:r>
      <w:r w:rsidR="00985E0A" w:rsidRPr="00C74276">
        <w:rPr>
          <w:kern w:val="24"/>
          <w:sz w:val="22"/>
          <w:lang w:val="en-CA"/>
        </w:rPr>
        <w:t>]</w:t>
      </w:r>
    </w:p>
    <w:p w14:paraId="6BCA06C3" w14:textId="5C6B1DD6" w:rsidR="00634D8F" w:rsidRPr="00C74276" w:rsidRDefault="00634D8F" w:rsidP="000E2D2A">
      <w:pPr>
        <w:keepNext/>
        <w:spacing w:before="120" w:after="120"/>
        <w:ind w:left="720" w:right="720"/>
        <w:jc w:val="both"/>
        <w:rPr>
          <w:kern w:val="24"/>
          <w:sz w:val="22"/>
          <w:lang w:val="en-CA"/>
        </w:rPr>
      </w:pPr>
      <w:r w:rsidRPr="00C74276">
        <w:rPr>
          <w:kern w:val="24"/>
          <w:sz w:val="22"/>
          <w:lang w:val="en-CA"/>
        </w:rPr>
        <w:t>[64]</w:t>
      </w:r>
      <w:r w:rsidRPr="00C74276">
        <w:rPr>
          <w:kern w:val="24"/>
          <w:sz w:val="22"/>
          <w:lang w:val="en-CA"/>
        </w:rPr>
        <w:tab/>
      </w:r>
      <w:r w:rsidR="006365B3" w:rsidRPr="00C74276">
        <w:rPr>
          <w:kern w:val="24"/>
          <w:sz w:val="22"/>
          <w:lang w:val="en-CA"/>
        </w:rPr>
        <w:t xml:space="preserve">When the characterization of a contract is limited </w:t>
      </w:r>
      <w:r w:rsidR="00C933AD" w:rsidRPr="00C74276">
        <w:rPr>
          <w:kern w:val="24"/>
          <w:sz w:val="22"/>
          <w:lang w:val="en-CA"/>
        </w:rPr>
        <w:t>to the sole analy</w:t>
      </w:r>
      <w:r w:rsidR="000E5C22" w:rsidRPr="00C74276">
        <w:rPr>
          <w:kern w:val="24"/>
          <w:sz w:val="22"/>
          <w:lang w:val="en-CA"/>
        </w:rPr>
        <w:t>sis of a question of law, the standard of correctness is applied to the judgment unde</w:t>
      </w:r>
      <w:r w:rsidR="00D8472E" w:rsidRPr="00C74276">
        <w:rPr>
          <w:kern w:val="24"/>
          <w:sz w:val="22"/>
          <w:lang w:val="en-CA"/>
        </w:rPr>
        <w:t>r review</w:t>
      </w:r>
      <w:r w:rsidR="000E5C22" w:rsidRPr="00C74276">
        <w:rPr>
          <w:kern w:val="24"/>
          <w:sz w:val="22"/>
          <w:lang w:val="en-CA"/>
        </w:rPr>
        <w:t xml:space="preserve">. </w:t>
      </w:r>
      <w:r w:rsidR="000E5C22" w:rsidRPr="00C74276">
        <w:rPr>
          <w:kern w:val="24"/>
          <w:sz w:val="22"/>
          <w:u w:val="single"/>
          <w:lang w:val="en-CA"/>
        </w:rPr>
        <w:t xml:space="preserve">But when the characterization of a contract involves the analysis of a question of fact and law, “a more </w:t>
      </w:r>
      <w:r w:rsidR="00985E0A" w:rsidRPr="00C74276">
        <w:rPr>
          <w:kern w:val="24"/>
          <w:sz w:val="22"/>
          <w:u w:val="single"/>
          <w:lang w:val="en-CA"/>
        </w:rPr>
        <w:t>stringent</w:t>
      </w:r>
      <w:r w:rsidR="000E5C22" w:rsidRPr="00C74276">
        <w:rPr>
          <w:kern w:val="24"/>
          <w:sz w:val="22"/>
          <w:u w:val="single"/>
          <w:lang w:val="en-CA"/>
        </w:rPr>
        <w:t xml:space="preserve"> standard”</w:t>
      </w:r>
      <w:r w:rsidR="00D8472E" w:rsidRPr="00C74276">
        <w:rPr>
          <w:kern w:val="24"/>
          <w:sz w:val="22"/>
          <w:u w:val="single"/>
          <w:lang w:val="en-CA"/>
        </w:rPr>
        <w:t xml:space="preserve"> </w:t>
      </w:r>
      <w:r w:rsidR="00985E0A" w:rsidRPr="00C74276">
        <w:rPr>
          <w:kern w:val="24"/>
          <w:sz w:val="22"/>
          <w:u w:val="single"/>
          <w:lang w:val="en-CA"/>
        </w:rPr>
        <w:t>applies</w:t>
      </w:r>
      <w:r w:rsidR="000E5C22" w:rsidRPr="00C74276">
        <w:rPr>
          <w:kern w:val="24"/>
          <w:sz w:val="22"/>
          <w:lang w:val="en-CA"/>
        </w:rPr>
        <w:t xml:space="preserve">. </w:t>
      </w:r>
    </w:p>
    <w:p w14:paraId="407247D6" w14:textId="5354F9A1" w:rsidR="00634D8F" w:rsidRPr="00C74276" w:rsidRDefault="00634D8F" w:rsidP="00FA34B7">
      <w:pPr>
        <w:spacing w:before="120" w:after="120"/>
        <w:ind w:left="720" w:right="720"/>
        <w:jc w:val="both"/>
        <w:rPr>
          <w:kern w:val="24"/>
          <w:sz w:val="22"/>
          <w:lang w:val="en-CA"/>
        </w:rPr>
      </w:pPr>
      <w:r w:rsidRPr="00C74276">
        <w:rPr>
          <w:kern w:val="24"/>
          <w:sz w:val="22"/>
          <w:lang w:val="en-CA"/>
        </w:rPr>
        <w:t>[65]</w:t>
      </w:r>
      <w:r w:rsidRPr="00C74276">
        <w:rPr>
          <w:kern w:val="24"/>
          <w:sz w:val="22"/>
          <w:lang w:val="en-CA"/>
        </w:rPr>
        <w:tab/>
      </w:r>
      <w:r w:rsidR="00B94655" w:rsidRPr="00C74276">
        <w:rPr>
          <w:kern w:val="24"/>
          <w:sz w:val="22"/>
          <w:lang w:val="en-CA"/>
        </w:rPr>
        <w:t xml:space="preserve">Indeed, </w:t>
      </w:r>
      <w:r w:rsidR="00632E17" w:rsidRPr="00C74276">
        <w:rPr>
          <w:kern w:val="24"/>
          <w:sz w:val="22"/>
          <w:lang w:val="en-CA"/>
        </w:rPr>
        <w:t>“</w:t>
      </w:r>
      <w:r w:rsidR="00CD58BD" w:rsidRPr="00C74276">
        <w:rPr>
          <w:kern w:val="24"/>
          <w:sz w:val="22"/>
          <w:lang w:val="en-CA"/>
        </w:rPr>
        <w:t>where</w:t>
      </w:r>
      <w:r w:rsidR="00B94655" w:rsidRPr="00C74276">
        <w:rPr>
          <w:kern w:val="24"/>
          <w:sz w:val="22"/>
          <w:lang w:val="en-CA"/>
        </w:rPr>
        <w:t xml:space="preserve"> the issue on appeal </w:t>
      </w:r>
      <w:r w:rsidR="00CD58BD" w:rsidRPr="00C74276">
        <w:rPr>
          <w:kern w:val="24"/>
          <w:sz w:val="22"/>
          <w:lang w:val="en-CA"/>
        </w:rPr>
        <w:t>involves</w:t>
      </w:r>
      <w:r w:rsidR="00B94655" w:rsidRPr="00C74276">
        <w:rPr>
          <w:kern w:val="24"/>
          <w:sz w:val="22"/>
          <w:lang w:val="en-CA"/>
        </w:rPr>
        <w:t xml:space="preserve"> the trial judge’s interpretation</w:t>
      </w:r>
      <w:r w:rsidR="00632E17" w:rsidRPr="00C74276">
        <w:rPr>
          <w:kern w:val="24"/>
          <w:sz w:val="22"/>
          <w:lang w:val="en-CA"/>
        </w:rPr>
        <w:t xml:space="preserve"> of the evidence as a whole, </w:t>
      </w:r>
      <w:r w:rsidR="00CD58BD" w:rsidRPr="00C74276">
        <w:rPr>
          <w:kern w:val="24"/>
          <w:sz w:val="22"/>
          <w:lang w:val="en-CA"/>
        </w:rPr>
        <w:t xml:space="preserve">it </w:t>
      </w:r>
      <w:r w:rsidR="00632E17" w:rsidRPr="00C74276">
        <w:rPr>
          <w:kern w:val="24"/>
          <w:sz w:val="22"/>
          <w:lang w:val="en-CA"/>
        </w:rPr>
        <w:t>should not be overturned absen</w:t>
      </w:r>
      <w:r w:rsidR="00CD58BD" w:rsidRPr="00C74276">
        <w:rPr>
          <w:kern w:val="24"/>
          <w:sz w:val="22"/>
          <w:lang w:val="en-CA"/>
        </w:rPr>
        <w:t>t</w:t>
      </w:r>
      <w:r w:rsidR="006263E9" w:rsidRPr="00C74276">
        <w:rPr>
          <w:kern w:val="24"/>
          <w:sz w:val="22"/>
          <w:lang w:val="en-CA"/>
        </w:rPr>
        <w:t xml:space="preserve"> </w:t>
      </w:r>
      <w:r w:rsidR="00B93B61" w:rsidRPr="00C74276">
        <w:rPr>
          <w:kern w:val="24"/>
          <w:sz w:val="22"/>
          <w:lang w:val="en-CA"/>
        </w:rPr>
        <w:t>palpable and overriding error</w:t>
      </w:r>
      <w:r w:rsidR="00CD58BD" w:rsidRPr="00C74276">
        <w:rPr>
          <w:kern w:val="24"/>
          <w:sz w:val="22"/>
          <w:lang w:val="en-CA"/>
        </w:rPr>
        <w:t>”</w:t>
      </w:r>
      <w:r w:rsidR="00B93B61" w:rsidRPr="00C74276">
        <w:rPr>
          <w:kern w:val="24"/>
          <w:sz w:val="22"/>
          <w:lang w:val="en-CA"/>
        </w:rPr>
        <w:t>.</w:t>
      </w:r>
      <w:r w:rsidRPr="00C74276">
        <w:rPr>
          <w:kern w:val="24"/>
          <w:sz w:val="22"/>
          <w:vertAlign w:val="superscript"/>
          <w:lang w:val="en-CA"/>
        </w:rPr>
        <w:footnoteReference w:id="30"/>
      </w:r>
    </w:p>
    <w:p w14:paraId="7B3AA8A4" w14:textId="11AF3546" w:rsidR="00634D8F" w:rsidRPr="00C74276" w:rsidRDefault="00634D8F" w:rsidP="00FA34B7">
      <w:pPr>
        <w:spacing w:before="120" w:after="120"/>
        <w:ind w:right="720"/>
        <w:jc w:val="right"/>
        <w:rPr>
          <w:lang w:val="en-CA"/>
        </w:rPr>
      </w:pPr>
      <w:r w:rsidRPr="00C74276">
        <w:rPr>
          <w:lang w:val="en-CA"/>
        </w:rPr>
        <w:t>[</w:t>
      </w:r>
      <w:r w:rsidR="003C29C8" w:rsidRPr="00C74276">
        <w:rPr>
          <w:lang w:val="en-CA"/>
        </w:rPr>
        <w:t>Emphasis</w:t>
      </w:r>
      <w:r w:rsidR="00B93B61" w:rsidRPr="00C74276">
        <w:rPr>
          <w:lang w:val="en-CA"/>
        </w:rPr>
        <w:t xml:space="preserve"> added; references omitted</w:t>
      </w:r>
      <w:r w:rsidRPr="00C74276">
        <w:rPr>
          <w:lang w:val="en-CA"/>
        </w:rPr>
        <w:t>]</w:t>
      </w:r>
    </w:p>
    <w:p w14:paraId="14649BDC" w14:textId="61B6315F" w:rsidR="00634D8F" w:rsidRPr="00C74276" w:rsidRDefault="00C37EFF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The characterizatio</w:t>
      </w:r>
      <w:r w:rsidR="006263E9" w:rsidRPr="00C74276">
        <w:rPr>
          <w:lang w:val="en-CA"/>
        </w:rPr>
        <w:t xml:space="preserve">n of the agreement </w:t>
      </w:r>
      <w:r w:rsidRPr="00C74276">
        <w:rPr>
          <w:lang w:val="en-CA"/>
        </w:rPr>
        <w:t xml:space="preserve">between the parties here calls for an analysis of the </w:t>
      </w:r>
      <w:r w:rsidR="006263E9" w:rsidRPr="00C74276">
        <w:rPr>
          <w:lang w:val="en-CA"/>
        </w:rPr>
        <w:t>parties’ common intention, such that</w:t>
      </w:r>
      <w:r w:rsidRPr="00C74276">
        <w:rPr>
          <w:lang w:val="en-CA"/>
        </w:rPr>
        <w:t xml:space="preserve"> the ap</w:t>
      </w:r>
      <w:r w:rsidR="006263E9" w:rsidRPr="00C74276">
        <w:rPr>
          <w:lang w:val="en-CA"/>
        </w:rPr>
        <w:t xml:space="preserve">plicable standard of review </w:t>
      </w:r>
      <w:r w:rsidRPr="00C74276">
        <w:rPr>
          <w:lang w:val="en-CA"/>
        </w:rPr>
        <w:t xml:space="preserve"> is that of palpable </w:t>
      </w:r>
      <w:r w:rsidR="00D50F9F" w:rsidRPr="00C74276">
        <w:rPr>
          <w:lang w:val="en-CA"/>
        </w:rPr>
        <w:t xml:space="preserve">and overriding </w:t>
      </w:r>
      <w:r w:rsidRPr="00C74276">
        <w:rPr>
          <w:lang w:val="en-CA"/>
        </w:rPr>
        <w:t xml:space="preserve">error. </w:t>
      </w:r>
    </w:p>
    <w:p w14:paraId="72BBF932" w14:textId="00F48628" w:rsidR="00634D8F" w:rsidRPr="00C74276" w:rsidRDefault="00634D8F" w:rsidP="00266B73">
      <w:pPr>
        <w:pStyle w:val="Titre4"/>
        <w:tabs>
          <w:tab w:val="left" w:pos="2552"/>
        </w:tabs>
        <w:ind w:left="720" w:firstLine="840"/>
        <w:rPr>
          <w:lang w:val="en-CA"/>
        </w:rPr>
      </w:pPr>
      <w:r w:rsidRPr="00C74276">
        <w:rPr>
          <w:lang w:val="en-CA"/>
        </w:rPr>
        <w:t>4.1.1.2</w:t>
      </w:r>
      <w:r w:rsidRPr="00C74276">
        <w:rPr>
          <w:lang w:val="en-CA"/>
        </w:rPr>
        <w:tab/>
      </w:r>
      <w:r w:rsidR="00B93B61" w:rsidRPr="00C74276">
        <w:rPr>
          <w:lang w:val="en-CA"/>
        </w:rPr>
        <w:t>The b</w:t>
      </w:r>
      <w:r w:rsidR="00C37EFF" w:rsidRPr="00C74276">
        <w:rPr>
          <w:lang w:val="en-CA"/>
        </w:rPr>
        <w:t xml:space="preserve">urden of proof </w:t>
      </w:r>
    </w:p>
    <w:p w14:paraId="3053EECC" w14:textId="1754A24B" w:rsidR="00634D8F" w:rsidRPr="00C74276" w:rsidRDefault="001074D0" w:rsidP="00266B73">
      <w:pPr>
        <w:pStyle w:val="Paragraphe"/>
        <w:keepNext/>
        <w:spacing w:line="280" w:lineRule="exact"/>
        <w:rPr>
          <w:lang w:val="en-CA"/>
        </w:rPr>
      </w:pPr>
      <w:r w:rsidRPr="00C74276">
        <w:rPr>
          <w:lang w:val="en-CA"/>
        </w:rPr>
        <w:t xml:space="preserve">Druide </w:t>
      </w:r>
      <w:r w:rsidR="0085144F" w:rsidRPr="00C74276">
        <w:rPr>
          <w:lang w:val="en-CA"/>
        </w:rPr>
        <w:t>submits</w:t>
      </w:r>
      <w:r w:rsidR="00632E17" w:rsidRPr="00C74276">
        <w:rPr>
          <w:lang w:val="en-CA"/>
        </w:rPr>
        <w:t xml:space="preserve"> that the judge erred in placing the </w:t>
      </w:r>
      <w:r w:rsidR="0085144F" w:rsidRPr="00C74276">
        <w:rPr>
          <w:lang w:val="en-CA"/>
        </w:rPr>
        <w:t>burden</w:t>
      </w:r>
      <w:r w:rsidR="00632E17" w:rsidRPr="00C74276">
        <w:rPr>
          <w:lang w:val="en-CA"/>
        </w:rPr>
        <w:t xml:space="preserve"> on </w:t>
      </w:r>
      <w:r w:rsidR="006263E9" w:rsidRPr="00C74276">
        <w:rPr>
          <w:lang w:val="en-CA"/>
        </w:rPr>
        <w:t>it to show that it held a licenc</w:t>
      </w:r>
      <w:r w:rsidR="00632E17" w:rsidRPr="00C74276">
        <w:rPr>
          <w:lang w:val="en-CA"/>
        </w:rPr>
        <w:t xml:space="preserve">e or that it had obtained </w:t>
      </w:r>
      <w:r w:rsidR="007216B3">
        <w:rPr>
          <w:lang w:val="en-CA"/>
        </w:rPr>
        <w:t>QA’s</w:t>
      </w:r>
      <w:r w:rsidR="00632E17" w:rsidRPr="00C74276">
        <w:rPr>
          <w:lang w:val="en-CA"/>
        </w:rPr>
        <w:t xml:space="preserve"> consent. </w:t>
      </w:r>
      <w:r w:rsidR="006263E9" w:rsidRPr="00C74276">
        <w:rPr>
          <w:lang w:val="en-CA"/>
        </w:rPr>
        <w:t xml:space="preserve">According to Druide, </w:t>
      </w:r>
      <w:r w:rsidR="00B93B61" w:rsidRPr="00C74276">
        <w:rPr>
          <w:lang w:val="en-CA"/>
        </w:rPr>
        <w:t xml:space="preserve">it is </w:t>
      </w:r>
      <w:r w:rsidR="00632E17" w:rsidRPr="00C74276">
        <w:rPr>
          <w:lang w:val="en-CA"/>
        </w:rPr>
        <w:t xml:space="preserve">QA </w:t>
      </w:r>
      <w:r w:rsidR="0085144F" w:rsidRPr="00C74276">
        <w:rPr>
          <w:lang w:val="en-CA"/>
        </w:rPr>
        <w:t>that</w:t>
      </w:r>
      <w:r w:rsidR="00B93B61" w:rsidRPr="00C74276">
        <w:rPr>
          <w:lang w:val="en-CA"/>
        </w:rPr>
        <w:t xml:space="preserve"> has</w:t>
      </w:r>
      <w:r w:rsidR="006263E9" w:rsidRPr="00C74276">
        <w:rPr>
          <w:lang w:val="en-CA"/>
        </w:rPr>
        <w:t xml:space="preserve"> </w:t>
      </w:r>
      <w:r w:rsidR="00632E17" w:rsidRPr="00C74276">
        <w:rPr>
          <w:lang w:val="en-CA"/>
        </w:rPr>
        <w:t xml:space="preserve">to demonstrate the absence of consent. </w:t>
      </w:r>
    </w:p>
    <w:p w14:paraId="1EFCD6DD" w14:textId="10A122C0" w:rsidR="00634D8F" w:rsidRPr="00C74276" w:rsidRDefault="00632E17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</w:t>
      </w:r>
      <w:r w:rsidR="006263E9" w:rsidRPr="00C74276">
        <w:rPr>
          <w:lang w:val="en-CA"/>
        </w:rPr>
        <w:t xml:space="preserve">he judge stated </w:t>
      </w:r>
      <w:r w:rsidR="0085144F" w:rsidRPr="00C74276">
        <w:rPr>
          <w:lang w:val="en-CA"/>
        </w:rPr>
        <w:t>the following</w:t>
      </w:r>
      <w:r w:rsidR="001074D0" w:rsidRPr="00C74276">
        <w:rPr>
          <w:lang w:val="en-CA"/>
        </w:rPr>
        <w:t xml:space="preserve"> </w:t>
      </w:r>
      <w:r w:rsidR="00B93B61" w:rsidRPr="00C74276">
        <w:rPr>
          <w:lang w:val="en-CA"/>
        </w:rPr>
        <w:t>on the burden of proof:</w:t>
      </w:r>
    </w:p>
    <w:p w14:paraId="26400F62" w14:textId="3DD0DD2B" w:rsidR="0085144F" w:rsidRPr="00C74276" w:rsidRDefault="0085144F" w:rsidP="00FA34B7">
      <w:pPr>
        <w:spacing w:before="120" w:after="120"/>
        <w:ind w:left="720" w:right="720"/>
        <w:jc w:val="both"/>
        <w:rPr>
          <w:kern w:val="24"/>
          <w:sz w:val="22"/>
          <w:lang w:val="en-CA"/>
        </w:rPr>
      </w:pPr>
      <w:r w:rsidRPr="00C74276">
        <w:rPr>
          <w:kern w:val="24"/>
          <w:sz w:val="22"/>
          <w:lang w:val="en-CA"/>
        </w:rPr>
        <w:t>[</w:t>
      </w:r>
      <w:r w:rsidRPr="00C74276">
        <w:rPr>
          <w:smallCaps/>
          <w:kern w:val="24"/>
          <w:sz w:val="22"/>
          <w:lang w:val="en-CA"/>
        </w:rPr>
        <w:t>translation</w:t>
      </w:r>
      <w:r w:rsidRPr="00C74276">
        <w:rPr>
          <w:kern w:val="24"/>
          <w:sz w:val="22"/>
          <w:lang w:val="en-CA"/>
        </w:rPr>
        <w:t>]</w:t>
      </w:r>
    </w:p>
    <w:p w14:paraId="64CB8C16" w14:textId="095BA9D3" w:rsidR="00634D8F" w:rsidRPr="00C74276" w:rsidRDefault="00634D8F" w:rsidP="00FA34B7">
      <w:pPr>
        <w:spacing w:before="120" w:after="120"/>
        <w:ind w:left="720" w:right="720"/>
        <w:jc w:val="both"/>
        <w:rPr>
          <w:kern w:val="24"/>
          <w:sz w:val="22"/>
          <w:lang w:val="en-CA"/>
        </w:rPr>
      </w:pPr>
      <w:r w:rsidRPr="00C74276">
        <w:rPr>
          <w:kern w:val="24"/>
          <w:sz w:val="22"/>
          <w:lang w:val="en-CA"/>
        </w:rPr>
        <w:t>[206]</w:t>
      </w:r>
      <w:r w:rsidRPr="00C74276">
        <w:rPr>
          <w:kern w:val="24"/>
          <w:sz w:val="22"/>
          <w:lang w:val="en-CA"/>
        </w:rPr>
        <w:tab/>
      </w:r>
      <w:r w:rsidR="00A652DC" w:rsidRPr="00C74276">
        <w:rPr>
          <w:kern w:val="24"/>
          <w:sz w:val="22"/>
          <w:lang w:val="en-CA"/>
        </w:rPr>
        <w:t xml:space="preserve">The Court </w:t>
      </w:r>
      <w:r w:rsidR="0085144F" w:rsidRPr="00C74276">
        <w:rPr>
          <w:kern w:val="24"/>
          <w:sz w:val="22"/>
          <w:lang w:val="en-CA"/>
        </w:rPr>
        <w:t>accepts</w:t>
      </w:r>
      <w:r w:rsidR="00DA08D6" w:rsidRPr="00C74276">
        <w:rPr>
          <w:kern w:val="24"/>
          <w:sz w:val="22"/>
          <w:lang w:val="en-CA"/>
        </w:rPr>
        <w:t xml:space="preserve"> from these teachings</w:t>
      </w:r>
      <w:r w:rsidR="00EB7B9E" w:rsidRPr="00C74276">
        <w:rPr>
          <w:kern w:val="24"/>
          <w:sz w:val="22"/>
          <w:lang w:val="en-CA"/>
        </w:rPr>
        <w:t xml:space="preserve"> that to demonstrate infringement of its copyright, </w:t>
      </w:r>
      <w:r w:rsidR="0017238A" w:rsidRPr="00C74276">
        <w:rPr>
          <w:kern w:val="24"/>
          <w:sz w:val="22"/>
          <w:u w:val="single"/>
          <w:lang w:val="en-CA"/>
        </w:rPr>
        <w:t xml:space="preserve">Québec Amérique </w:t>
      </w:r>
      <w:r w:rsidR="00EB7B9E" w:rsidRPr="00C74276">
        <w:rPr>
          <w:kern w:val="24"/>
          <w:sz w:val="22"/>
          <w:u w:val="single"/>
          <w:lang w:val="en-CA"/>
        </w:rPr>
        <w:t>must convince the Court</w:t>
      </w:r>
      <w:r w:rsidR="003C29C8" w:rsidRPr="00C74276">
        <w:rPr>
          <w:kern w:val="24"/>
          <w:sz w:val="22"/>
          <w:lang w:val="en-CA"/>
        </w:rPr>
        <w:t xml:space="preserve">, on </w:t>
      </w:r>
      <w:r w:rsidR="007216B3">
        <w:rPr>
          <w:kern w:val="24"/>
          <w:sz w:val="22"/>
          <w:lang w:val="en-CA"/>
        </w:rPr>
        <w:t>a</w:t>
      </w:r>
      <w:r w:rsidR="00EB7B9E" w:rsidRPr="00C74276">
        <w:rPr>
          <w:kern w:val="24"/>
          <w:sz w:val="22"/>
          <w:lang w:val="en-CA"/>
        </w:rPr>
        <w:t xml:space="preserve"> balance of probabilities, </w:t>
      </w:r>
      <w:r w:rsidR="00EB7B9E" w:rsidRPr="00C74276">
        <w:rPr>
          <w:kern w:val="24"/>
          <w:sz w:val="22"/>
          <w:u w:val="single"/>
          <w:lang w:val="en-CA"/>
        </w:rPr>
        <w:t>that it is the owner of the copyright in the Works and that the actions taken b</w:t>
      </w:r>
      <w:r w:rsidR="003C29C8" w:rsidRPr="00C74276">
        <w:rPr>
          <w:kern w:val="24"/>
          <w:sz w:val="22"/>
          <w:u w:val="single"/>
          <w:lang w:val="en-CA"/>
        </w:rPr>
        <w:t>y Druide Informatique infringe i</w:t>
      </w:r>
      <w:r w:rsidR="00EB7B9E" w:rsidRPr="00C74276">
        <w:rPr>
          <w:kern w:val="24"/>
          <w:sz w:val="22"/>
          <w:u w:val="single"/>
          <w:lang w:val="en-CA"/>
        </w:rPr>
        <w:t>ts exclusive rights</w:t>
      </w:r>
      <w:r w:rsidR="00F1767F" w:rsidRPr="00C74276">
        <w:rPr>
          <w:kern w:val="24"/>
          <w:sz w:val="22"/>
          <w:u w:val="single"/>
          <w:lang w:val="en-CA"/>
        </w:rPr>
        <w:t xml:space="preserve"> without its consent</w:t>
      </w:r>
      <w:r w:rsidR="00EB7B9E" w:rsidRPr="00C74276">
        <w:rPr>
          <w:kern w:val="24"/>
          <w:sz w:val="22"/>
          <w:lang w:val="en-CA"/>
        </w:rPr>
        <w:t xml:space="preserve">. </w:t>
      </w:r>
    </w:p>
    <w:p w14:paraId="6FCA23D9" w14:textId="3BC8EC5A" w:rsidR="00634D8F" w:rsidRPr="00C74276" w:rsidRDefault="00634D8F" w:rsidP="00FA34B7">
      <w:pPr>
        <w:spacing w:before="120" w:after="120"/>
        <w:ind w:left="720" w:right="720"/>
        <w:jc w:val="both"/>
        <w:rPr>
          <w:kern w:val="24"/>
          <w:sz w:val="22"/>
          <w:lang w:val="en-CA"/>
        </w:rPr>
      </w:pPr>
      <w:r w:rsidRPr="00C74276">
        <w:rPr>
          <w:kern w:val="24"/>
          <w:sz w:val="22"/>
          <w:lang w:val="en-CA"/>
        </w:rPr>
        <w:t>[207]</w:t>
      </w:r>
      <w:r w:rsidRPr="00C74276">
        <w:rPr>
          <w:kern w:val="24"/>
          <w:sz w:val="22"/>
          <w:lang w:val="en-CA"/>
        </w:rPr>
        <w:tab/>
      </w:r>
      <w:r w:rsidR="00EB7B9E" w:rsidRPr="00C74276">
        <w:rPr>
          <w:kern w:val="24"/>
          <w:sz w:val="22"/>
          <w:u w:val="single"/>
          <w:lang w:val="en-CA"/>
        </w:rPr>
        <w:t>It is up to Dr</w:t>
      </w:r>
      <w:r w:rsidR="003C29C8" w:rsidRPr="00C74276">
        <w:rPr>
          <w:kern w:val="24"/>
          <w:sz w:val="22"/>
          <w:u w:val="single"/>
          <w:lang w:val="en-CA"/>
        </w:rPr>
        <w:t>uide Informatique to prove</w:t>
      </w:r>
      <w:r w:rsidR="003C29C8" w:rsidRPr="00C74276">
        <w:rPr>
          <w:kern w:val="24"/>
          <w:sz w:val="22"/>
          <w:lang w:val="en-CA"/>
        </w:rPr>
        <w:t xml:space="preserve">, on </w:t>
      </w:r>
      <w:r w:rsidR="007216B3">
        <w:rPr>
          <w:kern w:val="24"/>
          <w:sz w:val="22"/>
          <w:lang w:val="en-CA"/>
        </w:rPr>
        <w:t>a</w:t>
      </w:r>
      <w:r w:rsidR="00EB7B9E" w:rsidRPr="00C74276">
        <w:rPr>
          <w:kern w:val="24"/>
          <w:sz w:val="22"/>
          <w:lang w:val="en-CA"/>
        </w:rPr>
        <w:t xml:space="preserve"> balance of probabilities, </w:t>
      </w:r>
      <w:r w:rsidR="003C29C8" w:rsidRPr="00C74276">
        <w:rPr>
          <w:kern w:val="24"/>
          <w:sz w:val="22"/>
          <w:u w:val="single"/>
          <w:lang w:val="en-CA"/>
        </w:rPr>
        <w:t>the facts demonstrating</w:t>
      </w:r>
      <w:r w:rsidR="00EB7B9E" w:rsidRPr="00C74276">
        <w:rPr>
          <w:kern w:val="24"/>
          <w:sz w:val="22"/>
          <w:u w:val="single"/>
          <w:lang w:val="en-CA"/>
        </w:rPr>
        <w:t xml:space="preserve"> that it acted with the consent</w:t>
      </w:r>
      <w:r w:rsidR="00EB7B9E" w:rsidRPr="00C74276">
        <w:rPr>
          <w:kern w:val="24"/>
          <w:sz w:val="22"/>
          <w:lang w:val="en-CA"/>
        </w:rPr>
        <w:t xml:space="preserve">, express or implied, </w:t>
      </w:r>
      <w:r w:rsidR="00EB7B9E" w:rsidRPr="00C74276">
        <w:rPr>
          <w:kern w:val="24"/>
          <w:sz w:val="22"/>
          <w:u w:val="single"/>
          <w:lang w:val="en-CA"/>
        </w:rPr>
        <w:t xml:space="preserve">of </w:t>
      </w:r>
      <w:r w:rsidR="003C29C8" w:rsidRPr="00C74276">
        <w:rPr>
          <w:kern w:val="24"/>
          <w:sz w:val="22"/>
          <w:u w:val="single"/>
          <w:lang w:val="en-CA"/>
        </w:rPr>
        <w:t>Québec Amérique</w:t>
      </w:r>
      <w:r w:rsidRPr="00C74276">
        <w:rPr>
          <w:kern w:val="24"/>
          <w:sz w:val="22"/>
          <w:lang w:val="en-CA"/>
        </w:rPr>
        <w:t>.</w:t>
      </w:r>
      <w:r w:rsidRPr="00C74276">
        <w:rPr>
          <w:kern w:val="24"/>
          <w:sz w:val="22"/>
          <w:vertAlign w:val="superscript"/>
          <w:lang w:val="en-CA"/>
        </w:rPr>
        <w:footnoteReference w:id="31"/>
      </w:r>
    </w:p>
    <w:p w14:paraId="38CE1F56" w14:textId="7626DBF0" w:rsidR="00634D8F" w:rsidRPr="00C74276" w:rsidRDefault="00634D8F" w:rsidP="00FA34B7">
      <w:pPr>
        <w:spacing w:before="120" w:after="120"/>
        <w:ind w:right="720"/>
        <w:jc w:val="right"/>
        <w:rPr>
          <w:lang w:val="en-CA"/>
        </w:rPr>
      </w:pPr>
      <w:r w:rsidRPr="00C74276">
        <w:rPr>
          <w:rFonts w:cs="Arial"/>
          <w:lang w:val="en-CA"/>
        </w:rPr>
        <w:t>[</w:t>
      </w:r>
      <w:r w:rsidR="00303623" w:rsidRPr="00C74276">
        <w:rPr>
          <w:rFonts w:cs="Arial"/>
          <w:lang w:val="en-CA"/>
        </w:rPr>
        <w:t>Emphasis added</w:t>
      </w:r>
      <w:r w:rsidR="00F1767F" w:rsidRPr="00C74276">
        <w:rPr>
          <w:rFonts w:cs="Arial"/>
          <w:lang w:val="en-CA"/>
        </w:rPr>
        <w:t>.</w:t>
      </w:r>
      <w:r w:rsidR="00303623" w:rsidRPr="00C74276">
        <w:rPr>
          <w:rFonts w:cs="Arial"/>
          <w:lang w:val="en-CA"/>
        </w:rPr>
        <w:t>]</w:t>
      </w:r>
    </w:p>
    <w:p w14:paraId="56950879" w14:textId="634D5A7E" w:rsidR="00634D8F" w:rsidRPr="00C74276" w:rsidRDefault="000C48A0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Subs</w:t>
      </w:r>
      <w:r w:rsidR="001074D0" w:rsidRPr="00C74276">
        <w:rPr>
          <w:lang w:val="en-CA"/>
        </w:rPr>
        <w:t xml:space="preserve">ection 27(1) of the </w:t>
      </w:r>
      <w:r w:rsidR="001074D0" w:rsidRPr="00C74276">
        <w:rPr>
          <w:i/>
          <w:lang w:val="en-CA"/>
        </w:rPr>
        <w:t xml:space="preserve">CA </w:t>
      </w:r>
      <w:r w:rsidR="0014189B" w:rsidRPr="00C74276">
        <w:rPr>
          <w:lang w:val="en-CA"/>
        </w:rPr>
        <w:t xml:space="preserve">requires the </w:t>
      </w:r>
      <w:r w:rsidR="001074D0" w:rsidRPr="00C74276">
        <w:rPr>
          <w:lang w:val="en-CA"/>
        </w:rPr>
        <w:t>owner</w:t>
      </w:r>
      <w:r w:rsidR="0014189B" w:rsidRPr="00C74276">
        <w:rPr>
          <w:lang w:val="en-CA"/>
        </w:rPr>
        <w:t xml:space="preserve"> of the copyright</w:t>
      </w:r>
      <w:r w:rsidR="001074D0" w:rsidRPr="00C74276">
        <w:rPr>
          <w:lang w:val="en-CA"/>
        </w:rPr>
        <w:t xml:space="preserve"> to prove that </w:t>
      </w:r>
      <w:r w:rsidR="00434213" w:rsidRPr="00C74276">
        <w:rPr>
          <w:lang w:val="en-CA"/>
        </w:rPr>
        <w:t>(1) the person did something that only the owner of the copyright has the right to do</w:t>
      </w:r>
      <w:r w:rsidR="00300ED3">
        <w:rPr>
          <w:lang w:val="en-CA"/>
        </w:rPr>
        <w:t>,</w:t>
      </w:r>
      <w:r w:rsidR="00434213" w:rsidRPr="00C74276">
        <w:rPr>
          <w:lang w:val="en-CA"/>
        </w:rPr>
        <w:t xml:space="preserve"> and</w:t>
      </w:r>
      <w:r w:rsidR="00CB6F49" w:rsidRPr="00C74276">
        <w:rPr>
          <w:lang w:val="en-CA"/>
        </w:rPr>
        <w:t xml:space="preserve"> (</w:t>
      </w:r>
      <w:r w:rsidR="00434213" w:rsidRPr="00C74276">
        <w:rPr>
          <w:lang w:val="en-CA"/>
        </w:rPr>
        <w:t>2) the person did this thing</w:t>
      </w:r>
      <w:r w:rsidR="00CB6F49" w:rsidRPr="00C74276">
        <w:rPr>
          <w:lang w:val="en-CA"/>
        </w:rPr>
        <w:t xml:space="preserve"> without </w:t>
      </w:r>
      <w:r w:rsidR="002D2373" w:rsidRPr="00C74276">
        <w:rPr>
          <w:lang w:val="en-CA"/>
        </w:rPr>
        <w:t>the</w:t>
      </w:r>
      <w:r w:rsidR="00CB6F49" w:rsidRPr="00C74276">
        <w:rPr>
          <w:lang w:val="en-CA"/>
        </w:rPr>
        <w:t xml:space="preserve"> consent</w:t>
      </w:r>
      <w:r w:rsidR="002D2373" w:rsidRPr="00C74276">
        <w:rPr>
          <w:lang w:val="en-CA"/>
        </w:rPr>
        <w:t xml:space="preserve"> of the owner of the copyright</w:t>
      </w:r>
      <w:r w:rsidR="00CB6F49" w:rsidRPr="00C74276">
        <w:rPr>
          <w:lang w:val="en-CA"/>
        </w:rPr>
        <w:t>.</w:t>
      </w:r>
      <w:r w:rsidR="001074D0" w:rsidRPr="00C74276">
        <w:rPr>
          <w:lang w:val="en-CA"/>
        </w:rPr>
        <w:t xml:space="preserve"> </w:t>
      </w:r>
    </w:p>
    <w:p w14:paraId="2E72E8D1" w14:textId="460F743C" w:rsidR="00634D8F" w:rsidRPr="00C74276" w:rsidRDefault="000F4FCC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lastRenderedPageBreak/>
        <w:t xml:space="preserve">The </w:t>
      </w:r>
      <w:r w:rsidR="002D2373" w:rsidRPr="00C74276">
        <w:rPr>
          <w:lang w:val="en-CA"/>
        </w:rPr>
        <w:t xml:space="preserve">legal </w:t>
      </w:r>
      <w:r w:rsidRPr="00C74276">
        <w:rPr>
          <w:lang w:val="en-CA"/>
        </w:rPr>
        <w:t>burden</w:t>
      </w:r>
      <w:r w:rsidR="0036561C" w:rsidRPr="00C74276">
        <w:rPr>
          <w:lang w:val="en-CA"/>
        </w:rPr>
        <w:t xml:space="preserve"> </w:t>
      </w:r>
      <w:r w:rsidR="00CB6F49" w:rsidRPr="00C74276">
        <w:rPr>
          <w:lang w:val="en-CA"/>
        </w:rPr>
        <w:t>rests with the copyright owner, which is “</w:t>
      </w:r>
      <w:r w:rsidR="0036561C" w:rsidRPr="00C74276">
        <w:rPr>
          <w:lang w:val="en-CA"/>
        </w:rPr>
        <w:t>in line</w:t>
      </w:r>
      <w:r w:rsidR="00CB6F49" w:rsidRPr="00C74276">
        <w:rPr>
          <w:lang w:val="en-CA"/>
        </w:rPr>
        <w:t xml:space="preserve"> wit</w:t>
      </w:r>
      <w:r w:rsidR="0036561C" w:rsidRPr="00C74276">
        <w:rPr>
          <w:lang w:val="en-CA"/>
        </w:rPr>
        <w:t>h the general principle that a</w:t>
      </w:r>
      <w:r w:rsidR="00CB6F49" w:rsidRPr="00C74276">
        <w:rPr>
          <w:lang w:val="en-CA"/>
        </w:rPr>
        <w:t xml:space="preserve"> plaint</w:t>
      </w:r>
      <w:r w:rsidR="0036561C" w:rsidRPr="00C74276">
        <w:rPr>
          <w:lang w:val="en-CA"/>
        </w:rPr>
        <w:t>iff must establish on a</w:t>
      </w:r>
      <w:r w:rsidR="00CB6F49" w:rsidRPr="00C74276">
        <w:rPr>
          <w:lang w:val="en-CA"/>
        </w:rPr>
        <w:t xml:space="preserve"> balance of probabilities all the </w:t>
      </w:r>
      <w:r w:rsidR="0036561C" w:rsidRPr="00C74276">
        <w:rPr>
          <w:lang w:val="en-CA"/>
        </w:rPr>
        <w:t>necessary elements of its claim</w:t>
      </w:r>
      <w:r w:rsidR="002D2373" w:rsidRPr="00C74276">
        <w:rPr>
          <w:lang w:val="en-CA"/>
        </w:rPr>
        <w:t>”</w:t>
      </w:r>
      <w:r w:rsidR="00CB6F49" w:rsidRPr="00C74276">
        <w:rPr>
          <w:lang w:val="en-CA"/>
        </w:rPr>
        <w:t>.</w:t>
      </w:r>
      <w:bookmarkStart w:id="14" w:name="_Ref50645799"/>
      <w:r w:rsidR="00634D8F" w:rsidRPr="00C74276">
        <w:rPr>
          <w:vertAlign w:val="superscript"/>
          <w:lang w:val="en-CA"/>
        </w:rPr>
        <w:footnoteReference w:id="32"/>
      </w:r>
      <w:bookmarkEnd w:id="14"/>
    </w:p>
    <w:p w14:paraId="095A721F" w14:textId="29958F2F" w:rsidR="00634D8F" w:rsidRPr="00C74276" w:rsidRDefault="00B56E9A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Author David Vaver</w:t>
      </w:r>
      <w:r w:rsidR="00CC7844" w:rsidRPr="00C74276">
        <w:rPr>
          <w:lang w:val="en-CA"/>
        </w:rPr>
        <w:t xml:space="preserve"> </w:t>
      </w:r>
      <w:r w:rsidR="002D2373" w:rsidRPr="00C74276">
        <w:rPr>
          <w:lang w:val="en-CA"/>
        </w:rPr>
        <w:t>states</w:t>
      </w:r>
      <w:r w:rsidR="0036561C" w:rsidRPr="00C74276">
        <w:rPr>
          <w:lang w:val="en-CA"/>
        </w:rPr>
        <w:t xml:space="preserve"> that</w:t>
      </w:r>
      <w:r w:rsidR="00444BD7" w:rsidRPr="00C74276">
        <w:rPr>
          <w:lang w:val="en-CA"/>
        </w:rPr>
        <w:t xml:space="preserve"> copyright owner</w:t>
      </w:r>
      <w:r w:rsidR="002D2373" w:rsidRPr="00C74276">
        <w:rPr>
          <w:lang w:val="en-CA"/>
        </w:rPr>
        <w:t>s</w:t>
      </w:r>
      <w:r w:rsidR="00444BD7" w:rsidRPr="00C74276">
        <w:rPr>
          <w:lang w:val="en-CA"/>
        </w:rPr>
        <w:t xml:space="preserve"> </w:t>
      </w:r>
      <w:r w:rsidR="002D2373" w:rsidRPr="00C74276">
        <w:rPr>
          <w:lang w:val="en-CA"/>
        </w:rPr>
        <w:t xml:space="preserve">are </w:t>
      </w:r>
      <w:r w:rsidR="00444BD7" w:rsidRPr="00C74276">
        <w:rPr>
          <w:lang w:val="en-CA"/>
        </w:rPr>
        <w:t>certainly in the be</w:t>
      </w:r>
      <w:r w:rsidR="0091788A" w:rsidRPr="00C74276">
        <w:rPr>
          <w:lang w:val="en-CA"/>
        </w:rPr>
        <w:t xml:space="preserve">st position to establish that </w:t>
      </w:r>
      <w:r w:rsidR="002D2373" w:rsidRPr="00C74276">
        <w:rPr>
          <w:lang w:val="en-CA"/>
        </w:rPr>
        <w:t xml:space="preserve">they </w:t>
      </w:r>
      <w:r w:rsidR="0091788A" w:rsidRPr="00C74276">
        <w:rPr>
          <w:lang w:val="en-CA"/>
        </w:rPr>
        <w:t xml:space="preserve">did not give </w:t>
      </w:r>
      <w:r w:rsidR="002D2373" w:rsidRPr="00C74276">
        <w:rPr>
          <w:lang w:val="en-CA"/>
        </w:rPr>
        <w:t>their</w:t>
      </w:r>
      <w:r w:rsidR="00303623" w:rsidRPr="00C74276">
        <w:rPr>
          <w:lang w:val="en-CA"/>
        </w:rPr>
        <w:t xml:space="preserve"> consent:</w:t>
      </w:r>
    </w:p>
    <w:p w14:paraId="6DD8BAB8" w14:textId="69A2B7C4" w:rsidR="00634D8F" w:rsidRPr="00C74276" w:rsidRDefault="004C6344" w:rsidP="00FA34B7">
      <w:pPr>
        <w:spacing w:before="120" w:after="120"/>
        <w:ind w:left="720" w:right="720"/>
        <w:jc w:val="both"/>
        <w:rPr>
          <w:kern w:val="24"/>
          <w:sz w:val="22"/>
          <w:lang w:val="en-CA"/>
        </w:rPr>
      </w:pPr>
      <w:r w:rsidRPr="00C74276">
        <w:rPr>
          <w:rFonts w:cs="Arial"/>
          <w:kern w:val="24"/>
          <w:sz w:val="22"/>
          <w:lang w:val="en-CA"/>
        </w:rPr>
        <w:t>It is rarely a chore for a plaintiff to prove he gave no express consent: he knows best whether he did or not. And even if it is a chore, that is a small price to pay for a right that stops people for sometimes over a century from doing what they</w:t>
      </w:r>
      <w:r w:rsidR="00816373" w:rsidRPr="00C74276">
        <w:rPr>
          <w:rFonts w:cs="Arial"/>
          <w:kern w:val="24"/>
          <w:sz w:val="22"/>
          <w:lang w:val="en-CA"/>
        </w:rPr>
        <w:t xml:space="preserve"> would otherwise be free to do</w:t>
      </w:r>
      <w:r w:rsidR="00634D8F" w:rsidRPr="00C74276">
        <w:rPr>
          <w:kern w:val="24"/>
          <w:sz w:val="22"/>
          <w:lang w:val="en-CA"/>
        </w:rPr>
        <w:t>.</w:t>
      </w:r>
      <w:bookmarkStart w:id="15" w:name="_Ref50706339"/>
      <w:r w:rsidR="00634D8F" w:rsidRPr="00C74276">
        <w:rPr>
          <w:kern w:val="24"/>
          <w:sz w:val="22"/>
          <w:vertAlign w:val="superscript"/>
          <w:lang w:val="en-CA"/>
        </w:rPr>
        <w:footnoteReference w:id="33"/>
      </w:r>
      <w:bookmarkEnd w:id="15"/>
    </w:p>
    <w:p w14:paraId="2E800C2C" w14:textId="05F546A5" w:rsidR="00634D8F" w:rsidRPr="00C74276" w:rsidRDefault="0091788A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On the other hand, the party claiming to have obtained the consent of the copyright owner must prove the facts on which he </w:t>
      </w:r>
      <w:r w:rsidR="002D2373" w:rsidRPr="00C74276">
        <w:rPr>
          <w:lang w:val="en-CA"/>
        </w:rPr>
        <w:t xml:space="preserve">or she </w:t>
      </w:r>
      <w:r w:rsidRPr="00C74276">
        <w:rPr>
          <w:lang w:val="en-CA"/>
        </w:rPr>
        <w:t>relies and the conclusions drawn from them:</w:t>
      </w:r>
    </w:p>
    <w:p w14:paraId="015FBA0C" w14:textId="3555CBB8" w:rsidR="00634D8F" w:rsidRPr="00C74276" w:rsidRDefault="0091788A" w:rsidP="00FA34B7">
      <w:pPr>
        <w:spacing w:before="120" w:after="120"/>
        <w:ind w:left="720" w:right="720"/>
        <w:jc w:val="both"/>
        <w:rPr>
          <w:kern w:val="24"/>
          <w:sz w:val="22"/>
          <w:lang w:val="en-CA"/>
        </w:rPr>
      </w:pPr>
      <w:r w:rsidRPr="00C74276">
        <w:rPr>
          <w:rFonts w:cs="Arial"/>
          <w:kern w:val="24"/>
          <w:sz w:val="22"/>
          <w:lang w:val="en-CA"/>
        </w:rPr>
        <w:t>A defendant who says he has the plaintiff’s implied consent equally put</w:t>
      </w:r>
      <w:r w:rsidR="005B12CB" w:rsidRPr="00C74276">
        <w:rPr>
          <w:rFonts w:cs="Arial"/>
          <w:kern w:val="24"/>
          <w:sz w:val="22"/>
          <w:lang w:val="en-CA"/>
        </w:rPr>
        <w:t>s</w:t>
      </w:r>
      <w:r w:rsidRPr="00C74276">
        <w:rPr>
          <w:rFonts w:cs="Arial"/>
          <w:kern w:val="24"/>
          <w:sz w:val="22"/>
          <w:lang w:val="en-CA"/>
        </w:rPr>
        <w:t xml:space="preserve"> this point in issue, but then it seems reasonable for the defendant to plead and prove the facts on which he relies, and the i</w:t>
      </w:r>
      <w:r w:rsidR="00577DB6" w:rsidRPr="00C74276">
        <w:rPr>
          <w:rFonts w:cs="Arial"/>
          <w:kern w:val="24"/>
          <w:sz w:val="22"/>
          <w:lang w:val="en-CA"/>
        </w:rPr>
        <w:t>nferences to be drawn from them</w:t>
      </w:r>
      <w:r w:rsidR="00634D8F" w:rsidRPr="00C74276">
        <w:rPr>
          <w:kern w:val="24"/>
          <w:sz w:val="22"/>
          <w:lang w:val="en-CA"/>
        </w:rPr>
        <w:t>.</w:t>
      </w:r>
      <w:r w:rsidR="00634D8F" w:rsidRPr="00C74276">
        <w:rPr>
          <w:kern w:val="24"/>
          <w:sz w:val="22"/>
          <w:vertAlign w:val="superscript"/>
          <w:lang w:val="en-CA"/>
        </w:rPr>
        <w:footnoteReference w:id="34"/>
      </w:r>
    </w:p>
    <w:p w14:paraId="50710B77" w14:textId="4143E372" w:rsidR="00634D8F" w:rsidRPr="00C74276" w:rsidRDefault="00CD2190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According to the author Vaver,</w:t>
      </w:r>
      <w:r w:rsidR="00AF4418" w:rsidRPr="00C74276">
        <w:rPr>
          <w:lang w:val="en-CA"/>
        </w:rPr>
        <w:t xml:space="preserve"> this does not imply a change of</w:t>
      </w:r>
      <w:r w:rsidRPr="00C74276">
        <w:rPr>
          <w:lang w:val="en-CA"/>
        </w:rPr>
        <w:t xml:space="preserve"> the burden of proof:</w:t>
      </w:r>
    </w:p>
    <w:p w14:paraId="1BD1BB69" w14:textId="37752BE9" w:rsidR="00634D8F" w:rsidRPr="00C74276" w:rsidRDefault="00CD2190" w:rsidP="00FA34B7">
      <w:pPr>
        <w:spacing w:before="120"/>
        <w:ind w:left="720" w:right="720"/>
        <w:jc w:val="both"/>
        <w:rPr>
          <w:kern w:val="24"/>
          <w:sz w:val="22"/>
          <w:lang w:val="en-CA"/>
        </w:rPr>
      </w:pPr>
      <w:r w:rsidRPr="00C74276">
        <w:rPr>
          <w:rFonts w:cs="Arial"/>
          <w:kern w:val="24"/>
          <w:sz w:val="22"/>
          <w:lang w:val="en-CA"/>
        </w:rPr>
        <w:t xml:space="preserve">That does not change the ultimate legal burden of proof, which remains on the plaintiff throughout. </w:t>
      </w:r>
      <w:r w:rsidRPr="00C74276">
        <w:rPr>
          <w:rFonts w:cs="Arial"/>
          <w:kern w:val="24"/>
          <w:sz w:val="22"/>
          <w:u w:val="single"/>
          <w:lang w:val="en-CA"/>
        </w:rPr>
        <w:t>Only the evidentiary burden shifts to the defendant</w:t>
      </w:r>
      <w:r w:rsidRPr="00C74276">
        <w:rPr>
          <w:rFonts w:cs="Arial"/>
          <w:kern w:val="24"/>
          <w:sz w:val="22"/>
          <w:lang w:val="en-CA"/>
        </w:rPr>
        <w:t>: he needs to produce some evidence of consent or the plaintiff’s prima facie case succeeds.</w:t>
      </w:r>
      <w:r w:rsidR="00634D8F" w:rsidRPr="00C74276">
        <w:rPr>
          <w:kern w:val="24"/>
          <w:sz w:val="22"/>
          <w:vertAlign w:val="superscript"/>
          <w:lang w:val="en-CA"/>
        </w:rPr>
        <w:footnoteReference w:id="35"/>
      </w:r>
    </w:p>
    <w:p w14:paraId="580F6EA7" w14:textId="706647F6" w:rsidR="00634D8F" w:rsidRPr="00C74276" w:rsidRDefault="00634D8F" w:rsidP="00FA34B7">
      <w:pPr>
        <w:spacing w:before="120" w:after="120"/>
        <w:ind w:left="720" w:right="720"/>
        <w:jc w:val="right"/>
        <w:rPr>
          <w:kern w:val="24"/>
          <w:szCs w:val="24"/>
          <w:lang w:val="en-CA"/>
        </w:rPr>
      </w:pPr>
      <w:r w:rsidRPr="00C74276">
        <w:rPr>
          <w:kern w:val="24"/>
          <w:szCs w:val="24"/>
          <w:lang w:val="en-CA"/>
        </w:rPr>
        <w:t>[</w:t>
      </w:r>
      <w:r w:rsidR="00AF4418" w:rsidRPr="00C74276">
        <w:rPr>
          <w:kern w:val="24"/>
          <w:szCs w:val="24"/>
          <w:lang w:val="en-CA"/>
        </w:rPr>
        <w:t>Emphasis added</w:t>
      </w:r>
      <w:r w:rsidR="002D2373" w:rsidRPr="00C74276">
        <w:rPr>
          <w:kern w:val="24"/>
          <w:szCs w:val="24"/>
          <w:lang w:val="en-CA"/>
        </w:rPr>
        <w:t>.</w:t>
      </w:r>
      <w:r w:rsidRPr="00C74276">
        <w:rPr>
          <w:kern w:val="24"/>
          <w:szCs w:val="24"/>
          <w:lang w:val="en-CA"/>
        </w:rPr>
        <w:t>]</w:t>
      </w:r>
    </w:p>
    <w:p w14:paraId="6314EFC2" w14:textId="5EEFE86A" w:rsidR="00634D8F" w:rsidRPr="00C74276" w:rsidRDefault="0034023B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The judge established that it</w:t>
      </w:r>
      <w:r w:rsidR="0042779A" w:rsidRPr="00C74276">
        <w:rPr>
          <w:lang w:val="en-CA"/>
        </w:rPr>
        <w:t xml:space="preserve"> was up to QA to demonstrate its</w:t>
      </w:r>
      <w:r w:rsidR="00577DB6" w:rsidRPr="00C74276">
        <w:rPr>
          <w:lang w:val="en-CA"/>
        </w:rPr>
        <w:t xml:space="preserve"> copyright in the Works and Druide’s infringement thereof </w:t>
      </w:r>
      <w:r w:rsidRPr="00C74276">
        <w:rPr>
          <w:lang w:val="en-CA"/>
        </w:rPr>
        <w:t xml:space="preserve">without its consent. </w:t>
      </w:r>
      <w:r w:rsidR="00D378F7" w:rsidRPr="00C74276">
        <w:rPr>
          <w:lang w:val="en-CA"/>
        </w:rPr>
        <w:t>Then</w:t>
      </w:r>
      <w:r w:rsidR="00BF5F09" w:rsidRPr="00C74276">
        <w:rPr>
          <w:lang w:val="en-CA"/>
        </w:rPr>
        <w:t>,</w:t>
      </w:r>
      <w:r w:rsidR="00577DB6" w:rsidRPr="00C74276">
        <w:rPr>
          <w:lang w:val="en-CA"/>
        </w:rPr>
        <w:t xml:space="preserve"> Druide had to</w:t>
      </w:r>
      <w:r w:rsidRPr="00C74276">
        <w:rPr>
          <w:lang w:val="en-CA"/>
        </w:rPr>
        <w:t xml:space="preserve"> prove the facts demonstrating that </w:t>
      </w:r>
      <w:r w:rsidR="00AF4418" w:rsidRPr="00C74276">
        <w:rPr>
          <w:lang w:val="en-CA"/>
        </w:rPr>
        <w:t xml:space="preserve">it acted with </w:t>
      </w:r>
      <w:r w:rsidR="00D378F7" w:rsidRPr="00C74276">
        <w:rPr>
          <w:lang w:val="en-CA"/>
        </w:rPr>
        <w:t>QA’s</w:t>
      </w:r>
      <w:r w:rsidR="00AF4418" w:rsidRPr="00C74276">
        <w:rPr>
          <w:lang w:val="en-CA"/>
        </w:rPr>
        <w:t xml:space="preserve"> consent</w:t>
      </w:r>
      <w:r w:rsidR="00634D8F" w:rsidRPr="00C74276">
        <w:rPr>
          <w:lang w:val="en-CA"/>
        </w:rPr>
        <w:t>.</w:t>
      </w:r>
    </w:p>
    <w:p w14:paraId="353EBF51" w14:textId="34B408EB" w:rsidR="00634D8F" w:rsidRPr="00C74276" w:rsidRDefault="0034023B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The trial judge’s r</w:t>
      </w:r>
      <w:r w:rsidR="009274C3" w:rsidRPr="00C74276">
        <w:rPr>
          <w:lang w:val="en-CA"/>
        </w:rPr>
        <w:t xml:space="preserve">easoning is </w:t>
      </w:r>
      <w:r w:rsidR="00D378F7" w:rsidRPr="00C74276">
        <w:rPr>
          <w:lang w:val="en-CA"/>
        </w:rPr>
        <w:t>consistent with the teachings of the commentary</w:t>
      </w:r>
      <w:r w:rsidR="009274C3" w:rsidRPr="00C74276">
        <w:rPr>
          <w:lang w:val="en-CA"/>
        </w:rPr>
        <w:t xml:space="preserve"> and </w:t>
      </w:r>
      <w:r w:rsidR="00D378F7" w:rsidRPr="00C74276">
        <w:rPr>
          <w:lang w:val="en-CA"/>
        </w:rPr>
        <w:t xml:space="preserve">the </w:t>
      </w:r>
      <w:r w:rsidR="009274C3" w:rsidRPr="00C74276">
        <w:rPr>
          <w:lang w:val="en-CA"/>
        </w:rPr>
        <w:t>case law</w:t>
      </w:r>
      <w:r w:rsidRPr="00C74276">
        <w:rPr>
          <w:lang w:val="en-CA"/>
        </w:rPr>
        <w:t>. It is free from error.</w:t>
      </w:r>
    </w:p>
    <w:p w14:paraId="433E5819" w14:textId="7D1D3E53" w:rsidR="00634D8F" w:rsidRPr="00C74276" w:rsidRDefault="00634D8F" w:rsidP="00FA34B7">
      <w:pPr>
        <w:pStyle w:val="Titre3"/>
        <w:keepNext w:val="0"/>
        <w:ind w:left="1560" w:hanging="851"/>
        <w:jc w:val="both"/>
        <w:rPr>
          <w:b/>
          <w:lang w:val="en-CA"/>
        </w:rPr>
      </w:pPr>
      <w:r w:rsidRPr="00C74276">
        <w:rPr>
          <w:b/>
          <w:lang w:val="en-CA"/>
        </w:rPr>
        <w:t>4.1.2</w:t>
      </w:r>
      <w:r w:rsidRPr="00C74276">
        <w:rPr>
          <w:b/>
          <w:lang w:val="en-CA"/>
        </w:rPr>
        <w:tab/>
      </w:r>
      <w:r w:rsidR="00AF4418" w:rsidRPr="00C74276">
        <w:rPr>
          <w:b/>
          <w:lang w:val="en-CA"/>
        </w:rPr>
        <w:t>The a</w:t>
      </w:r>
      <w:r w:rsidR="0034023B" w:rsidRPr="00C74276">
        <w:rPr>
          <w:b/>
          <w:lang w:val="en-CA"/>
        </w:rPr>
        <w:t xml:space="preserve">pplicable law </w:t>
      </w:r>
    </w:p>
    <w:p w14:paraId="49C69079" w14:textId="335BA101" w:rsidR="00634D8F" w:rsidRPr="00C74276" w:rsidRDefault="0034023B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Before answering the question of whether the judge made a reviewable error in characterizing the agreement between the parties, it seems to me that it is important to br</w:t>
      </w:r>
      <w:r w:rsidR="009274C3" w:rsidRPr="00C74276">
        <w:rPr>
          <w:lang w:val="en-CA"/>
        </w:rPr>
        <w:t>iefly outline the legal framework for</w:t>
      </w:r>
      <w:r w:rsidRPr="00C74276">
        <w:rPr>
          <w:lang w:val="en-CA"/>
        </w:rPr>
        <w:t xml:space="preserve"> the characterization of a contract, to categorize the </w:t>
      </w:r>
      <w:r w:rsidRPr="00C74276">
        <w:rPr>
          <w:lang w:val="en-CA"/>
        </w:rPr>
        <w:lastRenderedPageBreak/>
        <w:t>main types of contracts found in copyright law</w:t>
      </w:r>
      <w:r w:rsidR="00315196" w:rsidRPr="00C74276">
        <w:rPr>
          <w:lang w:val="en-CA"/>
        </w:rPr>
        <w:t>,</w:t>
      </w:r>
      <w:r w:rsidRPr="00C74276">
        <w:rPr>
          <w:lang w:val="en-CA"/>
        </w:rPr>
        <w:t xml:space="preserve"> and to consider the rules specific to their interpretation.</w:t>
      </w:r>
    </w:p>
    <w:p w14:paraId="61A1402E" w14:textId="48D585C4" w:rsidR="00634D8F" w:rsidRPr="00C74276" w:rsidRDefault="00634D8F" w:rsidP="00FA34B7">
      <w:pPr>
        <w:pStyle w:val="Titre4"/>
        <w:tabs>
          <w:tab w:val="left" w:pos="2552"/>
        </w:tabs>
        <w:ind w:left="720" w:firstLine="840"/>
        <w:rPr>
          <w:lang w:val="en-CA"/>
        </w:rPr>
      </w:pPr>
      <w:r w:rsidRPr="00C74276">
        <w:rPr>
          <w:lang w:val="en-CA"/>
        </w:rPr>
        <w:t>4.1.2.1</w:t>
      </w:r>
      <w:r w:rsidRPr="00C74276">
        <w:rPr>
          <w:lang w:val="en-CA"/>
        </w:rPr>
        <w:tab/>
      </w:r>
      <w:r w:rsidR="00577DB6" w:rsidRPr="00C74276">
        <w:rPr>
          <w:lang w:val="en-CA"/>
        </w:rPr>
        <w:t xml:space="preserve">Characterization of </w:t>
      </w:r>
      <w:r w:rsidR="009274C3" w:rsidRPr="00C74276">
        <w:rPr>
          <w:lang w:val="en-CA"/>
        </w:rPr>
        <w:t>contract</w:t>
      </w:r>
      <w:r w:rsidR="00577DB6" w:rsidRPr="00C74276">
        <w:rPr>
          <w:lang w:val="en-CA"/>
        </w:rPr>
        <w:t>s</w:t>
      </w:r>
      <w:r w:rsidR="009274C3" w:rsidRPr="00C74276">
        <w:rPr>
          <w:lang w:val="en-CA"/>
        </w:rPr>
        <w:t xml:space="preserve"> </w:t>
      </w:r>
    </w:p>
    <w:p w14:paraId="022816D5" w14:textId="79C6F41D" w:rsidR="00634D8F" w:rsidRPr="00C74276" w:rsidRDefault="00FC7948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In </w:t>
      </w:r>
      <w:r w:rsidRPr="00C74276">
        <w:rPr>
          <w:i/>
          <w:lang w:val="en-CA"/>
        </w:rPr>
        <w:t>Uniprix v. Gestion Gosselin et Berube inc</w:t>
      </w:r>
      <w:r w:rsidR="00AF4418" w:rsidRPr="00C74276">
        <w:rPr>
          <w:i/>
          <w:lang w:val="en-CA"/>
        </w:rPr>
        <w:t>.</w:t>
      </w:r>
      <w:r w:rsidR="00AF4418" w:rsidRPr="00C74276">
        <w:rPr>
          <w:lang w:val="en-CA"/>
        </w:rPr>
        <w:t>,</w:t>
      </w:r>
      <w:r w:rsidR="00AF4418" w:rsidRPr="00C74276">
        <w:rPr>
          <w:rStyle w:val="Appelnotedebasdep"/>
          <w:lang w:val="en-CA"/>
        </w:rPr>
        <w:footnoteReference w:id="36"/>
      </w:r>
      <w:r w:rsidRPr="00C74276">
        <w:rPr>
          <w:lang w:val="en-CA"/>
        </w:rPr>
        <w:t xml:space="preserve"> the Supreme Court of Canada </w:t>
      </w:r>
      <w:r w:rsidR="0043479F" w:rsidRPr="00C74276">
        <w:rPr>
          <w:lang w:val="en-CA"/>
        </w:rPr>
        <w:t>specified t</w:t>
      </w:r>
      <w:r w:rsidR="00252041" w:rsidRPr="00C74276">
        <w:rPr>
          <w:lang w:val="en-CA"/>
        </w:rPr>
        <w:t xml:space="preserve">hat the characterization of a </w:t>
      </w:r>
      <w:r w:rsidR="0043479F" w:rsidRPr="00C74276">
        <w:rPr>
          <w:lang w:val="en-CA"/>
        </w:rPr>
        <w:t>contra</w:t>
      </w:r>
      <w:r w:rsidR="00252041" w:rsidRPr="00C74276">
        <w:rPr>
          <w:lang w:val="en-CA"/>
        </w:rPr>
        <w:t>ct serves</w:t>
      </w:r>
      <w:r w:rsidR="0043479F" w:rsidRPr="00C74276">
        <w:rPr>
          <w:lang w:val="en-CA"/>
        </w:rPr>
        <w:t xml:space="preserve"> to determine w</w:t>
      </w:r>
      <w:r w:rsidR="00252041" w:rsidRPr="00C74276">
        <w:rPr>
          <w:lang w:val="en-CA"/>
        </w:rPr>
        <w:t>hat object the parties intended to</w:t>
      </w:r>
      <w:r w:rsidR="0043479F" w:rsidRPr="00C74276">
        <w:rPr>
          <w:lang w:val="en-CA"/>
        </w:rPr>
        <w:t xml:space="preserve"> give to their agreement.</w:t>
      </w:r>
      <w:r w:rsidR="00AF4418" w:rsidRPr="00C74276">
        <w:rPr>
          <w:rStyle w:val="Appelnotedebasdep"/>
          <w:lang w:val="en-CA"/>
        </w:rPr>
        <w:footnoteReference w:id="37"/>
      </w:r>
      <w:r w:rsidR="0043479F" w:rsidRPr="00C74276">
        <w:rPr>
          <w:lang w:val="en-CA"/>
        </w:rPr>
        <w:t xml:space="preserve"> The </w:t>
      </w:r>
      <w:r w:rsidR="004B4CAE" w:rsidRPr="00C74276">
        <w:rPr>
          <w:lang w:val="en-CA"/>
        </w:rPr>
        <w:t xml:space="preserve">exercise of characterizing the contract by the judge </w:t>
      </w:r>
      <w:r w:rsidR="0043479F" w:rsidRPr="00C74276">
        <w:rPr>
          <w:lang w:val="en-CA"/>
        </w:rPr>
        <w:t>is carried out by seeking</w:t>
      </w:r>
      <w:r w:rsidR="004B4CAE" w:rsidRPr="00C74276">
        <w:rPr>
          <w:lang w:val="en-CA"/>
        </w:rPr>
        <w:t xml:space="preserve"> to identify</w:t>
      </w:r>
      <w:r w:rsidR="0043479F" w:rsidRPr="00C74276">
        <w:rPr>
          <w:lang w:val="en-CA"/>
        </w:rPr>
        <w:t xml:space="preserve"> the co</w:t>
      </w:r>
      <w:r w:rsidR="004B4CAE" w:rsidRPr="00C74276">
        <w:rPr>
          <w:lang w:val="en-CA"/>
        </w:rPr>
        <w:t>mmon intention of the parties as regards</w:t>
      </w:r>
      <w:r w:rsidR="0043479F" w:rsidRPr="00C74276">
        <w:rPr>
          <w:lang w:val="en-CA"/>
        </w:rPr>
        <w:t xml:space="preserve"> the content of their agreement.</w:t>
      </w:r>
      <w:r w:rsidR="00D868A6" w:rsidRPr="00C74276">
        <w:rPr>
          <w:rStyle w:val="Appelnotedebasdep"/>
          <w:lang w:val="en-CA"/>
        </w:rPr>
        <w:footnoteReference w:id="38"/>
      </w:r>
      <w:r w:rsidR="004B4CAE" w:rsidRPr="00C74276">
        <w:rPr>
          <w:lang w:val="en-CA"/>
        </w:rPr>
        <w:t xml:space="preserve"> </w:t>
      </w:r>
      <w:r w:rsidR="0043479F" w:rsidRPr="00C74276">
        <w:rPr>
          <w:lang w:val="en-CA"/>
        </w:rPr>
        <w:t>It includes</w:t>
      </w:r>
      <w:r w:rsidR="004B4CAE" w:rsidRPr="00C74276">
        <w:rPr>
          <w:lang w:val="en-CA"/>
        </w:rPr>
        <w:t xml:space="preserve"> consideration</w:t>
      </w:r>
      <w:r w:rsidR="0043479F" w:rsidRPr="00C74276">
        <w:rPr>
          <w:lang w:val="en-CA"/>
        </w:rPr>
        <w:t xml:space="preserve"> of the obligations and other effects of the contract that</w:t>
      </w:r>
      <w:r w:rsidR="004B4CAE" w:rsidRPr="00C74276">
        <w:rPr>
          <w:lang w:val="en-CA"/>
        </w:rPr>
        <w:t xml:space="preserve"> the parties have stipulated</w:t>
      </w:r>
      <w:r w:rsidR="0043479F" w:rsidRPr="00C74276">
        <w:rPr>
          <w:lang w:val="en-CA"/>
        </w:rPr>
        <w:t>, as well as the circumstances of its f</w:t>
      </w:r>
      <w:r w:rsidR="004B4CAE" w:rsidRPr="00C74276">
        <w:rPr>
          <w:lang w:val="en-CA"/>
        </w:rPr>
        <w:t>ormation and how</w:t>
      </w:r>
      <w:r w:rsidR="0043479F" w:rsidRPr="00C74276">
        <w:rPr>
          <w:lang w:val="en-CA"/>
        </w:rPr>
        <w:t xml:space="preserve"> they have applied it.</w:t>
      </w:r>
      <w:r w:rsidR="00D868A6" w:rsidRPr="00C74276">
        <w:rPr>
          <w:rStyle w:val="Appelnotedebasdep"/>
          <w:lang w:val="en-CA"/>
        </w:rPr>
        <w:footnoteReference w:id="39"/>
      </w:r>
      <w:r w:rsidR="004B4CAE" w:rsidRPr="00C74276">
        <w:rPr>
          <w:lang w:val="en-CA"/>
        </w:rPr>
        <w:t xml:space="preserve"> </w:t>
      </w:r>
      <w:r w:rsidR="00CD5049" w:rsidRPr="00C74276">
        <w:rPr>
          <w:lang w:val="en-CA"/>
        </w:rPr>
        <w:t>The essential object of characterization is the linking of the contract at issue to a legal</w:t>
      </w:r>
      <w:r w:rsidR="0043479F" w:rsidRPr="00C74276">
        <w:rPr>
          <w:lang w:val="en-CA"/>
        </w:rPr>
        <w:t xml:space="preserve"> category.</w:t>
      </w:r>
      <w:r w:rsidR="00634D8F" w:rsidRPr="00C74276">
        <w:rPr>
          <w:rStyle w:val="Appelnotedebasdep"/>
          <w:lang w:val="en-CA"/>
        </w:rPr>
        <w:footnoteReference w:id="40"/>
      </w:r>
    </w:p>
    <w:p w14:paraId="57008EFE" w14:textId="1607EB10" w:rsidR="00634D8F" w:rsidRPr="00C74276" w:rsidRDefault="00634D8F" w:rsidP="00FA34B7">
      <w:pPr>
        <w:pStyle w:val="Titre4"/>
        <w:tabs>
          <w:tab w:val="left" w:pos="2552"/>
        </w:tabs>
        <w:ind w:left="720" w:firstLine="840"/>
        <w:rPr>
          <w:lang w:val="en-CA"/>
        </w:rPr>
      </w:pPr>
      <w:r w:rsidRPr="00C74276">
        <w:rPr>
          <w:lang w:val="en-CA"/>
        </w:rPr>
        <w:t>4.1.2.2</w:t>
      </w:r>
      <w:r w:rsidRPr="00C74276">
        <w:rPr>
          <w:lang w:val="en-CA"/>
        </w:rPr>
        <w:tab/>
      </w:r>
      <w:r w:rsidR="00641036" w:rsidRPr="00C74276">
        <w:rPr>
          <w:lang w:val="en-CA"/>
        </w:rPr>
        <w:t xml:space="preserve">Characterization of copyright contracts </w:t>
      </w:r>
    </w:p>
    <w:p w14:paraId="4B7A8728" w14:textId="25CA0E86" w:rsidR="00634D8F" w:rsidRPr="00C74276" w:rsidRDefault="00641036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In copyright, there are basically three types of contracts: assignment, </w:t>
      </w:r>
      <w:r w:rsidR="00CD5049" w:rsidRPr="00C74276">
        <w:rPr>
          <w:lang w:val="en-CA"/>
        </w:rPr>
        <w:t xml:space="preserve">grant of </w:t>
      </w:r>
      <w:r w:rsidRPr="00C74276">
        <w:rPr>
          <w:lang w:val="en-CA"/>
        </w:rPr>
        <w:t xml:space="preserve">exclusive licence, and </w:t>
      </w:r>
      <w:r w:rsidR="00CD5049" w:rsidRPr="00C74276">
        <w:rPr>
          <w:lang w:val="en-CA"/>
        </w:rPr>
        <w:t xml:space="preserve">grant of </w:t>
      </w:r>
      <w:r w:rsidRPr="00C74276">
        <w:rPr>
          <w:lang w:val="en-CA"/>
        </w:rPr>
        <w:t>non-exclusive licenc</w:t>
      </w:r>
      <w:r w:rsidR="00CD5049" w:rsidRPr="00C74276">
        <w:rPr>
          <w:lang w:val="en-CA"/>
        </w:rPr>
        <w:t>e</w:t>
      </w:r>
      <w:r w:rsidRPr="00C74276">
        <w:rPr>
          <w:lang w:val="en-CA"/>
        </w:rPr>
        <w:t>.</w:t>
      </w:r>
    </w:p>
    <w:p w14:paraId="369FF50E" w14:textId="539BF4C8" w:rsidR="00634D8F" w:rsidRPr="00C74276" w:rsidRDefault="00263CDE" w:rsidP="00FA34B7">
      <w:pPr>
        <w:pStyle w:val="Paragraphedeliste"/>
        <w:numPr>
          <w:ilvl w:val="0"/>
          <w:numId w:val="33"/>
        </w:numPr>
        <w:spacing w:before="240" w:after="60"/>
        <w:ind w:left="2552" w:hanging="567"/>
        <w:outlineLvl w:val="4"/>
        <w:rPr>
          <w:b/>
          <w:lang w:val="en-CA"/>
        </w:rPr>
      </w:pPr>
      <w:r w:rsidRPr="00C74276">
        <w:rPr>
          <w:b/>
          <w:lang w:val="en-CA"/>
        </w:rPr>
        <w:t xml:space="preserve">Assignment </w:t>
      </w:r>
    </w:p>
    <w:p w14:paraId="3188E6AA" w14:textId="1789E2C2" w:rsidR="00634D8F" w:rsidRPr="00C74276" w:rsidRDefault="001017FB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Assignment </w:t>
      </w:r>
      <w:r w:rsidR="003C0048" w:rsidRPr="00C74276">
        <w:rPr>
          <w:lang w:val="en-CA"/>
        </w:rPr>
        <w:t xml:space="preserve">constitutes a transfer of the right of ownership or a sale of the copyright to </w:t>
      </w:r>
      <w:r w:rsidR="00F0330F" w:rsidRPr="00C74276">
        <w:rPr>
          <w:lang w:val="en-CA"/>
        </w:rPr>
        <w:t>which it relates; the assignor</w:t>
      </w:r>
      <w:r w:rsidR="003C0048" w:rsidRPr="00C74276">
        <w:rPr>
          <w:lang w:val="en-CA"/>
        </w:rPr>
        <w:t xml:space="preserve"> then ceases to be the ow</w:t>
      </w:r>
      <w:r w:rsidR="00F0330F" w:rsidRPr="00C74276">
        <w:rPr>
          <w:lang w:val="en-CA"/>
        </w:rPr>
        <w:t>ner of the copyright assigned</w:t>
      </w:r>
      <w:r w:rsidR="003C0048" w:rsidRPr="00C74276">
        <w:rPr>
          <w:lang w:val="en-CA"/>
        </w:rPr>
        <w:t xml:space="preserve"> to t</w:t>
      </w:r>
      <w:r w:rsidR="00F0330F" w:rsidRPr="00C74276">
        <w:rPr>
          <w:lang w:val="en-CA"/>
        </w:rPr>
        <w:t>he assignee</w:t>
      </w:r>
      <w:r w:rsidR="004071C9" w:rsidRPr="00C74276">
        <w:rPr>
          <w:lang w:val="en-CA"/>
        </w:rPr>
        <w:t>,</w:t>
      </w:r>
      <w:r w:rsidR="003C0048" w:rsidRPr="00C74276">
        <w:rPr>
          <w:lang w:val="en-CA"/>
        </w:rPr>
        <w:t xml:space="preserve"> </w:t>
      </w:r>
      <w:bookmarkStart w:id="17" w:name="_Ref50706668"/>
      <w:r w:rsidR="00867C5A" w:rsidRPr="00C74276">
        <w:rPr>
          <w:lang w:val="en-CA"/>
        </w:rPr>
        <w:t>who acquires ownership thereof.</w:t>
      </w:r>
      <w:r w:rsidR="00867C5A" w:rsidRPr="00C74276">
        <w:rPr>
          <w:vertAlign w:val="superscript"/>
          <w:lang w:val="en-CA"/>
        </w:rPr>
        <w:footnoteReference w:id="41"/>
      </w:r>
      <w:bookmarkEnd w:id="17"/>
      <w:r w:rsidR="00E84127" w:rsidRPr="00C74276">
        <w:rPr>
          <w:lang w:val="en-CA"/>
        </w:rPr>
        <w:t xml:space="preserve"> </w:t>
      </w:r>
      <w:r w:rsidR="00F0330F" w:rsidRPr="00C74276">
        <w:rPr>
          <w:lang w:val="en-CA"/>
        </w:rPr>
        <w:t>The assignee</w:t>
      </w:r>
      <w:r w:rsidR="003C0048" w:rsidRPr="00C74276">
        <w:rPr>
          <w:lang w:val="en-CA"/>
        </w:rPr>
        <w:t xml:space="preserve"> takes the place of the original owner</w:t>
      </w:r>
      <w:r w:rsidR="00F0330F" w:rsidRPr="00C74276">
        <w:rPr>
          <w:lang w:val="en-CA"/>
        </w:rPr>
        <w:t xml:space="preserve"> with respect to the assigned</w:t>
      </w:r>
      <w:r w:rsidR="003C0048" w:rsidRPr="00C74276">
        <w:rPr>
          <w:lang w:val="en-CA"/>
        </w:rPr>
        <w:t xml:space="preserve"> rights and has full ownership r</w:t>
      </w:r>
      <w:bookmarkStart w:id="19" w:name="_Ref50707008"/>
      <w:r w:rsidR="00867C5A" w:rsidRPr="00C74276">
        <w:rPr>
          <w:lang w:val="en-CA"/>
        </w:rPr>
        <w:t>ights in the copyright.</w:t>
      </w:r>
      <w:r w:rsidR="00867C5A" w:rsidRPr="00C74276">
        <w:rPr>
          <w:vertAlign w:val="superscript"/>
          <w:lang w:val="en-CA"/>
        </w:rPr>
        <w:footnoteReference w:id="42"/>
      </w:r>
      <w:bookmarkEnd w:id="19"/>
      <w:r w:rsidR="00E84127" w:rsidRPr="00C74276">
        <w:rPr>
          <w:lang w:val="en-CA"/>
        </w:rPr>
        <w:t xml:space="preserve"> </w:t>
      </w:r>
      <w:r w:rsidR="003C0048" w:rsidRPr="00C74276">
        <w:rPr>
          <w:lang w:val="en-CA"/>
        </w:rPr>
        <w:t>Be</w:t>
      </w:r>
      <w:r w:rsidR="00E45F91" w:rsidRPr="00C74276">
        <w:rPr>
          <w:lang w:val="en-CA"/>
        </w:rPr>
        <w:t>cause the assignee receives</w:t>
      </w:r>
      <w:r w:rsidR="003C0048" w:rsidRPr="00C74276">
        <w:rPr>
          <w:lang w:val="en-CA"/>
        </w:rPr>
        <w:t xml:space="preserve"> a right of own</w:t>
      </w:r>
      <w:r w:rsidR="00F0330F" w:rsidRPr="00C74276">
        <w:rPr>
          <w:lang w:val="en-CA"/>
        </w:rPr>
        <w:t xml:space="preserve">ership, </w:t>
      </w:r>
      <w:r w:rsidR="000A3547" w:rsidRPr="00C74276">
        <w:rPr>
          <w:lang w:val="en-CA"/>
        </w:rPr>
        <w:t>they enjoy r</w:t>
      </w:r>
      <w:r w:rsidR="000F4260" w:rsidRPr="00C74276">
        <w:rPr>
          <w:lang w:val="en-CA"/>
        </w:rPr>
        <w:t>ight</w:t>
      </w:r>
      <w:r w:rsidR="000A3547" w:rsidRPr="00C74276">
        <w:rPr>
          <w:lang w:val="en-CA"/>
        </w:rPr>
        <w:t>s</w:t>
      </w:r>
      <w:r w:rsidR="009C5C0D" w:rsidRPr="00C74276">
        <w:rPr>
          <w:lang w:val="en-CA"/>
        </w:rPr>
        <w:t xml:space="preserve"> against </w:t>
      </w:r>
      <w:r w:rsidR="004071C9" w:rsidRPr="00C74276">
        <w:rPr>
          <w:lang w:val="en-CA"/>
        </w:rPr>
        <w:t>all</w:t>
      </w:r>
      <w:r w:rsidR="009C5C0D" w:rsidRPr="00C74276">
        <w:rPr>
          <w:lang w:val="en-CA"/>
        </w:rPr>
        <w:t xml:space="preserve"> third parties</w:t>
      </w:r>
      <w:r w:rsidR="000F4260" w:rsidRPr="00C74276">
        <w:rPr>
          <w:lang w:val="en-CA"/>
        </w:rPr>
        <w:t>, which allows them</w:t>
      </w:r>
      <w:r w:rsidR="003C0048" w:rsidRPr="00C74276">
        <w:rPr>
          <w:lang w:val="en-CA"/>
        </w:rPr>
        <w:t xml:space="preserve"> </w:t>
      </w:r>
      <w:r w:rsidR="000F4260" w:rsidRPr="00C74276">
        <w:rPr>
          <w:lang w:val="en-CA"/>
        </w:rPr>
        <w:t>in particular to sue others</w:t>
      </w:r>
      <w:r w:rsidR="00F27FB9" w:rsidRPr="00C74276">
        <w:rPr>
          <w:lang w:val="en-CA"/>
        </w:rPr>
        <w:t xml:space="preserve"> for </w:t>
      </w:r>
      <w:r w:rsidR="003F771F" w:rsidRPr="00C74276">
        <w:rPr>
          <w:lang w:val="en-CA"/>
        </w:rPr>
        <w:t>in</w:t>
      </w:r>
      <w:r w:rsidR="004357E9" w:rsidRPr="00C74276">
        <w:rPr>
          <w:lang w:val="en-CA"/>
        </w:rPr>
        <w:t xml:space="preserve">fringement of their property </w:t>
      </w:r>
      <w:r w:rsidR="003F771F" w:rsidRPr="00C74276">
        <w:rPr>
          <w:lang w:val="en-CA"/>
        </w:rPr>
        <w:t>right</w:t>
      </w:r>
      <w:r w:rsidR="004357E9" w:rsidRPr="00C74276">
        <w:rPr>
          <w:lang w:val="en-CA"/>
        </w:rPr>
        <w:t>s</w:t>
      </w:r>
      <w:r w:rsidR="003C0048" w:rsidRPr="00C74276">
        <w:rPr>
          <w:lang w:val="en-CA"/>
        </w:rPr>
        <w:t>.</w:t>
      </w:r>
      <w:r w:rsidR="00867C5A" w:rsidRPr="00C74276">
        <w:rPr>
          <w:vertAlign w:val="superscript"/>
          <w:lang w:val="en-CA"/>
        </w:rPr>
        <w:footnoteReference w:id="43"/>
      </w:r>
      <w:r w:rsidR="00867C5A" w:rsidRPr="00C74276">
        <w:rPr>
          <w:lang w:val="en-CA"/>
        </w:rPr>
        <w:t xml:space="preserve"> </w:t>
      </w:r>
      <w:r w:rsidR="003C0048" w:rsidRPr="00C74276">
        <w:rPr>
          <w:lang w:val="en-CA"/>
        </w:rPr>
        <w:t>The assignee is therefore on equal foot</w:t>
      </w:r>
      <w:r w:rsidR="000F4260" w:rsidRPr="00C74276">
        <w:rPr>
          <w:lang w:val="en-CA"/>
        </w:rPr>
        <w:t xml:space="preserve">ing with the original </w:t>
      </w:r>
      <w:r w:rsidR="000A3547" w:rsidRPr="00C74276">
        <w:rPr>
          <w:lang w:val="en-CA"/>
        </w:rPr>
        <w:t>copyright owner</w:t>
      </w:r>
      <w:r w:rsidR="003C0048" w:rsidRPr="00C74276">
        <w:rPr>
          <w:lang w:val="en-CA"/>
        </w:rPr>
        <w:t>.</w:t>
      </w:r>
      <w:r w:rsidR="00867C5A" w:rsidRPr="00C74276">
        <w:rPr>
          <w:vertAlign w:val="superscript"/>
          <w:lang w:val="en-CA"/>
        </w:rPr>
        <w:footnoteReference w:id="44"/>
      </w:r>
      <w:r w:rsidR="00E84127" w:rsidRPr="00C74276">
        <w:rPr>
          <w:lang w:val="en-CA"/>
        </w:rPr>
        <w:t xml:space="preserve"> </w:t>
      </w:r>
      <w:r w:rsidR="003C0048" w:rsidRPr="00C74276">
        <w:rPr>
          <w:lang w:val="en-CA"/>
        </w:rPr>
        <w:t xml:space="preserve">The </w:t>
      </w:r>
      <w:r w:rsidR="000F4260" w:rsidRPr="00C74276">
        <w:rPr>
          <w:lang w:val="en-CA"/>
        </w:rPr>
        <w:t>assignment</w:t>
      </w:r>
      <w:r w:rsidR="003C0048" w:rsidRPr="00C74276">
        <w:rPr>
          <w:lang w:val="en-CA"/>
        </w:rPr>
        <w:t xml:space="preserve"> must be evi</w:t>
      </w:r>
      <w:r w:rsidR="00E84127" w:rsidRPr="00C74276">
        <w:rPr>
          <w:lang w:val="en-CA"/>
        </w:rPr>
        <w:t>d</w:t>
      </w:r>
      <w:r w:rsidR="00867C5A" w:rsidRPr="00C74276">
        <w:rPr>
          <w:lang w:val="en-CA"/>
        </w:rPr>
        <w:t>enced in writing and be signed.</w:t>
      </w:r>
      <w:r w:rsidR="00634D8F" w:rsidRPr="00C74276">
        <w:rPr>
          <w:vertAlign w:val="superscript"/>
          <w:lang w:val="en-CA"/>
        </w:rPr>
        <w:footnoteReference w:id="45"/>
      </w:r>
    </w:p>
    <w:p w14:paraId="6C05D3A8" w14:textId="6667FF0A" w:rsidR="00634D8F" w:rsidRPr="00C74276" w:rsidRDefault="00E84127" w:rsidP="00FA34B7">
      <w:pPr>
        <w:pStyle w:val="Paragraphedeliste"/>
        <w:numPr>
          <w:ilvl w:val="0"/>
          <w:numId w:val="33"/>
        </w:numPr>
        <w:spacing w:before="240" w:after="60"/>
        <w:ind w:left="2552" w:hanging="567"/>
        <w:outlineLvl w:val="4"/>
        <w:rPr>
          <w:b/>
          <w:lang w:val="en-CA"/>
        </w:rPr>
      </w:pPr>
      <w:r w:rsidRPr="00C74276">
        <w:rPr>
          <w:b/>
          <w:lang w:val="en-CA"/>
        </w:rPr>
        <w:lastRenderedPageBreak/>
        <w:t xml:space="preserve">Grant of licence </w:t>
      </w:r>
    </w:p>
    <w:p w14:paraId="3695D44F" w14:textId="1FCCDFE1" w:rsidR="00634D8F" w:rsidRPr="00C74276" w:rsidRDefault="000A3547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A</w:t>
      </w:r>
      <w:r w:rsidR="00FF43D9" w:rsidRPr="00C74276">
        <w:rPr>
          <w:lang w:val="en-CA"/>
        </w:rPr>
        <w:t xml:space="preserve"> licence is similar to an </w:t>
      </w:r>
      <w:r w:rsidR="00201585" w:rsidRPr="00C74276">
        <w:rPr>
          <w:lang w:val="en-CA"/>
        </w:rPr>
        <w:t>“</w:t>
      </w:r>
      <w:r w:rsidR="00FF43D9" w:rsidRPr="00C74276">
        <w:rPr>
          <w:lang w:val="en-CA"/>
        </w:rPr>
        <w:t>authorization</w:t>
      </w:r>
      <w:r w:rsidR="00201585" w:rsidRPr="00C74276">
        <w:rPr>
          <w:lang w:val="en-CA"/>
        </w:rPr>
        <w:t>”</w:t>
      </w:r>
      <w:r w:rsidR="00C83048" w:rsidRPr="00C74276">
        <w:rPr>
          <w:lang w:val="en-CA"/>
        </w:rPr>
        <w:t>.</w:t>
      </w:r>
      <w:r w:rsidR="00867C5A" w:rsidRPr="00C74276">
        <w:rPr>
          <w:vertAlign w:val="superscript"/>
          <w:lang w:val="en-CA"/>
        </w:rPr>
        <w:footnoteReference w:id="46"/>
      </w:r>
      <w:r w:rsidR="00867C5A" w:rsidRPr="00C74276">
        <w:rPr>
          <w:lang w:val="en-CA"/>
        </w:rPr>
        <w:t xml:space="preserve"> </w:t>
      </w:r>
      <w:r w:rsidR="00201585" w:rsidRPr="00C74276">
        <w:rPr>
          <w:lang w:val="en-CA"/>
        </w:rPr>
        <w:t>Autho</w:t>
      </w:r>
      <w:r w:rsidRPr="00C74276">
        <w:rPr>
          <w:lang w:val="en-CA"/>
        </w:rPr>
        <w:t>r David Vaver points out that “licence” and “consent”</w:t>
      </w:r>
      <w:r w:rsidR="00201585" w:rsidRPr="00C74276">
        <w:rPr>
          <w:lang w:val="en-CA"/>
        </w:rPr>
        <w:t xml:space="preserve"> are used interchangeably in some jurisdictions.</w:t>
      </w:r>
      <w:r w:rsidR="00867C5A" w:rsidRPr="00C74276">
        <w:rPr>
          <w:vertAlign w:val="superscript"/>
          <w:lang w:val="en-CA"/>
        </w:rPr>
        <w:footnoteReference w:id="47"/>
      </w:r>
      <w:r w:rsidR="00201585" w:rsidRPr="00C74276">
        <w:rPr>
          <w:lang w:val="en-CA"/>
        </w:rPr>
        <w:t xml:space="preserve"> It is a term generally referring to a </w:t>
      </w:r>
      <w:r w:rsidR="00201585" w:rsidRPr="00C74276">
        <w:rPr>
          <w:u w:val="single"/>
          <w:lang w:val="en-CA"/>
        </w:rPr>
        <w:t xml:space="preserve">consent of the holder </w:t>
      </w:r>
      <w:r w:rsidR="00D21217" w:rsidRPr="00C74276">
        <w:rPr>
          <w:u w:val="single"/>
          <w:lang w:val="en-CA"/>
        </w:rPr>
        <w:t>that</w:t>
      </w:r>
      <w:r w:rsidR="00201585" w:rsidRPr="00C74276">
        <w:rPr>
          <w:u w:val="single"/>
          <w:lang w:val="en-CA"/>
        </w:rPr>
        <w:t xml:space="preserve"> takes a contractual </w:t>
      </w:r>
      <w:r w:rsidR="00F74DF6" w:rsidRPr="00C74276">
        <w:rPr>
          <w:u w:val="single"/>
          <w:lang w:val="en-CA"/>
        </w:rPr>
        <w:t>form,</w:t>
      </w:r>
      <w:r w:rsidR="00F74DF6" w:rsidRPr="00C74276">
        <w:rPr>
          <w:lang w:val="en-CA"/>
        </w:rPr>
        <w:t xml:space="preserve"> </w:t>
      </w:r>
      <w:r w:rsidR="00F35928" w:rsidRPr="00C74276">
        <w:rPr>
          <w:lang w:val="en-CA"/>
        </w:rPr>
        <w:t>as opposed to a unilateral act.</w:t>
      </w:r>
      <w:r w:rsidR="00F35928" w:rsidRPr="00C74276">
        <w:rPr>
          <w:vertAlign w:val="superscript"/>
          <w:lang w:val="en-CA"/>
        </w:rPr>
        <w:footnoteReference w:id="48"/>
      </w:r>
      <w:r w:rsidR="00F35928" w:rsidRPr="00C74276">
        <w:rPr>
          <w:lang w:val="en-CA"/>
        </w:rPr>
        <w:t xml:space="preserve"> </w:t>
      </w:r>
      <w:r w:rsidR="00F74DF6" w:rsidRPr="00C74276">
        <w:rPr>
          <w:lang w:val="en-CA"/>
        </w:rPr>
        <w:t xml:space="preserve">This approach is consistent with </w:t>
      </w:r>
      <w:r w:rsidR="00B613AB" w:rsidRPr="00C74276">
        <w:rPr>
          <w:lang w:val="en-CA"/>
        </w:rPr>
        <w:t>sub</w:t>
      </w:r>
      <w:r w:rsidR="00F74DF6" w:rsidRPr="00C74276">
        <w:rPr>
          <w:lang w:val="en-CA"/>
        </w:rPr>
        <w:t xml:space="preserve">section 27(1) of the </w:t>
      </w:r>
      <w:r w:rsidR="00F74DF6" w:rsidRPr="00C74276">
        <w:rPr>
          <w:i/>
          <w:lang w:val="en-CA"/>
        </w:rPr>
        <w:t>CA</w:t>
      </w:r>
      <w:r w:rsidR="00D21217" w:rsidRPr="00C74276">
        <w:rPr>
          <w:iCs/>
          <w:lang w:val="en-CA"/>
        </w:rPr>
        <w:t>,</w:t>
      </w:r>
      <w:r w:rsidR="00F74DF6" w:rsidRPr="00C74276">
        <w:rPr>
          <w:lang w:val="en-CA"/>
        </w:rPr>
        <w:t xml:space="preserve"> which defines copyright infringement as “</w:t>
      </w:r>
      <w:r w:rsidR="00142FC6" w:rsidRPr="00C74276">
        <w:rPr>
          <w:lang w:val="en-CA"/>
        </w:rPr>
        <w:t>to do</w:t>
      </w:r>
      <w:r w:rsidR="00F74DF6" w:rsidRPr="00C74276">
        <w:rPr>
          <w:lang w:val="en-CA"/>
        </w:rPr>
        <w:t xml:space="preserve">, </w:t>
      </w:r>
      <w:r w:rsidR="00F74DF6" w:rsidRPr="00C74276">
        <w:rPr>
          <w:u w:val="single"/>
          <w:lang w:val="en-CA"/>
        </w:rPr>
        <w:t>without the consent</w:t>
      </w:r>
      <w:r w:rsidR="00F74DF6" w:rsidRPr="00C74276">
        <w:rPr>
          <w:lang w:val="en-CA"/>
        </w:rPr>
        <w:t xml:space="preserve"> of the owner of the copyright, anything that by this Act only the owner of the </w:t>
      </w:r>
      <w:r w:rsidR="00F35928" w:rsidRPr="00C74276">
        <w:rPr>
          <w:lang w:val="en-CA"/>
        </w:rPr>
        <w:t>copyright has the right to do”.</w:t>
      </w:r>
      <w:r w:rsidR="00F35928" w:rsidRPr="00C74276">
        <w:rPr>
          <w:vertAlign w:val="superscript"/>
          <w:lang w:val="en-CA"/>
        </w:rPr>
        <w:footnoteReference w:id="49"/>
      </w:r>
      <w:r w:rsidR="00F74DF6" w:rsidRPr="00C74276">
        <w:rPr>
          <w:lang w:val="en-CA"/>
        </w:rPr>
        <w:t xml:space="preserve"> </w:t>
      </w:r>
      <w:r w:rsidR="00201585" w:rsidRPr="00C74276">
        <w:rPr>
          <w:lang w:val="en-CA"/>
        </w:rPr>
        <w:t xml:space="preserve"> </w:t>
      </w:r>
      <w:r w:rsidR="00142FC6" w:rsidRPr="00C74276">
        <w:rPr>
          <w:lang w:val="en-CA"/>
        </w:rPr>
        <w:t>Proof of a licence covering the acts of alleged infrin</w:t>
      </w:r>
      <w:r w:rsidR="00AE0602" w:rsidRPr="00C74276">
        <w:rPr>
          <w:lang w:val="en-CA"/>
        </w:rPr>
        <w:t>gement is therefore</w:t>
      </w:r>
      <w:r w:rsidR="00D21217" w:rsidRPr="00C74276">
        <w:rPr>
          <w:lang w:val="en-CA"/>
        </w:rPr>
        <w:t xml:space="preserve"> [</w:t>
      </w:r>
      <w:r w:rsidR="00D21217" w:rsidRPr="00C74276">
        <w:rPr>
          <w:smallCaps/>
          <w:lang w:val="en-CA"/>
        </w:rPr>
        <w:t>translation</w:t>
      </w:r>
      <w:r w:rsidR="00D21217" w:rsidRPr="00C74276">
        <w:rPr>
          <w:lang w:val="en-CA"/>
        </w:rPr>
        <w:t>]</w:t>
      </w:r>
      <w:r w:rsidR="00AE0602" w:rsidRPr="00C74276">
        <w:rPr>
          <w:lang w:val="en-CA"/>
        </w:rPr>
        <w:t xml:space="preserve"> “an absolute</w:t>
      </w:r>
      <w:r w:rsidR="00F35928" w:rsidRPr="00C74276">
        <w:rPr>
          <w:lang w:val="en-CA"/>
        </w:rPr>
        <w:t xml:space="preserve"> defence to infringement”.</w:t>
      </w:r>
      <w:r w:rsidR="00634D8F" w:rsidRPr="00C74276">
        <w:rPr>
          <w:vertAlign w:val="superscript"/>
          <w:lang w:val="en-CA"/>
        </w:rPr>
        <w:footnoteReference w:id="50"/>
      </w:r>
    </w:p>
    <w:p w14:paraId="2CFEB357" w14:textId="61BA8202" w:rsidR="00634D8F" w:rsidRPr="00C74276" w:rsidRDefault="007E1F6A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Essentially, a</w:t>
      </w:r>
      <w:r w:rsidR="00142FC6" w:rsidRPr="00C74276">
        <w:rPr>
          <w:lang w:val="en-CA"/>
        </w:rPr>
        <w:t xml:space="preserve"> licence obligates the copyright owner, the licensor, not to pursue a claim for copyright infringement aga</w:t>
      </w:r>
      <w:r w:rsidRPr="00C74276">
        <w:rPr>
          <w:lang w:val="en-CA"/>
        </w:rPr>
        <w:t>inst its beneficiary, the licens</w:t>
      </w:r>
      <w:r w:rsidR="00142FC6" w:rsidRPr="00C74276">
        <w:rPr>
          <w:lang w:val="en-CA"/>
        </w:rPr>
        <w:t>ee, when the latter exploits the co</w:t>
      </w:r>
      <w:r w:rsidR="00105D41" w:rsidRPr="00C74276">
        <w:rPr>
          <w:lang w:val="en-CA"/>
        </w:rPr>
        <w:t xml:space="preserve">pyright covered by the licence </w:t>
      </w:r>
      <w:r w:rsidR="004357E9" w:rsidRPr="00C74276">
        <w:rPr>
          <w:lang w:val="en-CA"/>
        </w:rPr>
        <w:t>[</w:t>
      </w:r>
      <w:r w:rsidR="004357E9" w:rsidRPr="00C74276">
        <w:rPr>
          <w:smallCaps/>
          <w:lang w:val="en-CA"/>
        </w:rPr>
        <w:t>translation</w:t>
      </w:r>
      <w:r w:rsidR="004357E9" w:rsidRPr="00C74276">
        <w:rPr>
          <w:lang w:val="en-CA"/>
        </w:rPr>
        <w:t xml:space="preserve">] </w:t>
      </w:r>
      <w:r w:rsidR="00105D41" w:rsidRPr="00C74276">
        <w:rPr>
          <w:lang w:val="en-CA"/>
        </w:rPr>
        <w:t>“withi</w:t>
      </w:r>
      <w:r w:rsidRPr="00C74276">
        <w:rPr>
          <w:lang w:val="en-CA"/>
        </w:rPr>
        <w:t>n the area of exploitation permitted</w:t>
      </w:r>
      <w:r w:rsidR="00105D41" w:rsidRPr="00C74276">
        <w:rPr>
          <w:lang w:val="en-CA"/>
        </w:rPr>
        <w:t xml:space="preserve"> by this licence”</w:t>
      </w:r>
      <w:r w:rsidR="000529DC">
        <w:rPr>
          <w:lang w:val="en-CA"/>
        </w:rPr>
        <w:t>.</w:t>
      </w:r>
      <w:r w:rsidR="00F35928" w:rsidRPr="00C74276">
        <w:rPr>
          <w:vertAlign w:val="superscript"/>
          <w:lang w:val="en-CA"/>
        </w:rPr>
        <w:footnoteReference w:id="51"/>
      </w:r>
      <w:r w:rsidR="00F35928" w:rsidRPr="00C74276">
        <w:rPr>
          <w:lang w:val="en-CA"/>
        </w:rPr>
        <w:t xml:space="preserve"> </w:t>
      </w:r>
      <w:r w:rsidR="00105D41" w:rsidRPr="00C74276">
        <w:rPr>
          <w:lang w:val="en-CA"/>
        </w:rPr>
        <w:t xml:space="preserve">In other words, </w:t>
      </w:r>
      <w:r w:rsidR="00FE37EC" w:rsidRPr="00C74276">
        <w:rPr>
          <w:lang w:val="en-CA"/>
        </w:rPr>
        <w:t xml:space="preserve">“[t]he </w:t>
      </w:r>
      <w:r w:rsidR="00105D41" w:rsidRPr="00C74276">
        <w:rPr>
          <w:lang w:val="en-CA"/>
        </w:rPr>
        <w:t>licence is only a permission to do what would otherwise be an infringem</w:t>
      </w:r>
      <w:r w:rsidR="00F35928" w:rsidRPr="00C74276">
        <w:rPr>
          <w:lang w:val="en-CA"/>
        </w:rPr>
        <w:t>ent of the right of ownership”</w:t>
      </w:r>
      <w:r w:rsidR="00C371E1">
        <w:rPr>
          <w:lang w:val="en-CA"/>
        </w:rPr>
        <w:t>.</w:t>
      </w:r>
      <w:r w:rsidR="00F35928" w:rsidRPr="00C74276">
        <w:rPr>
          <w:vertAlign w:val="superscript"/>
          <w:lang w:val="en-CA"/>
        </w:rPr>
        <w:footnoteReference w:id="52"/>
      </w:r>
      <w:r w:rsidR="00105D41" w:rsidRPr="00C74276">
        <w:rPr>
          <w:lang w:val="en-CA"/>
        </w:rPr>
        <w:t xml:space="preserve"> A licence does not confer a</w:t>
      </w:r>
      <w:r w:rsidR="00514E5E" w:rsidRPr="00C74276">
        <w:rPr>
          <w:lang w:val="en-CA"/>
        </w:rPr>
        <w:t>ny property rights on the licens</w:t>
      </w:r>
      <w:r w:rsidR="00105D41" w:rsidRPr="00C74276">
        <w:rPr>
          <w:lang w:val="en-CA"/>
        </w:rPr>
        <w:t>ee</w:t>
      </w:r>
      <w:r w:rsidR="004357E9" w:rsidRPr="00C74276">
        <w:rPr>
          <w:lang w:val="en-CA"/>
        </w:rPr>
        <w:t>;</w:t>
      </w:r>
      <w:r w:rsidR="00105D41" w:rsidRPr="00C74276">
        <w:rPr>
          <w:lang w:val="en-CA"/>
        </w:rPr>
        <w:t xml:space="preserve"> it is only a permission to do something, which is not subject to any requ</w:t>
      </w:r>
      <w:r w:rsidR="00F35928" w:rsidRPr="00C74276">
        <w:rPr>
          <w:lang w:val="en-CA"/>
        </w:rPr>
        <w:t>irements as to form or content.</w:t>
      </w:r>
      <w:r w:rsidR="00F35928" w:rsidRPr="00C74276">
        <w:rPr>
          <w:vertAlign w:val="superscript"/>
          <w:lang w:val="en-CA"/>
        </w:rPr>
        <w:footnoteReference w:id="53"/>
      </w:r>
      <w:r w:rsidR="00105D41" w:rsidRPr="00C74276">
        <w:rPr>
          <w:lang w:val="en-CA"/>
        </w:rPr>
        <w:t xml:space="preserve"> Since the rights </w:t>
      </w:r>
      <w:r w:rsidR="00514E5E" w:rsidRPr="00C74276">
        <w:rPr>
          <w:lang w:val="en-CA"/>
        </w:rPr>
        <w:t>of the licens</w:t>
      </w:r>
      <w:r w:rsidR="00105D41" w:rsidRPr="00C74276">
        <w:rPr>
          <w:lang w:val="en-CA"/>
        </w:rPr>
        <w:t>ee are c</w:t>
      </w:r>
      <w:r w:rsidR="00514E5E" w:rsidRPr="00C74276">
        <w:rPr>
          <w:lang w:val="en-CA"/>
        </w:rPr>
        <w:t>ontractual in nature, the licens</w:t>
      </w:r>
      <w:r w:rsidR="00105D41" w:rsidRPr="00C74276">
        <w:rPr>
          <w:lang w:val="en-CA"/>
        </w:rPr>
        <w:t xml:space="preserve">ee can only sue the copyright owner for breach of contract, </w:t>
      </w:r>
      <w:r w:rsidR="00FE37EC" w:rsidRPr="00C74276">
        <w:rPr>
          <w:lang w:val="en-CA"/>
        </w:rPr>
        <w:t xml:space="preserve">and </w:t>
      </w:r>
      <w:r w:rsidR="00105D41" w:rsidRPr="00C74276">
        <w:rPr>
          <w:lang w:val="en-CA"/>
        </w:rPr>
        <w:t>not for in</w:t>
      </w:r>
      <w:r w:rsidR="00F35928" w:rsidRPr="00C74276">
        <w:rPr>
          <w:lang w:val="en-CA"/>
        </w:rPr>
        <w:t>fringement of a property right.</w:t>
      </w:r>
      <w:r w:rsidR="00634D8F" w:rsidRPr="00C74276">
        <w:rPr>
          <w:vertAlign w:val="superscript"/>
          <w:lang w:val="en-CA"/>
        </w:rPr>
        <w:footnoteReference w:id="54"/>
      </w:r>
    </w:p>
    <w:p w14:paraId="4232E5E0" w14:textId="356EBBFC" w:rsidR="00634D8F" w:rsidRPr="00C74276" w:rsidRDefault="00D51E76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A</w:t>
      </w:r>
      <w:r w:rsidR="00142FC6" w:rsidRPr="00C74276">
        <w:rPr>
          <w:lang w:val="en-CA"/>
        </w:rPr>
        <w:t xml:space="preserve"> licence is</w:t>
      </w:r>
      <w:r w:rsidR="00F35928" w:rsidRPr="00C74276">
        <w:rPr>
          <w:lang w:val="en-CA"/>
        </w:rPr>
        <w:t xml:space="preserve"> exclusive or non-exclusive.</w:t>
      </w:r>
      <w:r w:rsidR="00634D8F" w:rsidRPr="00C74276">
        <w:rPr>
          <w:vertAlign w:val="superscript"/>
          <w:lang w:val="en-CA"/>
        </w:rPr>
        <w:footnoteReference w:id="55"/>
      </w:r>
    </w:p>
    <w:p w14:paraId="35A990FA" w14:textId="25F316DD" w:rsidR="00634D8F" w:rsidRPr="00C74276" w:rsidRDefault="00D51E76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An </w:t>
      </w:r>
      <w:r w:rsidRPr="00C74276">
        <w:rPr>
          <w:u w:val="single"/>
          <w:lang w:val="en-CA"/>
        </w:rPr>
        <w:t>exclusive licence</w:t>
      </w:r>
      <w:r w:rsidR="001C77AF" w:rsidRPr="00C74276">
        <w:rPr>
          <w:lang w:val="en-CA"/>
        </w:rPr>
        <w:t xml:space="preserve"> is “an authorization to do any act that is subject to copyright”</w:t>
      </w:r>
      <w:r w:rsidR="007F5FD4" w:rsidRPr="00C74276">
        <w:rPr>
          <w:lang w:val="en-CA"/>
        </w:rPr>
        <w:t>.</w:t>
      </w:r>
      <w:r w:rsidR="00F35928" w:rsidRPr="00C74276">
        <w:rPr>
          <w:vertAlign w:val="superscript"/>
          <w:lang w:val="en-CA"/>
        </w:rPr>
        <w:footnoteReference w:id="56"/>
      </w:r>
      <w:r w:rsidRPr="00C74276">
        <w:rPr>
          <w:lang w:val="en-CA"/>
        </w:rPr>
        <w:t xml:space="preserve"> The licensor is not only prohibited from </w:t>
      </w:r>
      <w:r w:rsidR="005918EC" w:rsidRPr="00C74276">
        <w:rPr>
          <w:lang w:val="en-CA"/>
        </w:rPr>
        <w:t xml:space="preserve">granting </w:t>
      </w:r>
      <w:r w:rsidRPr="00C74276">
        <w:rPr>
          <w:lang w:val="en-CA"/>
        </w:rPr>
        <w:t xml:space="preserve">licences </w:t>
      </w:r>
      <w:r w:rsidR="005918EC" w:rsidRPr="00C74276">
        <w:rPr>
          <w:lang w:val="en-CA"/>
        </w:rPr>
        <w:t>in respect of</w:t>
      </w:r>
      <w:r w:rsidR="002D6868" w:rsidRPr="00C74276">
        <w:rPr>
          <w:lang w:val="en-CA"/>
        </w:rPr>
        <w:t xml:space="preserve"> the rights granted to </w:t>
      </w:r>
      <w:r w:rsidR="005918EC" w:rsidRPr="00C74276">
        <w:rPr>
          <w:lang w:val="en-CA"/>
        </w:rPr>
        <w:t xml:space="preserve">any </w:t>
      </w:r>
      <w:r w:rsidR="002D6868" w:rsidRPr="00C74276">
        <w:rPr>
          <w:lang w:val="en-CA"/>
        </w:rPr>
        <w:t>others,</w:t>
      </w:r>
      <w:r w:rsidR="005D77C2" w:rsidRPr="00C74276">
        <w:rPr>
          <w:lang w:val="en-CA"/>
        </w:rPr>
        <w:t xml:space="preserve"> but </w:t>
      </w:r>
      <w:r w:rsidR="008E12C5" w:rsidRPr="00C74276">
        <w:rPr>
          <w:lang w:val="en-CA"/>
        </w:rPr>
        <w:t xml:space="preserve">is </w:t>
      </w:r>
      <w:r w:rsidR="003F644E" w:rsidRPr="00C74276">
        <w:rPr>
          <w:lang w:val="en-CA"/>
        </w:rPr>
        <w:t>also prohibited from exploiting</w:t>
      </w:r>
      <w:r w:rsidRPr="00C74276">
        <w:rPr>
          <w:lang w:val="en-CA"/>
        </w:rPr>
        <w:t xml:space="preserve"> these same rights </w:t>
      </w:r>
      <w:r w:rsidR="003F644E" w:rsidRPr="00C74276">
        <w:rPr>
          <w:i/>
          <w:lang w:val="en-CA"/>
        </w:rPr>
        <w:t>itself</w:t>
      </w:r>
      <w:r w:rsidR="003F644E" w:rsidRPr="00C74276">
        <w:rPr>
          <w:lang w:val="en-CA"/>
        </w:rPr>
        <w:t>.</w:t>
      </w:r>
      <w:r w:rsidR="00F35928" w:rsidRPr="00C74276">
        <w:rPr>
          <w:vertAlign w:val="superscript"/>
          <w:lang w:val="en-CA"/>
        </w:rPr>
        <w:footnoteReference w:id="57"/>
      </w:r>
      <w:r w:rsidR="003F644E" w:rsidRPr="00C74276">
        <w:rPr>
          <w:lang w:val="en-CA"/>
        </w:rPr>
        <w:t xml:space="preserve"> </w:t>
      </w:r>
      <w:r w:rsidRPr="00C74276">
        <w:rPr>
          <w:lang w:val="en-CA"/>
        </w:rPr>
        <w:t>The Supreme Court explained the requireme</w:t>
      </w:r>
      <w:r w:rsidR="003F644E" w:rsidRPr="00C74276">
        <w:rPr>
          <w:lang w:val="en-CA"/>
        </w:rPr>
        <w:t xml:space="preserve">nts for an exclusive licence </w:t>
      </w:r>
      <w:r w:rsidR="0054605F" w:rsidRPr="00C74276">
        <w:rPr>
          <w:lang w:val="en-CA"/>
        </w:rPr>
        <w:t>as follows</w:t>
      </w:r>
      <w:r w:rsidR="003F644E" w:rsidRPr="00C74276">
        <w:rPr>
          <w:lang w:val="en-CA"/>
        </w:rPr>
        <w:t xml:space="preserve"> in </w:t>
      </w:r>
      <w:r w:rsidR="003F644E" w:rsidRPr="00C74276">
        <w:rPr>
          <w:i/>
          <w:lang w:val="en-CA"/>
        </w:rPr>
        <w:t>Kraft</w:t>
      </w:r>
      <w:r w:rsidR="0054605F" w:rsidRPr="00C74276">
        <w:rPr>
          <w:lang w:val="en-CA"/>
        </w:rPr>
        <w:t>:</w:t>
      </w:r>
      <w:r w:rsidRPr="00C74276">
        <w:rPr>
          <w:lang w:val="en-CA"/>
        </w:rPr>
        <w:t xml:space="preserve"> </w:t>
      </w:r>
    </w:p>
    <w:p w14:paraId="452B8F0D" w14:textId="75177BB3" w:rsidR="00634D8F" w:rsidRPr="00C74276" w:rsidRDefault="002C7264" w:rsidP="008E12C5">
      <w:pPr>
        <w:pStyle w:val="Paragraphe"/>
        <w:numPr>
          <w:ilvl w:val="0"/>
          <w:numId w:val="0"/>
        </w:numPr>
        <w:spacing w:before="0" w:after="0" w:line="240" w:lineRule="auto"/>
        <w:ind w:left="562" w:right="542"/>
        <w:rPr>
          <w:color w:val="000000" w:themeColor="text1"/>
          <w:sz w:val="22"/>
          <w:szCs w:val="22"/>
          <w:lang w:val="en-CA" w:eastAsia="en-US"/>
        </w:rPr>
      </w:pPr>
      <w:r w:rsidRPr="00C74276">
        <w:rPr>
          <w:color w:val="000000" w:themeColor="text1"/>
          <w:sz w:val="22"/>
          <w:szCs w:val="22"/>
          <w:lang w:val="en-CA" w:eastAsia="en-US"/>
        </w:rPr>
        <w:lastRenderedPageBreak/>
        <w:t xml:space="preserve">26 … An exclusive licence under copyright law exists when the following conditions are met: (a) </w:t>
      </w:r>
      <w:r w:rsidRPr="00C74276">
        <w:rPr>
          <w:color w:val="000000" w:themeColor="text1"/>
          <w:sz w:val="22"/>
          <w:szCs w:val="22"/>
          <w:u w:val="single"/>
          <w:lang w:val="en-CA" w:eastAsia="en-US"/>
        </w:rPr>
        <w:t>the copyright owner (the licensor) permits another person (the licensee) to do something within the copyright; (b) the licensor promises not to give anyone else the same permission for the duration of the licence; and (c) the licensor itself promises not to do those acts that have been licensed to the licensee for the duration of the licence</w:t>
      </w:r>
      <w:r w:rsidRPr="00C74276">
        <w:rPr>
          <w:color w:val="000000" w:themeColor="text1"/>
          <w:sz w:val="22"/>
          <w:szCs w:val="22"/>
          <w:lang w:val="en-CA" w:eastAsia="en-US"/>
        </w:rPr>
        <w:t>: </w:t>
      </w:r>
      <w:hyperlink r:id="rId9" w:anchor="sec2.7_smooth" w:history="1">
        <w:r w:rsidRPr="00C74276">
          <w:rPr>
            <w:i/>
            <w:iCs/>
            <w:color w:val="000000" w:themeColor="text1"/>
            <w:sz w:val="22"/>
            <w:szCs w:val="22"/>
            <w:lang w:val="en-CA" w:eastAsia="en-US"/>
          </w:rPr>
          <w:t>Copyright Act</w:t>
        </w:r>
      </w:hyperlink>
      <w:hyperlink r:id="rId10" w:anchor="sec2.7_smooth" w:history="1">
        <w:r w:rsidRPr="00C74276">
          <w:rPr>
            <w:color w:val="000000" w:themeColor="text1"/>
            <w:sz w:val="22"/>
            <w:szCs w:val="22"/>
            <w:lang w:val="en-CA" w:eastAsia="en-US"/>
          </w:rPr>
          <w:t>, s. 2.7</w:t>
        </w:r>
      </w:hyperlink>
      <w:r w:rsidRPr="00C74276">
        <w:rPr>
          <w:color w:val="000000" w:themeColor="text1"/>
          <w:sz w:val="22"/>
          <w:szCs w:val="22"/>
          <w:lang w:val="en-CA" w:eastAsia="en-US"/>
        </w:rPr>
        <w:t>; see also D. Vaver, “The Exclusive Licence in Copyright” (1995), 9 </w:t>
      </w:r>
      <w:r w:rsidRPr="00C74276">
        <w:rPr>
          <w:i/>
          <w:iCs/>
          <w:color w:val="000000" w:themeColor="text1"/>
          <w:sz w:val="22"/>
          <w:szCs w:val="22"/>
          <w:lang w:val="en-CA" w:eastAsia="en-US"/>
        </w:rPr>
        <w:t>I.P.J</w:t>
      </w:r>
      <w:r w:rsidRPr="00C74276">
        <w:rPr>
          <w:color w:val="000000" w:themeColor="text1"/>
          <w:sz w:val="22"/>
          <w:szCs w:val="22"/>
          <w:lang w:val="en-CA" w:eastAsia="en-US"/>
        </w:rPr>
        <w:t>. 163, at pp. 164-65</w:t>
      </w:r>
      <w:r w:rsidR="00634D8F" w:rsidRPr="00C74276">
        <w:rPr>
          <w:lang w:val="en-CA"/>
        </w:rPr>
        <w:t>.</w:t>
      </w:r>
      <w:r w:rsidR="00634D8F" w:rsidRPr="00C74276">
        <w:rPr>
          <w:vertAlign w:val="superscript"/>
          <w:lang w:val="en-CA"/>
        </w:rPr>
        <w:footnoteReference w:id="58"/>
      </w:r>
    </w:p>
    <w:p w14:paraId="331BC376" w14:textId="1B379384" w:rsidR="00634D8F" w:rsidRPr="00C74276" w:rsidRDefault="00634D8F" w:rsidP="00FA34B7">
      <w:pPr>
        <w:spacing w:before="120" w:after="120"/>
        <w:ind w:left="562" w:right="720"/>
        <w:jc w:val="right"/>
        <w:rPr>
          <w:kern w:val="28"/>
          <w:szCs w:val="24"/>
          <w:lang w:val="en-CA"/>
        </w:rPr>
      </w:pPr>
      <w:r w:rsidRPr="00C74276">
        <w:rPr>
          <w:kern w:val="28"/>
          <w:szCs w:val="24"/>
          <w:lang w:val="en-CA"/>
        </w:rPr>
        <w:t>[</w:t>
      </w:r>
      <w:r w:rsidR="008E12C5" w:rsidRPr="00C74276">
        <w:rPr>
          <w:kern w:val="28"/>
          <w:szCs w:val="24"/>
          <w:lang w:val="en-CA"/>
        </w:rPr>
        <w:t>Emphasis added</w:t>
      </w:r>
      <w:r w:rsidR="006E097F" w:rsidRPr="00C74276">
        <w:rPr>
          <w:kern w:val="28"/>
          <w:szCs w:val="24"/>
          <w:lang w:val="en-CA"/>
        </w:rPr>
        <w:t>.</w:t>
      </w:r>
      <w:r w:rsidRPr="00C74276">
        <w:rPr>
          <w:kern w:val="28"/>
          <w:szCs w:val="24"/>
          <w:lang w:val="en-CA"/>
        </w:rPr>
        <w:t>]</w:t>
      </w:r>
    </w:p>
    <w:p w14:paraId="4B264242" w14:textId="52A056AD" w:rsidR="00634D8F" w:rsidRPr="00C74276" w:rsidRDefault="0009159F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An</w:t>
      </w:r>
      <w:r w:rsidR="004E14FB" w:rsidRPr="00C74276">
        <w:rPr>
          <w:lang w:val="en-CA"/>
        </w:rPr>
        <w:t xml:space="preserve"> exclusive licence does not grant a </w:t>
      </w:r>
      <w:r w:rsidR="004E14FB" w:rsidRPr="00C74276">
        <w:rPr>
          <w:i/>
          <w:lang w:val="en-CA"/>
        </w:rPr>
        <w:t>right</w:t>
      </w:r>
      <w:r w:rsidR="004E14FB" w:rsidRPr="00C74276">
        <w:rPr>
          <w:lang w:val="en-CA"/>
        </w:rPr>
        <w:t xml:space="preserve"> of ownership in the same way a</w:t>
      </w:r>
      <w:r w:rsidRPr="00C74276">
        <w:rPr>
          <w:lang w:val="en-CA"/>
        </w:rPr>
        <w:t xml:space="preserve">s an </w:t>
      </w:r>
      <w:r w:rsidR="005918EC" w:rsidRPr="00C74276">
        <w:rPr>
          <w:lang w:val="en-CA"/>
        </w:rPr>
        <w:t xml:space="preserve">assignment, but rather “a limited property </w:t>
      </w:r>
      <w:r w:rsidR="005918EC" w:rsidRPr="00C74276">
        <w:rPr>
          <w:i/>
          <w:lang w:val="en-CA"/>
        </w:rPr>
        <w:t>interest</w:t>
      </w:r>
      <w:r w:rsidR="005918EC" w:rsidRPr="00C74276">
        <w:rPr>
          <w:lang w:val="en-CA"/>
        </w:rPr>
        <w:t xml:space="preserve"> in the copyright”.</w:t>
      </w:r>
      <w:r w:rsidR="00EF0C55" w:rsidRPr="00C74276">
        <w:rPr>
          <w:vertAlign w:val="superscript"/>
          <w:lang w:val="en-CA"/>
        </w:rPr>
        <w:footnoteReference w:id="59"/>
      </w:r>
      <w:r w:rsidR="005918EC" w:rsidRPr="00C74276">
        <w:rPr>
          <w:lang w:val="en-CA"/>
        </w:rPr>
        <w:t xml:space="preserve"> </w:t>
      </w:r>
      <w:r w:rsidR="008E12C5" w:rsidRPr="00C74276">
        <w:rPr>
          <w:lang w:val="en-CA"/>
        </w:rPr>
        <w:t>Subs</w:t>
      </w:r>
      <w:r w:rsidR="004E14FB" w:rsidRPr="00C74276">
        <w:rPr>
          <w:lang w:val="en-CA"/>
        </w:rPr>
        <w:t>ection 13(</w:t>
      </w:r>
      <w:r w:rsidR="005918EC" w:rsidRPr="00C74276">
        <w:rPr>
          <w:lang w:val="en-CA"/>
        </w:rPr>
        <w:t xml:space="preserve">7) of the </w:t>
      </w:r>
      <w:r w:rsidR="005918EC" w:rsidRPr="00C74276">
        <w:rPr>
          <w:i/>
          <w:lang w:val="en-CA"/>
        </w:rPr>
        <w:t>CA</w:t>
      </w:r>
      <w:r w:rsidR="005918EC" w:rsidRPr="00C74276">
        <w:rPr>
          <w:lang w:val="en-CA"/>
        </w:rPr>
        <w:t xml:space="preserve"> makes this clear: </w:t>
      </w:r>
      <w:r w:rsidR="00006B76" w:rsidRPr="00C74276">
        <w:rPr>
          <w:lang w:val="en-CA"/>
        </w:rPr>
        <w:t xml:space="preserve">“It is deemed always to have been the law that a grant of an exclusive licence in a copyright constitutes the grant of an </w:t>
      </w:r>
      <w:r w:rsidR="00006B76" w:rsidRPr="00C74276">
        <w:rPr>
          <w:u w:val="single"/>
          <w:lang w:val="en-CA"/>
        </w:rPr>
        <w:t>interest</w:t>
      </w:r>
      <w:r w:rsidR="00006B76" w:rsidRPr="00C74276">
        <w:rPr>
          <w:lang w:val="en-CA"/>
        </w:rPr>
        <w:t xml:space="preserve"> in the copyright by licence”</w:t>
      </w:r>
      <w:r w:rsidR="00C371E1">
        <w:rPr>
          <w:lang w:val="en-CA"/>
        </w:rPr>
        <w:t>.</w:t>
      </w:r>
      <w:r w:rsidR="00006B76" w:rsidRPr="00C74276">
        <w:rPr>
          <w:lang w:val="en-CA"/>
        </w:rPr>
        <w:t xml:space="preserve"> The exclu</w:t>
      </w:r>
      <w:r w:rsidRPr="00C74276">
        <w:rPr>
          <w:lang w:val="en-CA"/>
        </w:rPr>
        <w:t>sive licensee therefore has a “</w:t>
      </w:r>
      <w:r w:rsidR="00006B76" w:rsidRPr="00C74276">
        <w:rPr>
          <w:u w:val="single"/>
          <w:lang w:val="en-CA"/>
        </w:rPr>
        <w:t>lim</w:t>
      </w:r>
      <w:r w:rsidR="00AA3895" w:rsidRPr="00C74276">
        <w:rPr>
          <w:u w:val="single"/>
          <w:lang w:val="en-CA"/>
        </w:rPr>
        <w:t>i</w:t>
      </w:r>
      <w:r w:rsidRPr="00C74276">
        <w:rPr>
          <w:u w:val="single"/>
          <w:lang w:val="en-CA"/>
        </w:rPr>
        <w:t>ted property interest</w:t>
      </w:r>
      <w:r w:rsidRPr="00C74276">
        <w:rPr>
          <w:lang w:val="en-CA"/>
        </w:rPr>
        <w:t xml:space="preserve"> in the copyright”</w:t>
      </w:r>
      <w:r w:rsidR="000529DC">
        <w:rPr>
          <w:lang w:val="en-CA"/>
        </w:rPr>
        <w:t>,</w:t>
      </w:r>
      <w:r w:rsidR="00006B76" w:rsidRPr="00C74276">
        <w:rPr>
          <w:lang w:val="en-CA"/>
        </w:rPr>
        <w:t xml:space="preserve"> which enables it to sue third parties</w:t>
      </w:r>
      <w:r w:rsidR="004E14FB" w:rsidRPr="00C74276">
        <w:rPr>
          <w:lang w:val="en-CA"/>
        </w:rPr>
        <w:t xml:space="preserve"> </w:t>
      </w:r>
      <w:r w:rsidR="00006B76" w:rsidRPr="00C74276">
        <w:rPr>
          <w:lang w:val="en-CA"/>
        </w:rPr>
        <w:t>for copyright infringement, but not the owner-licensor.</w:t>
      </w:r>
      <w:r w:rsidR="00634D8F" w:rsidRPr="00C74276">
        <w:rPr>
          <w:vertAlign w:val="superscript"/>
          <w:lang w:val="en-CA"/>
        </w:rPr>
        <w:footnoteReference w:id="60"/>
      </w:r>
    </w:p>
    <w:p w14:paraId="15C8C741" w14:textId="3413E02D" w:rsidR="00634D8F" w:rsidRPr="00C74276" w:rsidRDefault="005E45F0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The main distinction between assignment and exclusive licence </w:t>
      </w:r>
      <w:r w:rsidR="00DF152A" w:rsidRPr="00C74276">
        <w:rPr>
          <w:lang w:val="en-CA"/>
        </w:rPr>
        <w:t>therefore lies in the fact that the fir</w:t>
      </w:r>
      <w:r w:rsidR="0009159F" w:rsidRPr="00C74276">
        <w:rPr>
          <w:lang w:val="en-CA"/>
        </w:rPr>
        <w:t>st entails</w:t>
      </w:r>
      <w:r w:rsidR="00DF152A" w:rsidRPr="00C74276">
        <w:rPr>
          <w:lang w:val="en-CA"/>
        </w:rPr>
        <w:t xml:space="preserve"> a transfer of ownership of the copyright</w:t>
      </w:r>
      <w:r w:rsidR="004469F2">
        <w:rPr>
          <w:lang w:val="en-CA"/>
        </w:rPr>
        <w:t>,</w:t>
      </w:r>
      <w:r w:rsidR="00DF152A" w:rsidRPr="00C74276">
        <w:rPr>
          <w:lang w:val="en-CA"/>
        </w:rPr>
        <w:t xml:space="preserve"> while the second involves </w:t>
      </w:r>
      <w:r w:rsidR="00E61C1C" w:rsidRPr="00C74276">
        <w:rPr>
          <w:lang w:val="en-CA"/>
        </w:rPr>
        <w:t xml:space="preserve">only </w:t>
      </w:r>
      <w:r w:rsidR="00DF152A" w:rsidRPr="00C74276">
        <w:rPr>
          <w:lang w:val="en-CA"/>
        </w:rPr>
        <w:t>an authoriza</w:t>
      </w:r>
      <w:r w:rsidR="000512EE" w:rsidRPr="00C74276">
        <w:rPr>
          <w:lang w:val="en-CA"/>
        </w:rPr>
        <w:t xml:space="preserve">tion to </w:t>
      </w:r>
      <w:r w:rsidR="00E61C1C" w:rsidRPr="00C74276">
        <w:rPr>
          <w:lang w:val="en-CA"/>
        </w:rPr>
        <w:t>perform acts</w:t>
      </w:r>
      <w:r w:rsidR="000512EE" w:rsidRPr="00C74276">
        <w:rPr>
          <w:lang w:val="en-CA"/>
        </w:rPr>
        <w:t xml:space="preserve"> that </w:t>
      </w:r>
      <w:r w:rsidR="00E61C1C" w:rsidRPr="00C74276">
        <w:rPr>
          <w:lang w:val="en-CA"/>
        </w:rPr>
        <w:t>are</w:t>
      </w:r>
      <w:r w:rsidR="000512EE" w:rsidRPr="00C74276">
        <w:rPr>
          <w:lang w:val="en-CA"/>
        </w:rPr>
        <w:t xml:space="preserve"> </w:t>
      </w:r>
      <w:r w:rsidR="00E61C1C" w:rsidRPr="00C74276">
        <w:rPr>
          <w:lang w:val="en-CA"/>
        </w:rPr>
        <w:t>reserved for the copyright owner</w:t>
      </w:r>
      <w:r w:rsidR="00DF152A" w:rsidRPr="00C74276">
        <w:rPr>
          <w:lang w:val="en-CA"/>
        </w:rPr>
        <w:t xml:space="preserve">. </w:t>
      </w:r>
    </w:p>
    <w:p w14:paraId="5290C3F5" w14:textId="4B3394A7" w:rsidR="00634D8F" w:rsidRPr="00C74276" w:rsidRDefault="00DF152A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Like assignment, an exclusive licence must be evidenced in writing and signed.</w:t>
      </w:r>
      <w:bookmarkStart w:id="20" w:name="_Ref50709578"/>
      <w:r w:rsidR="00EF0C55" w:rsidRPr="00C74276">
        <w:rPr>
          <w:vertAlign w:val="superscript"/>
          <w:lang w:val="en-CA"/>
        </w:rPr>
        <w:footnoteReference w:id="61"/>
      </w:r>
      <w:bookmarkEnd w:id="20"/>
      <w:r w:rsidRPr="00C74276">
        <w:rPr>
          <w:lang w:val="en-CA"/>
        </w:rPr>
        <w:t xml:space="preserve"> </w:t>
      </w:r>
      <w:r w:rsidR="00666EEA" w:rsidRPr="00C74276">
        <w:rPr>
          <w:lang w:val="en-CA"/>
        </w:rPr>
        <w:t>This formality</w:t>
      </w:r>
      <w:r w:rsidRPr="00C74276">
        <w:rPr>
          <w:lang w:val="en-CA"/>
        </w:rPr>
        <w:t xml:space="preserve"> aims in particular to protect the interests of the</w:t>
      </w:r>
      <w:r w:rsidR="009614D7" w:rsidRPr="00C74276">
        <w:rPr>
          <w:lang w:val="en-CA"/>
        </w:rPr>
        <w:t xml:space="preserve"> author and “to </w:t>
      </w:r>
      <w:r w:rsidRPr="00C74276">
        <w:rPr>
          <w:lang w:val="en-CA"/>
        </w:rPr>
        <w:t xml:space="preserve">balance </w:t>
      </w:r>
      <w:r w:rsidR="001E45B3" w:rsidRPr="00C74276">
        <w:rPr>
          <w:lang w:val="en-CA"/>
        </w:rPr>
        <w:t xml:space="preserve">the public interest in promoting the encouragement and </w:t>
      </w:r>
      <w:r w:rsidRPr="00C74276">
        <w:rPr>
          <w:lang w:val="en-CA"/>
        </w:rPr>
        <w:t xml:space="preserve">dissemination of </w:t>
      </w:r>
      <w:r w:rsidR="009614D7" w:rsidRPr="00C74276">
        <w:rPr>
          <w:lang w:val="en-CA"/>
        </w:rPr>
        <w:t xml:space="preserve">works of the arts and intellect and obtaining </w:t>
      </w:r>
      <w:bookmarkStart w:id="21" w:name="_Ref50709687"/>
      <w:r w:rsidR="00EF0C55" w:rsidRPr="00C74276">
        <w:rPr>
          <w:lang w:val="en-CA"/>
        </w:rPr>
        <w:t>a just reward for the creator”</w:t>
      </w:r>
      <w:r w:rsidR="009872AE" w:rsidRPr="00C74276">
        <w:rPr>
          <w:lang w:val="en-CA"/>
        </w:rPr>
        <w:t>.</w:t>
      </w:r>
      <w:r w:rsidR="00EF0C55" w:rsidRPr="00C74276">
        <w:rPr>
          <w:vertAlign w:val="superscript"/>
          <w:lang w:val="en-CA"/>
        </w:rPr>
        <w:footnoteReference w:id="62"/>
      </w:r>
      <w:bookmarkEnd w:id="21"/>
      <w:r w:rsidR="009614D7" w:rsidRPr="00C74276">
        <w:rPr>
          <w:lang w:val="en-CA"/>
        </w:rPr>
        <w:t xml:space="preserve"> </w:t>
      </w:r>
      <w:r w:rsidR="00AB43EB" w:rsidRPr="00C74276">
        <w:rPr>
          <w:lang w:val="en-CA"/>
        </w:rPr>
        <w:t>However, this</w:t>
      </w:r>
      <w:r w:rsidRPr="00C74276">
        <w:rPr>
          <w:lang w:val="en-CA"/>
        </w:rPr>
        <w:t xml:space="preserve"> </w:t>
      </w:r>
      <w:r w:rsidR="001A7DBE" w:rsidRPr="00C74276">
        <w:rPr>
          <w:lang w:val="en-CA"/>
        </w:rPr>
        <w:t>formalism</w:t>
      </w:r>
      <w:r w:rsidR="009614D7" w:rsidRPr="00C74276">
        <w:rPr>
          <w:lang w:val="en-CA"/>
        </w:rPr>
        <w:t xml:space="preserve"> governing assignment</w:t>
      </w:r>
      <w:r w:rsidRPr="00C74276">
        <w:rPr>
          <w:lang w:val="en-CA"/>
        </w:rPr>
        <w:t xml:space="preserve"> an</w:t>
      </w:r>
      <w:r w:rsidR="00AB43EB" w:rsidRPr="00C74276">
        <w:rPr>
          <w:lang w:val="en-CA"/>
        </w:rPr>
        <w:t xml:space="preserve">d exclusive licence has </w:t>
      </w:r>
      <w:r w:rsidR="00FD09F0" w:rsidRPr="00C74276">
        <w:rPr>
          <w:lang w:val="en-CA"/>
        </w:rPr>
        <w:t>been watered down occasionally</w:t>
      </w:r>
      <w:r w:rsidR="00EF0C55" w:rsidRPr="00C74276">
        <w:rPr>
          <w:lang w:val="en-CA"/>
        </w:rPr>
        <w:t xml:space="preserve"> by the courts.</w:t>
      </w:r>
      <w:r w:rsidR="00634D8F" w:rsidRPr="00C74276">
        <w:rPr>
          <w:rStyle w:val="Appelnotedebasdep"/>
          <w:lang w:val="en-CA"/>
        </w:rPr>
        <w:footnoteReference w:id="63"/>
      </w:r>
    </w:p>
    <w:p w14:paraId="16BA6273" w14:textId="798BDE42" w:rsidR="00634D8F" w:rsidRPr="00C74276" w:rsidRDefault="00B40A59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A </w:t>
      </w:r>
      <w:r w:rsidRPr="00C74276">
        <w:rPr>
          <w:u w:val="single"/>
          <w:lang w:val="en-CA"/>
        </w:rPr>
        <w:t>non-exclusive licence</w:t>
      </w:r>
      <w:r w:rsidRPr="00C74276">
        <w:rPr>
          <w:lang w:val="en-CA"/>
        </w:rPr>
        <w:t xml:space="preserve"> does not confer any right</w:t>
      </w:r>
      <w:r w:rsidR="007E1712" w:rsidRPr="00C74276">
        <w:rPr>
          <w:lang w:val="en-CA"/>
        </w:rPr>
        <w:t>s</w:t>
      </w:r>
      <w:r w:rsidRPr="00C74276">
        <w:rPr>
          <w:lang w:val="en-CA"/>
        </w:rPr>
        <w:t xml:space="preserve"> or </w:t>
      </w:r>
      <w:r w:rsidR="00C70622" w:rsidRPr="00C74276">
        <w:rPr>
          <w:lang w:val="en-CA"/>
        </w:rPr>
        <w:t xml:space="preserve">property </w:t>
      </w:r>
      <w:r w:rsidRPr="00C74276">
        <w:rPr>
          <w:lang w:val="en-CA"/>
        </w:rPr>
        <w:t>interest</w:t>
      </w:r>
      <w:r w:rsidR="00C70622" w:rsidRPr="00C74276">
        <w:rPr>
          <w:lang w:val="en-CA"/>
        </w:rPr>
        <w:t xml:space="preserve"> in the copyright</w:t>
      </w:r>
      <w:r w:rsidRPr="00C74276">
        <w:rPr>
          <w:lang w:val="en-CA"/>
        </w:rPr>
        <w:t>: the</w:t>
      </w:r>
      <w:r w:rsidR="00C70622" w:rsidRPr="00C74276">
        <w:rPr>
          <w:lang w:val="en-CA"/>
        </w:rPr>
        <w:t xml:space="preserve"> non-exclusive licensee enjoys</w:t>
      </w:r>
      <w:r w:rsidRPr="00C74276">
        <w:rPr>
          <w:lang w:val="en-CA"/>
        </w:rPr>
        <w:t xml:space="preserve"> </w:t>
      </w:r>
      <w:r w:rsidR="00C70622" w:rsidRPr="00C74276">
        <w:rPr>
          <w:lang w:val="en-CA"/>
        </w:rPr>
        <w:t xml:space="preserve">only </w:t>
      </w:r>
      <w:r w:rsidRPr="00C74276">
        <w:rPr>
          <w:lang w:val="en-CA"/>
        </w:rPr>
        <w:t>co</w:t>
      </w:r>
      <w:r w:rsidR="00C70622" w:rsidRPr="00C74276">
        <w:rPr>
          <w:lang w:val="en-CA"/>
        </w:rPr>
        <w:t>ntractual rights vis-</w:t>
      </w:r>
      <w:r w:rsidR="00316D94" w:rsidRPr="00C74276">
        <w:rPr>
          <w:lang w:val="en-CA"/>
        </w:rPr>
        <w:t>à</w:t>
      </w:r>
      <w:r w:rsidR="00C70622" w:rsidRPr="00C74276">
        <w:rPr>
          <w:lang w:val="en-CA"/>
        </w:rPr>
        <w:t>-vis the owner-licensor</w:t>
      </w:r>
      <w:r w:rsidRPr="00C74276">
        <w:rPr>
          <w:lang w:val="en-CA"/>
        </w:rPr>
        <w:t>.</w:t>
      </w:r>
      <w:r w:rsidR="00EF0C55" w:rsidRPr="00C74276">
        <w:rPr>
          <w:vertAlign w:val="superscript"/>
          <w:lang w:val="en-CA"/>
        </w:rPr>
        <w:footnoteReference w:id="64"/>
      </w:r>
      <w:r w:rsidRPr="00C74276">
        <w:rPr>
          <w:lang w:val="en-CA"/>
        </w:rPr>
        <w:t xml:space="preserve"> The </w:t>
      </w:r>
      <w:r w:rsidRPr="00C74276">
        <w:rPr>
          <w:i/>
          <w:lang w:val="en-CA"/>
        </w:rPr>
        <w:t>CA</w:t>
      </w:r>
      <w:r w:rsidR="007E1712" w:rsidRPr="00C74276">
        <w:rPr>
          <w:lang w:val="en-CA"/>
        </w:rPr>
        <w:t xml:space="preserve"> in effect elevates exclusive licensees “above </w:t>
      </w:r>
      <w:r w:rsidR="004770F4" w:rsidRPr="00C74276">
        <w:rPr>
          <w:lang w:val="en-CA"/>
        </w:rPr>
        <w:t>[</w:t>
      </w:r>
      <w:r w:rsidR="007E1712" w:rsidRPr="00C74276">
        <w:rPr>
          <w:lang w:val="en-CA"/>
        </w:rPr>
        <w:t>non-exclusive</w:t>
      </w:r>
      <w:r w:rsidR="004770F4" w:rsidRPr="00C74276">
        <w:rPr>
          <w:lang w:val="en-CA"/>
        </w:rPr>
        <w:t>]</w:t>
      </w:r>
      <w:r w:rsidR="007E1712" w:rsidRPr="00C74276">
        <w:rPr>
          <w:lang w:val="en-CA"/>
        </w:rPr>
        <w:t xml:space="preserve"> ‘</w:t>
      </w:r>
      <w:r w:rsidRPr="00C74276">
        <w:rPr>
          <w:lang w:val="en-CA"/>
        </w:rPr>
        <w:t>mere licensees</w:t>
      </w:r>
      <w:r w:rsidR="007E1712" w:rsidRPr="00C74276">
        <w:rPr>
          <w:lang w:val="en-CA"/>
        </w:rPr>
        <w:t>’</w:t>
      </w:r>
      <w:r w:rsidR="00316D94" w:rsidRPr="00C74276">
        <w:rPr>
          <w:lang w:val="en-CA"/>
        </w:rPr>
        <w:t>”</w:t>
      </w:r>
      <w:r w:rsidR="004770F4" w:rsidRPr="00C74276">
        <w:rPr>
          <w:lang w:val="en-CA"/>
        </w:rPr>
        <w:t>.</w:t>
      </w:r>
      <w:r w:rsidR="002078BE" w:rsidRPr="00C74276">
        <w:rPr>
          <w:vertAlign w:val="superscript"/>
          <w:lang w:val="en-CA"/>
        </w:rPr>
        <w:footnoteReference w:id="65"/>
      </w:r>
      <w:r w:rsidR="002078BE" w:rsidRPr="00C74276">
        <w:rPr>
          <w:lang w:val="en-CA"/>
        </w:rPr>
        <w:t xml:space="preserve"> </w:t>
      </w:r>
      <w:r w:rsidRPr="00C74276">
        <w:rPr>
          <w:lang w:val="en-CA"/>
        </w:rPr>
        <w:t>The non-exclusive licensee becomes the beneficiar</w:t>
      </w:r>
      <w:r w:rsidR="004770F4" w:rsidRPr="00C74276">
        <w:rPr>
          <w:lang w:val="en-CA"/>
        </w:rPr>
        <w:t>y of a “personal”</w:t>
      </w:r>
      <w:r w:rsidRPr="00C74276">
        <w:rPr>
          <w:lang w:val="en-CA"/>
        </w:rPr>
        <w:t xml:space="preserve"> right granted by</w:t>
      </w:r>
      <w:r w:rsidR="004770F4" w:rsidRPr="00C74276">
        <w:rPr>
          <w:lang w:val="en-CA"/>
        </w:rPr>
        <w:t xml:space="preserve"> the owner-licensor allowing it</w:t>
      </w:r>
      <w:r w:rsidRPr="00C74276">
        <w:rPr>
          <w:lang w:val="en-CA"/>
        </w:rPr>
        <w:t xml:space="preserve"> to e</w:t>
      </w:r>
      <w:r w:rsidR="00440CAC" w:rsidRPr="00C74276">
        <w:rPr>
          <w:lang w:val="en-CA"/>
        </w:rPr>
        <w:t>xploit the licensed right(s)</w:t>
      </w:r>
      <w:r w:rsidR="0039726C" w:rsidRPr="00C74276">
        <w:rPr>
          <w:lang w:val="en-CA"/>
        </w:rPr>
        <w:t xml:space="preserve"> [</w:t>
      </w:r>
      <w:r w:rsidR="0039726C" w:rsidRPr="00C74276">
        <w:rPr>
          <w:smallCaps/>
          <w:lang w:val="en-CA"/>
        </w:rPr>
        <w:t>translation</w:t>
      </w:r>
      <w:r w:rsidR="0039726C" w:rsidRPr="00C74276">
        <w:rPr>
          <w:lang w:val="en-CA"/>
        </w:rPr>
        <w:t>]</w:t>
      </w:r>
      <w:r w:rsidR="00440CAC" w:rsidRPr="00C74276">
        <w:rPr>
          <w:lang w:val="en-CA"/>
        </w:rPr>
        <w:t xml:space="preserve"> “</w:t>
      </w:r>
      <w:r w:rsidRPr="00C74276">
        <w:rPr>
          <w:lang w:val="en-CA"/>
        </w:rPr>
        <w:t xml:space="preserve">to </w:t>
      </w:r>
      <w:r w:rsidRPr="00C74276">
        <w:rPr>
          <w:lang w:val="en-CA"/>
        </w:rPr>
        <w:lastRenderedPageBreak/>
        <w:t xml:space="preserve">the fullest </w:t>
      </w:r>
      <w:r w:rsidR="00440CAC" w:rsidRPr="00C74276">
        <w:rPr>
          <w:lang w:val="en-CA"/>
        </w:rPr>
        <w:t>extent permitted by law</w:t>
      </w:r>
      <w:r w:rsidR="0071051D" w:rsidRPr="00C74276">
        <w:rPr>
          <w:lang w:val="en-CA"/>
        </w:rPr>
        <w:t xml:space="preserve"> (but only to that extent)</w:t>
      </w:r>
      <w:r w:rsidR="00440CAC" w:rsidRPr="00C74276">
        <w:rPr>
          <w:lang w:val="en-CA"/>
        </w:rPr>
        <w:t>”</w:t>
      </w:r>
      <w:r w:rsidR="0039726C" w:rsidRPr="00C74276">
        <w:rPr>
          <w:lang w:val="en-CA"/>
        </w:rPr>
        <w:t>.</w:t>
      </w:r>
      <w:r w:rsidR="002078BE" w:rsidRPr="00C74276">
        <w:rPr>
          <w:vertAlign w:val="superscript"/>
          <w:lang w:val="en-CA"/>
        </w:rPr>
        <w:footnoteReference w:id="66"/>
      </w:r>
      <w:r w:rsidR="002078BE" w:rsidRPr="00C74276">
        <w:rPr>
          <w:lang w:val="en-CA"/>
        </w:rPr>
        <w:t xml:space="preserve"> </w:t>
      </w:r>
      <w:r w:rsidRPr="00C74276">
        <w:rPr>
          <w:lang w:val="en-CA"/>
        </w:rPr>
        <w:t xml:space="preserve">The non-exclusive licensee </w:t>
      </w:r>
      <w:r w:rsidR="008B0D65" w:rsidRPr="00C74276">
        <w:rPr>
          <w:lang w:val="en-CA"/>
        </w:rPr>
        <w:t>therefore has no power to sue for copyright infringement.</w:t>
      </w:r>
      <w:r w:rsidR="002D6B08" w:rsidRPr="00C74276">
        <w:rPr>
          <w:vertAlign w:val="superscript"/>
          <w:lang w:val="en-CA"/>
        </w:rPr>
        <w:footnoteReference w:id="67"/>
      </w:r>
      <w:r w:rsidR="002D6B08" w:rsidRPr="00C74276">
        <w:rPr>
          <w:lang w:val="en-CA"/>
        </w:rPr>
        <w:t xml:space="preserve"> </w:t>
      </w:r>
      <w:r w:rsidR="008B0D65" w:rsidRPr="00C74276">
        <w:rPr>
          <w:lang w:val="en-CA"/>
        </w:rPr>
        <w:t>In this case, competing rights exist with</w:t>
      </w:r>
      <w:r w:rsidR="002D6B08" w:rsidRPr="00C74276">
        <w:rPr>
          <w:lang w:val="en-CA"/>
        </w:rPr>
        <w:t xml:space="preserve"> respect to the work concerned</w:t>
      </w:r>
      <w:bookmarkStart w:id="22" w:name="_Ref50710054"/>
      <w:r w:rsidR="002D6B08" w:rsidRPr="00C74276">
        <w:rPr>
          <w:lang w:val="en-CA"/>
        </w:rPr>
        <w:t>.</w:t>
      </w:r>
      <w:r w:rsidR="009A3C86" w:rsidRPr="00C74276">
        <w:rPr>
          <w:lang w:val="en-CA"/>
        </w:rPr>
        <w:t xml:space="preserve"> There is no</w:t>
      </w:r>
      <w:r w:rsidR="006120A7" w:rsidRPr="00C74276">
        <w:rPr>
          <w:lang w:val="en-CA"/>
        </w:rPr>
        <w:t xml:space="preserve"> particular requirem</w:t>
      </w:r>
      <w:r w:rsidR="009A3C86" w:rsidRPr="00C74276">
        <w:rPr>
          <w:lang w:val="en-CA"/>
        </w:rPr>
        <w:t xml:space="preserve">ent as to form; </w:t>
      </w:r>
      <w:r w:rsidR="006120A7" w:rsidRPr="00C74276">
        <w:rPr>
          <w:lang w:val="en-CA"/>
        </w:rPr>
        <w:t>the licence can be verbal.</w:t>
      </w:r>
      <w:r w:rsidR="00634D8F" w:rsidRPr="00C74276">
        <w:rPr>
          <w:vertAlign w:val="superscript"/>
          <w:lang w:val="en-CA"/>
        </w:rPr>
        <w:footnoteReference w:id="68"/>
      </w:r>
      <w:bookmarkEnd w:id="22"/>
    </w:p>
    <w:p w14:paraId="075FA475" w14:textId="553FB8E4" w:rsidR="00634D8F" w:rsidRPr="00C74276" w:rsidRDefault="0071051D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Not being subject to any </w:t>
      </w:r>
      <w:r w:rsidR="008B0D65" w:rsidRPr="00C74276">
        <w:rPr>
          <w:lang w:val="en-CA"/>
        </w:rPr>
        <w:t>requirement</w:t>
      </w:r>
      <w:r w:rsidRPr="00C74276">
        <w:rPr>
          <w:lang w:val="en-CA"/>
        </w:rPr>
        <w:t xml:space="preserve"> as to form</w:t>
      </w:r>
      <w:r w:rsidR="008B0D65" w:rsidRPr="00C74276">
        <w:rPr>
          <w:lang w:val="en-CA"/>
        </w:rPr>
        <w:t>, the non-exclusive licence is often wrongly characterized, both by the</w:t>
      </w:r>
      <w:r w:rsidR="00440CAC" w:rsidRPr="00C74276">
        <w:rPr>
          <w:lang w:val="en-CA"/>
        </w:rPr>
        <w:t xml:space="preserve"> courts and by authors, as an “implied licence</w:t>
      </w:r>
      <w:bookmarkStart w:id="23" w:name="_Ref50710386"/>
      <w:r w:rsidR="002D6B08" w:rsidRPr="00C74276">
        <w:rPr>
          <w:lang w:val="en-CA"/>
        </w:rPr>
        <w:t>”</w:t>
      </w:r>
      <w:r w:rsidR="0039726C" w:rsidRPr="00C74276">
        <w:rPr>
          <w:lang w:val="en-CA"/>
        </w:rPr>
        <w:t>.</w:t>
      </w:r>
      <w:r w:rsidR="002D6B08" w:rsidRPr="00C74276">
        <w:rPr>
          <w:vertAlign w:val="superscript"/>
          <w:lang w:val="en-CA"/>
        </w:rPr>
        <w:footnoteReference w:id="69"/>
      </w:r>
      <w:bookmarkEnd w:id="23"/>
      <w:r w:rsidR="008B0D65" w:rsidRPr="00C74276">
        <w:rPr>
          <w:lang w:val="en-CA"/>
        </w:rPr>
        <w:t xml:space="preserve"> </w:t>
      </w:r>
      <w:r w:rsidR="00100181" w:rsidRPr="00C74276">
        <w:rPr>
          <w:lang w:val="en-CA"/>
        </w:rPr>
        <w:t>Use</w:t>
      </w:r>
      <w:r w:rsidR="008B0D65" w:rsidRPr="00C74276">
        <w:rPr>
          <w:lang w:val="en-CA"/>
        </w:rPr>
        <w:t xml:space="preserve"> of the expression “non-exclus</w:t>
      </w:r>
      <w:r w:rsidR="00100181" w:rsidRPr="00C74276">
        <w:rPr>
          <w:lang w:val="en-CA"/>
        </w:rPr>
        <w:t>ive licence” is the most accurate</w:t>
      </w:r>
      <w:r w:rsidR="008B0D65" w:rsidRPr="00C74276">
        <w:rPr>
          <w:lang w:val="en-CA"/>
        </w:rPr>
        <w:t xml:space="preserve">, </w:t>
      </w:r>
      <w:r w:rsidR="00100181" w:rsidRPr="00C74276">
        <w:rPr>
          <w:lang w:val="en-CA"/>
        </w:rPr>
        <w:t xml:space="preserve">as </w:t>
      </w:r>
      <w:r w:rsidRPr="00C74276">
        <w:rPr>
          <w:lang w:val="en-CA"/>
        </w:rPr>
        <w:t>an</w:t>
      </w:r>
      <w:r w:rsidR="00206265" w:rsidRPr="00C74276">
        <w:rPr>
          <w:lang w:val="en-CA"/>
        </w:rPr>
        <w:t xml:space="preserve"> implied licence refers to a </w:t>
      </w:r>
      <w:r w:rsidR="008A709E" w:rsidRPr="00C74276">
        <w:rPr>
          <w:lang w:val="en-CA"/>
        </w:rPr>
        <w:t>different reality</w:t>
      </w:r>
      <w:r w:rsidR="002D6B08" w:rsidRPr="00C74276">
        <w:rPr>
          <w:lang w:val="en-CA"/>
        </w:rPr>
        <w:t>.</w:t>
      </w:r>
      <w:r w:rsidR="00634D8F" w:rsidRPr="00C74276">
        <w:rPr>
          <w:vertAlign w:val="superscript"/>
          <w:lang w:val="en-CA"/>
        </w:rPr>
        <w:footnoteReference w:id="70"/>
      </w:r>
    </w:p>
    <w:p w14:paraId="7B34C556" w14:textId="55122836" w:rsidR="00634D8F" w:rsidRPr="00C74276" w:rsidRDefault="00450565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In sum, assignment confe</w:t>
      </w:r>
      <w:r w:rsidR="008A709E" w:rsidRPr="00C74276">
        <w:rPr>
          <w:lang w:val="en-CA"/>
        </w:rPr>
        <w:t xml:space="preserve">rs a </w:t>
      </w:r>
      <w:r w:rsidR="008A709E" w:rsidRPr="00C74276">
        <w:rPr>
          <w:i/>
          <w:lang w:val="en-CA"/>
        </w:rPr>
        <w:t>right</w:t>
      </w:r>
      <w:r w:rsidR="008A709E" w:rsidRPr="00C74276">
        <w:rPr>
          <w:lang w:val="en-CA"/>
        </w:rPr>
        <w:t xml:space="preserve"> of ownership (or a “full property interest</w:t>
      </w:r>
      <w:r w:rsidR="004469F2">
        <w:rPr>
          <w:lang w:val="en-CA"/>
        </w:rPr>
        <w:t>”</w:t>
      </w:r>
      <w:r w:rsidR="002D6B08" w:rsidRPr="00C74276">
        <w:rPr>
          <w:vertAlign w:val="superscript"/>
          <w:lang w:val="en-CA"/>
        </w:rPr>
        <w:footnoteReference w:id="71"/>
      </w:r>
      <w:r w:rsidR="008A709E" w:rsidRPr="00C74276">
        <w:rPr>
          <w:lang w:val="en-CA"/>
        </w:rPr>
        <w:t xml:space="preserve">); an </w:t>
      </w:r>
      <w:r w:rsidRPr="00C74276">
        <w:rPr>
          <w:lang w:val="en-CA"/>
        </w:rPr>
        <w:t>exclusive lic</w:t>
      </w:r>
      <w:r w:rsidR="008A709E" w:rsidRPr="00C74276">
        <w:rPr>
          <w:lang w:val="en-CA"/>
        </w:rPr>
        <w:t>ence confers a limited property</w:t>
      </w:r>
      <w:r w:rsidRPr="00C74276">
        <w:rPr>
          <w:lang w:val="en-CA"/>
        </w:rPr>
        <w:t xml:space="preserve"> </w:t>
      </w:r>
      <w:r w:rsidRPr="00C74276">
        <w:rPr>
          <w:i/>
          <w:lang w:val="en-CA"/>
        </w:rPr>
        <w:t>interest</w:t>
      </w:r>
      <w:r w:rsidR="00015CC0" w:rsidRPr="00C74276">
        <w:rPr>
          <w:iCs/>
          <w:lang w:val="en-CA"/>
        </w:rPr>
        <w:t>,</w:t>
      </w:r>
      <w:r w:rsidR="002D6B08" w:rsidRPr="00C74276">
        <w:rPr>
          <w:vertAlign w:val="superscript"/>
          <w:lang w:val="en-CA"/>
        </w:rPr>
        <w:footnoteReference w:id="72"/>
      </w:r>
      <w:r w:rsidR="002D6B08" w:rsidRPr="00C74276">
        <w:rPr>
          <w:lang w:val="en-CA"/>
        </w:rPr>
        <w:t xml:space="preserve"> </w:t>
      </w:r>
      <w:r w:rsidR="008A709E" w:rsidRPr="00C74276">
        <w:rPr>
          <w:lang w:val="en-CA"/>
        </w:rPr>
        <w:t>and a</w:t>
      </w:r>
      <w:r w:rsidRPr="00C74276">
        <w:rPr>
          <w:lang w:val="en-CA"/>
        </w:rPr>
        <w:t xml:space="preserve"> non-exclusive licence d</w:t>
      </w:r>
      <w:r w:rsidR="008A709E" w:rsidRPr="00C74276">
        <w:rPr>
          <w:lang w:val="en-CA"/>
        </w:rPr>
        <w:t xml:space="preserve">oes not confer any </w:t>
      </w:r>
      <w:r w:rsidR="00015CC0" w:rsidRPr="00C74276">
        <w:rPr>
          <w:lang w:val="en-CA"/>
        </w:rPr>
        <w:t xml:space="preserve">property </w:t>
      </w:r>
      <w:r w:rsidRPr="00C74276">
        <w:rPr>
          <w:lang w:val="en-CA"/>
        </w:rPr>
        <w:t>right or interest.</w:t>
      </w:r>
    </w:p>
    <w:p w14:paraId="32837439" w14:textId="73935096" w:rsidR="00634D8F" w:rsidRPr="00C74276" w:rsidRDefault="00634D8F" w:rsidP="00FA34B7">
      <w:pPr>
        <w:pStyle w:val="Titre4"/>
        <w:tabs>
          <w:tab w:val="left" w:pos="2552"/>
        </w:tabs>
        <w:ind w:left="720" w:firstLine="840"/>
        <w:rPr>
          <w:lang w:val="en-CA"/>
        </w:rPr>
      </w:pPr>
      <w:r w:rsidRPr="00C74276">
        <w:rPr>
          <w:lang w:val="en-CA"/>
        </w:rPr>
        <w:t>4.1.2.3</w:t>
      </w:r>
      <w:r w:rsidRPr="00C74276">
        <w:rPr>
          <w:lang w:val="en-CA"/>
        </w:rPr>
        <w:tab/>
      </w:r>
      <w:r w:rsidR="002809C8" w:rsidRPr="00C74276">
        <w:rPr>
          <w:lang w:val="en-CA"/>
        </w:rPr>
        <w:t>I</w:t>
      </w:r>
      <w:r w:rsidR="00405886" w:rsidRPr="00C74276">
        <w:rPr>
          <w:lang w:val="en-CA"/>
        </w:rPr>
        <w:t xml:space="preserve">nterpretation of the contract </w:t>
      </w:r>
    </w:p>
    <w:p w14:paraId="780E6B79" w14:textId="44BB5A66" w:rsidR="00634D8F" w:rsidRPr="00C74276" w:rsidRDefault="00405886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Once </w:t>
      </w:r>
      <w:r w:rsidR="00436C6E" w:rsidRPr="00C74276">
        <w:rPr>
          <w:lang w:val="en-CA"/>
        </w:rPr>
        <w:t>the exercise of characterizing</w:t>
      </w:r>
      <w:r w:rsidR="00AA10E6" w:rsidRPr="00C74276">
        <w:rPr>
          <w:lang w:val="en-CA"/>
        </w:rPr>
        <w:t xml:space="preserve"> the contract is completed</w:t>
      </w:r>
      <w:r w:rsidRPr="00C74276">
        <w:rPr>
          <w:lang w:val="en-CA"/>
        </w:rPr>
        <w:t>, the judge interprets</w:t>
      </w:r>
      <w:r w:rsidR="00B968BF" w:rsidRPr="00C74276">
        <w:rPr>
          <w:lang w:val="en-CA"/>
        </w:rPr>
        <w:t xml:space="preserve"> it</w:t>
      </w:r>
      <w:r w:rsidRPr="00C74276">
        <w:rPr>
          <w:lang w:val="en-CA"/>
        </w:rPr>
        <w:t>. Interpretat</w:t>
      </w:r>
      <w:r w:rsidR="00A2570E" w:rsidRPr="00C74276">
        <w:rPr>
          <w:lang w:val="en-CA"/>
        </w:rPr>
        <w:t>ion makes it possible</w:t>
      </w:r>
      <w:r w:rsidR="006E4CCA" w:rsidRPr="00C74276">
        <w:rPr>
          <w:lang w:val="en-CA"/>
        </w:rPr>
        <w:t xml:space="preserve"> for the judge</w:t>
      </w:r>
      <w:r w:rsidR="00AF397F" w:rsidRPr="00C74276">
        <w:rPr>
          <w:lang w:val="en-CA"/>
        </w:rPr>
        <w:t xml:space="preserve"> to “establish the term</w:t>
      </w:r>
      <w:r w:rsidR="00311452" w:rsidRPr="00C74276">
        <w:rPr>
          <w:lang w:val="en-CA"/>
        </w:rPr>
        <w:t xml:space="preserve"> </w:t>
      </w:r>
      <w:r w:rsidR="00A2570E" w:rsidRPr="00C74276">
        <w:rPr>
          <w:lang w:val="en-CA"/>
        </w:rPr>
        <w:t>of the contract and the procedure for renewing it</w:t>
      </w:r>
      <w:r w:rsidR="00CB0DED" w:rsidRPr="00C74276">
        <w:rPr>
          <w:lang w:val="en-CA"/>
        </w:rPr>
        <w:t>”</w:t>
      </w:r>
      <w:r w:rsidR="00D1239B">
        <w:rPr>
          <w:lang w:val="en-CA"/>
        </w:rPr>
        <w:t>.</w:t>
      </w:r>
      <w:r w:rsidR="00634D8F" w:rsidRPr="00C74276">
        <w:rPr>
          <w:rStyle w:val="Appelnotedebasdep"/>
          <w:lang w:val="en-CA"/>
        </w:rPr>
        <w:footnoteReference w:id="73"/>
      </w:r>
    </w:p>
    <w:p w14:paraId="5C3DE6B5" w14:textId="73DAE308" w:rsidR="00634D8F" w:rsidRPr="00C74276" w:rsidRDefault="00A2570E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The first step in interpreting a contract is to determine whether its words are clear or ambig</w:t>
      </w:r>
      <w:r w:rsidR="00244A26" w:rsidRPr="00C74276">
        <w:rPr>
          <w:lang w:val="en-CA"/>
        </w:rPr>
        <w:t>u</w:t>
      </w:r>
      <w:r w:rsidRPr="00C74276">
        <w:rPr>
          <w:lang w:val="en-CA"/>
        </w:rPr>
        <w:t>ous.</w:t>
      </w:r>
      <w:r w:rsidR="00F569A6" w:rsidRPr="00C74276">
        <w:rPr>
          <w:rStyle w:val="Appelnotedebasdep"/>
          <w:lang w:val="en-CA"/>
        </w:rPr>
        <w:footnoteReference w:id="74"/>
      </w:r>
      <w:r w:rsidRPr="00C74276">
        <w:rPr>
          <w:lang w:val="en-CA"/>
        </w:rPr>
        <w:t xml:space="preserve"> </w:t>
      </w:r>
      <w:r w:rsidR="007C3DB4" w:rsidRPr="00C74276">
        <w:rPr>
          <w:lang w:val="en-CA"/>
        </w:rPr>
        <w:t>In the case of a verbal contract,</w:t>
      </w:r>
      <w:r w:rsidR="002651C0" w:rsidRPr="00C74276">
        <w:rPr>
          <w:lang w:val="en-CA"/>
        </w:rPr>
        <w:t xml:space="preserve"> </w:t>
      </w:r>
      <w:r w:rsidR="00311452" w:rsidRPr="00C74276">
        <w:rPr>
          <w:lang w:val="en-CA"/>
        </w:rPr>
        <w:t>which by its very nature does not al</w:t>
      </w:r>
      <w:r w:rsidR="00853C28" w:rsidRPr="00C74276">
        <w:rPr>
          <w:lang w:val="en-CA"/>
        </w:rPr>
        <w:t>low for</w:t>
      </w:r>
      <w:r w:rsidR="00311452" w:rsidRPr="00C74276">
        <w:rPr>
          <w:lang w:val="en-CA"/>
        </w:rPr>
        <w:t xml:space="preserve"> </w:t>
      </w:r>
      <w:r w:rsidR="001A4CB2" w:rsidRPr="00C74276">
        <w:rPr>
          <w:lang w:val="en-CA"/>
        </w:rPr>
        <w:t xml:space="preserve">a </w:t>
      </w:r>
      <w:r w:rsidR="00AF6F40" w:rsidRPr="00C74276">
        <w:rPr>
          <w:lang w:val="en-CA"/>
        </w:rPr>
        <w:t>preliminary study of its words</w:t>
      </w:r>
      <w:r w:rsidR="00593769" w:rsidRPr="00C74276">
        <w:rPr>
          <w:lang w:val="en-CA"/>
        </w:rPr>
        <w:t xml:space="preserve">, the judge proceeds </w:t>
      </w:r>
      <w:r w:rsidR="001A4CB2" w:rsidRPr="00C74276">
        <w:rPr>
          <w:lang w:val="en-CA"/>
        </w:rPr>
        <w:t>immediately to the second step</w:t>
      </w:r>
      <w:r w:rsidR="00593769" w:rsidRPr="00C74276">
        <w:rPr>
          <w:lang w:val="en-CA"/>
        </w:rPr>
        <w:t>,</w:t>
      </w:r>
      <w:r w:rsidR="00F569A6" w:rsidRPr="00C74276">
        <w:rPr>
          <w:rStyle w:val="Appelnotedebasdep"/>
          <w:lang w:val="en-CA"/>
        </w:rPr>
        <w:footnoteReference w:id="75"/>
      </w:r>
      <w:r w:rsidR="00244A26" w:rsidRPr="00C74276">
        <w:rPr>
          <w:lang w:val="en-CA"/>
        </w:rPr>
        <w:t xml:space="preserve"> </w:t>
      </w:r>
      <w:r w:rsidR="00840A67" w:rsidRPr="00C74276">
        <w:rPr>
          <w:lang w:val="en-CA"/>
        </w:rPr>
        <w:t>i.e.</w:t>
      </w:r>
      <w:r w:rsidR="00B968BF" w:rsidRPr="00C74276">
        <w:rPr>
          <w:lang w:val="en-CA"/>
        </w:rPr>
        <w:t>,</w:t>
      </w:r>
      <w:r w:rsidR="00593769" w:rsidRPr="00C74276">
        <w:rPr>
          <w:lang w:val="en-CA"/>
        </w:rPr>
        <w:t xml:space="preserve"> the </w:t>
      </w:r>
      <w:r w:rsidR="00840A67" w:rsidRPr="00C74276">
        <w:rPr>
          <w:lang w:val="en-CA"/>
        </w:rPr>
        <w:t>actual interpretation</w:t>
      </w:r>
      <w:r w:rsidR="00593769" w:rsidRPr="00C74276">
        <w:rPr>
          <w:lang w:val="en-CA"/>
        </w:rPr>
        <w:t xml:space="preserve">. </w:t>
      </w:r>
      <w:r w:rsidR="001A4CB2" w:rsidRPr="00C74276">
        <w:rPr>
          <w:lang w:val="en-CA"/>
        </w:rPr>
        <w:t>At this step</w:t>
      </w:r>
      <w:r w:rsidR="00593769" w:rsidRPr="00C74276">
        <w:rPr>
          <w:lang w:val="en-CA"/>
        </w:rPr>
        <w:t>, the</w:t>
      </w:r>
      <w:r w:rsidR="00D0622C" w:rsidRPr="00C74276">
        <w:rPr>
          <w:lang w:val="en-CA"/>
        </w:rPr>
        <w:t xml:space="preserve"> judge seeks to determine</w:t>
      </w:r>
      <w:r w:rsidR="00352699" w:rsidRPr="00C74276">
        <w:rPr>
          <w:lang w:val="en-CA"/>
        </w:rPr>
        <w:t xml:space="preserve"> the common </w:t>
      </w:r>
      <w:r w:rsidR="00352699" w:rsidRPr="00C74276">
        <w:rPr>
          <w:lang w:val="en-CA"/>
        </w:rPr>
        <w:lastRenderedPageBreak/>
        <w:t>intention</w:t>
      </w:r>
      <w:r w:rsidR="00C91ADC" w:rsidRPr="00C74276">
        <w:rPr>
          <w:lang w:val="en-CA"/>
        </w:rPr>
        <w:t xml:space="preserve"> of the parties</w:t>
      </w:r>
      <w:r w:rsidR="00244A26" w:rsidRPr="00C74276">
        <w:rPr>
          <w:lang w:val="en-CA"/>
        </w:rPr>
        <w:t xml:space="preserve"> by considering intrinsic and extrinsic aspects</w:t>
      </w:r>
      <w:r w:rsidR="00311452" w:rsidRPr="00C74276">
        <w:rPr>
          <w:lang w:val="en-CA"/>
        </w:rPr>
        <w:t xml:space="preserve"> of the contract, such as</w:t>
      </w:r>
      <w:r w:rsidR="00244A26" w:rsidRPr="00C74276">
        <w:rPr>
          <w:lang w:val="en-CA"/>
        </w:rPr>
        <w:t xml:space="preserve"> the factual circumstances </w:t>
      </w:r>
      <w:r w:rsidR="00311452" w:rsidRPr="00C74276">
        <w:rPr>
          <w:lang w:val="en-CA"/>
        </w:rPr>
        <w:t>in which it was agreed upon</w:t>
      </w:r>
      <w:r w:rsidR="00244A26" w:rsidRPr="00C74276">
        <w:rPr>
          <w:lang w:val="en-CA"/>
        </w:rPr>
        <w:t xml:space="preserve"> and how the parties have </w:t>
      </w:r>
      <w:r w:rsidR="00F569A6" w:rsidRPr="00C74276">
        <w:rPr>
          <w:lang w:val="en-CA"/>
        </w:rPr>
        <w:t>interpreted it</w:t>
      </w:r>
      <w:r w:rsidR="00B968BF" w:rsidRPr="00C74276">
        <w:rPr>
          <w:lang w:val="en-CA"/>
        </w:rPr>
        <w:t xml:space="preserve"> in the past</w:t>
      </w:r>
      <w:r w:rsidR="00F569A6" w:rsidRPr="00C74276">
        <w:rPr>
          <w:lang w:val="en-CA"/>
        </w:rPr>
        <w:t>.</w:t>
      </w:r>
      <w:r w:rsidR="00634D8F" w:rsidRPr="00C74276">
        <w:rPr>
          <w:rStyle w:val="Appelnotedebasdep"/>
          <w:lang w:val="en-CA"/>
        </w:rPr>
        <w:footnoteReference w:id="76"/>
      </w:r>
    </w:p>
    <w:p w14:paraId="4DC8A15E" w14:textId="0D41CB49" w:rsidR="00634D8F" w:rsidRPr="00C74276" w:rsidRDefault="007C3DB4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In general, the purpose of interpreting a contract is to determi</w:t>
      </w:r>
      <w:r w:rsidR="008132F2" w:rsidRPr="00C74276">
        <w:rPr>
          <w:lang w:val="en-CA"/>
        </w:rPr>
        <w:t>ne</w:t>
      </w:r>
      <w:r w:rsidR="00E43EF0" w:rsidRPr="00C74276">
        <w:rPr>
          <w:lang w:val="en-CA"/>
        </w:rPr>
        <w:t xml:space="preserve"> what meaning the parties </w:t>
      </w:r>
      <w:r w:rsidR="00B46A66" w:rsidRPr="00C74276">
        <w:rPr>
          <w:lang w:val="en-CA"/>
        </w:rPr>
        <w:t>seem to have</w:t>
      </w:r>
      <w:r w:rsidR="00F835EF" w:rsidRPr="00C74276">
        <w:rPr>
          <w:lang w:val="en-CA"/>
        </w:rPr>
        <w:t xml:space="preserve"> </w:t>
      </w:r>
      <w:r w:rsidRPr="00C74276">
        <w:rPr>
          <w:lang w:val="en-CA"/>
        </w:rPr>
        <w:t>intended to give to</w:t>
      </w:r>
      <w:r w:rsidR="008724FB" w:rsidRPr="00C74276">
        <w:rPr>
          <w:lang w:val="en-CA"/>
        </w:rPr>
        <w:t xml:space="preserve"> a </w:t>
      </w:r>
      <w:r w:rsidRPr="00C74276">
        <w:rPr>
          <w:lang w:val="en-CA"/>
        </w:rPr>
        <w:t>part of their agreement</w:t>
      </w:r>
      <w:r w:rsidR="00F569A6" w:rsidRPr="00C74276">
        <w:rPr>
          <w:lang w:val="en-CA"/>
        </w:rPr>
        <w:t>.</w:t>
      </w:r>
      <w:r w:rsidR="00F569A6" w:rsidRPr="00C74276">
        <w:rPr>
          <w:rStyle w:val="Appelnotedebasdep"/>
          <w:lang w:val="en-CA"/>
        </w:rPr>
        <w:footnoteReference w:id="77"/>
      </w:r>
      <w:r w:rsidRPr="00C74276">
        <w:rPr>
          <w:lang w:val="en-CA"/>
        </w:rPr>
        <w:t xml:space="preserve"> </w:t>
      </w:r>
      <w:r w:rsidR="00C17879" w:rsidRPr="00C74276">
        <w:rPr>
          <w:lang w:val="en-CA"/>
        </w:rPr>
        <w:t xml:space="preserve">If the judge identifies an ambiguity, he </w:t>
      </w:r>
      <w:r w:rsidR="00B46A66" w:rsidRPr="00C74276">
        <w:rPr>
          <w:lang w:val="en-CA"/>
        </w:rPr>
        <w:t xml:space="preserve">or she </w:t>
      </w:r>
      <w:r w:rsidR="00C17879" w:rsidRPr="00C74276">
        <w:rPr>
          <w:lang w:val="en-CA"/>
        </w:rPr>
        <w:t>then looks for the common intention of the parties</w:t>
      </w:r>
      <w:r w:rsidR="00B46A66" w:rsidRPr="00C74276">
        <w:rPr>
          <w:lang w:val="en-CA"/>
        </w:rPr>
        <w:t>,</w:t>
      </w:r>
      <w:r w:rsidR="00C17879" w:rsidRPr="00C74276">
        <w:rPr>
          <w:lang w:val="en-CA"/>
        </w:rPr>
        <w:t xml:space="preserve"> which makes it </w:t>
      </w:r>
      <w:r w:rsidR="00AF397F" w:rsidRPr="00C74276">
        <w:rPr>
          <w:lang w:val="en-CA"/>
        </w:rPr>
        <w:t>“possible to establish the term</w:t>
      </w:r>
      <w:r w:rsidR="006C113B" w:rsidRPr="00C74276">
        <w:rPr>
          <w:lang w:val="en-CA"/>
        </w:rPr>
        <w:t xml:space="preserve"> </w:t>
      </w:r>
      <w:r w:rsidR="00C17879" w:rsidRPr="00C74276">
        <w:rPr>
          <w:lang w:val="en-CA"/>
        </w:rPr>
        <w:t xml:space="preserve">of the contract and the </w:t>
      </w:r>
      <w:r w:rsidR="00F569A6" w:rsidRPr="00C74276">
        <w:rPr>
          <w:lang w:val="en-CA"/>
        </w:rPr>
        <w:t>procedure for renewing it”</w:t>
      </w:r>
      <w:r w:rsidR="00D1239B">
        <w:rPr>
          <w:lang w:val="en-CA"/>
        </w:rPr>
        <w:t>.</w:t>
      </w:r>
      <w:r w:rsidR="00634D8F" w:rsidRPr="00C74276">
        <w:rPr>
          <w:rStyle w:val="Appelnotedebasdep"/>
          <w:lang w:val="en-CA"/>
        </w:rPr>
        <w:footnoteReference w:id="78"/>
      </w:r>
    </w:p>
    <w:p w14:paraId="24E37768" w14:textId="18F9CCA6" w:rsidR="00634D8F" w:rsidRPr="00C74276" w:rsidRDefault="007B5A7E" w:rsidP="00FA34B7">
      <w:pPr>
        <w:pStyle w:val="Paragraphe"/>
        <w:spacing w:line="280" w:lineRule="exact"/>
        <w:rPr>
          <w:lang w:val="en-CA"/>
        </w:rPr>
      </w:pPr>
      <w:r w:rsidRPr="00C74276">
        <w:rPr>
          <w:u w:val="single"/>
          <w:lang w:val="en-CA"/>
        </w:rPr>
        <w:t xml:space="preserve">In copyright, </w:t>
      </w:r>
      <w:r w:rsidR="00DE30F2" w:rsidRPr="00C74276">
        <w:rPr>
          <w:u w:val="single"/>
          <w:lang w:val="en-CA"/>
        </w:rPr>
        <w:t>assignment, exclusive licence</w:t>
      </w:r>
      <w:r w:rsidR="00F62E6C" w:rsidRPr="00C74276">
        <w:rPr>
          <w:u w:val="single"/>
          <w:lang w:val="en-CA"/>
        </w:rPr>
        <w:t>,</w:t>
      </w:r>
      <w:r w:rsidR="00DE30F2" w:rsidRPr="00C74276">
        <w:rPr>
          <w:u w:val="single"/>
          <w:lang w:val="en-CA"/>
        </w:rPr>
        <w:t xml:space="preserve"> and non-exclusive licence constitute contracts</w:t>
      </w:r>
      <w:r w:rsidR="00DE30F2" w:rsidRPr="00C74276">
        <w:rPr>
          <w:lang w:val="en-CA"/>
        </w:rPr>
        <w:t xml:space="preserve"> </w:t>
      </w:r>
      <w:r w:rsidR="006C113B" w:rsidRPr="00C74276">
        <w:rPr>
          <w:lang w:val="en-CA"/>
        </w:rPr>
        <w:t xml:space="preserve">for the protection of a work </w:t>
      </w:r>
      <w:r w:rsidR="00DE30F2" w:rsidRPr="00C74276">
        <w:rPr>
          <w:lang w:val="en-CA"/>
        </w:rPr>
        <w:t xml:space="preserve">within the meaning of the </w:t>
      </w:r>
      <w:r w:rsidR="00DE30F2" w:rsidRPr="00C74276">
        <w:rPr>
          <w:i/>
          <w:lang w:val="en-CA"/>
        </w:rPr>
        <w:t>CA.</w:t>
      </w:r>
      <w:r w:rsidR="00DE30F2" w:rsidRPr="00C74276">
        <w:rPr>
          <w:lang w:val="en-CA"/>
        </w:rPr>
        <w:t xml:space="preserve"> These contracts must be analyzed </w:t>
      </w:r>
      <w:r w:rsidR="000A71AD" w:rsidRPr="00C74276">
        <w:rPr>
          <w:lang w:val="en-CA"/>
        </w:rPr>
        <w:t>in accordance with</w:t>
      </w:r>
      <w:r w:rsidR="00DE30F2" w:rsidRPr="00C74276">
        <w:rPr>
          <w:lang w:val="en-CA"/>
        </w:rPr>
        <w:t xml:space="preserve"> </w:t>
      </w:r>
      <w:r w:rsidR="00F62E6C" w:rsidRPr="00C74276">
        <w:rPr>
          <w:lang w:val="en-CA"/>
        </w:rPr>
        <w:t>the rules specific to</w:t>
      </w:r>
      <w:r w:rsidR="00DE30F2" w:rsidRPr="00C74276">
        <w:rPr>
          <w:lang w:val="en-CA"/>
        </w:rPr>
        <w:t xml:space="preserve"> that </w:t>
      </w:r>
      <w:r w:rsidR="000A71AD" w:rsidRPr="00C74276">
        <w:rPr>
          <w:i/>
          <w:iCs/>
          <w:lang w:val="en-CA"/>
        </w:rPr>
        <w:t>Act</w:t>
      </w:r>
      <w:r w:rsidR="00DE30F2" w:rsidRPr="00C74276">
        <w:rPr>
          <w:lang w:val="en-CA"/>
        </w:rPr>
        <w:t>, but remain subject to the rules governing contracts in civil law.</w:t>
      </w:r>
      <w:r w:rsidR="00F569A6" w:rsidRPr="00C74276">
        <w:rPr>
          <w:rStyle w:val="Appelnotedebasdep"/>
          <w:lang w:val="en-CA"/>
        </w:rPr>
        <w:footnoteReference w:id="79"/>
      </w:r>
      <w:r w:rsidR="00DE30F2" w:rsidRPr="00C74276">
        <w:rPr>
          <w:lang w:val="en-CA"/>
        </w:rPr>
        <w:t xml:space="preserve"> The </w:t>
      </w:r>
      <w:r w:rsidR="00DE30F2" w:rsidRPr="00C74276">
        <w:rPr>
          <w:i/>
          <w:lang w:val="en-CA"/>
        </w:rPr>
        <w:t>CA</w:t>
      </w:r>
      <w:r w:rsidR="00DE30F2" w:rsidRPr="00C74276">
        <w:rPr>
          <w:lang w:val="en-CA"/>
        </w:rPr>
        <w:t xml:space="preserve"> cont</w:t>
      </w:r>
      <w:r w:rsidR="00F62E6C" w:rsidRPr="00C74276">
        <w:rPr>
          <w:lang w:val="en-CA"/>
        </w:rPr>
        <w:t>ains provisions on the duration of</w:t>
      </w:r>
      <w:r w:rsidR="00DE30F2" w:rsidRPr="00C74276">
        <w:rPr>
          <w:i/>
          <w:lang w:val="en-CA"/>
        </w:rPr>
        <w:t xml:space="preserve"> </w:t>
      </w:r>
      <w:r w:rsidR="00F62E6C" w:rsidRPr="00C74276">
        <w:rPr>
          <w:lang w:val="en-CA"/>
        </w:rPr>
        <w:t>the copyright</w:t>
      </w:r>
      <w:r w:rsidR="00DE30F2" w:rsidRPr="00C74276">
        <w:rPr>
          <w:lang w:val="en-CA"/>
        </w:rPr>
        <w:t xml:space="preserve"> </w:t>
      </w:r>
      <w:r w:rsidR="007734E7" w:rsidRPr="00C74276">
        <w:rPr>
          <w:lang w:val="en-CA"/>
        </w:rPr>
        <w:t>as such, but does not dea</w:t>
      </w:r>
      <w:r w:rsidR="004C0EBE" w:rsidRPr="00C74276">
        <w:rPr>
          <w:lang w:val="en-CA"/>
        </w:rPr>
        <w:t>l with the question of the duration</w:t>
      </w:r>
      <w:r w:rsidR="007734E7" w:rsidRPr="00C74276">
        <w:rPr>
          <w:lang w:val="en-CA"/>
        </w:rPr>
        <w:t xml:space="preserve"> of assignments or grants of licences </w:t>
      </w:r>
      <w:r w:rsidR="00E40350" w:rsidRPr="00C74276">
        <w:rPr>
          <w:lang w:val="en-CA"/>
        </w:rPr>
        <w:t xml:space="preserve">for these rights. It is </w:t>
      </w:r>
      <w:r w:rsidR="006C113B" w:rsidRPr="00C74276">
        <w:rPr>
          <w:lang w:val="en-CA"/>
        </w:rPr>
        <w:t>thus</w:t>
      </w:r>
      <w:r w:rsidR="004C0EBE" w:rsidRPr="00C74276">
        <w:rPr>
          <w:lang w:val="en-CA"/>
        </w:rPr>
        <w:t xml:space="preserve"> </w:t>
      </w:r>
      <w:r w:rsidR="00E40350" w:rsidRPr="00C74276">
        <w:rPr>
          <w:lang w:val="en-CA"/>
        </w:rPr>
        <w:t>necessary to refer to the rules of interpretation of contracts in civil law</w:t>
      </w:r>
      <w:r w:rsidR="00F569A6" w:rsidRPr="00C74276">
        <w:rPr>
          <w:rStyle w:val="Appelnotedebasdep"/>
          <w:lang w:val="en-CA"/>
        </w:rPr>
        <w:footnoteReference w:id="80"/>
      </w:r>
      <w:r w:rsidR="00F569A6" w:rsidRPr="00C74276">
        <w:rPr>
          <w:lang w:val="en-CA"/>
        </w:rPr>
        <w:t xml:space="preserve"> </w:t>
      </w:r>
      <w:r w:rsidR="00E40350" w:rsidRPr="00C74276">
        <w:rPr>
          <w:lang w:val="en-CA"/>
        </w:rPr>
        <w:t>and focus on the parties’</w:t>
      </w:r>
      <w:r w:rsidR="00AA5451" w:rsidRPr="00C74276">
        <w:rPr>
          <w:lang w:val="en-CA"/>
        </w:rPr>
        <w:t xml:space="preserve"> original common intention, “at the </w:t>
      </w:r>
      <w:r w:rsidR="00AA5451" w:rsidRPr="00C74276">
        <w:rPr>
          <w:u w:val="single"/>
          <w:lang w:val="en-CA"/>
        </w:rPr>
        <w:t>time of formation of the contract</w:t>
      </w:r>
      <w:r w:rsidR="00F569A6" w:rsidRPr="00C74276">
        <w:rPr>
          <w:lang w:val="en-CA"/>
        </w:rPr>
        <w:t>”</w:t>
      </w:r>
      <w:r w:rsidR="000A71AD" w:rsidRPr="00C74276">
        <w:rPr>
          <w:lang w:val="en-CA"/>
        </w:rPr>
        <w:t>.</w:t>
      </w:r>
      <w:r w:rsidR="00634D8F" w:rsidRPr="00C74276">
        <w:rPr>
          <w:rStyle w:val="Appelnotedebasdep"/>
          <w:lang w:val="en-CA"/>
        </w:rPr>
        <w:footnoteReference w:id="81"/>
      </w:r>
    </w:p>
    <w:p w14:paraId="4568859B" w14:textId="4BE9C9A3" w:rsidR="00634D8F" w:rsidRPr="00C74276" w:rsidRDefault="00CE6368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A </w:t>
      </w:r>
      <w:r w:rsidR="00670318" w:rsidRPr="00C74276">
        <w:rPr>
          <w:b/>
          <w:lang w:val="en-CA"/>
        </w:rPr>
        <w:t>fixed-</w:t>
      </w:r>
      <w:r w:rsidRPr="00C74276">
        <w:rPr>
          <w:b/>
          <w:lang w:val="en-CA"/>
        </w:rPr>
        <w:t>term contract</w:t>
      </w:r>
      <w:r w:rsidR="00136EE4" w:rsidRPr="00C74276">
        <w:rPr>
          <w:lang w:val="en-CA"/>
        </w:rPr>
        <w:t xml:space="preserve"> is one whose </w:t>
      </w:r>
      <w:r w:rsidRPr="00C74276">
        <w:rPr>
          <w:lang w:val="en-CA"/>
        </w:rPr>
        <w:t>duration is fixed in advance. This duratio</w:t>
      </w:r>
      <w:r w:rsidR="006C113B" w:rsidRPr="00C74276">
        <w:rPr>
          <w:lang w:val="en-CA"/>
        </w:rPr>
        <w:t>n is generally explicitly stipulated</w:t>
      </w:r>
      <w:r w:rsidRPr="00C74276">
        <w:rPr>
          <w:lang w:val="en-CA"/>
        </w:rPr>
        <w:t xml:space="preserve"> by the contracting parties themselves, but it can also be implicit.</w:t>
      </w:r>
      <w:bookmarkStart w:id="24" w:name="_Ref50710750"/>
      <w:r w:rsidR="00F569A6" w:rsidRPr="00C74276">
        <w:rPr>
          <w:rStyle w:val="Appelnotedebasdep"/>
          <w:lang w:val="en-CA"/>
        </w:rPr>
        <w:footnoteReference w:id="82"/>
      </w:r>
      <w:bookmarkEnd w:id="24"/>
      <w:r w:rsidR="00F569A6" w:rsidRPr="00C74276">
        <w:rPr>
          <w:lang w:val="en-CA"/>
        </w:rPr>
        <w:t xml:space="preserve"> </w:t>
      </w:r>
      <w:r w:rsidRPr="00C74276">
        <w:rPr>
          <w:lang w:val="en-CA"/>
        </w:rPr>
        <w:t xml:space="preserve">It is valid until the end of the extinctive term limiting its duration. A </w:t>
      </w:r>
      <w:r w:rsidR="00670318" w:rsidRPr="00C74276">
        <w:rPr>
          <w:lang w:val="en-CA"/>
        </w:rPr>
        <w:t>contracting party cannot unilaterally revoke this contract with</w:t>
      </w:r>
      <w:r w:rsidR="00FE5C2F" w:rsidRPr="00C74276">
        <w:rPr>
          <w:lang w:val="en-CA"/>
        </w:rPr>
        <w:t>out</w:t>
      </w:r>
      <w:r w:rsidR="00670318" w:rsidRPr="00C74276">
        <w:rPr>
          <w:lang w:val="en-CA"/>
        </w:rPr>
        <w:t xml:space="preserve"> justifyin</w:t>
      </w:r>
      <w:r w:rsidR="005B3E6F" w:rsidRPr="00C74276">
        <w:rPr>
          <w:lang w:val="en-CA"/>
        </w:rPr>
        <w:t>g a breach of the obligations of</w:t>
      </w:r>
      <w:r w:rsidR="00670318" w:rsidRPr="00C74276">
        <w:rPr>
          <w:lang w:val="en-CA"/>
        </w:rPr>
        <w:t xml:space="preserve"> the other party. Such a revocation is contrary to article 1439 CCQ and theref</w:t>
      </w:r>
      <w:r w:rsidR="00136EE4" w:rsidRPr="00C74276">
        <w:rPr>
          <w:lang w:val="en-CA"/>
        </w:rPr>
        <w:t>ore void.</w:t>
      </w:r>
      <w:r w:rsidR="007F61F6" w:rsidRPr="00C74276">
        <w:rPr>
          <w:rStyle w:val="Appelnotedebasdep"/>
          <w:lang w:val="en-CA"/>
        </w:rPr>
        <w:footnoteReference w:id="83"/>
      </w:r>
      <w:r w:rsidR="007F61F6" w:rsidRPr="00C74276">
        <w:rPr>
          <w:lang w:val="en-CA"/>
        </w:rPr>
        <w:t xml:space="preserve"> </w:t>
      </w:r>
      <w:r w:rsidR="00855414" w:rsidRPr="00C74276">
        <w:rPr>
          <w:lang w:val="en-CA"/>
        </w:rPr>
        <w:t>A</w:t>
      </w:r>
      <w:r w:rsidR="00670318" w:rsidRPr="00C74276">
        <w:rPr>
          <w:lang w:val="en-CA"/>
        </w:rPr>
        <w:t xml:space="preserve">uthors Lluelles and Moore </w:t>
      </w:r>
      <w:r w:rsidR="00F366E0" w:rsidRPr="00C74276">
        <w:rPr>
          <w:lang w:val="en-CA"/>
        </w:rPr>
        <w:t>consider</w:t>
      </w:r>
      <w:r w:rsidR="00670318" w:rsidRPr="00C74276">
        <w:rPr>
          <w:lang w:val="en-CA"/>
        </w:rPr>
        <w:t xml:space="preserve"> that</w:t>
      </w:r>
      <w:r w:rsidR="00F366E0" w:rsidRPr="00C74276">
        <w:rPr>
          <w:lang w:val="en-CA"/>
        </w:rPr>
        <w:t xml:space="preserve"> [</w:t>
      </w:r>
      <w:r w:rsidR="00F366E0" w:rsidRPr="00C74276">
        <w:rPr>
          <w:smallCaps/>
          <w:lang w:val="en-CA"/>
        </w:rPr>
        <w:t>translation</w:t>
      </w:r>
      <w:r w:rsidR="00F366E0" w:rsidRPr="00C74276">
        <w:rPr>
          <w:lang w:val="en-CA"/>
        </w:rPr>
        <w:t>]</w:t>
      </w:r>
      <w:r w:rsidR="00670318" w:rsidRPr="00C74276">
        <w:rPr>
          <w:lang w:val="en-CA"/>
        </w:rPr>
        <w:t xml:space="preserve"> “[t]he co-contracting party who is the victim of this breach can legitimately consider t</w:t>
      </w:r>
      <w:r w:rsidR="007F61F6" w:rsidRPr="00C74276">
        <w:rPr>
          <w:lang w:val="en-CA"/>
        </w:rPr>
        <w:t>he contract as still in force”</w:t>
      </w:r>
      <w:r w:rsidR="001B07D9" w:rsidRPr="00C74276">
        <w:rPr>
          <w:lang w:val="en-CA"/>
        </w:rPr>
        <w:t>.</w:t>
      </w:r>
      <w:r w:rsidR="00634D8F" w:rsidRPr="00C74276">
        <w:rPr>
          <w:rStyle w:val="Appelnotedebasdep"/>
          <w:lang w:val="en-CA"/>
        </w:rPr>
        <w:footnoteReference w:id="84"/>
      </w:r>
    </w:p>
    <w:p w14:paraId="55DA6752" w14:textId="2F279637" w:rsidR="00634D8F" w:rsidRPr="00C74276" w:rsidRDefault="00E872F2" w:rsidP="00FA34B7">
      <w:pPr>
        <w:pStyle w:val="Paragraphe"/>
        <w:spacing w:line="280" w:lineRule="exact"/>
        <w:rPr>
          <w:sz w:val="22"/>
          <w:lang w:val="en-CA"/>
        </w:rPr>
      </w:pPr>
      <w:r w:rsidRPr="00C74276">
        <w:rPr>
          <w:lang w:val="en-CA"/>
        </w:rPr>
        <w:t xml:space="preserve">The parties can also agree on </w:t>
      </w:r>
      <w:r w:rsidR="006F70C4" w:rsidRPr="00C74276">
        <w:rPr>
          <w:lang w:val="en-CA"/>
        </w:rPr>
        <w:t>a contract of unlimited duration</w:t>
      </w:r>
      <w:r w:rsidRPr="00C74276">
        <w:rPr>
          <w:lang w:val="en-CA"/>
        </w:rPr>
        <w:t xml:space="preserve">. This </w:t>
      </w:r>
      <w:r w:rsidRPr="00C74276">
        <w:rPr>
          <w:b/>
          <w:lang w:val="en-CA"/>
        </w:rPr>
        <w:t>perpetual contract</w:t>
      </w:r>
      <w:r w:rsidRPr="00C74276">
        <w:rPr>
          <w:lang w:val="en-CA"/>
        </w:rPr>
        <w:t xml:space="preserve"> includes</w:t>
      </w:r>
      <w:r w:rsidR="00D003E4" w:rsidRPr="00C74276">
        <w:rPr>
          <w:lang w:val="en-CA"/>
        </w:rPr>
        <w:t xml:space="preserve"> [</w:t>
      </w:r>
      <w:r w:rsidR="00D003E4" w:rsidRPr="00C74276">
        <w:rPr>
          <w:smallCaps/>
          <w:lang w:val="en-CA"/>
        </w:rPr>
        <w:t>translation</w:t>
      </w:r>
      <w:r w:rsidR="00D003E4" w:rsidRPr="00C74276">
        <w:rPr>
          <w:lang w:val="en-CA"/>
        </w:rPr>
        <w:t>]</w:t>
      </w:r>
      <w:r w:rsidRPr="00C74276">
        <w:rPr>
          <w:lang w:val="en-CA"/>
        </w:rPr>
        <w:t xml:space="preserve"> “the absolute and definitive </w:t>
      </w:r>
      <w:r w:rsidR="00D003E4" w:rsidRPr="00C74276">
        <w:rPr>
          <w:lang w:val="en-CA"/>
        </w:rPr>
        <w:t>revocation</w:t>
      </w:r>
      <w:r w:rsidR="0083604C" w:rsidRPr="00C74276">
        <w:rPr>
          <w:lang w:val="en-CA"/>
        </w:rPr>
        <w:t xml:space="preserve"> of the ability to terminate </w:t>
      </w:r>
      <w:r w:rsidR="003C2082" w:rsidRPr="00C74276">
        <w:rPr>
          <w:lang w:val="en-CA"/>
        </w:rPr>
        <w:t>a contractual relationship during a period of</w:t>
      </w:r>
      <w:r w:rsidR="0083604C" w:rsidRPr="00C74276">
        <w:rPr>
          <w:lang w:val="en-CA"/>
        </w:rPr>
        <w:t xml:space="preserve"> time that exceeds the limits of a physical or professional life”</w:t>
      </w:r>
      <w:r w:rsidR="00D003E4" w:rsidRPr="00C74276">
        <w:rPr>
          <w:lang w:val="en-CA"/>
        </w:rPr>
        <w:t>.</w:t>
      </w:r>
      <w:r w:rsidR="00302BDC" w:rsidRPr="00C74276">
        <w:rPr>
          <w:rStyle w:val="Appelnotedebasdep"/>
          <w:lang w:val="en-CA"/>
        </w:rPr>
        <w:footnoteReference w:id="85"/>
      </w:r>
      <w:r w:rsidR="0083604C" w:rsidRPr="00C74276">
        <w:rPr>
          <w:lang w:val="en-CA"/>
        </w:rPr>
        <w:t xml:space="preserve"> This type of contract, although rare, is not contrary to public order. This is what the Supreme Court clarified in </w:t>
      </w:r>
      <w:r w:rsidR="0083604C" w:rsidRPr="00C74276">
        <w:rPr>
          <w:i/>
          <w:lang w:val="en-CA"/>
        </w:rPr>
        <w:t>Uniprix</w:t>
      </w:r>
      <w:r w:rsidR="0083604C" w:rsidRPr="00C74276">
        <w:rPr>
          <w:lang w:val="en-CA"/>
        </w:rPr>
        <w:t>: “</w:t>
      </w:r>
      <w:r w:rsidR="006848BC" w:rsidRPr="00C74276">
        <w:rPr>
          <w:lang w:val="en-CA"/>
        </w:rPr>
        <w:t xml:space="preserve">nothing in the </w:t>
      </w:r>
      <w:r w:rsidR="006848BC" w:rsidRPr="00C74276">
        <w:rPr>
          <w:i/>
          <w:lang w:val="en-CA"/>
        </w:rPr>
        <w:t>Code</w:t>
      </w:r>
      <w:r w:rsidR="006848BC" w:rsidRPr="00C74276">
        <w:rPr>
          <w:lang w:val="en-CA"/>
        </w:rPr>
        <w:t xml:space="preserve"> prohibits </w:t>
      </w:r>
      <w:r w:rsidR="006848BC" w:rsidRPr="00C74276">
        <w:rPr>
          <w:lang w:val="en-CA"/>
        </w:rPr>
        <w:lastRenderedPageBreak/>
        <w:t>contracts … from having effects that could be perpetual</w:t>
      </w:r>
      <w:r w:rsidR="0083604C" w:rsidRPr="00C74276">
        <w:rPr>
          <w:lang w:val="en-CA"/>
        </w:rPr>
        <w:t>”</w:t>
      </w:r>
      <w:r w:rsidR="00D003E4" w:rsidRPr="00C74276">
        <w:rPr>
          <w:lang w:val="en-CA"/>
        </w:rPr>
        <w:t>.</w:t>
      </w:r>
      <w:r w:rsidR="00624241" w:rsidRPr="00C74276">
        <w:rPr>
          <w:rStyle w:val="Appelnotedebasdep"/>
          <w:lang w:val="en-CA"/>
        </w:rPr>
        <w:footnoteReference w:id="86"/>
      </w:r>
      <w:r w:rsidR="0083604C" w:rsidRPr="00C74276">
        <w:rPr>
          <w:lang w:val="en-CA"/>
        </w:rPr>
        <w:t xml:space="preserve"> No express stipulat</w:t>
      </w:r>
      <w:r w:rsidR="00C07046" w:rsidRPr="00C74276">
        <w:rPr>
          <w:lang w:val="en-CA"/>
        </w:rPr>
        <w:t>ion is required</w:t>
      </w:r>
      <w:r w:rsidR="0083604C" w:rsidRPr="00C74276">
        <w:rPr>
          <w:lang w:val="en-CA"/>
        </w:rPr>
        <w:t xml:space="preserve"> for a contract to have potentially</w:t>
      </w:r>
      <w:r w:rsidR="00C07046" w:rsidRPr="00C74276">
        <w:rPr>
          <w:lang w:val="en-CA"/>
        </w:rPr>
        <w:t xml:space="preserve"> perpetual effects, but the intention</w:t>
      </w:r>
      <w:r w:rsidR="0083604C" w:rsidRPr="00C74276">
        <w:rPr>
          <w:lang w:val="en-CA"/>
        </w:rPr>
        <w:t xml:space="preserve"> to </w:t>
      </w:r>
      <w:r w:rsidR="00C07046" w:rsidRPr="00C74276">
        <w:rPr>
          <w:lang w:val="en-CA"/>
        </w:rPr>
        <w:t xml:space="preserve">potentially </w:t>
      </w:r>
      <w:r w:rsidR="0083604C" w:rsidRPr="00C74276">
        <w:rPr>
          <w:lang w:val="en-CA"/>
        </w:rPr>
        <w:t>bind</w:t>
      </w:r>
      <w:r w:rsidR="00C07046" w:rsidRPr="00C74276">
        <w:rPr>
          <w:lang w:val="en-CA"/>
        </w:rPr>
        <w:t xml:space="preserve"> oneself </w:t>
      </w:r>
      <w:r w:rsidR="0083604C" w:rsidRPr="00C74276">
        <w:rPr>
          <w:lang w:val="en-CA"/>
        </w:rPr>
        <w:t>in perpetuity must be inferred from the terms of the contract</w:t>
      </w:r>
      <w:r w:rsidR="00624241" w:rsidRPr="00C74276">
        <w:rPr>
          <w:lang w:val="en-CA"/>
        </w:rPr>
        <w:t>.</w:t>
      </w:r>
      <w:r w:rsidR="00624241" w:rsidRPr="00C74276">
        <w:rPr>
          <w:rStyle w:val="Appelnotedebasdep"/>
          <w:lang w:val="en-CA"/>
        </w:rPr>
        <w:footnoteReference w:id="87"/>
      </w:r>
      <w:r w:rsidR="0083604C" w:rsidRPr="00C74276">
        <w:rPr>
          <w:lang w:val="en-CA"/>
        </w:rPr>
        <w:t xml:space="preserve">  </w:t>
      </w:r>
    </w:p>
    <w:p w14:paraId="36BA90BA" w14:textId="4FD8E565" w:rsidR="00634D8F" w:rsidRPr="00C74276" w:rsidRDefault="002C465D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The perpetual contract should not be confused with the </w:t>
      </w:r>
      <w:r w:rsidR="00DB23CD">
        <w:rPr>
          <w:b/>
          <w:bCs/>
          <w:lang w:val="en-CA"/>
        </w:rPr>
        <w:t xml:space="preserve">contract for an </w:t>
      </w:r>
      <w:r w:rsidR="001469E8" w:rsidRPr="00C74276">
        <w:rPr>
          <w:b/>
          <w:lang w:val="en-CA"/>
        </w:rPr>
        <w:t>indeterminate</w:t>
      </w:r>
      <w:r w:rsidR="00F84EFB" w:rsidRPr="00C74276">
        <w:rPr>
          <w:b/>
          <w:lang w:val="en-CA"/>
        </w:rPr>
        <w:t xml:space="preserve"> term</w:t>
      </w:r>
      <w:r w:rsidR="00F84EFB" w:rsidRPr="00C74276">
        <w:rPr>
          <w:lang w:val="en-CA"/>
        </w:rPr>
        <w:t>, i.e.</w:t>
      </w:r>
      <w:r w:rsidR="00BA7301" w:rsidRPr="00C74276">
        <w:rPr>
          <w:lang w:val="en-CA"/>
        </w:rPr>
        <w:t>,</w:t>
      </w:r>
      <w:r w:rsidR="00F84EFB" w:rsidRPr="00C74276">
        <w:rPr>
          <w:lang w:val="en-CA"/>
        </w:rPr>
        <w:t xml:space="preserve"> t</w:t>
      </w:r>
      <w:r w:rsidR="008954D0" w:rsidRPr="00C74276">
        <w:rPr>
          <w:lang w:val="en-CA"/>
        </w:rPr>
        <w:t>he contract for which</w:t>
      </w:r>
      <w:r w:rsidR="00F84EFB" w:rsidRPr="00C74276">
        <w:rPr>
          <w:lang w:val="en-CA"/>
        </w:rPr>
        <w:t xml:space="preserve"> </w:t>
      </w:r>
      <w:r w:rsidR="008954D0" w:rsidRPr="00C74276">
        <w:rPr>
          <w:lang w:val="en-CA"/>
        </w:rPr>
        <w:t>“</w:t>
      </w:r>
      <w:r w:rsidR="00F84EFB" w:rsidRPr="00C74276">
        <w:rPr>
          <w:lang w:val="en-CA"/>
        </w:rPr>
        <w:t xml:space="preserve">the parties have fixed </w:t>
      </w:r>
      <w:r w:rsidR="00BA7301" w:rsidRPr="00C74276">
        <w:rPr>
          <w:lang w:val="en-CA"/>
        </w:rPr>
        <w:t>no</w:t>
      </w:r>
      <w:r w:rsidR="00F84EFB" w:rsidRPr="00C74276">
        <w:rPr>
          <w:lang w:val="en-CA"/>
        </w:rPr>
        <w:t xml:space="preserve"> extinctive term </w:t>
      </w:r>
      <w:r w:rsidR="00BA7301" w:rsidRPr="00C74276">
        <w:rPr>
          <w:lang w:val="en-CA"/>
        </w:rPr>
        <w:t>for</w:t>
      </w:r>
      <w:r w:rsidR="00F84EFB" w:rsidRPr="00C74276">
        <w:rPr>
          <w:lang w:val="en-CA"/>
        </w:rPr>
        <w:t xml:space="preserve"> their obligations</w:t>
      </w:r>
      <w:r w:rsidR="008954D0" w:rsidRPr="00C74276">
        <w:rPr>
          <w:lang w:val="en-CA"/>
        </w:rPr>
        <w:t>”</w:t>
      </w:r>
      <w:r w:rsidR="00BA7301" w:rsidRPr="00C74276">
        <w:rPr>
          <w:lang w:val="en-CA"/>
        </w:rPr>
        <w:t>.</w:t>
      </w:r>
      <w:r w:rsidR="00624241" w:rsidRPr="00C74276">
        <w:rPr>
          <w:rStyle w:val="Appelnotedebasdep"/>
          <w:lang w:val="en-CA"/>
        </w:rPr>
        <w:footnoteReference w:id="88"/>
      </w:r>
      <w:r w:rsidR="00624241" w:rsidRPr="00C74276">
        <w:rPr>
          <w:lang w:val="en-CA"/>
        </w:rPr>
        <w:t xml:space="preserve"> </w:t>
      </w:r>
      <w:r w:rsidR="00F84EFB" w:rsidRPr="00C74276">
        <w:rPr>
          <w:lang w:val="en-CA"/>
        </w:rPr>
        <w:t>Like a fixed-term or unlimited term contract</w:t>
      </w:r>
      <w:r w:rsidR="001469E8" w:rsidRPr="00C74276">
        <w:rPr>
          <w:lang w:val="en-CA"/>
        </w:rPr>
        <w:t>, the indeterminate</w:t>
      </w:r>
      <w:r w:rsidR="008954D0" w:rsidRPr="00C74276">
        <w:rPr>
          <w:lang w:val="en-CA"/>
        </w:rPr>
        <w:t xml:space="preserve"> term contract </w:t>
      </w:r>
      <w:r w:rsidR="00F84EFB" w:rsidRPr="00C74276">
        <w:rPr>
          <w:lang w:val="en-CA"/>
        </w:rPr>
        <w:t>is irrevocable. This is a consequence of its</w:t>
      </w:r>
      <w:r w:rsidR="001469E8" w:rsidRPr="00C74276">
        <w:rPr>
          <w:lang w:val="en-CA"/>
        </w:rPr>
        <w:t xml:space="preserve"> binding force which assumes</w:t>
      </w:r>
      <w:r w:rsidR="000B2050" w:rsidRPr="00C74276">
        <w:rPr>
          <w:lang w:val="en-CA"/>
        </w:rPr>
        <w:t xml:space="preserve"> </w:t>
      </w:r>
      <w:r w:rsidR="00A62619" w:rsidRPr="00C74276">
        <w:rPr>
          <w:lang w:val="en-CA"/>
        </w:rPr>
        <w:t xml:space="preserve">the parties’ </w:t>
      </w:r>
      <w:r w:rsidR="00F84EFB" w:rsidRPr="00C74276">
        <w:rPr>
          <w:lang w:val="en-CA"/>
        </w:rPr>
        <w:t xml:space="preserve">compliance </w:t>
      </w:r>
      <w:r w:rsidR="00A62619" w:rsidRPr="00C74276">
        <w:rPr>
          <w:lang w:val="en-CA"/>
        </w:rPr>
        <w:t>with its duration</w:t>
      </w:r>
      <w:r w:rsidR="00F84EFB" w:rsidRPr="00C74276">
        <w:rPr>
          <w:lang w:val="en-CA"/>
        </w:rPr>
        <w:t>, as codified in article 1439 CCQ.</w:t>
      </w:r>
      <w:r w:rsidR="00624241" w:rsidRPr="00C74276">
        <w:rPr>
          <w:rStyle w:val="Appelnotedebasdep"/>
          <w:lang w:val="en-CA"/>
        </w:rPr>
        <w:footnoteReference w:id="89"/>
      </w:r>
      <w:r w:rsidR="008954D0" w:rsidRPr="00C74276">
        <w:rPr>
          <w:lang w:val="en-CA"/>
        </w:rPr>
        <w:t xml:space="preserve"> </w:t>
      </w:r>
      <w:r w:rsidR="00F84EFB" w:rsidRPr="00C74276">
        <w:rPr>
          <w:lang w:val="en-CA"/>
        </w:rPr>
        <w:t xml:space="preserve">The Supreme Court has recognized that this principle </w:t>
      </w:r>
      <w:r w:rsidR="001469E8" w:rsidRPr="00C74276">
        <w:rPr>
          <w:lang w:val="en-CA"/>
        </w:rPr>
        <w:t xml:space="preserve">also applies to </w:t>
      </w:r>
      <w:r w:rsidR="00373E80">
        <w:rPr>
          <w:lang w:val="en-CA"/>
        </w:rPr>
        <w:t xml:space="preserve">contracts for an </w:t>
      </w:r>
      <w:r w:rsidR="001469E8" w:rsidRPr="00C74276">
        <w:rPr>
          <w:lang w:val="en-CA"/>
        </w:rPr>
        <w:t>indeterminate</w:t>
      </w:r>
      <w:r w:rsidR="008954D0" w:rsidRPr="00C74276">
        <w:rPr>
          <w:lang w:val="en-CA"/>
        </w:rPr>
        <w:t xml:space="preserve"> term.</w:t>
      </w:r>
      <w:bookmarkStart w:id="25" w:name="_Ref50711490"/>
      <w:r w:rsidR="00624241" w:rsidRPr="00C74276">
        <w:rPr>
          <w:rStyle w:val="Appelnotedebasdep"/>
          <w:lang w:val="en-CA"/>
        </w:rPr>
        <w:footnoteReference w:id="90"/>
      </w:r>
      <w:bookmarkEnd w:id="25"/>
      <w:r w:rsidR="00624241" w:rsidRPr="00C74276">
        <w:rPr>
          <w:lang w:val="en-CA"/>
        </w:rPr>
        <w:t xml:space="preserve"> </w:t>
      </w:r>
      <w:r w:rsidR="00F84EFB" w:rsidRPr="00C74276">
        <w:rPr>
          <w:lang w:val="en-CA"/>
        </w:rPr>
        <w:t>Copyright, however, recognizes an exception to this principle by recognizing that a li</w:t>
      </w:r>
      <w:r w:rsidR="00BB12AC" w:rsidRPr="00C74276">
        <w:rPr>
          <w:lang w:val="en-CA"/>
        </w:rPr>
        <w:t>cence granted free of charge can</w:t>
      </w:r>
      <w:r w:rsidR="00F84EFB" w:rsidRPr="00C74276">
        <w:rPr>
          <w:lang w:val="en-CA"/>
        </w:rPr>
        <w:t xml:space="preserve"> be </w:t>
      </w:r>
      <w:r w:rsidR="009775C7" w:rsidRPr="00C74276">
        <w:rPr>
          <w:lang w:val="en-CA"/>
        </w:rPr>
        <w:t xml:space="preserve">unilaterally </w:t>
      </w:r>
      <w:r w:rsidR="00BB12AC" w:rsidRPr="00C74276">
        <w:rPr>
          <w:lang w:val="en-CA"/>
        </w:rPr>
        <w:t>revocable</w:t>
      </w:r>
      <w:r w:rsidR="000709BB" w:rsidRPr="00C74276">
        <w:rPr>
          <w:lang w:val="en-CA"/>
        </w:rPr>
        <w:t>, whereas</w:t>
      </w:r>
      <w:r w:rsidR="00F84EFB" w:rsidRPr="00C74276">
        <w:rPr>
          <w:lang w:val="en-CA"/>
        </w:rPr>
        <w:t xml:space="preserve"> a licence for consideration is only </w:t>
      </w:r>
      <w:r w:rsidR="000709BB" w:rsidRPr="00C74276">
        <w:rPr>
          <w:lang w:val="en-CA"/>
        </w:rPr>
        <w:t xml:space="preserve">unilaterally </w:t>
      </w:r>
      <w:r w:rsidR="000B2050" w:rsidRPr="00C74276">
        <w:rPr>
          <w:lang w:val="en-CA"/>
        </w:rPr>
        <w:t>revocable</w:t>
      </w:r>
      <w:r w:rsidR="008954D0" w:rsidRPr="00C74276">
        <w:rPr>
          <w:lang w:val="en-CA"/>
        </w:rPr>
        <w:t xml:space="preserve"> </w:t>
      </w:r>
      <w:r w:rsidR="00624241" w:rsidRPr="00C74276">
        <w:rPr>
          <w:lang w:val="en-CA"/>
        </w:rPr>
        <w:t>if the parties have so agreed.</w:t>
      </w:r>
      <w:r w:rsidR="00634D8F" w:rsidRPr="00C74276">
        <w:rPr>
          <w:rStyle w:val="Appelnotedebasdep"/>
          <w:lang w:val="en-CA"/>
        </w:rPr>
        <w:footnoteReference w:id="91"/>
      </w:r>
    </w:p>
    <w:p w14:paraId="2E4F048A" w14:textId="255B6A95" w:rsidR="00634D8F" w:rsidRPr="00C74276" w:rsidRDefault="00A077AC" w:rsidP="00467A6B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The principle of irrevo</w:t>
      </w:r>
      <w:r w:rsidR="00975535" w:rsidRPr="00C74276">
        <w:rPr>
          <w:lang w:val="en-CA"/>
        </w:rPr>
        <w:t xml:space="preserve">cability does not mean that the </w:t>
      </w:r>
      <w:r w:rsidR="00373E80">
        <w:rPr>
          <w:lang w:val="en-CA"/>
        </w:rPr>
        <w:t xml:space="preserve">contract for an </w:t>
      </w:r>
      <w:r w:rsidR="00BB12AC" w:rsidRPr="00C74276">
        <w:rPr>
          <w:lang w:val="en-CA"/>
        </w:rPr>
        <w:t>indeterminate</w:t>
      </w:r>
      <w:r w:rsidR="00975535" w:rsidRPr="00C74276">
        <w:rPr>
          <w:lang w:val="en-CA"/>
        </w:rPr>
        <w:t xml:space="preserve"> term binds “eternally”</w:t>
      </w:r>
      <w:r w:rsidR="00265B67" w:rsidRPr="00C74276">
        <w:rPr>
          <w:lang w:val="en-CA"/>
        </w:rPr>
        <w:t>, because</w:t>
      </w:r>
      <w:r w:rsidR="00975535" w:rsidRPr="00C74276">
        <w:rPr>
          <w:lang w:val="en-CA"/>
        </w:rPr>
        <w:t xml:space="preserve"> each contracting party can get out of it by giving sufficient notic</w:t>
      </w:r>
      <w:bookmarkStart w:id="26" w:name="_Ref50712037"/>
      <w:r w:rsidR="00624241" w:rsidRPr="00C74276">
        <w:rPr>
          <w:lang w:val="en-CA"/>
        </w:rPr>
        <w:t>e.</w:t>
      </w:r>
      <w:r w:rsidR="00624241" w:rsidRPr="00C74276">
        <w:rPr>
          <w:rStyle w:val="Appelnotedebasdep"/>
          <w:lang w:val="en-CA"/>
        </w:rPr>
        <w:footnoteReference w:id="92"/>
      </w:r>
      <w:bookmarkEnd w:id="26"/>
      <w:r w:rsidR="00624241" w:rsidRPr="00C74276">
        <w:rPr>
          <w:lang w:val="en-CA"/>
        </w:rPr>
        <w:t xml:space="preserve"> </w:t>
      </w:r>
      <w:r w:rsidR="00975535" w:rsidRPr="00C74276">
        <w:rPr>
          <w:lang w:val="en-CA"/>
        </w:rPr>
        <w:t>Indeed,</w:t>
      </w:r>
      <w:r w:rsidR="00265B67" w:rsidRPr="00C74276">
        <w:rPr>
          <w:lang w:val="en-CA"/>
        </w:rPr>
        <w:t xml:space="preserve"> [</w:t>
      </w:r>
      <w:r w:rsidR="00265B67" w:rsidRPr="00C74276">
        <w:rPr>
          <w:smallCaps/>
          <w:lang w:val="en-CA"/>
        </w:rPr>
        <w:t>translation</w:t>
      </w:r>
      <w:r w:rsidR="00265B67" w:rsidRPr="00C74276">
        <w:rPr>
          <w:lang w:val="en-CA"/>
        </w:rPr>
        <w:t>]</w:t>
      </w:r>
      <w:r w:rsidR="00975535" w:rsidRPr="00C74276">
        <w:rPr>
          <w:lang w:val="en-CA"/>
        </w:rPr>
        <w:t xml:space="preserve"> “i</w:t>
      </w:r>
      <w:r w:rsidR="00A529CF" w:rsidRPr="00C74276">
        <w:rPr>
          <w:lang w:val="en-CA"/>
        </w:rPr>
        <w:t>t would be unreasonable to say</w:t>
      </w:r>
      <w:r w:rsidR="00975535" w:rsidRPr="00C74276">
        <w:rPr>
          <w:lang w:val="en-CA"/>
        </w:rPr>
        <w:t xml:space="preserve"> that the p</w:t>
      </w:r>
      <w:r w:rsidR="003E56A7" w:rsidRPr="00C74276">
        <w:rPr>
          <w:lang w:val="en-CA"/>
        </w:rPr>
        <w:t xml:space="preserve">arties to a </w:t>
      </w:r>
      <w:r w:rsidR="00265B67" w:rsidRPr="00C74276">
        <w:rPr>
          <w:lang w:val="en-CA"/>
        </w:rPr>
        <w:t>commercial</w:t>
      </w:r>
      <w:r w:rsidR="003E56A7" w:rsidRPr="00C74276">
        <w:rPr>
          <w:lang w:val="en-CA"/>
        </w:rPr>
        <w:t xml:space="preserve"> agreement</w:t>
      </w:r>
      <w:r w:rsidR="00975535" w:rsidRPr="00C74276">
        <w:rPr>
          <w:lang w:val="en-CA"/>
        </w:rPr>
        <w:t xml:space="preserve"> wish, or expect, wh</w:t>
      </w:r>
      <w:r w:rsidR="003E56A7" w:rsidRPr="00C74276">
        <w:rPr>
          <w:lang w:val="en-CA"/>
        </w:rPr>
        <w:t>en entering into the agreement</w:t>
      </w:r>
      <w:r w:rsidR="00975535" w:rsidRPr="00C74276">
        <w:rPr>
          <w:lang w:val="en-CA"/>
        </w:rPr>
        <w:t xml:space="preserve">, that it will last </w:t>
      </w:r>
      <w:r w:rsidR="00A529CF" w:rsidRPr="00C74276">
        <w:rPr>
          <w:lang w:val="en-CA"/>
        </w:rPr>
        <w:t>indefinitely, particularly when</w:t>
      </w:r>
      <w:r w:rsidR="00975535" w:rsidRPr="00C74276">
        <w:rPr>
          <w:lang w:val="en-CA"/>
        </w:rPr>
        <w:t xml:space="preserve"> their relationship is one that requires trust and collaboration”</w:t>
      </w:r>
      <w:r w:rsidR="00265B67" w:rsidRPr="00C74276">
        <w:rPr>
          <w:lang w:val="en-CA"/>
        </w:rPr>
        <w:t>.</w:t>
      </w:r>
      <w:r w:rsidR="00624241" w:rsidRPr="00C74276">
        <w:rPr>
          <w:rStyle w:val="Appelnotedebasdep"/>
          <w:lang w:val="en-CA"/>
        </w:rPr>
        <w:footnoteReference w:id="93"/>
      </w:r>
      <w:r w:rsidR="00624241" w:rsidRPr="00C74276">
        <w:rPr>
          <w:lang w:val="en-CA"/>
        </w:rPr>
        <w:t xml:space="preserve"> </w:t>
      </w:r>
      <w:r w:rsidR="00975535" w:rsidRPr="00C74276">
        <w:rPr>
          <w:lang w:val="en-CA"/>
        </w:rPr>
        <w:t xml:space="preserve">A party to such a contract cannot, however, unilaterally terminate it </w:t>
      </w:r>
      <w:r w:rsidR="00265B67" w:rsidRPr="00C74276">
        <w:rPr>
          <w:lang w:val="en-CA"/>
        </w:rPr>
        <w:t>[</w:t>
      </w:r>
      <w:r w:rsidR="00265B67" w:rsidRPr="00C74276">
        <w:rPr>
          <w:smallCaps/>
          <w:lang w:val="en-CA"/>
        </w:rPr>
        <w:t>translation</w:t>
      </w:r>
      <w:r w:rsidR="00265B67" w:rsidRPr="00C74276">
        <w:rPr>
          <w:lang w:val="en-CA"/>
        </w:rPr>
        <w:t xml:space="preserve">] </w:t>
      </w:r>
      <w:r w:rsidR="00975535" w:rsidRPr="00C74276">
        <w:rPr>
          <w:lang w:val="en-CA"/>
        </w:rPr>
        <w:t>“in an anarchic manner”</w:t>
      </w:r>
      <w:r w:rsidR="00C371E1">
        <w:rPr>
          <w:lang w:val="en-CA"/>
        </w:rPr>
        <w:t>.</w:t>
      </w:r>
      <w:r w:rsidR="00624241" w:rsidRPr="00C74276">
        <w:rPr>
          <w:rStyle w:val="Appelnotedebasdep"/>
          <w:lang w:val="en-CA"/>
        </w:rPr>
        <w:footnoteReference w:id="94"/>
      </w:r>
      <w:r w:rsidR="00975535" w:rsidRPr="00C74276">
        <w:rPr>
          <w:lang w:val="en-CA"/>
        </w:rPr>
        <w:t xml:space="preserve"> </w:t>
      </w:r>
      <w:r w:rsidR="00467A6B" w:rsidRPr="00C74276">
        <w:rPr>
          <w:lang w:val="en-CA"/>
        </w:rPr>
        <w:t xml:space="preserve">There can be </w:t>
      </w:r>
      <w:r w:rsidR="00265B67" w:rsidRPr="00C74276">
        <w:rPr>
          <w:lang w:val="en-CA"/>
        </w:rPr>
        <w:t>[</w:t>
      </w:r>
      <w:r w:rsidR="00265B67" w:rsidRPr="00C74276">
        <w:rPr>
          <w:smallCaps/>
          <w:lang w:val="en-CA"/>
        </w:rPr>
        <w:t>translation</w:t>
      </w:r>
      <w:r w:rsidR="00265B67" w:rsidRPr="00C74276">
        <w:rPr>
          <w:lang w:val="en-CA"/>
        </w:rPr>
        <w:t xml:space="preserve">] </w:t>
      </w:r>
      <w:r w:rsidR="00467A6B" w:rsidRPr="00C74276">
        <w:rPr>
          <w:lang w:val="en-CA"/>
        </w:rPr>
        <w:t>“no question of a contracting party revoking the contract suddenly, brutally, and immediately”</w:t>
      </w:r>
      <w:r w:rsidR="00265B67" w:rsidRPr="00C74276">
        <w:rPr>
          <w:lang w:val="en-CA"/>
        </w:rPr>
        <w:t>.</w:t>
      </w:r>
      <w:r w:rsidR="007709EE" w:rsidRPr="00C74276">
        <w:rPr>
          <w:rStyle w:val="Appelnotedebasdep"/>
          <w:lang w:val="en-CA"/>
        </w:rPr>
        <w:footnoteReference w:id="95"/>
      </w:r>
      <w:r w:rsidR="007709EE" w:rsidRPr="00C74276">
        <w:rPr>
          <w:lang w:val="en-CA"/>
        </w:rPr>
        <w:t xml:space="preserve"> </w:t>
      </w:r>
      <w:r w:rsidR="00467A6B" w:rsidRPr="00C74276">
        <w:rPr>
          <w:lang w:val="en-CA"/>
        </w:rPr>
        <w:t>Moreover, this right to terminate an agreement, even when it is provided for in the contract, m</w:t>
      </w:r>
      <w:r w:rsidR="00A529CF" w:rsidRPr="00C74276">
        <w:rPr>
          <w:lang w:val="en-CA"/>
        </w:rPr>
        <w:t xml:space="preserve">ust be </w:t>
      </w:r>
      <w:r w:rsidR="00A529CF" w:rsidRPr="00C74276">
        <w:rPr>
          <w:lang w:val="en-CA"/>
        </w:rPr>
        <w:lastRenderedPageBreak/>
        <w:t>exercised in good faith.</w:t>
      </w:r>
      <w:r w:rsidR="007709EE" w:rsidRPr="00C74276">
        <w:rPr>
          <w:rStyle w:val="Appelnotedebasdep"/>
          <w:lang w:val="en-CA"/>
        </w:rPr>
        <w:footnoteReference w:id="96"/>
      </w:r>
      <w:r w:rsidR="007709EE" w:rsidRPr="00C74276">
        <w:rPr>
          <w:lang w:val="en-CA"/>
        </w:rPr>
        <w:t xml:space="preserve"> </w:t>
      </w:r>
      <w:r w:rsidR="00467A6B" w:rsidRPr="00C74276">
        <w:rPr>
          <w:lang w:val="en-CA"/>
        </w:rPr>
        <w:t>Indeed, it is necessary</w:t>
      </w:r>
      <w:r w:rsidR="00265B67" w:rsidRPr="00C74276">
        <w:rPr>
          <w:lang w:val="en-CA"/>
        </w:rPr>
        <w:t xml:space="preserve"> [</w:t>
      </w:r>
      <w:r w:rsidR="00265B67" w:rsidRPr="00C74276">
        <w:rPr>
          <w:smallCaps/>
          <w:lang w:val="en-CA"/>
        </w:rPr>
        <w:t>translation</w:t>
      </w:r>
      <w:r w:rsidR="00265B67" w:rsidRPr="00C74276">
        <w:rPr>
          <w:lang w:val="en-CA"/>
        </w:rPr>
        <w:t>]</w:t>
      </w:r>
      <w:r w:rsidR="00467A6B" w:rsidRPr="00C74276">
        <w:rPr>
          <w:lang w:val="en-CA"/>
        </w:rPr>
        <w:t xml:space="preserve"> </w:t>
      </w:r>
      <w:r w:rsidR="00A529CF" w:rsidRPr="00C74276">
        <w:rPr>
          <w:lang w:val="en-CA"/>
        </w:rPr>
        <w:t>“</w:t>
      </w:r>
      <w:r w:rsidR="00F503AA" w:rsidRPr="00C74276">
        <w:rPr>
          <w:lang w:val="en-CA"/>
        </w:rPr>
        <w:t xml:space="preserve">to </w:t>
      </w:r>
      <w:r w:rsidR="003E56A7" w:rsidRPr="00C74276">
        <w:rPr>
          <w:lang w:val="en-CA"/>
        </w:rPr>
        <w:t xml:space="preserve">strongly </w:t>
      </w:r>
      <w:r w:rsidR="000709BB" w:rsidRPr="00C74276">
        <w:rPr>
          <w:lang w:val="en-CA"/>
        </w:rPr>
        <w:t>discourage erratic</w:t>
      </w:r>
      <w:r w:rsidR="00467A6B" w:rsidRPr="00C74276">
        <w:rPr>
          <w:lang w:val="en-CA"/>
        </w:rPr>
        <w:t xml:space="preserve"> behaviour that abruptly ends – or jeopardizes – a solidly establis</w:t>
      </w:r>
      <w:r w:rsidR="00A529CF" w:rsidRPr="00C74276">
        <w:rPr>
          <w:lang w:val="en-CA"/>
        </w:rPr>
        <w:t>hed contractual relationship”</w:t>
      </w:r>
      <w:r w:rsidR="00A96AE8" w:rsidRPr="00C74276">
        <w:rPr>
          <w:lang w:val="en-CA"/>
        </w:rPr>
        <w:t>.</w:t>
      </w:r>
      <w:r w:rsidR="00634D8F" w:rsidRPr="00C74276">
        <w:rPr>
          <w:rStyle w:val="Appelnotedebasdep"/>
          <w:lang w:val="en-CA"/>
        </w:rPr>
        <w:footnoteReference w:id="97"/>
      </w:r>
    </w:p>
    <w:p w14:paraId="286DFB39" w14:textId="3BFD1418" w:rsidR="00634D8F" w:rsidRPr="00C74276" w:rsidRDefault="004C0B9D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This Court </w:t>
      </w:r>
      <w:r w:rsidR="001D76DE">
        <w:rPr>
          <w:lang w:val="en-CA"/>
        </w:rPr>
        <w:t xml:space="preserve">has </w:t>
      </w:r>
      <w:r w:rsidRPr="00C74276">
        <w:rPr>
          <w:lang w:val="en-CA"/>
        </w:rPr>
        <w:t>clarified that the reasonable notice req</w:t>
      </w:r>
      <w:r w:rsidR="003E56A7" w:rsidRPr="00C74276">
        <w:rPr>
          <w:lang w:val="en-CA"/>
        </w:rPr>
        <w:t>uired to terminate a</w:t>
      </w:r>
      <w:r w:rsidR="00373E80">
        <w:rPr>
          <w:lang w:val="en-CA"/>
        </w:rPr>
        <w:t xml:space="preserve"> contract for an</w:t>
      </w:r>
      <w:r w:rsidR="003E56A7" w:rsidRPr="00C74276">
        <w:rPr>
          <w:lang w:val="en-CA"/>
        </w:rPr>
        <w:t xml:space="preserve"> indeterminate</w:t>
      </w:r>
      <w:r w:rsidRPr="00C74276">
        <w:rPr>
          <w:lang w:val="en-CA"/>
        </w:rPr>
        <w:t xml:space="preserve"> term </w:t>
      </w:r>
      <w:r w:rsidR="002965F2" w:rsidRPr="00C74276">
        <w:rPr>
          <w:lang w:val="en-CA"/>
        </w:rPr>
        <w:t>[</w:t>
      </w:r>
      <w:r w:rsidR="002965F2" w:rsidRPr="00C74276">
        <w:rPr>
          <w:smallCaps/>
          <w:lang w:val="en-CA"/>
        </w:rPr>
        <w:t>translation</w:t>
      </w:r>
      <w:r w:rsidR="002965F2" w:rsidRPr="00C74276">
        <w:rPr>
          <w:lang w:val="en-CA"/>
        </w:rPr>
        <w:t xml:space="preserve">] </w:t>
      </w:r>
      <w:r w:rsidRPr="00C74276">
        <w:rPr>
          <w:lang w:val="en-CA"/>
        </w:rPr>
        <w:t xml:space="preserve">“is not </w:t>
      </w:r>
      <w:r w:rsidR="00C74276" w:rsidRPr="00C74276">
        <w:rPr>
          <w:lang w:val="en-CA"/>
        </w:rPr>
        <w:t>intended to</w:t>
      </w:r>
      <w:r w:rsidRPr="00C74276">
        <w:rPr>
          <w:lang w:val="en-CA"/>
        </w:rPr>
        <w:t xml:space="preserve"> remedy a default</w:t>
      </w:r>
      <w:r w:rsidR="008F2027" w:rsidRPr="00C74276">
        <w:rPr>
          <w:lang w:val="en-CA"/>
        </w:rPr>
        <w:t>”</w:t>
      </w:r>
      <w:r w:rsidRPr="00C74276">
        <w:rPr>
          <w:lang w:val="en-CA"/>
        </w:rPr>
        <w:t>; rather, its objective is</w:t>
      </w:r>
      <w:r w:rsidR="002965F2" w:rsidRPr="00C74276">
        <w:rPr>
          <w:lang w:val="en-CA"/>
        </w:rPr>
        <w:t xml:space="preserve"> [</w:t>
      </w:r>
      <w:r w:rsidR="002965F2" w:rsidRPr="00C74276">
        <w:rPr>
          <w:smallCaps/>
          <w:lang w:val="en-CA"/>
        </w:rPr>
        <w:t>translation</w:t>
      </w:r>
      <w:r w:rsidR="002965F2" w:rsidRPr="00C74276">
        <w:rPr>
          <w:lang w:val="en-CA"/>
        </w:rPr>
        <w:t>]</w:t>
      </w:r>
      <w:r w:rsidRPr="00C74276">
        <w:rPr>
          <w:lang w:val="en-CA"/>
        </w:rPr>
        <w:t xml:space="preserve"> </w:t>
      </w:r>
      <w:r w:rsidR="008F2027" w:rsidRPr="00C74276">
        <w:rPr>
          <w:lang w:val="en-CA"/>
        </w:rPr>
        <w:t>“</w:t>
      </w:r>
      <w:r w:rsidRPr="00C74276">
        <w:rPr>
          <w:lang w:val="en-CA"/>
        </w:rPr>
        <w:t>to allow the other party to take note of the termination and to benefit fro</w:t>
      </w:r>
      <w:r w:rsidR="00746B48" w:rsidRPr="00C74276">
        <w:rPr>
          <w:lang w:val="en-CA"/>
        </w:rPr>
        <w:t>m a period necessary to reorient</w:t>
      </w:r>
      <w:r w:rsidRPr="00C74276">
        <w:rPr>
          <w:lang w:val="en-CA"/>
        </w:rPr>
        <w:t xml:space="preserve"> its commercial activities”</w:t>
      </w:r>
      <w:bookmarkStart w:id="27" w:name="_Ref50712690"/>
      <w:r w:rsidR="002965F2" w:rsidRPr="00C74276">
        <w:rPr>
          <w:lang w:val="en-CA"/>
        </w:rPr>
        <w:t>.</w:t>
      </w:r>
      <w:r w:rsidR="00634D8F" w:rsidRPr="00C74276">
        <w:rPr>
          <w:rStyle w:val="Appelnotedebasdep"/>
          <w:lang w:val="en-CA"/>
        </w:rPr>
        <w:footnoteReference w:id="98"/>
      </w:r>
      <w:bookmarkEnd w:id="27"/>
    </w:p>
    <w:p w14:paraId="1E4B926D" w14:textId="004B4CCF" w:rsidR="00634D8F" w:rsidRPr="00C74276" w:rsidRDefault="00B265E1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The reasonable nature of the notice is assessed in light of the circumstances, such as the nature of the </w:t>
      </w:r>
      <w:r w:rsidR="00073FEF" w:rsidRPr="00C74276">
        <w:rPr>
          <w:lang w:val="en-CA"/>
        </w:rPr>
        <w:t>prestations</w:t>
      </w:r>
      <w:r w:rsidRPr="00C74276">
        <w:rPr>
          <w:lang w:val="en-CA"/>
        </w:rPr>
        <w:t>, the length of the commercial relationship</w:t>
      </w:r>
      <w:bookmarkStart w:id="28" w:name="_Ref50712849"/>
      <w:r w:rsidR="00073FEF" w:rsidRPr="00C74276">
        <w:rPr>
          <w:lang w:val="en-CA"/>
        </w:rPr>
        <w:t>,</w:t>
      </w:r>
      <w:r w:rsidR="007709EE" w:rsidRPr="00C74276">
        <w:rPr>
          <w:rStyle w:val="Appelnotedebasdep"/>
          <w:lang w:val="en-CA"/>
        </w:rPr>
        <w:footnoteReference w:id="99"/>
      </w:r>
      <w:bookmarkEnd w:id="28"/>
      <w:r w:rsidR="002F7E1B" w:rsidRPr="00C74276">
        <w:rPr>
          <w:lang w:val="en-CA"/>
        </w:rPr>
        <w:t xml:space="preserve"> </w:t>
      </w:r>
      <w:r w:rsidRPr="00C74276">
        <w:rPr>
          <w:lang w:val="en-CA"/>
        </w:rPr>
        <w:t>and its importance for the parties.</w:t>
      </w:r>
      <w:r w:rsidR="007709EE" w:rsidRPr="00C74276">
        <w:rPr>
          <w:rStyle w:val="Appelnotedebasdep"/>
          <w:lang w:val="en-CA"/>
        </w:rPr>
        <w:footnoteReference w:id="100"/>
      </w:r>
      <w:r w:rsidR="008A7431" w:rsidRPr="00C74276">
        <w:rPr>
          <w:lang w:val="en-CA"/>
        </w:rPr>
        <w:t xml:space="preserve"> F</w:t>
      </w:r>
      <w:r w:rsidR="002F7E1B" w:rsidRPr="00C74276">
        <w:rPr>
          <w:lang w:val="en-CA"/>
        </w:rPr>
        <w:t>inancial profitability, that is to say the objective for the contractor to recover its investments as</w:t>
      </w:r>
      <w:r w:rsidR="00E0074A" w:rsidRPr="00C74276">
        <w:rPr>
          <w:lang w:val="en-CA"/>
        </w:rPr>
        <w:t xml:space="preserve"> well as </w:t>
      </w:r>
      <w:r w:rsidR="00F81BC0" w:rsidRPr="00C74276">
        <w:rPr>
          <w:lang w:val="en-CA"/>
        </w:rPr>
        <w:t xml:space="preserve">to </w:t>
      </w:r>
      <w:r w:rsidR="00E0074A" w:rsidRPr="00C74276">
        <w:rPr>
          <w:lang w:val="en-CA"/>
        </w:rPr>
        <w:t xml:space="preserve">make a legitimate </w:t>
      </w:r>
      <w:r w:rsidR="002F7E1B" w:rsidRPr="00C74276">
        <w:rPr>
          <w:lang w:val="en-CA"/>
        </w:rPr>
        <w:t>profit, is one criterion among</w:t>
      </w:r>
      <w:r w:rsidR="00263841" w:rsidRPr="00C74276">
        <w:rPr>
          <w:lang w:val="en-CA"/>
        </w:rPr>
        <w:t xml:space="preserve"> others for evaluating </w:t>
      </w:r>
      <w:r w:rsidR="002F7E1B" w:rsidRPr="00C74276">
        <w:rPr>
          <w:lang w:val="en-CA"/>
        </w:rPr>
        <w:t>a reasonable notice period, but it is not sufficient on its own.</w:t>
      </w:r>
      <w:r w:rsidR="007709EE" w:rsidRPr="00C74276">
        <w:rPr>
          <w:rStyle w:val="Appelnotedebasdep"/>
          <w:lang w:val="en-CA"/>
        </w:rPr>
        <w:footnoteReference w:id="101"/>
      </w:r>
      <w:r w:rsidR="002F7E1B" w:rsidRPr="00C74276">
        <w:rPr>
          <w:lang w:val="en-CA"/>
        </w:rPr>
        <w:t xml:space="preserve"> There is therefore no absolute cr</w:t>
      </w:r>
      <w:r w:rsidR="001E4AE5" w:rsidRPr="00C74276">
        <w:rPr>
          <w:lang w:val="en-CA"/>
        </w:rPr>
        <w:t>iterion for determining the length</w:t>
      </w:r>
      <w:r w:rsidR="002F7E1B" w:rsidRPr="00C74276">
        <w:rPr>
          <w:lang w:val="en-CA"/>
        </w:rPr>
        <w:t xml:space="preserve"> of this notice; </w:t>
      </w:r>
      <w:r w:rsidR="00073FEF" w:rsidRPr="00C74276">
        <w:rPr>
          <w:lang w:val="en-CA"/>
        </w:rPr>
        <w:t>the Court must balance</w:t>
      </w:r>
      <w:r w:rsidR="001E4AE5" w:rsidRPr="00C74276">
        <w:rPr>
          <w:lang w:val="en-CA"/>
        </w:rPr>
        <w:t xml:space="preserve"> a number of</w:t>
      </w:r>
      <w:r w:rsidR="002F7E1B" w:rsidRPr="00C74276">
        <w:rPr>
          <w:lang w:val="en-CA"/>
        </w:rPr>
        <w:t xml:space="preserve"> criteria</w:t>
      </w:r>
      <w:r w:rsidR="001E4AE5" w:rsidRPr="00C74276">
        <w:rPr>
          <w:lang w:val="en-CA"/>
        </w:rPr>
        <w:t>.</w:t>
      </w:r>
      <w:r w:rsidR="007709EE" w:rsidRPr="00C74276">
        <w:rPr>
          <w:rStyle w:val="Appelnotedebasdep"/>
          <w:lang w:val="en-CA"/>
        </w:rPr>
        <w:footnoteReference w:id="102"/>
      </w:r>
      <w:r w:rsidR="007709EE" w:rsidRPr="00C74276">
        <w:rPr>
          <w:lang w:val="en-CA"/>
        </w:rPr>
        <w:t xml:space="preserve"> </w:t>
      </w:r>
      <w:r w:rsidR="001E4AE5" w:rsidRPr="00C74276">
        <w:rPr>
          <w:lang w:val="en-CA"/>
        </w:rPr>
        <w:t>The c</w:t>
      </w:r>
      <w:r w:rsidR="002F7E1B" w:rsidRPr="00C74276">
        <w:rPr>
          <w:lang w:val="en-CA"/>
        </w:rPr>
        <w:t xml:space="preserve">ase law </w:t>
      </w:r>
      <w:r w:rsidR="001E4AE5" w:rsidRPr="00C74276">
        <w:rPr>
          <w:lang w:val="en-CA"/>
        </w:rPr>
        <w:t>indicates that the length</w:t>
      </w:r>
      <w:r w:rsidR="002F7E1B" w:rsidRPr="00C74276">
        <w:rPr>
          <w:lang w:val="en-CA"/>
        </w:rPr>
        <w:t xml:space="preserve"> of this notice rarely exceeds one year.</w:t>
      </w:r>
      <w:bookmarkStart w:id="29" w:name="_Ref50713069"/>
      <w:r w:rsidR="00634D8F" w:rsidRPr="00C74276">
        <w:rPr>
          <w:rStyle w:val="Appelnotedebasdep"/>
          <w:lang w:val="en-CA"/>
        </w:rPr>
        <w:footnoteReference w:id="103"/>
      </w:r>
      <w:bookmarkEnd w:id="29"/>
    </w:p>
    <w:p w14:paraId="543D1578" w14:textId="222CB541" w:rsidR="00634D8F" w:rsidRPr="00C74276" w:rsidRDefault="009C7878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Revocation of a contract without notice, or </w:t>
      </w:r>
      <w:r w:rsidR="00F81BC0" w:rsidRPr="00C74276">
        <w:rPr>
          <w:lang w:val="en-CA"/>
        </w:rPr>
        <w:t xml:space="preserve">without </w:t>
      </w:r>
      <w:r w:rsidRPr="00C74276">
        <w:rPr>
          <w:lang w:val="en-CA"/>
        </w:rPr>
        <w:t>sufficient notice, may therefore give rise to damages.</w:t>
      </w:r>
      <w:r w:rsidR="00634D8F" w:rsidRPr="00C74276">
        <w:rPr>
          <w:rStyle w:val="Appelnotedebasdep"/>
          <w:lang w:val="en-CA"/>
        </w:rPr>
        <w:footnoteReference w:id="104"/>
      </w:r>
    </w:p>
    <w:p w14:paraId="466D8D70" w14:textId="61FB3DAE" w:rsidR="00634D8F" w:rsidRPr="00C74276" w:rsidRDefault="00634D8F" w:rsidP="00FA34B7">
      <w:pPr>
        <w:pStyle w:val="Titre3"/>
        <w:ind w:left="1560" w:hanging="851"/>
        <w:rPr>
          <w:b/>
          <w:lang w:val="en-CA"/>
        </w:rPr>
      </w:pPr>
      <w:r w:rsidRPr="00C74276">
        <w:rPr>
          <w:b/>
          <w:lang w:val="en-CA"/>
        </w:rPr>
        <w:t>4.1.3</w:t>
      </w:r>
      <w:r w:rsidRPr="00C74276">
        <w:rPr>
          <w:b/>
          <w:lang w:val="en-CA"/>
        </w:rPr>
        <w:tab/>
      </w:r>
      <w:r w:rsidR="009C7878" w:rsidRPr="00C74276">
        <w:rPr>
          <w:b/>
          <w:lang w:val="en-CA"/>
        </w:rPr>
        <w:t xml:space="preserve">Application of the law to the facts </w:t>
      </w:r>
    </w:p>
    <w:p w14:paraId="73D7CA4A" w14:textId="0A1679E5" w:rsidR="00634D8F" w:rsidRPr="00C74276" w:rsidRDefault="00634D8F" w:rsidP="00FA34B7">
      <w:pPr>
        <w:pStyle w:val="Titre4"/>
        <w:tabs>
          <w:tab w:val="left" w:pos="2552"/>
        </w:tabs>
        <w:ind w:left="720" w:firstLine="840"/>
        <w:rPr>
          <w:lang w:val="en-CA"/>
        </w:rPr>
      </w:pPr>
      <w:r w:rsidRPr="00C74276">
        <w:rPr>
          <w:lang w:val="en-CA"/>
        </w:rPr>
        <w:t>4.1.3.1</w:t>
      </w:r>
      <w:r w:rsidRPr="00C74276">
        <w:rPr>
          <w:lang w:val="en-CA"/>
        </w:rPr>
        <w:tab/>
      </w:r>
      <w:r w:rsidR="009C7878" w:rsidRPr="00C74276">
        <w:rPr>
          <w:lang w:val="en-CA"/>
        </w:rPr>
        <w:t>Characterizati</w:t>
      </w:r>
      <w:r w:rsidR="007709EE" w:rsidRPr="00C74276">
        <w:rPr>
          <w:lang w:val="en-CA"/>
        </w:rPr>
        <w:t>on of the contract by the judge</w:t>
      </w:r>
    </w:p>
    <w:p w14:paraId="38787976" w14:textId="5A971C61" w:rsidR="00634D8F" w:rsidRPr="00C74276" w:rsidRDefault="009C7878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The judge characterized the agr</w:t>
      </w:r>
      <w:r w:rsidR="0041107E" w:rsidRPr="00C74276">
        <w:rPr>
          <w:lang w:val="en-CA"/>
        </w:rPr>
        <w:t>eement between the parties as one of</w:t>
      </w:r>
      <w:r w:rsidR="001C4443" w:rsidRPr="00C74276">
        <w:rPr>
          <w:lang w:val="en-CA"/>
        </w:rPr>
        <w:t xml:space="preserve"> [</w:t>
      </w:r>
      <w:r w:rsidR="001C4443" w:rsidRPr="00C74276">
        <w:rPr>
          <w:smallCaps/>
          <w:lang w:val="en-CA"/>
        </w:rPr>
        <w:t>translation</w:t>
      </w:r>
      <w:r w:rsidR="001C4443" w:rsidRPr="00C74276">
        <w:rPr>
          <w:lang w:val="en-CA"/>
        </w:rPr>
        <w:t>]</w:t>
      </w:r>
      <w:r w:rsidRPr="00C74276">
        <w:rPr>
          <w:lang w:val="en-CA"/>
        </w:rPr>
        <w:t xml:space="preserve"> “consent”</w:t>
      </w:r>
      <w:r w:rsidR="00114DF5">
        <w:rPr>
          <w:lang w:val="en-CA"/>
        </w:rPr>
        <w:t>.</w:t>
      </w:r>
      <w:r w:rsidRPr="00C74276">
        <w:rPr>
          <w:lang w:val="en-CA"/>
        </w:rPr>
        <w:t xml:space="preserve"> </w:t>
      </w:r>
      <w:r w:rsidR="00F81BC0" w:rsidRPr="00C74276">
        <w:rPr>
          <w:lang w:val="en-CA"/>
        </w:rPr>
        <w:t>She</w:t>
      </w:r>
      <w:r w:rsidRPr="00C74276">
        <w:rPr>
          <w:lang w:val="en-CA"/>
        </w:rPr>
        <w:t xml:space="preserve"> limited its term by determining that it</w:t>
      </w:r>
      <w:r w:rsidR="0041107E" w:rsidRPr="00C74276">
        <w:rPr>
          <w:lang w:val="en-CA"/>
        </w:rPr>
        <w:t xml:space="preserve"> applied </w:t>
      </w:r>
      <w:r w:rsidR="001C4443" w:rsidRPr="00C74276">
        <w:rPr>
          <w:lang w:val="en-CA"/>
        </w:rPr>
        <w:t xml:space="preserve">only </w:t>
      </w:r>
      <w:r w:rsidR="0041107E" w:rsidRPr="00C74276">
        <w:rPr>
          <w:lang w:val="en-CA"/>
        </w:rPr>
        <w:t xml:space="preserve">to the </w:t>
      </w:r>
      <w:r w:rsidRPr="00C74276">
        <w:rPr>
          <w:lang w:val="en-CA"/>
        </w:rPr>
        <w:t xml:space="preserve">Antidote HD </w:t>
      </w:r>
      <w:r w:rsidR="0041107E" w:rsidRPr="00C74276">
        <w:rPr>
          <w:lang w:val="en-CA"/>
        </w:rPr>
        <w:t xml:space="preserve">version </w:t>
      </w:r>
      <w:r w:rsidRPr="00C74276">
        <w:rPr>
          <w:lang w:val="en-CA"/>
        </w:rPr>
        <w:t>launched in October 2009.</w:t>
      </w:r>
    </w:p>
    <w:p w14:paraId="00D87206" w14:textId="46428A75" w:rsidR="00634D8F" w:rsidRPr="00C74276" w:rsidRDefault="009C7878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lastRenderedPageBreak/>
        <w:t xml:space="preserve">In </w:t>
      </w:r>
      <w:r w:rsidR="001C4443" w:rsidRPr="00C74276">
        <w:rPr>
          <w:lang w:val="en-CA"/>
        </w:rPr>
        <w:t xml:space="preserve">so </w:t>
      </w:r>
      <w:r w:rsidRPr="00C74276">
        <w:rPr>
          <w:lang w:val="en-CA"/>
        </w:rPr>
        <w:t xml:space="preserve">doing, the judge </w:t>
      </w:r>
      <w:r w:rsidR="00487AD2" w:rsidRPr="00C74276">
        <w:rPr>
          <w:lang w:val="en-CA"/>
        </w:rPr>
        <w:t xml:space="preserve">made a reviewable error with regard to </w:t>
      </w:r>
      <w:r w:rsidR="001C4443" w:rsidRPr="00C74276">
        <w:rPr>
          <w:lang w:val="en-CA"/>
        </w:rPr>
        <w:t xml:space="preserve">both </w:t>
      </w:r>
      <w:r w:rsidR="00487AD2" w:rsidRPr="00C74276">
        <w:rPr>
          <w:lang w:val="en-CA"/>
        </w:rPr>
        <w:t xml:space="preserve">the characterization of the contract entered into between the parties and its interpretation. Here is why. </w:t>
      </w:r>
    </w:p>
    <w:p w14:paraId="0A9AEE9B" w14:textId="5DA32767" w:rsidR="00634D8F" w:rsidRPr="00C74276" w:rsidRDefault="00487AD2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After having examined the circumstances surrounding the creation of the </w:t>
      </w:r>
      <w:r w:rsidRPr="00C74276">
        <w:rPr>
          <w:b/>
          <w:lang w:val="en-CA"/>
        </w:rPr>
        <w:t>Visuel Nano</w:t>
      </w:r>
      <w:r w:rsidRPr="00C74276">
        <w:rPr>
          <w:lang w:val="en-CA"/>
        </w:rPr>
        <w:t xml:space="preserve"> and </w:t>
      </w:r>
      <w:r w:rsidRPr="00C74276">
        <w:rPr>
          <w:b/>
          <w:lang w:val="en-CA"/>
        </w:rPr>
        <w:t>Visuel Intégré</w:t>
      </w:r>
      <w:r w:rsidRPr="00C74276">
        <w:rPr>
          <w:lang w:val="en-CA"/>
        </w:rPr>
        <w:t xml:space="preserve"> interfaces, the judge concluded that QA gave its </w:t>
      </w:r>
      <w:r w:rsidR="002D7522" w:rsidRPr="00C74276">
        <w:rPr>
          <w:lang w:val="en-CA"/>
        </w:rPr>
        <w:t>[</w:t>
      </w:r>
      <w:r w:rsidR="002D7522" w:rsidRPr="00C74276">
        <w:rPr>
          <w:smallCaps/>
          <w:lang w:val="en-CA"/>
        </w:rPr>
        <w:t>translation</w:t>
      </w:r>
      <w:r w:rsidR="002D7522" w:rsidRPr="00C74276">
        <w:rPr>
          <w:lang w:val="en-CA"/>
        </w:rPr>
        <w:t xml:space="preserve">] </w:t>
      </w:r>
      <w:r w:rsidRPr="00C74276">
        <w:rPr>
          <w:lang w:val="en-CA"/>
        </w:rPr>
        <w:t>“consent</w:t>
      </w:r>
      <w:r w:rsidR="002065BC" w:rsidRPr="00C74276">
        <w:rPr>
          <w:lang w:val="en-CA"/>
        </w:rPr>
        <w:t>”</w:t>
      </w:r>
      <w:r w:rsidRPr="00C74276">
        <w:rPr>
          <w:lang w:val="en-CA"/>
        </w:rPr>
        <w:t xml:space="preserve"> to Druide </w:t>
      </w:r>
      <w:r w:rsidR="00114DF5" w:rsidRPr="00C74276">
        <w:rPr>
          <w:lang w:val="en-CA"/>
        </w:rPr>
        <w:t xml:space="preserve">only </w:t>
      </w:r>
      <w:r w:rsidRPr="00C74276">
        <w:rPr>
          <w:lang w:val="en-CA"/>
        </w:rPr>
        <w:t>fo</w:t>
      </w:r>
      <w:r w:rsidR="00CA6A71" w:rsidRPr="00C74276">
        <w:rPr>
          <w:lang w:val="en-CA"/>
        </w:rPr>
        <w:t>r the use of its Works, without however</w:t>
      </w:r>
      <w:r w:rsidR="001C4D48" w:rsidRPr="00C74276">
        <w:rPr>
          <w:lang w:val="en-CA"/>
        </w:rPr>
        <w:t xml:space="preserve"> linking</w:t>
      </w:r>
      <w:r w:rsidRPr="00C74276">
        <w:rPr>
          <w:lang w:val="en-CA"/>
        </w:rPr>
        <w:t xml:space="preserve"> this consent to one of the </w:t>
      </w:r>
      <w:r w:rsidR="008219A8" w:rsidRPr="00C74276">
        <w:rPr>
          <w:lang w:val="en-CA"/>
        </w:rPr>
        <w:t>normative</w:t>
      </w:r>
      <w:r w:rsidRPr="00C74276">
        <w:rPr>
          <w:lang w:val="en-CA"/>
        </w:rPr>
        <w:t xml:space="preserve"> categories of copyright contracts.</w:t>
      </w:r>
    </w:p>
    <w:p w14:paraId="74C05A0B" w14:textId="058B9454" w:rsidR="00634D8F" w:rsidRPr="00C74276" w:rsidRDefault="002065BC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The judge’</w:t>
      </w:r>
      <w:r w:rsidR="00F81BC0" w:rsidRPr="00C74276">
        <w:rPr>
          <w:lang w:val="en-CA"/>
        </w:rPr>
        <w:t>s decision to find</w:t>
      </w:r>
      <w:r w:rsidRPr="00C74276">
        <w:rPr>
          <w:lang w:val="en-CA"/>
        </w:rPr>
        <w:t xml:space="preserve"> this </w:t>
      </w:r>
      <w:r w:rsidR="002D7522" w:rsidRPr="00C74276">
        <w:rPr>
          <w:lang w:val="en-CA"/>
        </w:rPr>
        <w:t>[</w:t>
      </w:r>
      <w:r w:rsidR="002D7522" w:rsidRPr="00C74276">
        <w:rPr>
          <w:smallCaps/>
          <w:lang w:val="en-CA"/>
        </w:rPr>
        <w:t>translation</w:t>
      </w:r>
      <w:r w:rsidR="002D7522" w:rsidRPr="00C74276">
        <w:rPr>
          <w:lang w:val="en-CA"/>
        </w:rPr>
        <w:t xml:space="preserve">] </w:t>
      </w:r>
      <w:r w:rsidRPr="00C74276">
        <w:rPr>
          <w:lang w:val="en-CA"/>
        </w:rPr>
        <w:t>“consent”</w:t>
      </w:r>
      <w:r w:rsidR="00DE2E53" w:rsidRPr="00C74276">
        <w:rPr>
          <w:lang w:val="en-CA"/>
        </w:rPr>
        <w:t xml:space="preserve"> </w:t>
      </w:r>
      <w:r w:rsidR="001A6771" w:rsidRPr="00C74276">
        <w:rPr>
          <w:lang w:val="en-CA"/>
        </w:rPr>
        <w:t xml:space="preserve">as </w:t>
      </w:r>
      <w:r w:rsidR="00DE2E53" w:rsidRPr="00C74276">
        <w:rPr>
          <w:lang w:val="en-CA"/>
        </w:rPr>
        <w:t xml:space="preserve">limited to the </w:t>
      </w:r>
      <w:r w:rsidRPr="00C74276">
        <w:rPr>
          <w:lang w:val="en-CA"/>
        </w:rPr>
        <w:t xml:space="preserve">Antidote HD </w:t>
      </w:r>
      <w:r w:rsidR="00DE2E53" w:rsidRPr="00C74276">
        <w:rPr>
          <w:lang w:val="en-CA"/>
        </w:rPr>
        <w:t xml:space="preserve">version </w:t>
      </w:r>
      <w:r w:rsidR="00BC32A3" w:rsidRPr="00C74276">
        <w:rPr>
          <w:lang w:val="en-CA"/>
        </w:rPr>
        <w:t xml:space="preserve">basically </w:t>
      </w:r>
      <w:r w:rsidR="00F81BC0" w:rsidRPr="00C74276">
        <w:rPr>
          <w:lang w:val="en-CA"/>
        </w:rPr>
        <w:t>conveyed</w:t>
      </w:r>
      <w:r w:rsidRPr="00C74276">
        <w:rPr>
          <w:lang w:val="en-CA"/>
        </w:rPr>
        <w:t xml:space="preserve"> the idea of the existence of a contract between the parties, a contract which, within the meaning of article 1385 CCQ, is formed by the sole exchange of consent</w:t>
      </w:r>
      <w:r w:rsidR="001A6771" w:rsidRPr="00C74276">
        <w:rPr>
          <w:lang w:val="en-CA"/>
        </w:rPr>
        <w:t>s</w:t>
      </w:r>
      <w:r w:rsidRPr="00C74276">
        <w:rPr>
          <w:lang w:val="en-CA"/>
        </w:rPr>
        <w:t xml:space="preserve"> betwee</w:t>
      </w:r>
      <w:r w:rsidR="001A6771" w:rsidRPr="00C74276">
        <w:rPr>
          <w:lang w:val="en-CA"/>
        </w:rPr>
        <w:t>n persons having capacity to contract</w:t>
      </w:r>
      <w:r w:rsidRPr="00C74276">
        <w:rPr>
          <w:lang w:val="en-CA"/>
        </w:rPr>
        <w:t xml:space="preserve">. </w:t>
      </w:r>
    </w:p>
    <w:p w14:paraId="124B4402" w14:textId="12DFBD36" w:rsidR="00634D8F" w:rsidRPr="00C74276" w:rsidRDefault="002E048E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But again, since we are dealing with copyright</w:t>
      </w:r>
      <w:r w:rsidR="00BC32A3" w:rsidRPr="00C74276">
        <w:rPr>
          <w:lang w:val="en-CA"/>
        </w:rPr>
        <w:t xml:space="preserve"> law</w:t>
      </w:r>
      <w:r w:rsidRPr="00C74276">
        <w:rPr>
          <w:lang w:val="en-CA"/>
        </w:rPr>
        <w:t xml:space="preserve">, what kind of contract is it? Is this an assignment contract, an exclusive licence contract, or a non-exclusive licence contract? </w:t>
      </w:r>
      <w:r w:rsidR="00BC32A3" w:rsidRPr="00C74276">
        <w:rPr>
          <w:lang w:val="en-CA"/>
        </w:rPr>
        <w:t>T</w:t>
      </w:r>
      <w:r w:rsidR="00597F02" w:rsidRPr="00C74276">
        <w:rPr>
          <w:lang w:val="en-CA"/>
        </w:rPr>
        <w:t>he story does not say</w:t>
      </w:r>
      <w:r w:rsidR="00114DF5">
        <w:rPr>
          <w:lang w:val="en-CA"/>
        </w:rPr>
        <w:t>,</w:t>
      </w:r>
      <w:r w:rsidR="00597F02" w:rsidRPr="00C74276">
        <w:rPr>
          <w:lang w:val="en-CA"/>
        </w:rPr>
        <w:t xml:space="preserve"> </w:t>
      </w:r>
      <w:r w:rsidR="00114DF5">
        <w:rPr>
          <w:lang w:val="en-CA"/>
        </w:rPr>
        <w:t>because</w:t>
      </w:r>
      <w:r w:rsidRPr="00C74276">
        <w:rPr>
          <w:lang w:val="en-CA"/>
        </w:rPr>
        <w:t xml:space="preserve"> the judge omitted to characterize the nature of the consent, which </w:t>
      </w:r>
      <w:r w:rsidR="00F81BC0" w:rsidRPr="00C74276">
        <w:rPr>
          <w:lang w:val="en-CA"/>
        </w:rPr>
        <w:t>s</w:t>
      </w:r>
      <w:r w:rsidRPr="00C74276">
        <w:rPr>
          <w:lang w:val="en-CA"/>
        </w:rPr>
        <w:t xml:space="preserve">he </w:t>
      </w:r>
      <w:r w:rsidR="00BC32A3" w:rsidRPr="00C74276">
        <w:rPr>
          <w:lang w:val="en-CA"/>
        </w:rPr>
        <w:t>was necessarily r</w:t>
      </w:r>
      <w:r w:rsidRPr="00C74276">
        <w:rPr>
          <w:lang w:val="en-CA"/>
        </w:rPr>
        <w:t xml:space="preserve">equired to do, given the circumstances of the case. </w:t>
      </w:r>
    </w:p>
    <w:p w14:paraId="6C7CC116" w14:textId="25A16A08" w:rsidR="00634D8F" w:rsidRPr="00C74276" w:rsidRDefault="00522E98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Let us </w:t>
      </w:r>
      <w:r w:rsidR="002E048E" w:rsidRPr="00C74276">
        <w:rPr>
          <w:lang w:val="en-CA"/>
        </w:rPr>
        <w:t xml:space="preserve">rule out </w:t>
      </w:r>
      <w:r w:rsidRPr="00C74276">
        <w:rPr>
          <w:lang w:val="en-CA"/>
        </w:rPr>
        <w:t>right away the notion</w:t>
      </w:r>
      <w:r w:rsidR="002E048E" w:rsidRPr="00C74276">
        <w:rPr>
          <w:lang w:val="en-CA"/>
        </w:rPr>
        <w:t xml:space="preserve"> that the contract entered into between the parties could be </w:t>
      </w:r>
      <w:r w:rsidR="008F2441" w:rsidRPr="00C74276">
        <w:rPr>
          <w:lang w:val="en-CA"/>
        </w:rPr>
        <w:t xml:space="preserve">an assignment </w:t>
      </w:r>
      <w:r w:rsidRPr="00C74276">
        <w:rPr>
          <w:lang w:val="en-CA"/>
        </w:rPr>
        <w:t xml:space="preserve">of </w:t>
      </w:r>
      <w:r w:rsidR="008F2441" w:rsidRPr="00C74276">
        <w:rPr>
          <w:lang w:val="en-CA"/>
        </w:rPr>
        <w:t xml:space="preserve">copyright in </w:t>
      </w:r>
      <w:r w:rsidR="00E860A5" w:rsidRPr="00C74276">
        <w:rPr>
          <w:lang w:val="en-CA"/>
        </w:rPr>
        <w:t>QA’s</w:t>
      </w:r>
      <w:r w:rsidR="008F2441" w:rsidRPr="00C74276">
        <w:rPr>
          <w:lang w:val="en-CA"/>
        </w:rPr>
        <w:t xml:space="preserve"> Works. </w:t>
      </w:r>
      <w:r w:rsidRPr="00C74276">
        <w:rPr>
          <w:lang w:val="en-CA"/>
        </w:rPr>
        <w:t>The evidence show</w:t>
      </w:r>
      <w:r w:rsidR="00AC106F" w:rsidRPr="00C74276">
        <w:rPr>
          <w:lang w:val="en-CA"/>
        </w:rPr>
        <w:t>s</w:t>
      </w:r>
      <w:r w:rsidR="008F2441" w:rsidRPr="00C74276">
        <w:rPr>
          <w:lang w:val="en-CA"/>
        </w:rPr>
        <w:t xml:space="preserve"> that QA never transferred the ownership of its Works to Drui</w:t>
      </w:r>
      <w:r w:rsidR="007709EE" w:rsidRPr="00C74276">
        <w:rPr>
          <w:lang w:val="en-CA"/>
        </w:rPr>
        <w:t>de and never intended to do so.</w:t>
      </w:r>
      <w:r w:rsidR="00634D8F" w:rsidRPr="00C74276">
        <w:rPr>
          <w:rStyle w:val="Appelnotedebasdep"/>
          <w:lang w:val="en-CA"/>
        </w:rPr>
        <w:footnoteReference w:id="105"/>
      </w:r>
    </w:p>
    <w:p w14:paraId="09086A52" w14:textId="65869111" w:rsidR="00634D8F" w:rsidRPr="00C74276" w:rsidRDefault="008F2441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At the hearing before us, QA </w:t>
      </w:r>
      <w:r w:rsidR="00313AD3" w:rsidRPr="00C74276">
        <w:rPr>
          <w:lang w:val="en-CA"/>
        </w:rPr>
        <w:t>faulted</w:t>
      </w:r>
      <w:r w:rsidRPr="00C74276">
        <w:rPr>
          <w:lang w:val="en-CA"/>
        </w:rPr>
        <w:t xml:space="preserve"> the judge for having failed to characteriz</w:t>
      </w:r>
      <w:r w:rsidR="00160A9E" w:rsidRPr="00C74276">
        <w:rPr>
          <w:lang w:val="en-CA"/>
        </w:rPr>
        <w:t>e the work designed by Druide by</w:t>
      </w:r>
      <w:r w:rsidRPr="00C74276">
        <w:rPr>
          <w:lang w:val="en-CA"/>
        </w:rPr>
        <w:t xml:space="preserve"> integrating </w:t>
      </w:r>
      <w:r w:rsidR="00160A9E" w:rsidRPr="00C74276">
        <w:rPr>
          <w:lang w:val="en-CA"/>
        </w:rPr>
        <w:t>QA</w:t>
      </w:r>
      <w:r w:rsidR="00114DF5">
        <w:rPr>
          <w:lang w:val="en-CA"/>
        </w:rPr>
        <w:t>’s</w:t>
      </w:r>
      <w:r w:rsidR="00160A9E" w:rsidRPr="00C74276">
        <w:rPr>
          <w:lang w:val="en-CA"/>
        </w:rPr>
        <w:t xml:space="preserve"> Works</w:t>
      </w:r>
      <w:r w:rsidRPr="00C74276">
        <w:rPr>
          <w:lang w:val="en-CA"/>
        </w:rPr>
        <w:t xml:space="preserve">. QA argued that the </w:t>
      </w:r>
      <w:r w:rsidR="0022687D" w:rsidRPr="00C74276">
        <w:rPr>
          <w:b/>
          <w:lang w:val="en-CA"/>
        </w:rPr>
        <w:t>Visuel Nano</w:t>
      </w:r>
      <w:r w:rsidR="0022687D" w:rsidRPr="00C74276">
        <w:rPr>
          <w:lang w:val="en-CA"/>
        </w:rPr>
        <w:t xml:space="preserve"> and </w:t>
      </w:r>
      <w:r w:rsidR="0022687D" w:rsidRPr="00C74276">
        <w:rPr>
          <w:b/>
          <w:lang w:val="en-CA"/>
        </w:rPr>
        <w:t>Visuel Intégré</w:t>
      </w:r>
      <w:r w:rsidR="0022687D" w:rsidRPr="00C74276">
        <w:rPr>
          <w:lang w:val="en-CA"/>
        </w:rPr>
        <w:t xml:space="preserve"> interfaces constitute </w:t>
      </w:r>
      <w:r w:rsidR="0022687D" w:rsidRPr="00C74276">
        <w:rPr>
          <w:u w:val="single"/>
          <w:lang w:val="en-CA"/>
        </w:rPr>
        <w:t>works</w:t>
      </w:r>
      <w:r w:rsidR="00313AD3" w:rsidRPr="00C74276">
        <w:rPr>
          <w:u w:val="single"/>
          <w:lang w:val="en-CA"/>
        </w:rPr>
        <w:t xml:space="preserve"> of joint authorship</w:t>
      </w:r>
      <w:r w:rsidR="0022687D" w:rsidRPr="00C74276">
        <w:rPr>
          <w:lang w:val="en-CA"/>
        </w:rPr>
        <w:t xml:space="preserve"> and that the consent given to Druide to use its Works corresponds to what QA describe</w:t>
      </w:r>
      <w:r w:rsidR="009656D8" w:rsidRPr="00C74276">
        <w:rPr>
          <w:lang w:val="en-CA"/>
        </w:rPr>
        <w:t>s</w:t>
      </w:r>
      <w:r w:rsidR="0022687D" w:rsidRPr="00C74276">
        <w:rPr>
          <w:lang w:val="en-CA"/>
        </w:rPr>
        <w:t xml:space="preserve"> as</w:t>
      </w:r>
      <w:r w:rsidR="009656D8" w:rsidRPr="00C74276">
        <w:rPr>
          <w:lang w:val="en-CA"/>
        </w:rPr>
        <w:t xml:space="preserve"> [</w:t>
      </w:r>
      <w:r w:rsidR="009656D8" w:rsidRPr="00C74276">
        <w:rPr>
          <w:smallCaps/>
          <w:lang w:val="en-CA"/>
        </w:rPr>
        <w:t>translation</w:t>
      </w:r>
      <w:r w:rsidR="009656D8" w:rsidRPr="00C74276">
        <w:rPr>
          <w:lang w:val="en-CA"/>
        </w:rPr>
        <w:t>]</w:t>
      </w:r>
      <w:r w:rsidR="0022687D" w:rsidRPr="00C74276">
        <w:rPr>
          <w:lang w:val="en-CA"/>
        </w:rPr>
        <w:t xml:space="preserve"> “tacit authorization”</w:t>
      </w:r>
      <w:r w:rsidR="00114DF5">
        <w:rPr>
          <w:lang w:val="en-CA"/>
        </w:rPr>
        <w:t>.</w:t>
      </w:r>
      <w:r w:rsidR="0022687D" w:rsidRPr="00C74276">
        <w:rPr>
          <w:lang w:val="en-CA"/>
        </w:rPr>
        <w:t> </w:t>
      </w:r>
      <w:r w:rsidR="00634D8F" w:rsidRPr="00C74276">
        <w:rPr>
          <w:lang w:val="en-CA"/>
        </w:rPr>
        <w:t> </w:t>
      </w:r>
    </w:p>
    <w:p w14:paraId="22E3930C" w14:textId="3832F213" w:rsidR="00634D8F" w:rsidRPr="00C74276" w:rsidRDefault="0022687D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I do not share this view. </w:t>
      </w:r>
    </w:p>
    <w:p w14:paraId="0F8D033C" w14:textId="77D89ADF" w:rsidR="00634D8F" w:rsidRPr="00C74276" w:rsidRDefault="0022687D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In addition to the fact that QA did not appeal the judge’</w:t>
      </w:r>
      <w:r w:rsidR="00160A9E" w:rsidRPr="00C74276">
        <w:rPr>
          <w:lang w:val="en-CA"/>
        </w:rPr>
        <w:t xml:space="preserve">s decision on this subject, the recognition of </w:t>
      </w:r>
      <w:r w:rsidR="009656D8" w:rsidRPr="00C74276">
        <w:rPr>
          <w:lang w:val="en-CA"/>
        </w:rPr>
        <w:t>a</w:t>
      </w:r>
      <w:r w:rsidR="00160A9E" w:rsidRPr="00C74276">
        <w:rPr>
          <w:lang w:val="en-CA"/>
        </w:rPr>
        <w:t xml:space="preserve"> work </w:t>
      </w:r>
      <w:r w:rsidR="009656D8" w:rsidRPr="00C74276">
        <w:rPr>
          <w:lang w:val="en-CA"/>
        </w:rPr>
        <w:t xml:space="preserve">of joint authorship </w:t>
      </w:r>
      <w:r w:rsidR="00160A9E" w:rsidRPr="00C74276">
        <w:rPr>
          <w:lang w:val="en-CA"/>
        </w:rPr>
        <w:t xml:space="preserve">requires </w:t>
      </w:r>
      <w:r w:rsidRPr="00C74276">
        <w:rPr>
          <w:lang w:val="en-CA"/>
        </w:rPr>
        <w:t>satisfaction of two cond</w:t>
      </w:r>
      <w:r w:rsidR="00160A9E" w:rsidRPr="00C74276">
        <w:rPr>
          <w:lang w:val="en-CA"/>
        </w:rPr>
        <w:t>itions</w:t>
      </w:r>
      <w:r w:rsidRPr="00C74276">
        <w:rPr>
          <w:lang w:val="en-CA"/>
        </w:rPr>
        <w:t xml:space="preserve">: it must be created by at </w:t>
      </w:r>
      <w:r w:rsidR="006C4083" w:rsidRPr="00C74276">
        <w:rPr>
          <w:lang w:val="en-CA"/>
        </w:rPr>
        <w:t>least two authors, and the part</w:t>
      </w:r>
      <w:r w:rsidRPr="00C74276">
        <w:rPr>
          <w:lang w:val="en-CA"/>
        </w:rPr>
        <w:t xml:space="preserve"> of </w:t>
      </w:r>
      <w:r w:rsidR="00160A9E" w:rsidRPr="00C74276">
        <w:rPr>
          <w:lang w:val="en-CA"/>
        </w:rPr>
        <w:t>each author must not be distinct</w:t>
      </w:r>
      <w:r w:rsidRPr="00C74276">
        <w:rPr>
          <w:lang w:val="en-CA"/>
        </w:rPr>
        <w:t xml:space="preserve"> from that of the other </w:t>
      </w:r>
      <w:r w:rsidR="00F8673A" w:rsidRPr="00C74276">
        <w:rPr>
          <w:lang w:val="en-CA"/>
        </w:rPr>
        <w:t xml:space="preserve">author </w:t>
      </w:r>
      <w:r w:rsidRPr="00C74276">
        <w:rPr>
          <w:lang w:val="en-CA"/>
        </w:rPr>
        <w:t xml:space="preserve">or </w:t>
      </w:r>
      <w:r w:rsidR="00F8673A" w:rsidRPr="00C74276">
        <w:rPr>
          <w:lang w:val="en-CA"/>
        </w:rPr>
        <w:t>authors</w:t>
      </w:r>
      <w:r w:rsidR="00EB4F3C" w:rsidRPr="00C74276">
        <w:rPr>
          <w:lang w:val="en-CA"/>
        </w:rPr>
        <w:t>.</w:t>
      </w:r>
      <w:r w:rsidR="00EB4F3C" w:rsidRPr="00C74276">
        <w:rPr>
          <w:rStyle w:val="Appelnotedebasdep"/>
          <w:lang w:val="en-CA"/>
        </w:rPr>
        <w:footnoteReference w:id="106"/>
      </w:r>
      <w:r w:rsidRPr="00C74276">
        <w:rPr>
          <w:lang w:val="en-CA"/>
        </w:rPr>
        <w:t xml:space="preserve"> Here, the facts put into eviden</w:t>
      </w:r>
      <w:r w:rsidR="008449B7" w:rsidRPr="00C74276">
        <w:rPr>
          <w:lang w:val="en-CA"/>
        </w:rPr>
        <w:t xml:space="preserve">ce clearly demonstrate that </w:t>
      </w:r>
      <w:r w:rsidR="0023515C" w:rsidRPr="00C74276">
        <w:rPr>
          <w:b/>
          <w:lang w:val="en-CA"/>
        </w:rPr>
        <w:t>Visuel Nano</w:t>
      </w:r>
      <w:r w:rsidR="0023515C" w:rsidRPr="00C74276">
        <w:rPr>
          <w:lang w:val="en-CA"/>
        </w:rPr>
        <w:t xml:space="preserve"> and </w:t>
      </w:r>
      <w:r w:rsidR="0023515C" w:rsidRPr="00C74276">
        <w:rPr>
          <w:b/>
          <w:lang w:val="en-CA"/>
        </w:rPr>
        <w:t>Visuel Intégré</w:t>
      </w:r>
      <w:r w:rsidR="0023515C" w:rsidRPr="00C74276">
        <w:rPr>
          <w:lang w:val="en-CA"/>
        </w:rPr>
        <w:t xml:space="preserve"> were created by Druide by integrating the QA Works. The parties did not </w:t>
      </w:r>
      <w:r w:rsidR="00E55115" w:rsidRPr="00C74276">
        <w:rPr>
          <w:u w:val="single"/>
          <w:lang w:val="en-CA"/>
        </w:rPr>
        <w:t>together</w:t>
      </w:r>
      <w:r w:rsidR="00E55115" w:rsidRPr="00C74276">
        <w:rPr>
          <w:lang w:val="en-CA"/>
        </w:rPr>
        <w:t xml:space="preserve"> create these two interfaces</w:t>
      </w:r>
      <w:r w:rsidR="0023515C" w:rsidRPr="00C74276">
        <w:rPr>
          <w:lang w:val="en-CA"/>
        </w:rPr>
        <w:t xml:space="preserve"> in which the part of one is indistinct from t</w:t>
      </w:r>
      <w:r w:rsidR="00F41B51" w:rsidRPr="00C74276">
        <w:rPr>
          <w:lang w:val="en-CA"/>
        </w:rPr>
        <w:t xml:space="preserve">hat of the other. </w:t>
      </w:r>
      <w:r w:rsidR="00F377B3" w:rsidRPr="00C74276">
        <w:rPr>
          <w:lang w:val="en-CA"/>
        </w:rPr>
        <w:t>The evidence shows that e</w:t>
      </w:r>
      <w:r w:rsidR="0023515C" w:rsidRPr="00C74276">
        <w:rPr>
          <w:lang w:val="en-CA"/>
        </w:rPr>
        <w:t>ach party</w:t>
      </w:r>
      <w:r w:rsidR="006C4083" w:rsidRPr="00C74276">
        <w:rPr>
          <w:lang w:val="en-CA"/>
        </w:rPr>
        <w:t>’s part</w:t>
      </w:r>
      <w:r w:rsidR="0023515C" w:rsidRPr="00C74276">
        <w:rPr>
          <w:lang w:val="en-CA"/>
        </w:rPr>
        <w:t xml:space="preserve"> is clearly distinct.  </w:t>
      </w:r>
    </w:p>
    <w:p w14:paraId="2FC1E067" w14:textId="03D3A015" w:rsidR="00634D8F" w:rsidRPr="00C74276" w:rsidRDefault="0023515C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Add to this the fact t</w:t>
      </w:r>
      <w:r w:rsidR="00E55115" w:rsidRPr="00C74276">
        <w:rPr>
          <w:lang w:val="en-CA"/>
        </w:rPr>
        <w:t>hat if there were</w:t>
      </w:r>
      <w:r w:rsidR="00B50622" w:rsidRPr="00C74276">
        <w:rPr>
          <w:lang w:val="en-CA"/>
        </w:rPr>
        <w:t xml:space="preserve"> a </w:t>
      </w:r>
      <w:r w:rsidRPr="00C74276">
        <w:rPr>
          <w:lang w:val="en-CA"/>
        </w:rPr>
        <w:t xml:space="preserve">work </w:t>
      </w:r>
      <w:r w:rsidR="009656D8" w:rsidRPr="00C74276">
        <w:rPr>
          <w:lang w:val="en-CA"/>
        </w:rPr>
        <w:t xml:space="preserve">of joint authorship </w:t>
      </w:r>
      <w:r w:rsidRPr="00C74276">
        <w:rPr>
          <w:lang w:val="en-CA"/>
        </w:rPr>
        <w:t xml:space="preserve">in the creation of the </w:t>
      </w:r>
      <w:r w:rsidRPr="00C74276">
        <w:rPr>
          <w:b/>
          <w:lang w:val="en-CA"/>
        </w:rPr>
        <w:t>Visuel Nano</w:t>
      </w:r>
      <w:r w:rsidRPr="00C74276">
        <w:rPr>
          <w:lang w:val="en-CA"/>
        </w:rPr>
        <w:t xml:space="preserve"> and </w:t>
      </w:r>
      <w:r w:rsidRPr="00C74276">
        <w:rPr>
          <w:b/>
          <w:lang w:val="en-CA"/>
        </w:rPr>
        <w:t>Visuel Intégré</w:t>
      </w:r>
      <w:r w:rsidRPr="00C74276">
        <w:rPr>
          <w:lang w:val="en-CA"/>
        </w:rPr>
        <w:t xml:space="preserve"> interfaces, Druide would own the copyright </w:t>
      </w:r>
      <w:r w:rsidR="00CF63A2" w:rsidRPr="00C74276">
        <w:rPr>
          <w:lang w:val="en-CA"/>
        </w:rPr>
        <w:t xml:space="preserve">in the </w:t>
      </w:r>
      <w:r w:rsidR="00CF63A2" w:rsidRPr="00C74276">
        <w:rPr>
          <w:lang w:val="en-CA"/>
        </w:rPr>
        <w:lastRenderedPageBreak/>
        <w:t xml:space="preserve">Works </w:t>
      </w:r>
      <w:r w:rsidR="00CF63A2" w:rsidRPr="00C74276">
        <w:rPr>
          <w:u w:val="single"/>
          <w:lang w:val="en-CA"/>
        </w:rPr>
        <w:t>in the same way</w:t>
      </w:r>
      <w:r w:rsidR="00CF63A2" w:rsidRPr="00C74276">
        <w:rPr>
          <w:lang w:val="en-CA"/>
        </w:rPr>
        <w:t xml:space="preserve"> as QA.</w:t>
      </w:r>
      <w:r w:rsidR="00EB4F3C" w:rsidRPr="00C74276">
        <w:rPr>
          <w:rStyle w:val="Appelnotedebasdep"/>
          <w:lang w:val="en-CA"/>
        </w:rPr>
        <w:footnoteReference w:id="107"/>
      </w:r>
      <w:r w:rsidR="00CF63A2" w:rsidRPr="00C74276">
        <w:rPr>
          <w:lang w:val="en-CA"/>
        </w:rPr>
        <w:t xml:space="preserve"> T</w:t>
      </w:r>
      <w:r w:rsidR="00B50622" w:rsidRPr="00C74276">
        <w:rPr>
          <w:lang w:val="en-CA"/>
        </w:rPr>
        <w:t>he latter has always considered itself,</w:t>
      </w:r>
      <w:r w:rsidR="00CF63A2" w:rsidRPr="00C74276">
        <w:rPr>
          <w:lang w:val="en-CA"/>
        </w:rPr>
        <w:t xml:space="preserve"> rightly, to be the sole owner of the copyright in these Works</w:t>
      </w:r>
      <w:r w:rsidR="00EB4F3C" w:rsidRPr="00C74276">
        <w:rPr>
          <w:rStyle w:val="Appelnotedebasdep"/>
          <w:lang w:val="en-CA"/>
        </w:rPr>
        <w:footnoteReference w:id="108"/>
      </w:r>
      <w:r w:rsidR="00CF63A2" w:rsidRPr="00C74276">
        <w:rPr>
          <w:lang w:val="en-CA"/>
        </w:rPr>
        <w:t xml:space="preserve"> and </w:t>
      </w:r>
      <w:r w:rsidR="00E55115" w:rsidRPr="00C74276">
        <w:rPr>
          <w:lang w:val="en-CA"/>
        </w:rPr>
        <w:t>furthermore</w:t>
      </w:r>
      <w:r w:rsidR="007A5764" w:rsidRPr="00C74276">
        <w:rPr>
          <w:lang w:val="en-CA"/>
        </w:rPr>
        <w:t>,</w:t>
      </w:r>
      <w:r w:rsidR="00E55115" w:rsidRPr="00C74276">
        <w:rPr>
          <w:lang w:val="en-CA"/>
        </w:rPr>
        <w:t xml:space="preserve"> Druide has </w:t>
      </w:r>
      <w:r w:rsidR="00CF63A2" w:rsidRPr="00C74276">
        <w:rPr>
          <w:lang w:val="en-CA"/>
        </w:rPr>
        <w:t>never claimed such co-ownership of QA</w:t>
      </w:r>
      <w:r w:rsidR="00871143">
        <w:rPr>
          <w:lang w:val="en-CA"/>
        </w:rPr>
        <w:t>’s</w:t>
      </w:r>
      <w:r w:rsidR="00CF63A2" w:rsidRPr="00C74276">
        <w:rPr>
          <w:lang w:val="en-CA"/>
        </w:rPr>
        <w:t xml:space="preserve"> Works. </w:t>
      </w:r>
    </w:p>
    <w:p w14:paraId="3BCA8D76" w14:textId="394F2B87" w:rsidR="00634D8F" w:rsidRPr="00C74276" w:rsidRDefault="00110284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Last</w:t>
      </w:r>
      <w:r w:rsidR="00CF63A2" w:rsidRPr="00C74276">
        <w:rPr>
          <w:lang w:val="en-CA"/>
        </w:rPr>
        <w:t xml:space="preserve">, </w:t>
      </w:r>
      <w:r w:rsidR="00B50622" w:rsidRPr="00C74276">
        <w:rPr>
          <w:lang w:val="en-CA"/>
        </w:rPr>
        <w:t xml:space="preserve">and </w:t>
      </w:r>
      <w:r w:rsidR="001515B1" w:rsidRPr="00C74276">
        <w:rPr>
          <w:lang w:val="en-CA"/>
        </w:rPr>
        <w:t>still addressing the</w:t>
      </w:r>
      <w:r w:rsidR="00CF63A2" w:rsidRPr="00C74276">
        <w:rPr>
          <w:lang w:val="en-CA"/>
        </w:rPr>
        <w:t xml:space="preserve"> hypothesis of </w:t>
      </w:r>
      <w:r w:rsidR="001515B1" w:rsidRPr="00C74276">
        <w:rPr>
          <w:lang w:val="en-CA"/>
        </w:rPr>
        <w:t xml:space="preserve">the existence of a </w:t>
      </w:r>
      <w:r w:rsidR="0005517C" w:rsidRPr="00C74276">
        <w:rPr>
          <w:lang w:val="en-CA"/>
        </w:rPr>
        <w:t>work</w:t>
      </w:r>
      <w:r w:rsidR="009656D8" w:rsidRPr="00C74276">
        <w:rPr>
          <w:lang w:val="en-CA"/>
        </w:rPr>
        <w:t xml:space="preserve"> of joint authorship</w:t>
      </w:r>
      <w:r w:rsidR="0005517C" w:rsidRPr="00C74276">
        <w:rPr>
          <w:lang w:val="en-CA"/>
        </w:rPr>
        <w:t>, Druide would</w:t>
      </w:r>
      <w:r w:rsidR="00E55115" w:rsidRPr="00C74276">
        <w:rPr>
          <w:lang w:val="en-CA"/>
        </w:rPr>
        <w:t xml:space="preserve"> never have needed</w:t>
      </w:r>
      <w:r w:rsidR="00CF63A2" w:rsidRPr="00C74276">
        <w:rPr>
          <w:lang w:val="en-CA"/>
        </w:rPr>
        <w:t xml:space="preserve"> to</w:t>
      </w:r>
      <w:r w:rsidR="00E55115" w:rsidRPr="00C74276">
        <w:rPr>
          <w:lang w:val="en-CA"/>
        </w:rPr>
        <w:t xml:space="preserve"> demonstrate,</w:t>
      </w:r>
      <w:r w:rsidR="00CF63A2" w:rsidRPr="00C74276">
        <w:rPr>
          <w:lang w:val="en-CA"/>
        </w:rPr>
        <w:t xml:space="preserve"> as it has done since the beginning of the d</w:t>
      </w:r>
      <w:r w:rsidR="00E55115" w:rsidRPr="00C74276">
        <w:rPr>
          <w:lang w:val="en-CA"/>
        </w:rPr>
        <w:t>ispute,</w:t>
      </w:r>
      <w:r w:rsidR="00291C90" w:rsidRPr="00C74276">
        <w:rPr>
          <w:lang w:val="en-CA"/>
        </w:rPr>
        <w:t xml:space="preserve"> that it </w:t>
      </w:r>
      <w:r w:rsidR="00D76331" w:rsidRPr="00C74276">
        <w:rPr>
          <w:lang w:val="en-CA"/>
        </w:rPr>
        <w:t>had been granted</w:t>
      </w:r>
      <w:r w:rsidR="00CF63A2" w:rsidRPr="00C74276">
        <w:rPr>
          <w:lang w:val="en-CA"/>
        </w:rPr>
        <w:t xml:space="preserve"> a licence. It would only have had to demonstrate the existence of a work</w:t>
      </w:r>
      <w:r w:rsidR="009656D8" w:rsidRPr="00C74276">
        <w:rPr>
          <w:lang w:val="en-CA"/>
        </w:rPr>
        <w:t xml:space="preserve"> of joint authorship</w:t>
      </w:r>
      <w:r w:rsidR="00CF63A2" w:rsidRPr="00C74276">
        <w:rPr>
          <w:lang w:val="en-CA"/>
        </w:rPr>
        <w:t xml:space="preserve">. </w:t>
      </w:r>
    </w:p>
    <w:p w14:paraId="64A1AAA0" w14:textId="663DD4D5" w:rsidR="00634D8F" w:rsidRPr="00C74276" w:rsidRDefault="00CF63A2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As for the</w:t>
      </w:r>
      <w:r w:rsidR="00D76331" w:rsidRPr="00C74276">
        <w:rPr>
          <w:lang w:val="en-CA"/>
        </w:rPr>
        <w:t xml:space="preserve"> [</w:t>
      </w:r>
      <w:r w:rsidR="00D76331" w:rsidRPr="00C74276">
        <w:rPr>
          <w:smallCaps/>
          <w:lang w:val="en-CA"/>
        </w:rPr>
        <w:t>translation</w:t>
      </w:r>
      <w:r w:rsidR="00D76331" w:rsidRPr="00C74276">
        <w:rPr>
          <w:lang w:val="en-CA"/>
        </w:rPr>
        <w:t>]</w:t>
      </w:r>
      <w:r w:rsidRPr="00C74276">
        <w:rPr>
          <w:lang w:val="en-CA"/>
        </w:rPr>
        <w:t xml:space="preserve"> “tacit authorization”</w:t>
      </w:r>
      <w:r w:rsidR="00142C8D" w:rsidRPr="00C74276">
        <w:rPr>
          <w:lang w:val="en-CA"/>
        </w:rPr>
        <w:t xml:space="preserve"> given by QA to Druide for the use of its Works, this concept does not exist in copyright. The Court</w:t>
      </w:r>
      <w:r w:rsidR="00AF089D" w:rsidRPr="00C74276">
        <w:rPr>
          <w:lang w:val="en-CA"/>
        </w:rPr>
        <w:t>’s</w:t>
      </w:r>
      <w:r w:rsidR="00142C8D" w:rsidRPr="00C74276">
        <w:rPr>
          <w:lang w:val="en-CA"/>
        </w:rPr>
        <w:t xml:space="preserve"> decision</w:t>
      </w:r>
      <w:r w:rsidRPr="00C74276">
        <w:rPr>
          <w:lang w:val="en-CA"/>
        </w:rPr>
        <w:t xml:space="preserve"> </w:t>
      </w:r>
      <w:r w:rsidR="009D35D1" w:rsidRPr="00C74276">
        <w:rPr>
          <w:lang w:val="en-CA"/>
        </w:rPr>
        <w:t>on which QA</w:t>
      </w:r>
      <w:r w:rsidR="00142C8D" w:rsidRPr="00C74276">
        <w:rPr>
          <w:lang w:val="en-CA"/>
        </w:rPr>
        <w:t xml:space="preserve"> base</w:t>
      </w:r>
      <w:r w:rsidR="00AF089D" w:rsidRPr="00C74276">
        <w:rPr>
          <w:lang w:val="en-CA"/>
        </w:rPr>
        <w:t>s</w:t>
      </w:r>
      <w:r w:rsidR="00142C8D" w:rsidRPr="00C74276">
        <w:rPr>
          <w:lang w:val="en-CA"/>
        </w:rPr>
        <w:t xml:space="preserve"> its argument, </w:t>
      </w:r>
      <w:r w:rsidR="008449B7" w:rsidRPr="00C74276">
        <w:rPr>
          <w:i/>
          <w:lang w:val="en-CA"/>
        </w:rPr>
        <w:t>Stoyonova v</w:t>
      </w:r>
      <w:r w:rsidR="00142C8D" w:rsidRPr="00C74276">
        <w:rPr>
          <w:i/>
          <w:lang w:val="en-CA"/>
        </w:rPr>
        <w:t>. Syndic de Disques Miles End inc</w:t>
      </w:r>
      <w:r w:rsidR="009D35D1" w:rsidRPr="00C74276">
        <w:rPr>
          <w:lang w:val="en-CA"/>
        </w:rPr>
        <w:t>.</w:t>
      </w:r>
      <w:r w:rsidR="00EB4F3C" w:rsidRPr="00C74276">
        <w:rPr>
          <w:lang w:val="en-CA"/>
        </w:rPr>
        <w:t>,</w:t>
      </w:r>
      <w:r w:rsidR="00EB4F3C" w:rsidRPr="00C74276">
        <w:rPr>
          <w:rStyle w:val="Appelnotedebasdep"/>
          <w:lang w:val="en-CA"/>
        </w:rPr>
        <w:footnoteReference w:id="109"/>
      </w:r>
      <w:r w:rsidR="00EB4F3C" w:rsidRPr="00C74276">
        <w:rPr>
          <w:lang w:val="en-CA"/>
        </w:rPr>
        <w:t xml:space="preserve"> </w:t>
      </w:r>
      <w:r w:rsidR="008449B7" w:rsidRPr="00C74276">
        <w:rPr>
          <w:lang w:val="en-CA"/>
        </w:rPr>
        <w:t>established</w:t>
      </w:r>
      <w:r w:rsidR="00142C8D" w:rsidRPr="00C74276">
        <w:rPr>
          <w:lang w:val="en-CA"/>
        </w:rPr>
        <w:t xml:space="preserve"> no new </w:t>
      </w:r>
      <w:r w:rsidR="00AF089D" w:rsidRPr="00C74276">
        <w:rPr>
          <w:lang w:val="en-CA"/>
        </w:rPr>
        <w:t>normative</w:t>
      </w:r>
      <w:r w:rsidR="00142C8D" w:rsidRPr="00C74276">
        <w:rPr>
          <w:lang w:val="en-CA"/>
        </w:rPr>
        <w:t xml:space="preserve"> category of contract in copyright. </w:t>
      </w:r>
    </w:p>
    <w:p w14:paraId="291BB643" w14:textId="2248B6D1" w:rsidR="00634D8F" w:rsidRPr="00C74276" w:rsidRDefault="009D35D1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Let us also eliminate </w:t>
      </w:r>
      <w:r w:rsidR="00142C8D" w:rsidRPr="00C74276">
        <w:rPr>
          <w:lang w:val="en-CA"/>
        </w:rPr>
        <w:t>the idea that the contractual agreement between the parties corre</w:t>
      </w:r>
      <w:r w:rsidR="00E55115" w:rsidRPr="00C74276">
        <w:rPr>
          <w:lang w:val="en-CA"/>
        </w:rPr>
        <w:t>s</w:t>
      </w:r>
      <w:r w:rsidR="00142C8D" w:rsidRPr="00C74276">
        <w:rPr>
          <w:lang w:val="en-CA"/>
        </w:rPr>
        <w:t xml:space="preserve">ponds to an </w:t>
      </w:r>
      <w:r w:rsidR="00142C8D" w:rsidRPr="00C74276">
        <w:rPr>
          <w:u w:val="single"/>
          <w:lang w:val="en-CA"/>
        </w:rPr>
        <w:t>exclusive licence</w:t>
      </w:r>
      <w:r w:rsidR="00142C8D" w:rsidRPr="00C74276">
        <w:rPr>
          <w:lang w:val="en-CA"/>
        </w:rPr>
        <w:t>. QA never granted Druide a property inter</w:t>
      </w:r>
      <w:r w:rsidR="0024324E" w:rsidRPr="00C74276">
        <w:rPr>
          <w:lang w:val="en-CA"/>
        </w:rPr>
        <w:t>e</w:t>
      </w:r>
      <w:r w:rsidR="00142C8D" w:rsidRPr="00C74276">
        <w:rPr>
          <w:lang w:val="en-CA"/>
        </w:rPr>
        <w:t xml:space="preserve">st in its Works. </w:t>
      </w:r>
      <w:r w:rsidR="0024324E" w:rsidRPr="00C74276">
        <w:rPr>
          <w:lang w:val="en-CA"/>
        </w:rPr>
        <w:t>QA never prohibited itself from exploiting its Works.</w:t>
      </w:r>
      <w:r w:rsidR="00EB4F3C" w:rsidRPr="00C74276">
        <w:rPr>
          <w:rStyle w:val="Appelnotedebasdep"/>
          <w:lang w:val="en-CA"/>
        </w:rPr>
        <w:footnoteReference w:id="110"/>
      </w:r>
      <w:r w:rsidR="00EB4F3C" w:rsidRPr="00C74276">
        <w:rPr>
          <w:lang w:val="en-CA"/>
        </w:rPr>
        <w:t xml:space="preserve"> </w:t>
      </w:r>
      <w:r w:rsidR="0024324E" w:rsidRPr="00C74276">
        <w:rPr>
          <w:lang w:val="en-CA"/>
        </w:rPr>
        <w:t>Finally, there was never any question throughout the</w:t>
      </w:r>
      <w:r w:rsidR="00396142" w:rsidRPr="00C74276">
        <w:rPr>
          <w:lang w:val="en-CA"/>
        </w:rPr>
        <w:t>ir</w:t>
      </w:r>
      <w:r w:rsidR="0024324E" w:rsidRPr="00C74276">
        <w:rPr>
          <w:lang w:val="en-CA"/>
        </w:rPr>
        <w:t xml:space="preserve"> bus</w:t>
      </w:r>
      <w:r w:rsidR="00396142" w:rsidRPr="00C74276">
        <w:rPr>
          <w:lang w:val="en-CA"/>
        </w:rPr>
        <w:t xml:space="preserve">iness relationship </w:t>
      </w:r>
      <w:r w:rsidR="0024324E" w:rsidRPr="00C74276">
        <w:rPr>
          <w:lang w:val="en-CA"/>
        </w:rPr>
        <w:t xml:space="preserve">of the existence of an exclusive licence, which, moreover, requires a written document and a signature, two essential </w:t>
      </w:r>
      <w:r w:rsidR="00396142" w:rsidRPr="00C74276">
        <w:rPr>
          <w:lang w:val="en-CA"/>
        </w:rPr>
        <w:t xml:space="preserve">characteristics </w:t>
      </w:r>
      <w:r w:rsidR="00110284" w:rsidRPr="00C74276">
        <w:rPr>
          <w:lang w:val="en-CA"/>
        </w:rPr>
        <w:t>that</w:t>
      </w:r>
      <w:r w:rsidR="00396142" w:rsidRPr="00C74276">
        <w:rPr>
          <w:lang w:val="en-CA"/>
        </w:rPr>
        <w:t xml:space="preserve"> are </w:t>
      </w:r>
      <w:r w:rsidR="0024324E" w:rsidRPr="00C74276">
        <w:rPr>
          <w:lang w:val="en-CA"/>
        </w:rPr>
        <w:t>absent in this case.</w:t>
      </w:r>
    </w:p>
    <w:p w14:paraId="272BDEAA" w14:textId="27FD7733" w:rsidR="00634D8F" w:rsidRPr="00C74276" w:rsidRDefault="009152B2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This then leaves the </w:t>
      </w:r>
      <w:r w:rsidRPr="00C74276">
        <w:rPr>
          <w:u w:val="single"/>
          <w:lang w:val="en-CA"/>
        </w:rPr>
        <w:t>non-exclusive licence</w:t>
      </w:r>
      <w:r w:rsidRPr="00C74276">
        <w:rPr>
          <w:lang w:val="en-CA"/>
        </w:rPr>
        <w:t xml:space="preserve">, </w:t>
      </w:r>
      <w:r w:rsidR="0091494F" w:rsidRPr="00C74276">
        <w:rPr>
          <w:lang w:val="en-CA"/>
        </w:rPr>
        <w:t>which</w:t>
      </w:r>
      <w:r w:rsidR="00E55AAD" w:rsidRPr="00C74276">
        <w:rPr>
          <w:lang w:val="en-CA"/>
        </w:rPr>
        <w:t xml:space="preserve"> should have been</w:t>
      </w:r>
      <w:r w:rsidR="0091494F" w:rsidRPr="00C74276">
        <w:rPr>
          <w:lang w:val="en-CA"/>
        </w:rPr>
        <w:t xml:space="preserve"> the</w:t>
      </w:r>
      <w:r w:rsidR="001C7DBD" w:rsidRPr="00C74276">
        <w:rPr>
          <w:lang w:val="en-CA"/>
        </w:rPr>
        <w:t xml:space="preserve"> judge</w:t>
      </w:r>
      <w:r w:rsidR="00E55AAD" w:rsidRPr="00C74276">
        <w:rPr>
          <w:lang w:val="en-CA"/>
        </w:rPr>
        <w:t>’s</w:t>
      </w:r>
      <w:r w:rsidR="001C7DBD" w:rsidRPr="00C74276">
        <w:rPr>
          <w:lang w:val="en-CA"/>
        </w:rPr>
        <w:t xml:space="preserve"> </w:t>
      </w:r>
      <w:r w:rsidR="00E55AAD" w:rsidRPr="00C74276">
        <w:rPr>
          <w:lang w:val="en-CA"/>
        </w:rPr>
        <w:t>conclusion when characterizing</w:t>
      </w:r>
      <w:r w:rsidR="0091494F" w:rsidRPr="00C74276">
        <w:rPr>
          <w:lang w:val="en-CA"/>
        </w:rPr>
        <w:t xml:space="preserve"> the agreement between the parties. It could not be otherwise, as Druide rightly pointed out in its brief: </w:t>
      </w:r>
    </w:p>
    <w:p w14:paraId="0C872994" w14:textId="4B081C91" w:rsidR="00D57238" w:rsidRPr="00C74276" w:rsidRDefault="00D57238" w:rsidP="00FA34B7">
      <w:pPr>
        <w:pStyle w:val="Citationenretrait"/>
        <w:spacing w:after="0"/>
        <w:rPr>
          <w:lang w:val="en-CA"/>
        </w:rPr>
      </w:pPr>
      <w:r w:rsidRPr="00C74276">
        <w:rPr>
          <w:lang w:val="en-CA"/>
        </w:rPr>
        <w:t>[</w:t>
      </w:r>
      <w:r w:rsidRPr="00C74276">
        <w:rPr>
          <w:smallCaps/>
          <w:lang w:val="en-CA"/>
        </w:rPr>
        <w:t>translation</w:t>
      </w:r>
      <w:r w:rsidRPr="00C74276">
        <w:rPr>
          <w:lang w:val="en-CA"/>
        </w:rPr>
        <w:t>]</w:t>
      </w:r>
    </w:p>
    <w:p w14:paraId="5909EDAF" w14:textId="76B78620" w:rsidR="00634D8F" w:rsidRPr="00C74276" w:rsidRDefault="00634D8F" w:rsidP="00FA34B7">
      <w:pPr>
        <w:pStyle w:val="Citationenretrait"/>
        <w:spacing w:after="0"/>
        <w:rPr>
          <w:lang w:val="en-CA"/>
        </w:rPr>
      </w:pPr>
      <w:r w:rsidRPr="00C74276">
        <w:rPr>
          <w:lang w:val="en-CA"/>
        </w:rPr>
        <w:t>31.</w:t>
      </w:r>
      <w:r w:rsidRPr="00C74276">
        <w:rPr>
          <w:lang w:val="en-CA"/>
        </w:rPr>
        <w:tab/>
      </w:r>
      <w:r w:rsidR="0091494F" w:rsidRPr="00C74276">
        <w:rPr>
          <w:lang w:val="en-CA"/>
        </w:rPr>
        <w:t xml:space="preserve">The </w:t>
      </w:r>
      <w:r w:rsidR="00D57238" w:rsidRPr="00C74276">
        <w:rPr>
          <w:lang w:val="en-CA"/>
        </w:rPr>
        <w:t>a</w:t>
      </w:r>
      <w:r w:rsidR="0091494F" w:rsidRPr="00C74276">
        <w:rPr>
          <w:lang w:val="en-CA"/>
        </w:rPr>
        <w:t xml:space="preserve">ppellant </w:t>
      </w:r>
      <w:r w:rsidR="00E55AAD" w:rsidRPr="00C74276">
        <w:rPr>
          <w:lang w:val="en-CA"/>
        </w:rPr>
        <w:t xml:space="preserve">has </w:t>
      </w:r>
      <w:r w:rsidR="0091494F" w:rsidRPr="00C74276">
        <w:rPr>
          <w:lang w:val="en-CA"/>
        </w:rPr>
        <w:t xml:space="preserve">never claimed that the </w:t>
      </w:r>
      <w:r w:rsidR="00D57238" w:rsidRPr="00C74276">
        <w:rPr>
          <w:lang w:val="en-CA"/>
        </w:rPr>
        <w:t>r</w:t>
      </w:r>
      <w:r w:rsidR="0091494F" w:rsidRPr="00C74276">
        <w:rPr>
          <w:lang w:val="en-CA"/>
        </w:rPr>
        <w:t xml:space="preserve">espondent granted it any property right or interest by way of assignment or exclusive licence. </w:t>
      </w:r>
      <w:r w:rsidR="00E55AAD" w:rsidRPr="00C74276">
        <w:rPr>
          <w:lang w:val="en-CA"/>
        </w:rPr>
        <w:t>The only right it has invoked</w:t>
      </w:r>
      <w:r w:rsidR="0091494F" w:rsidRPr="00C74276">
        <w:rPr>
          <w:lang w:val="en-CA"/>
        </w:rPr>
        <w:t xml:space="preserve"> is that of being able to reproduce, and therefore use</w:t>
      </w:r>
      <w:r w:rsidR="008449B7" w:rsidRPr="00C74276">
        <w:rPr>
          <w:lang w:val="en-CA"/>
        </w:rPr>
        <w:t xml:space="preserve">, the </w:t>
      </w:r>
      <w:r w:rsidR="00D57238" w:rsidRPr="00C74276">
        <w:rPr>
          <w:lang w:val="en-CA"/>
        </w:rPr>
        <w:t>r</w:t>
      </w:r>
      <w:r w:rsidR="008449B7" w:rsidRPr="00C74276">
        <w:rPr>
          <w:lang w:val="en-CA"/>
        </w:rPr>
        <w:t xml:space="preserve">espondent’s works in </w:t>
      </w:r>
      <w:r w:rsidR="0091494F" w:rsidRPr="00C74276">
        <w:rPr>
          <w:lang w:val="en-CA"/>
        </w:rPr>
        <w:t xml:space="preserve">Visuel Nano and </w:t>
      </w:r>
      <w:r w:rsidR="00167C92" w:rsidRPr="00C74276">
        <w:rPr>
          <w:lang w:val="en-CA"/>
        </w:rPr>
        <w:t xml:space="preserve">Visuel Intégré </w:t>
      </w:r>
      <w:r w:rsidR="00E55AAD" w:rsidRPr="00C74276">
        <w:rPr>
          <w:lang w:val="en-CA"/>
        </w:rPr>
        <w:t>within</w:t>
      </w:r>
      <w:r w:rsidR="0091494F" w:rsidRPr="00C74276">
        <w:rPr>
          <w:lang w:val="en-CA"/>
        </w:rPr>
        <w:t xml:space="preserve"> Antidote. </w:t>
      </w:r>
      <w:r w:rsidR="00396BD9" w:rsidRPr="00C74276">
        <w:rPr>
          <w:lang w:val="en-CA"/>
        </w:rPr>
        <w:t>A</w:t>
      </w:r>
      <w:r w:rsidR="0091494F" w:rsidRPr="00C74276">
        <w:rPr>
          <w:lang w:val="en-CA"/>
        </w:rPr>
        <w:t xml:space="preserve"> </w:t>
      </w:r>
      <w:r w:rsidR="000D5DFB" w:rsidRPr="00C74276">
        <w:rPr>
          <w:lang w:val="en-CA"/>
        </w:rPr>
        <w:t>“</w:t>
      </w:r>
      <w:r w:rsidR="0091494F" w:rsidRPr="00C74276">
        <w:rPr>
          <w:lang w:val="en-CA"/>
        </w:rPr>
        <w:t>licence</w:t>
      </w:r>
      <w:r w:rsidR="000D5DFB" w:rsidRPr="00C74276">
        <w:rPr>
          <w:lang w:val="en-CA"/>
        </w:rPr>
        <w:t>” or “non-exclusive licence” is precisely a simple authorization to do something (i.e.</w:t>
      </w:r>
      <w:r w:rsidR="00D57238" w:rsidRPr="00C74276">
        <w:rPr>
          <w:lang w:val="en-CA"/>
        </w:rPr>
        <w:t>,</w:t>
      </w:r>
      <w:r w:rsidR="000D5DFB" w:rsidRPr="00C74276">
        <w:rPr>
          <w:lang w:val="en-CA"/>
        </w:rPr>
        <w:t xml:space="preserve"> reproduce)</w:t>
      </w:r>
      <w:r w:rsidR="00D57238" w:rsidRPr="00C74276">
        <w:rPr>
          <w:lang w:val="en-CA"/>
        </w:rPr>
        <w:t>,</w:t>
      </w:r>
      <w:r w:rsidR="000D5DFB" w:rsidRPr="00C74276">
        <w:rPr>
          <w:lang w:val="en-CA"/>
        </w:rPr>
        <w:t xml:space="preserve"> which would otherwise constitute an infringement of copyright, without the licensee being able to claim any right of ownership over the copyright. </w:t>
      </w:r>
      <w:r w:rsidR="000D5DFB" w:rsidRPr="00C74276">
        <w:rPr>
          <w:b/>
          <w:color w:val="000000" w:themeColor="text1"/>
          <w:lang w:val="en-CA"/>
        </w:rPr>
        <w:t xml:space="preserve">It is not subject to any requirement </w:t>
      </w:r>
      <w:r w:rsidR="00D57238" w:rsidRPr="00C74276">
        <w:rPr>
          <w:b/>
          <w:color w:val="000000" w:themeColor="text1"/>
          <w:lang w:val="en-CA"/>
        </w:rPr>
        <w:t>as to</w:t>
      </w:r>
      <w:r w:rsidR="000D5DFB" w:rsidRPr="00C74276">
        <w:rPr>
          <w:b/>
          <w:color w:val="000000" w:themeColor="text1"/>
          <w:lang w:val="en-CA"/>
        </w:rPr>
        <w:t xml:space="preserve"> form or content.</w:t>
      </w:r>
      <w:r w:rsidR="000D5DFB" w:rsidRPr="00C74276">
        <w:rPr>
          <w:lang w:val="en-CA"/>
        </w:rPr>
        <w:t xml:space="preserve"> As the Supreme Court noted in </w:t>
      </w:r>
      <w:r w:rsidR="000D5DFB" w:rsidRPr="00C74276">
        <w:rPr>
          <w:i/>
          <w:lang w:val="en-CA"/>
        </w:rPr>
        <w:t>Kraft</w:t>
      </w:r>
      <w:r w:rsidR="000D5DFB" w:rsidRPr="00C74276">
        <w:rPr>
          <w:lang w:val="en-CA"/>
        </w:rPr>
        <w:t xml:space="preserve">, the non-exclusive licensee “enjoys only contractual rights </w:t>
      </w:r>
      <w:r w:rsidR="00E90D1A" w:rsidRPr="00C74276">
        <w:rPr>
          <w:i/>
          <w:iCs/>
          <w:lang w:val="en-CA"/>
        </w:rPr>
        <w:t xml:space="preserve">vis-à-vis </w:t>
      </w:r>
      <w:r w:rsidR="000D5DFB" w:rsidRPr="00C74276">
        <w:rPr>
          <w:lang w:val="en-CA"/>
        </w:rPr>
        <w:t>the owner-licensor</w:t>
      </w:r>
      <w:r w:rsidR="0029456E" w:rsidRPr="00C74276">
        <w:rPr>
          <w:lang w:val="en-CA"/>
        </w:rPr>
        <w:t>”</w:t>
      </w:r>
      <w:r w:rsidR="000D5DFB" w:rsidRPr="00C74276">
        <w:rPr>
          <w:lang w:val="en-CA"/>
        </w:rPr>
        <w:t xml:space="preserve">, whether the agreement is express or implied. </w:t>
      </w:r>
      <w:r w:rsidR="009D3908" w:rsidRPr="00C74276">
        <w:rPr>
          <w:lang w:val="en-CA"/>
        </w:rPr>
        <w:t xml:space="preserve"> </w:t>
      </w:r>
    </w:p>
    <w:p w14:paraId="6CF028D0" w14:textId="36C913DB" w:rsidR="00634D8F" w:rsidRPr="00C74276" w:rsidRDefault="00634D8F" w:rsidP="00FA34B7">
      <w:pPr>
        <w:spacing w:before="120" w:after="120"/>
        <w:ind w:right="720"/>
        <w:jc w:val="right"/>
        <w:rPr>
          <w:sz w:val="22"/>
          <w:szCs w:val="22"/>
          <w:lang w:val="en-CA"/>
        </w:rPr>
      </w:pPr>
      <w:r w:rsidRPr="00C74276">
        <w:rPr>
          <w:sz w:val="22"/>
          <w:szCs w:val="22"/>
          <w:lang w:val="en-CA"/>
        </w:rPr>
        <w:t>[</w:t>
      </w:r>
      <w:r w:rsidR="000D5DFB" w:rsidRPr="00C74276">
        <w:rPr>
          <w:sz w:val="22"/>
          <w:szCs w:val="22"/>
          <w:lang w:val="en-CA"/>
        </w:rPr>
        <w:t>Bold</w:t>
      </w:r>
      <w:r w:rsidR="008449B7" w:rsidRPr="00C74276">
        <w:rPr>
          <w:sz w:val="22"/>
          <w:szCs w:val="22"/>
          <w:lang w:val="en-CA"/>
        </w:rPr>
        <w:t xml:space="preserve"> i</w:t>
      </w:r>
      <w:r w:rsidR="000D5DFB" w:rsidRPr="00C74276">
        <w:rPr>
          <w:sz w:val="22"/>
          <w:szCs w:val="22"/>
          <w:lang w:val="en-CA"/>
        </w:rPr>
        <w:t>n original; references omitted</w:t>
      </w:r>
      <w:r w:rsidR="00F47F55" w:rsidRPr="00C74276">
        <w:rPr>
          <w:sz w:val="22"/>
          <w:szCs w:val="22"/>
          <w:lang w:val="en-CA"/>
        </w:rPr>
        <w:t>.</w:t>
      </w:r>
      <w:r w:rsidR="000D5DFB" w:rsidRPr="00C74276">
        <w:rPr>
          <w:sz w:val="22"/>
          <w:szCs w:val="22"/>
          <w:lang w:val="en-CA"/>
        </w:rPr>
        <w:t xml:space="preserve">] </w:t>
      </w:r>
    </w:p>
    <w:p w14:paraId="545AB663" w14:textId="5B0B868F" w:rsidR="00634D8F" w:rsidRPr="00C74276" w:rsidRDefault="006919A1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The</w:t>
      </w:r>
      <w:r w:rsidR="002D7522" w:rsidRPr="00C74276">
        <w:rPr>
          <w:lang w:val="en-CA"/>
        </w:rPr>
        <w:t xml:space="preserve"> [</w:t>
      </w:r>
      <w:r w:rsidR="002D7522" w:rsidRPr="00C74276">
        <w:rPr>
          <w:smallCaps/>
          <w:lang w:val="en-CA"/>
        </w:rPr>
        <w:t>translation</w:t>
      </w:r>
      <w:r w:rsidR="002D7522" w:rsidRPr="00C74276">
        <w:rPr>
          <w:lang w:val="en-CA"/>
        </w:rPr>
        <w:t>]</w:t>
      </w:r>
      <w:r w:rsidRPr="00C74276">
        <w:rPr>
          <w:lang w:val="en-CA"/>
        </w:rPr>
        <w:t xml:space="preserve"> “consent</w:t>
      </w:r>
      <w:r w:rsidR="008D07B8" w:rsidRPr="00C74276">
        <w:rPr>
          <w:lang w:val="en-CA"/>
        </w:rPr>
        <w:t>“</w:t>
      </w:r>
      <w:r w:rsidRPr="00C74276">
        <w:rPr>
          <w:lang w:val="en-CA"/>
        </w:rPr>
        <w:t xml:space="preserve"> </w:t>
      </w:r>
      <w:r w:rsidR="009D3908" w:rsidRPr="00C74276">
        <w:rPr>
          <w:lang w:val="en-CA"/>
        </w:rPr>
        <w:t xml:space="preserve">found </w:t>
      </w:r>
      <w:r w:rsidR="008D07B8" w:rsidRPr="00C74276">
        <w:rPr>
          <w:lang w:val="en-CA"/>
        </w:rPr>
        <w:t xml:space="preserve">by the judge corresponds in all respects to a non-exclusive licence. QA did not grant Druide any </w:t>
      </w:r>
      <w:r w:rsidR="009D3908" w:rsidRPr="00C74276">
        <w:rPr>
          <w:lang w:val="en-CA"/>
        </w:rPr>
        <w:t>property</w:t>
      </w:r>
      <w:r w:rsidR="008D07B8" w:rsidRPr="00C74276">
        <w:rPr>
          <w:lang w:val="en-CA"/>
        </w:rPr>
        <w:t xml:space="preserve"> right or </w:t>
      </w:r>
      <w:r w:rsidR="009D3908" w:rsidRPr="00C74276">
        <w:rPr>
          <w:lang w:val="en-CA"/>
        </w:rPr>
        <w:t xml:space="preserve">property </w:t>
      </w:r>
      <w:r w:rsidR="008D07B8" w:rsidRPr="00C74276">
        <w:rPr>
          <w:lang w:val="en-CA"/>
        </w:rPr>
        <w:t xml:space="preserve">interest in </w:t>
      </w:r>
      <w:r w:rsidR="008D07B8" w:rsidRPr="00C74276">
        <w:rPr>
          <w:lang w:val="en-CA"/>
        </w:rPr>
        <w:lastRenderedPageBreak/>
        <w:t>its Works.</w:t>
      </w:r>
      <w:r w:rsidRPr="00C74276">
        <w:rPr>
          <w:lang w:val="en-CA"/>
        </w:rPr>
        <w:t xml:space="preserve"> </w:t>
      </w:r>
      <w:r w:rsidR="008D07B8" w:rsidRPr="00C74276">
        <w:rPr>
          <w:lang w:val="en-CA"/>
        </w:rPr>
        <w:t xml:space="preserve">Druide thus held contractual rights allowing it to use the QA Works in its </w:t>
      </w:r>
      <w:r w:rsidR="0061346F" w:rsidRPr="00C74276">
        <w:rPr>
          <w:b/>
          <w:lang w:val="en-CA"/>
        </w:rPr>
        <w:t>Visuel Nano</w:t>
      </w:r>
      <w:r w:rsidR="009D3908" w:rsidRPr="00C74276">
        <w:rPr>
          <w:lang w:val="en-CA"/>
        </w:rPr>
        <w:t xml:space="preserve"> and </w:t>
      </w:r>
      <w:r w:rsidR="0061346F" w:rsidRPr="00C74276">
        <w:rPr>
          <w:b/>
          <w:lang w:val="en-CA"/>
        </w:rPr>
        <w:t>Visuel Intégré</w:t>
      </w:r>
      <w:r w:rsidR="0061346F" w:rsidRPr="00C74276">
        <w:rPr>
          <w:lang w:val="en-CA"/>
        </w:rPr>
        <w:t xml:space="preserve"> interfaces. Finally, the contract was based on a verbal exchange of consent</w:t>
      </w:r>
      <w:r w:rsidR="008A6298" w:rsidRPr="00C74276">
        <w:rPr>
          <w:lang w:val="en-CA"/>
        </w:rPr>
        <w:t>s</w:t>
      </w:r>
      <w:r w:rsidR="0061346F" w:rsidRPr="00C74276">
        <w:rPr>
          <w:lang w:val="en-CA"/>
        </w:rPr>
        <w:t xml:space="preserve"> whose origin dates back to 2004 when QA and Druide agreed to integrate </w:t>
      </w:r>
      <w:r w:rsidR="00AB1702" w:rsidRPr="00C74276">
        <w:rPr>
          <w:lang w:val="en-CA"/>
        </w:rPr>
        <w:t>l’Index du Visuel</w:t>
      </w:r>
      <w:r w:rsidR="0061346F" w:rsidRPr="00C74276">
        <w:rPr>
          <w:lang w:val="en-CA"/>
        </w:rPr>
        <w:t xml:space="preserve">, containing the QA Works, into Antidote Prisme 5. </w:t>
      </w:r>
    </w:p>
    <w:p w14:paraId="3713D380" w14:textId="07FEDCF2" w:rsidR="00634D8F" w:rsidRPr="00C74276" w:rsidRDefault="0061346F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In addition to failing to </w:t>
      </w:r>
      <w:r w:rsidR="00DB604C" w:rsidRPr="00C74276">
        <w:rPr>
          <w:lang w:val="en-CA"/>
        </w:rPr>
        <w:t>charact</w:t>
      </w:r>
      <w:r w:rsidR="009D3908" w:rsidRPr="00C74276">
        <w:rPr>
          <w:lang w:val="en-CA"/>
        </w:rPr>
        <w:t xml:space="preserve">erize the contract </w:t>
      </w:r>
      <w:r w:rsidR="00DB604C" w:rsidRPr="00C74276">
        <w:rPr>
          <w:lang w:val="en-CA"/>
        </w:rPr>
        <w:t>between the parties, the judge erred in deciding that the agreement between the parties was conditional on the drafting of a written document and that essential elements</w:t>
      </w:r>
      <w:r w:rsidR="009D3908" w:rsidRPr="00C74276">
        <w:rPr>
          <w:lang w:val="en-CA"/>
        </w:rPr>
        <w:t xml:space="preserve"> were missing </w:t>
      </w:r>
      <w:r w:rsidR="00E55AAD" w:rsidRPr="00C74276">
        <w:rPr>
          <w:lang w:val="en-CA"/>
        </w:rPr>
        <w:t xml:space="preserve">for her </w:t>
      </w:r>
      <w:r w:rsidR="009D3908" w:rsidRPr="00C74276">
        <w:rPr>
          <w:lang w:val="en-CA"/>
        </w:rPr>
        <w:t>to find that there existed</w:t>
      </w:r>
      <w:r w:rsidR="00DB604C" w:rsidRPr="00C74276">
        <w:rPr>
          <w:lang w:val="en-CA"/>
        </w:rPr>
        <w:t xml:space="preserve"> a non-exclusive licence. </w:t>
      </w:r>
    </w:p>
    <w:p w14:paraId="0EA59FAF" w14:textId="6435F928" w:rsidR="00634D8F" w:rsidRPr="00C74276" w:rsidRDefault="00601D30" w:rsidP="00B35FB3">
      <w:pPr>
        <w:pStyle w:val="Titre2"/>
        <w:numPr>
          <w:ilvl w:val="0"/>
          <w:numId w:val="33"/>
        </w:numPr>
        <w:spacing w:before="360"/>
        <w:ind w:left="2552" w:hanging="567"/>
        <w:rPr>
          <w:b w:val="0"/>
          <w:i w:val="0"/>
          <w:lang w:val="en-CA"/>
        </w:rPr>
      </w:pPr>
      <w:r w:rsidRPr="00C74276">
        <w:rPr>
          <w:b w:val="0"/>
          <w:i w:val="0"/>
          <w:lang w:val="en-CA"/>
        </w:rPr>
        <w:t>T</w:t>
      </w:r>
      <w:r w:rsidR="00DB604C" w:rsidRPr="00C74276">
        <w:rPr>
          <w:b w:val="0"/>
          <w:i w:val="0"/>
          <w:lang w:val="en-CA"/>
        </w:rPr>
        <w:t xml:space="preserve">he </w:t>
      </w:r>
      <w:r w:rsidR="00E55AAD" w:rsidRPr="00C74276">
        <w:rPr>
          <w:b w:val="0"/>
          <w:i w:val="0"/>
          <w:lang w:val="en-CA"/>
        </w:rPr>
        <w:t xml:space="preserve">judge erred in </w:t>
      </w:r>
      <w:r w:rsidR="008A6298" w:rsidRPr="00C74276">
        <w:rPr>
          <w:b w:val="0"/>
          <w:i w:val="0"/>
          <w:lang w:val="en-CA"/>
        </w:rPr>
        <w:t>finding</w:t>
      </w:r>
      <w:r w:rsidR="00E55AAD" w:rsidRPr="00C74276">
        <w:rPr>
          <w:b w:val="0"/>
          <w:i w:val="0"/>
          <w:lang w:val="en-CA"/>
        </w:rPr>
        <w:t xml:space="preserve"> that any</w:t>
      </w:r>
      <w:r w:rsidR="00DB604C" w:rsidRPr="00C74276">
        <w:rPr>
          <w:b w:val="0"/>
          <w:i w:val="0"/>
          <w:lang w:val="en-CA"/>
        </w:rPr>
        <w:t xml:space="preserve"> agreement between the parties was conditional on the drafting of a written document </w:t>
      </w:r>
    </w:p>
    <w:p w14:paraId="02EBA94F" w14:textId="05A4723D" w:rsidR="00634D8F" w:rsidRPr="00C74276" w:rsidRDefault="003367CD" w:rsidP="00B35FB3">
      <w:pPr>
        <w:pStyle w:val="Paragraphe"/>
        <w:keepNext/>
        <w:spacing w:line="280" w:lineRule="exact"/>
        <w:rPr>
          <w:lang w:val="en-CA"/>
        </w:rPr>
      </w:pPr>
      <w:r w:rsidRPr="00C74276">
        <w:rPr>
          <w:lang w:val="en-CA"/>
        </w:rPr>
        <w:t xml:space="preserve">The judge </w:t>
      </w:r>
      <w:r w:rsidR="00650F5D" w:rsidRPr="00C74276">
        <w:rPr>
          <w:lang w:val="en-CA"/>
        </w:rPr>
        <w:t>wrote in paragraph 299 of the judgment that</w:t>
      </w:r>
      <w:r w:rsidR="00E95607" w:rsidRPr="00C74276">
        <w:rPr>
          <w:lang w:val="en-CA"/>
        </w:rPr>
        <w:t xml:space="preserve"> [</w:t>
      </w:r>
      <w:r w:rsidR="00E95607" w:rsidRPr="00C74276">
        <w:rPr>
          <w:smallCaps/>
          <w:lang w:val="en-CA"/>
        </w:rPr>
        <w:t>translation</w:t>
      </w:r>
      <w:r w:rsidR="00E95607" w:rsidRPr="00C74276">
        <w:rPr>
          <w:lang w:val="en-CA"/>
        </w:rPr>
        <w:t>]</w:t>
      </w:r>
      <w:r w:rsidR="00650F5D" w:rsidRPr="00C74276">
        <w:rPr>
          <w:lang w:val="en-CA"/>
        </w:rPr>
        <w:t xml:space="preserve"> “any agreement to be reached remained conditional on the drafting of a </w:t>
      </w:r>
      <w:r w:rsidR="00787076" w:rsidRPr="00C74276">
        <w:rPr>
          <w:lang w:val="en-CA"/>
        </w:rPr>
        <w:t xml:space="preserve">written </w:t>
      </w:r>
      <w:r w:rsidR="00650F5D" w:rsidRPr="00C74276">
        <w:rPr>
          <w:lang w:val="en-CA"/>
        </w:rPr>
        <w:t>document</w:t>
      </w:r>
      <w:r w:rsidR="00E95607" w:rsidRPr="00C74276">
        <w:rPr>
          <w:lang w:val="en-CA"/>
        </w:rPr>
        <w:t>,</w:t>
      </w:r>
      <w:r w:rsidR="00650F5D" w:rsidRPr="00C74276">
        <w:rPr>
          <w:lang w:val="en-CA"/>
        </w:rPr>
        <w:t xml:space="preserve"> because the parties had agreed that their discussions and agreements would be recorded in writing</w:t>
      </w:r>
      <w:r w:rsidR="005458C8" w:rsidRPr="00C74276">
        <w:rPr>
          <w:lang w:val="en-CA"/>
        </w:rPr>
        <w:t>”</w:t>
      </w:r>
      <w:r w:rsidR="00E95607" w:rsidRPr="00C74276">
        <w:rPr>
          <w:lang w:val="en-CA"/>
        </w:rPr>
        <w:t>.</w:t>
      </w:r>
      <w:r w:rsidR="00634D8F" w:rsidRPr="00C74276">
        <w:rPr>
          <w:rStyle w:val="Appelnotedebasdep"/>
          <w:lang w:val="en-CA"/>
        </w:rPr>
        <w:footnoteReference w:id="111"/>
      </w:r>
    </w:p>
    <w:p w14:paraId="25CB0009" w14:textId="263B28B8" w:rsidR="00634D8F" w:rsidRPr="00C74276" w:rsidRDefault="00650F5D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While it is fair to say that the parties had expressed a desire to put their agreement in writing, it is wrong to say that any a</w:t>
      </w:r>
      <w:r w:rsidR="00E55AAD" w:rsidRPr="00C74276">
        <w:rPr>
          <w:lang w:val="en-CA"/>
        </w:rPr>
        <w:t>greement depended on a written document</w:t>
      </w:r>
      <w:r w:rsidRPr="00C74276">
        <w:rPr>
          <w:lang w:val="en-CA"/>
        </w:rPr>
        <w:t xml:space="preserve">. </w:t>
      </w:r>
    </w:p>
    <w:p w14:paraId="77CD25EC" w14:textId="4695D91C" w:rsidR="00634D8F" w:rsidRPr="00C74276" w:rsidRDefault="00802736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In fact</w:t>
      </w:r>
      <w:r w:rsidR="00650F5D" w:rsidRPr="00C74276">
        <w:rPr>
          <w:lang w:val="en-CA"/>
        </w:rPr>
        <w:t xml:space="preserve">, the parties never made the requirement of a written document a </w:t>
      </w:r>
      <w:r w:rsidR="00D6554A" w:rsidRPr="00C74276">
        <w:rPr>
          <w:i/>
          <w:lang w:val="en-CA"/>
        </w:rPr>
        <w:t>sine qua non</w:t>
      </w:r>
      <w:r w:rsidR="00D6554A" w:rsidRPr="00C74276">
        <w:rPr>
          <w:lang w:val="en-CA"/>
        </w:rPr>
        <w:t xml:space="preserve"> </w:t>
      </w:r>
      <w:r w:rsidR="00650F5D" w:rsidRPr="00C74276">
        <w:rPr>
          <w:lang w:val="en-CA"/>
        </w:rPr>
        <w:t xml:space="preserve">condition for the existence of a contract. </w:t>
      </w:r>
    </w:p>
    <w:p w14:paraId="1434B89C" w14:textId="528F42D3" w:rsidR="00634D8F" w:rsidRPr="00C74276" w:rsidRDefault="00A81A93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As evidence</w:t>
      </w:r>
      <w:r w:rsidR="00A9075D" w:rsidRPr="00C74276">
        <w:rPr>
          <w:lang w:val="en-CA"/>
        </w:rPr>
        <w:t>, the absence of a writt</w:t>
      </w:r>
      <w:r w:rsidR="00D5510C" w:rsidRPr="00C74276">
        <w:rPr>
          <w:lang w:val="en-CA"/>
        </w:rPr>
        <w:t>en document never prevented</w:t>
      </w:r>
      <w:r w:rsidR="00891AEF" w:rsidRPr="00C74276">
        <w:rPr>
          <w:lang w:val="en-CA"/>
        </w:rPr>
        <w:t xml:space="preserve"> them from </w:t>
      </w:r>
      <w:r w:rsidR="00A9075D" w:rsidRPr="00C74276">
        <w:rPr>
          <w:lang w:val="en-CA"/>
        </w:rPr>
        <w:t xml:space="preserve">establishing a solid business relationship for over ten years. The integration of the two-way bridge in 1998, the integration of </w:t>
      </w:r>
      <w:r w:rsidR="00AB1702" w:rsidRPr="00C74276">
        <w:rPr>
          <w:lang w:val="en-CA"/>
        </w:rPr>
        <w:t>l’Index du Visuel</w:t>
      </w:r>
      <w:r w:rsidR="00A9075D" w:rsidRPr="00C74276">
        <w:rPr>
          <w:lang w:val="en-CA"/>
        </w:rPr>
        <w:t xml:space="preserve"> in Antidote Prisme 5</w:t>
      </w:r>
      <w:r w:rsidR="00891AEF" w:rsidRPr="00C74276">
        <w:rPr>
          <w:lang w:val="en-CA"/>
        </w:rPr>
        <w:t>,</w:t>
      </w:r>
      <w:r w:rsidR="00A9075D" w:rsidRPr="00C74276">
        <w:rPr>
          <w:lang w:val="en-CA"/>
        </w:rPr>
        <w:t xml:space="preserve"> and the integration of the </w:t>
      </w:r>
      <w:r w:rsidR="00A9075D" w:rsidRPr="00C74276">
        <w:rPr>
          <w:b/>
          <w:lang w:val="en-CA"/>
        </w:rPr>
        <w:t>Visuel Nano</w:t>
      </w:r>
      <w:r w:rsidR="00A9075D" w:rsidRPr="00C74276">
        <w:rPr>
          <w:lang w:val="en-CA"/>
        </w:rPr>
        <w:t xml:space="preserve"> and </w:t>
      </w:r>
      <w:r w:rsidR="00A9075D" w:rsidRPr="00C74276">
        <w:rPr>
          <w:b/>
          <w:lang w:val="en-CA"/>
        </w:rPr>
        <w:t xml:space="preserve">Visuel </w:t>
      </w:r>
      <w:r w:rsidR="00891AEF" w:rsidRPr="00C74276">
        <w:rPr>
          <w:b/>
          <w:lang w:val="en-CA"/>
        </w:rPr>
        <w:t>I</w:t>
      </w:r>
      <w:r w:rsidR="00A9075D" w:rsidRPr="00C74276">
        <w:rPr>
          <w:b/>
          <w:lang w:val="en-CA"/>
        </w:rPr>
        <w:t>ntégré</w:t>
      </w:r>
      <w:r w:rsidR="00A9075D" w:rsidRPr="00C74276">
        <w:rPr>
          <w:lang w:val="en-CA"/>
        </w:rPr>
        <w:t xml:space="preserve"> interfaces in Antidote HD, all significant c</w:t>
      </w:r>
      <w:r w:rsidR="00E55AAD" w:rsidRPr="00C74276">
        <w:rPr>
          <w:lang w:val="en-CA"/>
        </w:rPr>
        <w:t>ommercial events, were never preceded by a written document</w:t>
      </w:r>
      <w:r w:rsidR="00A9075D" w:rsidRPr="00C74276">
        <w:rPr>
          <w:lang w:val="en-CA"/>
        </w:rPr>
        <w:t xml:space="preserve"> to </w:t>
      </w:r>
      <w:r w:rsidR="00431771" w:rsidRPr="00C74276">
        <w:rPr>
          <w:lang w:val="en-CA"/>
        </w:rPr>
        <w:t>formalize</w:t>
      </w:r>
      <w:r w:rsidR="00A9075D" w:rsidRPr="00C74276">
        <w:rPr>
          <w:lang w:val="en-CA"/>
        </w:rPr>
        <w:t xml:space="preserve"> a contract. </w:t>
      </w:r>
      <w:r w:rsidR="002D7522" w:rsidRPr="00C74276">
        <w:rPr>
          <w:lang w:val="en-CA"/>
        </w:rPr>
        <w:t>Moreover, t</w:t>
      </w:r>
      <w:r w:rsidR="00A9075D" w:rsidRPr="00C74276">
        <w:rPr>
          <w:lang w:val="en-CA"/>
        </w:rPr>
        <w:t xml:space="preserve">he absence of a written document did not prevent the judge from recognizing the existence of </w:t>
      </w:r>
      <w:r w:rsidR="004F1F40" w:rsidRPr="00C74276">
        <w:rPr>
          <w:lang w:val="en-CA"/>
        </w:rPr>
        <w:t xml:space="preserve">a </w:t>
      </w:r>
      <w:r w:rsidR="002D7522" w:rsidRPr="00C74276">
        <w:rPr>
          <w:lang w:val="en-CA"/>
        </w:rPr>
        <w:t>[</w:t>
      </w:r>
      <w:r w:rsidR="002D7522" w:rsidRPr="00C74276">
        <w:rPr>
          <w:smallCaps/>
          <w:lang w:val="en-CA"/>
        </w:rPr>
        <w:t>translation</w:t>
      </w:r>
      <w:r w:rsidR="002D7522" w:rsidRPr="00C74276">
        <w:rPr>
          <w:lang w:val="en-CA"/>
        </w:rPr>
        <w:t xml:space="preserve">] </w:t>
      </w:r>
      <w:r w:rsidR="00A9075D" w:rsidRPr="00C74276">
        <w:rPr>
          <w:lang w:val="en-CA"/>
        </w:rPr>
        <w:t>“consent</w:t>
      </w:r>
      <w:r w:rsidR="00E603EC" w:rsidRPr="00C74276">
        <w:rPr>
          <w:lang w:val="en-CA"/>
        </w:rPr>
        <w:t>”</w:t>
      </w:r>
      <w:r w:rsidR="00A9075D" w:rsidRPr="00C74276">
        <w:rPr>
          <w:lang w:val="en-CA"/>
        </w:rPr>
        <w:t xml:space="preserve"> in the nature of a contract with respect to the Antidote HD sof</w:t>
      </w:r>
      <w:r w:rsidR="00E603EC" w:rsidRPr="00C74276">
        <w:rPr>
          <w:lang w:val="en-CA"/>
        </w:rPr>
        <w:t xml:space="preserve">tware. </w:t>
      </w:r>
    </w:p>
    <w:p w14:paraId="459B0579" w14:textId="5D03672D" w:rsidR="00634D8F" w:rsidRPr="00C74276" w:rsidRDefault="00E603EC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It is also relevant to </w:t>
      </w:r>
      <w:r w:rsidR="002D7522" w:rsidRPr="00C74276">
        <w:rPr>
          <w:lang w:val="en-CA"/>
        </w:rPr>
        <w:t>point out</w:t>
      </w:r>
      <w:r w:rsidRPr="00C74276">
        <w:rPr>
          <w:lang w:val="en-CA"/>
        </w:rPr>
        <w:t xml:space="preserve"> that the parties never made it a priority to draft a document to </w:t>
      </w:r>
      <w:r w:rsidR="00431771" w:rsidRPr="00C74276">
        <w:rPr>
          <w:lang w:val="en-CA"/>
        </w:rPr>
        <w:t>solidify</w:t>
      </w:r>
      <w:r w:rsidRPr="00C74276">
        <w:rPr>
          <w:lang w:val="en-CA"/>
        </w:rPr>
        <w:t xml:space="preserve"> their business relationship. The following evidence attests to this. </w:t>
      </w:r>
    </w:p>
    <w:p w14:paraId="672DD3C3" w14:textId="2C879972" w:rsidR="00634D8F" w:rsidRPr="00C74276" w:rsidRDefault="00501FEA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In 2004, a draft contract was prepared to govern the conditi</w:t>
      </w:r>
      <w:r w:rsidR="007427BA" w:rsidRPr="00C74276">
        <w:rPr>
          <w:lang w:val="en-CA"/>
        </w:rPr>
        <w:t xml:space="preserve">ons </w:t>
      </w:r>
      <w:r w:rsidR="002D7522" w:rsidRPr="00C74276">
        <w:rPr>
          <w:lang w:val="en-CA"/>
        </w:rPr>
        <w:t>of</w:t>
      </w:r>
      <w:r w:rsidR="00F66F84" w:rsidRPr="00C74276">
        <w:rPr>
          <w:lang w:val="en-CA"/>
        </w:rPr>
        <w:t xml:space="preserve"> use of </w:t>
      </w:r>
      <w:r w:rsidR="00AB1702" w:rsidRPr="00C74276">
        <w:rPr>
          <w:lang w:val="en-CA"/>
        </w:rPr>
        <w:t>l’Index du Visuel</w:t>
      </w:r>
      <w:r w:rsidR="002D7522" w:rsidRPr="00C74276">
        <w:rPr>
          <w:lang w:val="en-CA"/>
        </w:rPr>
        <w:t>,</w:t>
      </w:r>
      <w:r w:rsidR="00F66F84" w:rsidRPr="00C74276">
        <w:rPr>
          <w:lang w:val="en-CA"/>
        </w:rPr>
        <w:t xml:space="preserve"> </w:t>
      </w:r>
      <w:r w:rsidR="00ED63BB" w:rsidRPr="00C74276">
        <w:rPr>
          <w:lang w:val="en-CA"/>
        </w:rPr>
        <w:t>without a contra</w:t>
      </w:r>
      <w:r w:rsidR="007427BA" w:rsidRPr="00C74276">
        <w:rPr>
          <w:lang w:val="en-CA"/>
        </w:rPr>
        <w:t>ct being signed by the parties.</w:t>
      </w:r>
      <w:r w:rsidR="00A81A93" w:rsidRPr="00C74276">
        <w:rPr>
          <w:rStyle w:val="Appelnotedebasdep"/>
          <w:lang w:val="en-CA"/>
        </w:rPr>
        <w:footnoteReference w:id="112"/>
      </w:r>
      <w:r w:rsidR="007427BA" w:rsidRPr="00C74276">
        <w:rPr>
          <w:lang w:val="en-CA"/>
        </w:rPr>
        <w:t xml:space="preserve"> </w:t>
      </w:r>
      <w:r w:rsidR="00ED63BB" w:rsidRPr="00C74276">
        <w:rPr>
          <w:lang w:val="en-CA"/>
        </w:rPr>
        <w:t>When asked about this, Luc Roberge of QA did no</w:t>
      </w:r>
      <w:r w:rsidR="00431771" w:rsidRPr="00C74276">
        <w:rPr>
          <w:lang w:val="en-CA"/>
        </w:rPr>
        <w:t xml:space="preserve">t remember that the contract had not been </w:t>
      </w:r>
      <w:r w:rsidR="00ED63BB" w:rsidRPr="00C74276">
        <w:rPr>
          <w:lang w:val="en-CA"/>
        </w:rPr>
        <w:t xml:space="preserve">signed. He added that there was </w:t>
      </w:r>
      <w:r w:rsidR="002D7522" w:rsidRPr="00C74276">
        <w:rPr>
          <w:lang w:val="en-CA"/>
        </w:rPr>
        <w:t>[</w:t>
      </w:r>
      <w:r w:rsidR="002D7522" w:rsidRPr="00C74276">
        <w:rPr>
          <w:smallCaps/>
          <w:lang w:val="en-CA"/>
        </w:rPr>
        <w:t>translation</w:t>
      </w:r>
      <w:r w:rsidR="002D7522" w:rsidRPr="00C74276">
        <w:rPr>
          <w:lang w:val="en-CA"/>
        </w:rPr>
        <w:t xml:space="preserve">] </w:t>
      </w:r>
      <w:r w:rsidR="00ED63BB" w:rsidRPr="00C74276">
        <w:rPr>
          <w:lang w:val="en-CA"/>
        </w:rPr>
        <w:t>“a lot of laxity” between the parties regarding the contracts between them</w:t>
      </w:r>
      <w:r w:rsidR="007427BA" w:rsidRPr="00C74276">
        <w:rPr>
          <w:lang w:val="en-CA"/>
        </w:rPr>
        <w:t xml:space="preserve"> since they trusted each other.</w:t>
      </w:r>
      <w:r w:rsidR="00634D8F" w:rsidRPr="00C74276">
        <w:rPr>
          <w:rStyle w:val="Appelnotedebasdep"/>
          <w:lang w:val="en-CA"/>
        </w:rPr>
        <w:footnoteReference w:id="113"/>
      </w:r>
    </w:p>
    <w:p w14:paraId="6421D3C1" w14:textId="0AD41BCB" w:rsidR="00634D8F" w:rsidRPr="00C74276" w:rsidRDefault="00177C27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When</w:t>
      </w:r>
      <w:r w:rsidR="00ED63BB" w:rsidRPr="00C74276">
        <w:rPr>
          <w:lang w:val="en-CA"/>
        </w:rPr>
        <w:t xml:space="preserve"> the launch of Antidote HD was planned for the fall of 2009, Caroline Fortin wrote to André d’Orsonnens on December 9, 2008</w:t>
      </w:r>
      <w:r w:rsidR="005A446B" w:rsidRPr="00C74276">
        <w:rPr>
          <w:lang w:val="en-CA"/>
        </w:rPr>
        <w:t>,</w:t>
      </w:r>
      <w:r w:rsidR="00ED63BB" w:rsidRPr="00C74276">
        <w:rPr>
          <w:lang w:val="en-CA"/>
        </w:rPr>
        <w:t xml:space="preserve"> to tell him that</w:t>
      </w:r>
      <w:r w:rsidR="005A446B" w:rsidRPr="00C74276">
        <w:rPr>
          <w:lang w:val="en-CA"/>
        </w:rPr>
        <w:t xml:space="preserve"> [</w:t>
      </w:r>
      <w:r w:rsidR="005A446B" w:rsidRPr="00C74276">
        <w:rPr>
          <w:smallCaps/>
          <w:lang w:val="en-CA"/>
        </w:rPr>
        <w:t>translation</w:t>
      </w:r>
      <w:r w:rsidR="005A446B" w:rsidRPr="00C74276">
        <w:rPr>
          <w:lang w:val="en-CA"/>
        </w:rPr>
        <w:t>]</w:t>
      </w:r>
      <w:r w:rsidR="00ED63BB" w:rsidRPr="00C74276">
        <w:rPr>
          <w:lang w:val="en-CA"/>
        </w:rPr>
        <w:t xml:space="preserve"> </w:t>
      </w:r>
      <w:r w:rsidR="002E6256" w:rsidRPr="00C74276">
        <w:rPr>
          <w:lang w:val="en-CA"/>
        </w:rPr>
        <w:t>“</w:t>
      </w:r>
      <w:r w:rsidR="00ED63BB" w:rsidRPr="00C74276">
        <w:rPr>
          <w:lang w:val="en-CA"/>
        </w:rPr>
        <w:t xml:space="preserve">it would </w:t>
      </w:r>
      <w:r w:rsidR="00ED63BB" w:rsidRPr="00C74276">
        <w:rPr>
          <w:lang w:val="en-CA"/>
        </w:rPr>
        <w:lastRenderedPageBreak/>
        <w:t>be good to draft an agreement”</w:t>
      </w:r>
      <w:r w:rsidR="005A446B" w:rsidRPr="00C74276">
        <w:rPr>
          <w:lang w:val="en-CA"/>
        </w:rPr>
        <w:t>.</w:t>
      </w:r>
      <w:r w:rsidR="00A81A93" w:rsidRPr="00C74276">
        <w:rPr>
          <w:rStyle w:val="Appelnotedebasdep"/>
          <w:lang w:val="en-CA"/>
        </w:rPr>
        <w:footnoteReference w:id="114"/>
      </w:r>
      <w:r w:rsidR="00A81A93" w:rsidRPr="00C74276">
        <w:rPr>
          <w:lang w:val="en-CA"/>
        </w:rPr>
        <w:t xml:space="preserve"> </w:t>
      </w:r>
      <w:r w:rsidR="00ED63BB" w:rsidRPr="00C74276">
        <w:rPr>
          <w:lang w:val="en-CA"/>
        </w:rPr>
        <w:t xml:space="preserve">André d’Orsonnens immediately offered to </w:t>
      </w:r>
      <w:r w:rsidR="005A446B" w:rsidRPr="00C74276">
        <w:rPr>
          <w:lang w:val="en-CA"/>
        </w:rPr>
        <w:t>prepare</w:t>
      </w:r>
      <w:r w:rsidR="00ED63BB" w:rsidRPr="00C74276">
        <w:rPr>
          <w:lang w:val="en-CA"/>
        </w:rPr>
        <w:t xml:space="preserve"> a first draft.</w:t>
      </w:r>
      <w:r w:rsidR="00A81A93" w:rsidRPr="00C74276">
        <w:rPr>
          <w:rStyle w:val="Appelnotedebasdep"/>
          <w:lang w:val="en-CA"/>
        </w:rPr>
        <w:footnoteReference w:id="115"/>
      </w:r>
      <w:r w:rsidR="00A81A93" w:rsidRPr="00C74276">
        <w:rPr>
          <w:lang w:val="en-CA"/>
        </w:rPr>
        <w:t xml:space="preserve"> </w:t>
      </w:r>
      <w:r w:rsidR="00ED63BB" w:rsidRPr="00C74276">
        <w:rPr>
          <w:lang w:val="en-CA"/>
        </w:rPr>
        <w:t>During a meeting in March 2009, he suggested that Caroline Fortin assign the responsib</w:t>
      </w:r>
      <w:r w:rsidR="005357C5" w:rsidRPr="00C74276">
        <w:rPr>
          <w:lang w:val="en-CA"/>
        </w:rPr>
        <w:t>i</w:t>
      </w:r>
      <w:r w:rsidR="00ED63BB" w:rsidRPr="00C74276">
        <w:rPr>
          <w:lang w:val="en-CA"/>
        </w:rPr>
        <w:t xml:space="preserve">lity </w:t>
      </w:r>
      <w:r w:rsidR="00A404A2" w:rsidRPr="00C74276">
        <w:rPr>
          <w:lang w:val="en-CA"/>
        </w:rPr>
        <w:t>for</w:t>
      </w:r>
      <w:r w:rsidR="005357C5" w:rsidRPr="00C74276">
        <w:rPr>
          <w:lang w:val="en-CA"/>
        </w:rPr>
        <w:t xml:space="preserve"> drafting the contract </w:t>
      </w:r>
      <w:r w:rsidR="00B436EF" w:rsidRPr="00C74276">
        <w:rPr>
          <w:lang w:val="en-CA"/>
        </w:rPr>
        <w:t>t</w:t>
      </w:r>
      <w:r w:rsidR="00A81A93" w:rsidRPr="00C74276">
        <w:rPr>
          <w:lang w:val="en-CA"/>
        </w:rPr>
        <w:t xml:space="preserve">o Mtre Marie-Claude Germain </w:t>
      </w:r>
      <w:r w:rsidR="00A404A2" w:rsidRPr="00C74276">
        <w:rPr>
          <w:lang w:val="en-CA"/>
        </w:rPr>
        <w:t xml:space="preserve">of </w:t>
      </w:r>
      <w:r w:rsidR="00B436EF" w:rsidRPr="00C74276">
        <w:rPr>
          <w:lang w:val="en-CA"/>
        </w:rPr>
        <w:t>QA</w:t>
      </w:r>
      <w:r w:rsidR="00A404A2" w:rsidRPr="00C74276">
        <w:rPr>
          <w:lang w:val="en-CA"/>
        </w:rPr>
        <w:t>,</w:t>
      </w:r>
      <w:r w:rsidR="00431771" w:rsidRPr="00C74276">
        <w:rPr>
          <w:lang w:val="en-CA"/>
        </w:rPr>
        <w:t xml:space="preserve"> who had</w:t>
      </w:r>
      <w:r w:rsidR="00B436EF" w:rsidRPr="00C74276">
        <w:rPr>
          <w:lang w:val="en-CA"/>
        </w:rPr>
        <w:t xml:space="preserve"> then </w:t>
      </w:r>
      <w:r w:rsidR="00A404A2" w:rsidRPr="00C74276">
        <w:rPr>
          <w:lang w:val="en-CA"/>
        </w:rPr>
        <w:t>returned</w:t>
      </w:r>
      <w:r w:rsidR="00B436EF" w:rsidRPr="00C74276">
        <w:rPr>
          <w:lang w:val="en-CA"/>
        </w:rPr>
        <w:t xml:space="preserve"> from maternity leave. </w:t>
      </w:r>
      <w:r w:rsidR="00A404A2" w:rsidRPr="00C74276">
        <w:rPr>
          <w:lang w:val="en-CA"/>
        </w:rPr>
        <w:t>Five months later, Caroline Fortin decided to give the drafting</w:t>
      </w:r>
      <w:r w:rsidR="00B436EF" w:rsidRPr="00C74276">
        <w:rPr>
          <w:lang w:val="en-CA"/>
        </w:rPr>
        <w:t xml:space="preserve"> mandate </w:t>
      </w:r>
      <w:r w:rsidR="00A404A2" w:rsidRPr="00C74276">
        <w:rPr>
          <w:lang w:val="en-CA"/>
        </w:rPr>
        <w:t>to Mtre Germain and confirmed this</w:t>
      </w:r>
      <w:r w:rsidR="00B436EF" w:rsidRPr="00C74276">
        <w:rPr>
          <w:lang w:val="en-CA"/>
        </w:rPr>
        <w:t xml:space="preserve"> to André d’Orsonnens.</w:t>
      </w:r>
      <w:r w:rsidR="00A81A93" w:rsidRPr="00C74276">
        <w:rPr>
          <w:rStyle w:val="Appelnotedebasdep"/>
          <w:lang w:val="en-CA"/>
        </w:rPr>
        <w:footnoteReference w:id="116"/>
      </w:r>
      <w:r w:rsidR="002E6256" w:rsidRPr="00C74276">
        <w:rPr>
          <w:lang w:val="en-CA"/>
        </w:rPr>
        <w:t xml:space="preserve"> </w:t>
      </w:r>
      <w:r w:rsidR="00B436EF" w:rsidRPr="00C74276">
        <w:rPr>
          <w:lang w:val="en-CA"/>
        </w:rPr>
        <w:t xml:space="preserve">During her testimony, Caroline Fortin clarified that in October 2009, </w:t>
      </w:r>
      <w:r w:rsidR="005A446B" w:rsidRPr="00C74276">
        <w:rPr>
          <w:lang w:val="en-CA"/>
        </w:rPr>
        <w:t>[</w:t>
      </w:r>
      <w:r w:rsidR="005A446B" w:rsidRPr="00C74276">
        <w:rPr>
          <w:smallCaps/>
          <w:lang w:val="en-CA"/>
        </w:rPr>
        <w:t>translation</w:t>
      </w:r>
      <w:r w:rsidR="005A446B" w:rsidRPr="00C74276">
        <w:rPr>
          <w:lang w:val="en-CA"/>
        </w:rPr>
        <w:t xml:space="preserve">] </w:t>
      </w:r>
      <w:r w:rsidR="00B436EF" w:rsidRPr="00C74276">
        <w:rPr>
          <w:lang w:val="en-CA"/>
        </w:rPr>
        <w:t>“it was probably not a priority for [Mtre Germain] at that</w:t>
      </w:r>
      <w:r w:rsidR="00A404A2" w:rsidRPr="00C74276">
        <w:rPr>
          <w:lang w:val="en-CA"/>
        </w:rPr>
        <w:t xml:space="preserve"> time” to draft</w:t>
      </w:r>
      <w:r w:rsidR="00B436EF" w:rsidRPr="00C74276">
        <w:rPr>
          <w:lang w:val="en-CA"/>
        </w:rPr>
        <w:t xml:space="preserve"> the contract.</w:t>
      </w:r>
      <w:r w:rsidR="00A81A93" w:rsidRPr="00C74276">
        <w:rPr>
          <w:rStyle w:val="Appelnotedebasdep"/>
          <w:lang w:val="en-CA"/>
        </w:rPr>
        <w:footnoteReference w:id="117"/>
      </w:r>
      <w:r w:rsidR="00A81A93" w:rsidRPr="00C74276">
        <w:rPr>
          <w:lang w:val="en-CA"/>
        </w:rPr>
        <w:t xml:space="preserve"> </w:t>
      </w:r>
      <w:r w:rsidR="00B436EF" w:rsidRPr="00C74276">
        <w:rPr>
          <w:lang w:val="en-CA"/>
        </w:rPr>
        <w:t>In fact, the launch of Antidote HD took place on October 20, 2009</w:t>
      </w:r>
      <w:r w:rsidR="005A446B" w:rsidRPr="00C74276">
        <w:rPr>
          <w:lang w:val="en-CA"/>
        </w:rPr>
        <w:t>,</w:t>
      </w:r>
      <w:r w:rsidR="00B436EF" w:rsidRPr="00C74276">
        <w:rPr>
          <w:lang w:val="en-CA"/>
        </w:rPr>
        <w:t xml:space="preserve"> without any contract formalizing the </w:t>
      </w:r>
      <w:r w:rsidR="00340967" w:rsidRPr="00C74276">
        <w:rPr>
          <w:lang w:val="en-CA"/>
        </w:rPr>
        <w:t>parties’ relationship</w:t>
      </w:r>
      <w:r w:rsidR="002E6256" w:rsidRPr="00C74276">
        <w:rPr>
          <w:lang w:val="en-CA"/>
        </w:rPr>
        <w:t>.</w:t>
      </w:r>
      <w:r w:rsidR="00634D8F" w:rsidRPr="00C74276">
        <w:rPr>
          <w:rStyle w:val="Appelnotedebasdep"/>
          <w:lang w:val="en-CA"/>
        </w:rPr>
        <w:footnoteReference w:id="118"/>
      </w:r>
    </w:p>
    <w:p w14:paraId="00C56CE2" w14:textId="324E745B" w:rsidR="00634D8F" w:rsidRPr="00C74276" w:rsidRDefault="002E6256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André d’Orsonnens </w:t>
      </w:r>
      <w:r w:rsidR="0096446C" w:rsidRPr="00C74276">
        <w:rPr>
          <w:lang w:val="en-CA"/>
        </w:rPr>
        <w:t xml:space="preserve">testified about a meeting with Caroline Fortin on September 15, 2010. </w:t>
      </w:r>
      <w:r w:rsidR="00431771" w:rsidRPr="00C74276">
        <w:rPr>
          <w:lang w:val="en-CA"/>
        </w:rPr>
        <w:t>There they</w:t>
      </w:r>
      <w:r w:rsidR="0096446C" w:rsidRPr="00C74276">
        <w:rPr>
          <w:lang w:val="en-CA"/>
        </w:rPr>
        <w:t xml:space="preserve"> established an order of priority of things to </w:t>
      </w:r>
      <w:r w:rsidR="005A446B" w:rsidRPr="00C74276">
        <w:rPr>
          <w:lang w:val="en-CA"/>
        </w:rPr>
        <w:t>be done</w:t>
      </w:r>
      <w:r w:rsidR="0096446C" w:rsidRPr="00C74276">
        <w:rPr>
          <w:lang w:val="en-CA"/>
        </w:rPr>
        <w:t xml:space="preserve"> until the release of </w:t>
      </w:r>
      <w:r w:rsidR="00431771" w:rsidRPr="00C74276">
        <w:rPr>
          <w:lang w:val="en-CA"/>
        </w:rPr>
        <w:t>Antidote HD. A</w:t>
      </w:r>
      <w:r w:rsidR="001D253E" w:rsidRPr="00C74276">
        <w:rPr>
          <w:lang w:val="en-CA"/>
        </w:rPr>
        <w:t>lthough it was a topic</w:t>
      </w:r>
      <w:r w:rsidR="0096446C" w:rsidRPr="00C74276">
        <w:rPr>
          <w:lang w:val="en-CA"/>
        </w:rPr>
        <w:t xml:space="preserve"> </w:t>
      </w:r>
      <w:r w:rsidR="00431771" w:rsidRPr="00C74276">
        <w:rPr>
          <w:lang w:val="en-CA"/>
        </w:rPr>
        <w:t xml:space="preserve">that was </w:t>
      </w:r>
      <w:r w:rsidR="0096446C" w:rsidRPr="00C74276">
        <w:rPr>
          <w:lang w:val="en-CA"/>
        </w:rPr>
        <w:t xml:space="preserve">covered, </w:t>
      </w:r>
      <w:r w:rsidR="00431771" w:rsidRPr="00C74276">
        <w:rPr>
          <w:lang w:val="en-CA"/>
        </w:rPr>
        <w:t xml:space="preserve">the drafting of a contract </w:t>
      </w:r>
      <w:r w:rsidR="0096446C" w:rsidRPr="00C74276">
        <w:rPr>
          <w:lang w:val="en-CA"/>
        </w:rPr>
        <w:t>was not on the priority list.</w:t>
      </w:r>
      <w:r w:rsidR="00634D8F" w:rsidRPr="00C74276">
        <w:rPr>
          <w:rStyle w:val="Appelnotedebasdep"/>
          <w:lang w:val="en-CA"/>
        </w:rPr>
        <w:footnoteReference w:id="119"/>
      </w:r>
    </w:p>
    <w:p w14:paraId="30EEBE71" w14:textId="06D28A33" w:rsidR="00634D8F" w:rsidRPr="00C74276" w:rsidRDefault="000918F1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In short, the parties never made the drafting of a written documen</w:t>
      </w:r>
      <w:r w:rsidR="00340967" w:rsidRPr="00C74276">
        <w:rPr>
          <w:lang w:val="en-CA"/>
        </w:rPr>
        <w:t>t an essential condition to mark</w:t>
      </w:r>
      <w:r w:rsidRPr="00C74276">
        <w:rPr>
          <w:lang w:val="en-CA"/>
        </w:rPr>
        <w:t xml:space="preserve"> their contractual commitment. </w:t>
      </w:r>
    </w:p>
    <w:p w14:paraId="520CD290" w14:textId="560C7069" w:rsidR="00634D8F" w:rsidRPr="00C74276" w:rsidRDefault="000E4713" w:rsidP="00FA34B7">
      <w:pPr>
        <w:pStyle w:val="Titre2"/>
        <w:numPr>
          <w:ilvl w:val="0"/>
          <w:numId w:val="33"/>
        </w:numPr>
        <w:spacing w:before="360"/>
        <w:ind w:left="2552" w:hanging="567"/>
        <w:rPr>
          <w:b w:val="0"/>
          <w:lang w:val="en-CA"/>
        </w:rPr>
      </w:pPr>
      <w:r w:rsidRPr="00C74276">
        <w:rPr>
          <w:b w:val="0"/>
          <w:i w:val="0"/>
          <w:lang w:val="en-CA"/>
        </w:rPr>
        <w:t xml:space="preserve">The judge erred in deciding that </w:t>
      </w:r>
      <w:r w:rsidR="0041229A" w:rsidRPr="00C74276">
        <w:rPr>
          <w:b w:val="0"/>
          <w:i w:val="0"/>
          <w:lang w:val="en-CA"/>
        </w:rPr>
        <w:t xml:space="preserve">several </w:t>
      </w:r>
      <w:r w:rsidRPr="00C74276">
        <w:rPr>
          <w:b w:val="0"/>
          <w:i w:val="0"/>
          <w:lang w:val="en-CA"/>
        </w:rPr>
        <w:t>essential e</w:t>
      </w:r>
      <w:r w:rsidR="001D253E" w:rsidRPr="00C74276">
        <w:rPr>
          <w:b w:val="0"/>
          <w:i w:val="0"/>
          <w:lang w:val="en-CA"/>
        </w:rPr>
        <w:t xml:space="preserve">lements were missing </w:t>
      </w:r>
      <w:r w:rsidR="0041229A" w:rsidRPr="00C74276">
        <w:rPr>
          <w:b w:val="0"/>
          <w:i w:val="0"/>
          <w:lang w:val="en-CA"/>
        </w:rPr>
        <w:t>to find</w:t>
      </w:r>
      <w:r w:rsidR="00340967" w:rsidRPr="00C74276">
        <w:rPr>
          <w:b w:val="0"/>
          <w:i w:val="0"/>
          <w:lang w:val="en-CA"/>
        </w:rPr>
        <w:t xml:space="preserve"> that there existed </w:t>
      </w:r>
      <w:r w:rsidRPr="00C74276">
        <w:rPr>
          <w:b w:val="0"/>
          <w:i w:val="0"/>
          <w:lang w:val="en-CA"/>
        </w:rPr>
        <w:t>a non-exclusive licence</w:t>
      </w:r>
    </w:p>
    <w:p w14:paraId="50F6B7AA" w14:textId="4080F842" w:rsidR="00634D8F" w:rsidRPr="00C74276" w:rsidRDefault="000E4713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The jud</w:t>
      </w:r>
      <w:r w:rsidR="001D253E" w:rsidRPr="00C74276">
        <w:rPr>
          <w:lang w:val="en-CA"/>
        </w:rPr>
        <w:t>ge wrote in paragraph 300 of her</w:t>
      </w:r>
      <w:r w:rsidRPr="00C74276">
        <w:rPr>
          <w:lang w:val="en-CA"/>
        </w:rPr>
        <w:t xml:space="preserve"> judgment that several elements essential to the granting of a non-exclusive licence remained to be agreed </w:t>
      </w:r>
      <w:r w:rsidR="00D51566" w:rsidRPr="00C74276">
        <w:rPr>
          <w:lang w:val="en-CA"/>
        </w:rPr>
        <w:t xml:space="preserve">upon </w:t>
      </w:r>
      <w:r w:rsidRPr="00C74276">
        <w:rPr>
          <w:lang w:val="en-CA"/>
        </w:rPr>
        <w:t>at the time of the launch of th</w:t>
      </w:r>
      <w:r w:rsidR="00D51566" w:rsidRPr="00C74276">
        <w:rPr>
          <w:lang w:val="en-CA"/>
        </w:rPr>
        <w:t>e Antidote HD software</w:t>
      </w:r>
      <w:r w:rsidRPr="00C74276">
        <w:rPr>
          <w:lang w:val="en-CA"/>
        </w:rPr>
        <w:t xml:space="preserve">. </w:t>
      </w:r>
      <w:r w:rsidR="001D253E" w:rsidRPr="00C74276">
        <w:rPr>
          <w:lang w:val="en-CA"/>
        </w:rPr>
        <w:t>She</w:t>
      </w:r>
      <w:r w:rsidRPr="00C74276">
        <w:rPr>
          <w:lang w:val="en-CA"/>
        </w:rPr>
        <w:t xml:space="preserve"> listed them as follows: </w:t>
      </w:r>
    </w:p>
    <w:p w14:paraId="23F0D2B8" w14:textId="043D22A8" w:rsidR="00634D8F" w:rsidRPr="00C74276" w:rsidRDefault="00240C38" w:rsidP="00FA34B7">
      <w:pPr>
        <w:pStyle w:val="Citationenretrait"/>
        <w:numPr>
          <w:ilvl w:val="0"/>
          <w:numId w:val="31"/>
        </w:numPr>
        <w:rPr>
          <w:lang w:val="en-CA"/>
        </w:rPr>
      </w:pPr>
      <w:r w:rsidRPr="00C74276">
        <w:rPr>
          <w:lang w:val="en-CA"/>
        </w:rPr>
        <w:t>The identification of works protected by t</w:t>
      </w:r>
      <w:r w:rsidR="00D51566" w:rsidRPr="00C74276">
        <w:rPr>
          <w:lang w:val="en-CA"/>
        </w:rPr>
        <w:t>he copyright of Québec Amérique</w:t>
      </w:r>
      <w:r w:rsidRPr="00C74276">
        <w:rPr>
          <w:lang w:val="en-CA"/>
        </w:rPr>
        <w:t xml:space="preserve"> in Visuel Nano and Visuel Intégré and the copyright credits in the appropriate places; </w:t>
      </w:r>
    </w:p>
    <w:p w14:paraId="68D0AE24" w14:textId="435F9E0C" w:rsidR="00634D8F" w:rsidRPr="00C74276" w:rsidRDefault="00361DEE" w:rsidP="00FA34B7">
      <w:pPr>
        <w:pStyle w:val="Citationenretrait"/>
        <w:numPr>
          <w:ilvl w:val="0"/>
          <w:numId w:val="31"/>
        </w:numPr>
        <w:rPr>
          <w:lang w:val="en-CA"/>
        </w:rPr>
      </w:pPr>
      <w:r w:rsidRPr="00C74276">
        <w:rPr>
          <w:lang w:val="en-CA"/>
        </w:rPr>
        <w:t>The scope</w:t>
      </w:r>
      <w:r w:rsidR="00240C38" w:rsidRPr="00C74276">
        <w:rPr>
          <w:lang w:val="en-CA"/>
        </w:rPr>
        <w:t xml:space="preserve"> of the interests granted by Québec Amérique to Druide Informatique with respect to the protected works; </w:t>
      </w:r>
    </w:p>
    <w:p w14:paraId="28B577FE" w14:textId="463F059B" w:rsidR="00634D8F" w:rsidRPr="00C74276" w:rsidRDefault="00240C38" w:rsidP="00FA34B7">
      <w:pPr>
        <w:pStyle w:val="Citationenretrait"/>
        <w:numPr>
          <w:ilvl w:val="0"/>
          <w:numId w:val="31"/>
        </w:numPr>
        <w:rPr>
          <w:lang w:val="en-CA"/>
        </w:rPr>
      </w:pPr>
      <w:r w:rsidRPr="00C74276">
        <w:rPr>
          <w:lang w:val="en-CA"/>
        </w:rPr>
        <w:t xml:space="preserve">The territories subject to the licence and </w:t>
      </w:r>
      <w:r w:rsidR="001D253E" w:rsidRPr="00C74276">
        <w:rPr>
          <w:lang w:val="en-CA"/>
        </w:rPr>
        <w:t xml:space="preserve">the </w:t>
      </w:r>
      <w:r w:rsidRPr="00C74276">
        <w:rPr>
          <w:lang w:val="en-CA"/>
        </w:rPr>
        <w:t xml:space="preserve">language restrictions; </w:t>
      </w:r>
    </w:p>
    <w:p w14:paraId="54C907BD" w14:textId="0F780709" w:rsidR="00634D8F" w:rsidRPr="00C74276" w:rsidRDefault="00240C38" w:rsidP="00FA34B7">
      <w:pPr>
        <w:pStyle w:val="Citationenretrait"/>
        <w:numPr>
          <w:ilvl w:val="0"/>
          <w:numId w:val="31"/>
        </w:numPr>
        <w:rPr>
          <w:lang w:val="en-CA"/>
        </w:rPr>
      </w:pPr>
      <w:r w:rsidRPr="00C74276">
        <w:rPr>
          <w:lang w:val="en-CA"/>
        </w:rPr>
        <w:t>The duration of the interest</w:t>
      </w:r>
      <w:r w:rsidR="00096F61" w:rsidRPr="00C74276">
        <w:rPr>
          <w:lang w:val="en-CA"/>
        </w:rPr>
        <w:t>s</w:t>
      </w:r>
      <w:r w:rsidRPr="00C74276">
        <w:rPr>
          <w:lang w:val="en-CA"/>
        </w:rPr>
        <w:t xml:space="preserve"> granted; and </w:t>
      </w:r>
    </w:p>
    <w:p w14:paraId="3F3ACDE7" w14:textId="4AA37831" w:rsidR="00634D8F" w:rsidRPr="00C74276" w:rsidRDefault="00240C38" w:rsidP="00FA34B7">
      <w:pPr>
        <w:pStyle w:val="Citationenretrait"/>
        <w:numPr>
          <w:ilvl w:val="0"/>
          <w:numId w:val="31"/>
        </w:numPr>
        <w:rPr>
          <w:lang w:val="en-CA"/>
        </w:rPr>
      </w:pPr>
      <w:r w:rsidRPr="00C74276">
        <w:rPr>
          <w:lang w:val="en-CA"/>
        </w:rPr>
        <w:t xml:space="preserve">The royalties payable for use of the protected works. </w:t>
      </w:r>
    </w:p>
    <w:p w14:paraId="4DF9F481" w14:textId="2B0E2FE8" w:rsidR="00634D8F" w:rsidRPr="00C74276" w:rsidRDefault="00240C38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H</w:t>
      </w:r>
      <w:r w:rsidR="001D253E" w:rsidRPr="00C74276">
        <w:rPr>
          <w:lang w:val="en-CA"/>
        </w:rPr>
        <w:t>owever, this did not prevent her</w:t>
      </w:r>
      <w:r w:rsidRPr="00C74276">
        <w:rPr>
          <w:lang w:val="en-CA"/>
        </w:rPr>
        <w:t xml:space="preserve"> </w:t>
      </w:r>
      <w:r w:rsidR="0031433E" w:rsidRPr="00C74276">
        <w:rPr>
          <w:lang w:val="en-CA"/>
        </w:rPr>
        <w:t xml:space="preserve">from ignoring these missing elements that </w:t>
      </w:r>
      <w:r w:rsidR="001D253E" w:rsidRPr="00C74276">
        <w:rPr>
          <w:lang w:val="en-CA"/>
        </w:rPr>
        <w:t>s</w:t>
      </w:r>
      <w:r w:rsidR="0031433E" w:rsidRPr="00C74276">
        <w:rPr>
          <w:lang w:val="en-CA"/>
        </w:rPr>
        <w:t xml:space="preserve">he considered </w:t>
      </w:r>
      <w:r w:rsidR="00B10FD5" w:rsidRPr="00C74276">
        <w:rPr>
          <w:lang w:val="en-CA"/>
        </w:rPr>
        <w:t>[</w:t>
      </w:r>
      <w:r w:rsidR="00B10FD5" w:rsidRPr="00C74276">
        <w:rPr>
          <w:smallCaps/>
          <w:lang w:val="en-CA"/>
        </w:rPr>
        <w:t>translation</w:t>
      </w:r>
      <w:r w:rsidR="00B10FD5" w:rsidRPr="00C74276">
        <w:rPr>
          <w:lang w:val="en-CA"/>
        </w:rPr>
        <w:t xml:space="preserve">] </w:t>
      </w:r>
      <w:r w:rsidR="0031433E" w:rsidRPr="00C74276">
        <w:rPr>
          <w:lang w:val="en-CA"/>
        </w:rPr>
        <w:t>“essential”</w:t>
      </w:r>
      <w:r w:rsidR="001D253E" w:rsidRPr="00C74276">
        <w:rPr>
          <w:lang w:val="en-CA"/>
        </w:rPr>
        <w:t xml:space="preserve"> for </w:t>
      </w:r>
      <w:r w:rsidR="00B10FD5" w:rsidRPr="00C74276">
        <w:rPr>
          <w:lang w:val="en-CA"/>
        </w:rPr>
        <w:t xml:space="preserve">the </w:t>
      </w:r>
      <w:r w:rsidR="001D253E" w:rsidRPr="00C74276">
        <w:rPr>
          <w:lang w:val="en-CA"/>
        </w:rPr>
        <w:t>recognition of</w:t>
      </w:r>
      <w:r w:rsidR="0031433E" w:rsidRPr="00C74276">
        <w:rPr>
          <w:lang w:val="en-CA"/>
        </w:rPr>
        <w:t xml:space="preserve"> the existence of a </w:t>
      </w:r>
      <w:r w:rsidR="00B10FD5" w:rsidRPr="00C74276">
        <w:rPr>
          <w:lang w:val="en-CA"/>
        </w:rPr>
        <w:lastRenderedPageBreak/>
        <w:t>[</w:t>
      </w:r>
      <w:r w:rsidR="00B10FD5" w:rsidRPr="00C74276">
        <w:rPr>
          <w:smallCaps/>
          <w:lang w:val="en-CA"/>
        </w:rPr>
        <w:t>translation</w:t>
      </w:r>
      <w:r w:rsidR="00B10FD5" w:rsidRPr="00C74276">
        <w:rPr>
          <w:lang w:val="en-CA"/>
        </w:rPr>
        <w:t xml:space="preserve">] </w:t>
      </w:r>
      <w:r w:rsidR="0031433E" w:rsidRPr="00C74276">
        <w:rPr>
          <w:lang w:val="en-CA"/>
        </w:rPr>
        <w:t xml:space="preserve">“consent” regarding the use of the </w:t>
      </w:r>
      <w:r w:rsidR="00096F61" w:rsidRPr="00C74276">
        <w:rPr>
          <w:lang w:val="en-CA"/>
        </w:rPr>
        <w:t>Works in Antidote HD;</w:t>
      </w:r>
      <w:r w:rsidR="0031433E" w:rsidRPr="00C74276">
        <w:rPr>
          <w:lang w:val="en-CA"/>
        </w:rPr>
        <w:t xml:space="preserve"> </w:t>
      </w:r>
      <w:r w:rsidR="00D6666B" w:rsidRPr="00C74276">
        <w:rPr>
          <w:lang w:val="en-CA"/>
        </w:rPr>
        <w:t xml:space="preserve">a </w:t>
      </w:r>
      <w:r w:rsidR="00B10FD5" w:rsidRPr="00C74276">
        <w:rPr>
          <w:lang w:val="en-CA"/>
        </w:rPr>
        <w:t>[</w:t>
      </w:r>
      <w:r w:rsidR="00B10FD5" w:rsidRPr="00C74276">
        <w:rPr>
          <w:smallCaps/>
          <w:lang w:val="en-CA"/>
        </w:rPr>
        <w:t>translation</w:t>
      </w:r>
      <w:r w:rsidR="00B10FD5" w:rsidRPr="00C74276">
        <w:rPr>
          <w:lang w:val="en-CA"/>
        </w:rPr>
        <w:t xml:space="preserve">] </w:t>
      </w:r>
      <w:r w:rsidR="00D6666B" w:rsidRPr="00C74276">
        <w:rPr>
          <w:lang w:val="en-CA"/>
        </w:rPr>
        <w:t xml:space="preserve">“consent” which I </w:t>
      </w:r>
      <w:r w:rsidR="00B10FD5" w:rsidRPr="00C74276">
        <w:rPr>
          <w:lang w:val="en-CA"/>
        </w:rPr>
        <w:t>will</w:t>
      </w:r>
      <w:r w:rsidR="0031433E" w:rsidRPr="00C74276">
        <w:rPr>
          <w:lang w:val="en-CA"/>
        </w:rPr>
        <w:t xml:space="preserve"> otherwise refer to as a</w:t>
      </w:r>
      <w:r w:rsidR="00096F61" w:rsidRPr="00C74276">
        <w:rPr>
          <w:lang w:val="en-CA"/>
        </w:rPr>
        <w:t xml:space="preserve"> non-exclusive licence contract</w:t>
      </w:r>
      <w:r w:rsidR="0031433E" w:rsidRPr="00C74276">
        <w:rPr>
          <w:lang w:val="en-CA"/>
        </w:rPr>
        <w:t xml:space="preserve">. </w:t>
      </w:r>
    </w:p>
    <w:p w14:paraId="0925CDB0" w14:textId="5A50AEB9" w:rsidR="00634D8F" w:rsidRPr="00C74276" w:rsidRDefault="0031433E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The evidence further establishe</w:t>
      </w:r>
      <w:r w:rsidR="00DA4163" w:rsidRPr="00C74276">
        <w:rPr>
          <w:lang w:val="en-CA"/>
        </w:rPr>
        <w:t>s</w:t>
      </w:r>
      <w:r w:rsidRPr="00C74276">
        <w:rPr>
          <w:lang w:val="en-CA"/>
        </w:rPr>
        <w:t xml:space="preserve"> that subsequent versions of Antidote 8 and 9 contain</w:t>
      </w:r>
      <w:r w:rsidR="00C11224" w:rsidRPr="00C74276">
        <w:rPr>
          <w:lang w:val="en-CA"/>
        </w:rPr>
        <w:t>ed</w:t>
      </w:r>
      <w:r w:rsidRPr="00C74276">
        <w:rPr>
          <w:lang w:val="en-CA"/>
        </w:rPr>
        <w:t xml:space="preserve"> exactly the same </w:t>
      </w:r>
      <w:r w:rsidRPr="00C74276">
        <w:rPr>
          <w:b/>
          <w:lang w:val="en-CA"/>
        </w:rPr>
        <w:t>Visuel Nano</w:t>
      </w:r>
      <w:r w:rsidRPr="00C74276">
        <w:rPr>
          <w:lang w:val="en-CA"/>
        </w:rPr>
        <w:t xml:space="preserve"> and </w:t>
      </w:r>
      <w:r w:rsidRPr="00C74276">
        <w:rPr>
          <w:b/>
          <w:lang w:val="en-CA"/>
        </w:rPr>
        <w:t>Visuel Intégré</w:t>
      </w:r>
      <w:r w:rsidRPr="00C74276">
        <w:rPr>
          <w:lang w:val="en-CA"/>
        </w:rPr>
        <w:t xml:space="preserve"> interfaces. In fact, the architecture of these interfaces did not undergo any changes </w:t>
      </w:r>
      <w:r w:rsidR="00036708" w:rsidRPr="00C74276">
        <w:rPr>
          <w:lang w:val="en-CA"/>
        </w:rPr>
        <w:t>over the years and was identical in all respects to that of Antidote HD.</w:t>
      </w:r>
    </w:p>
    <w:p w14:paraId="0A507DBB" w14:textId="64207F54" w:rsidR="00634D8F" w:rsidRPr="00C74276" w:rsidRDefault="00036708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In any event, if the </w:t>
      </w:r>
      <w:r w:rsidR="006C5587" w:rsidRPr="00C74276">
        <w:rPr>
          <w:lang w:val="en-CA"/>
        </w:rPr>
        <w:t xml:space="preserve">missing essential </w:t>
      </w:r>
      <w:r w:rsidRPr="00C74276">
        <w:rPr>
          <w:lang w:val="en-CA"/>
        </w:rPr>
        <w:t xml:space="preserve">elements for Antidote HD did not prevent the judge from recognizing the existence of </w:t>
      </w:r>
      <w:r w:rsidR="00DA4163" w:rsidRPr="00C74276">
        <w:rPr>
          <w:lang w:val="en-CA"/>
        </w:rPr>
        <w:t>a [</w:t>
      </w:r>
      <w:r w:rsidR="00DA4163" w:rsidRPr="00C74276">
        <w:rPr>
          <w:smallCaps/>
          <w:lang w:val="en-CA"/>
        </w:rPr>
        <w:t>translation</w:t>
      </w:r>
      <w:r w:rsidR="00DA4163" w:rsidRPr="00C74276">
        <w:rPr>
          <w:lang w:val="en-CA"/>
        </w:rPr>
        <w:t xml:space="preserve">] </w:t>
      </w:r>
      <w:r w:rsidRPr="00C74276">
        <w:rPr>
          <w:lang w:val="en-CA"/>
        </w:rPr>
        <w:t>“consent”, the same should have been true for Antidote 8 and 9</w:t>
      </w:r>
      <w:r w:rsidR="00DA4163" w:rsidRPr="00C74276">
        <w:rPr>
          <w:lang w:val="en-CA"/>
        </w:rPr>
        <w:t>,</w:t>
      </w:r>
      <w:r w:rsidRPr="00C74276">
        <w:rPr>
          <w:lang w:val="en-CA"/>
        </w:rPr>
        <w:t xml:space="preserve"> </w:t>
      </w:r>
      <w:r w:rsidR="00DA4163" w:rsidRPr="00C74276">
        <w:rPr>
          <w:lang w:val="en-CA"/>
        </w:rPr>
        <w:t xml:space="preserve">which have </w:t>
      </w:r>
      <w:r w:rsidRPr="00C74276">
        <w:rPr>
          <w:lang w:val="en-CA"/>
        </w:rPr>
        <w:t xml:space="preserve">identical architecture. </w:t>
      </w:r>
    </w:p>
    <w:p w14:paraId="4CF42987" w14:textId="7E11137D" w:rsidR="00634D8F" w:rsidRPr="00C74276" w:rsidRDefault="00634D8F" w:rsidP="00361DEE">
      <w:pPr>
        <w:pStyle w:val="Titre4"/>
        <w:tabs>
          <w:tab w:val="left" w:pos="2552"/>
        </w:tabs>
        <w:ind w:left="2552" w:hanging="992"/>
        <w:rPr>
          <w:lang w:val="en-CA"/>
        </w:rPr>
      </w:pPr>
      <w:r w:rsidRPr="00C74276">
        <w:rPr>
          <w:lang w:val="en-CA"/>
        </w:rPr>
        <w:t>4.1.3.2</w:t>
      </w:r>
      <w:r w:rsidRPr="00C74276">
        <w:rPr>
          <w:lang w:val="en-CA"/>
        </w:rPr>
        <w:tab/>
      </w:r>
      <w:r w:rsidR="00361DEE" w:rsidRPr="00C74276">
        <w:rPr>
          <w:lang w:val="en-CA"/>
        </w:rPr>
        <w:t xml:space="preserve">The </w:t>
      </w:r>
      <w:r w:rsidR="00DA4163" w:rsidRPr="00C74276">
        <w:rPr>
          <w:lang w:val="en-CA"/>
        </w:rPr>
        <w:t xml:space="preserve">judge’s </w:t>
      </w:r>
      <w:r w:rsidR="00D6666B" w:rsidRPr="00C74276">
        <w:rPr>
          <w:lang w:val="en-CA"/>
        </w:rPr>
        <w:t>interpretation of the term</w:t>
      </w:r>
      <w:r w:rsidR="00036708" w:rsidRPr="00C74276">
        <w:rPr>
          <w:lang w:val="en-CA"/>
        </w:rPr>
        <w:t xml:space="preserve"> of the contract</w:t>
      </w:r>
    </w:p>
    <w:p w14:paraId="4DE9FB88" w14:textId="019E3EF9" w:rsidR="00634D8F" w:rsidRPr="00C74276" w:rsidRDefault="00A36297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By failing to characterize the </w:t>
      </w:r>
      <w:r w:rsidR="00751D6A" w:rsidRPr="00C74276">
        <w:rPr>
          <w:lang w:val="en-CA"/>
        </w:rPr>
        <w:t>[</w:t>
      </w:r>
      <w:r w:rsidR="00751D6A" w:rsidRPr="00C74276">
        <w:rPr>
          <w:smallCaps/>
          <w:lang w:val="en-CA"/>
        </w:rPr>
        <w:t>translation</w:t>
      </w:r>
      <w:r w:rsidR="00751D6A" w:rsidRPr="00C74276">
        <w:rPr>
          <w:lang w:val="en-CA"/>
        </w:rPr>
        <w:t xml:space="preserve">] </w:t>
      </w:r>
      <w:r w:rsidR="00721242" w:rsidRPr="00C74276">
        <w:rPr>
          <w:lang w:val="en-CA"/>
        </w:rPr>
        <w:t>“</w:t>
      </w:r>
      <w:r w:rsidRPr="00C74276">
        <w:rPr>
          <w:lang w:val="en-CA"/>
        </w:rPr>
        <w:t>consent</w:t>
      </w:r>
      <w:r w:rsidR="00721242" w:rsidRPr="00C74276">
        <w:rPr>
          <w:lang w:val="en-CA"/>
        </w:rPr>
        <w:t>”</w:t>
      </w:r>
      <w:r w:rsidRPr="00C74276">
        <w:rPr>
          <w:lang w:val="en-CA"/>
        </w:rPr>
        <w:t xml:space="preserve"> </w:t>
      </w:r>
      <w:r w:rsidR="00721242" w:rsidRPr="00C74276">
        <w:rPr>
          <w:lang w:val="en-CA"/>
        </w:rPr>
        <w:t xml:space="preserve">as a non-exclusive licence, </w:t>
      </w:r>
      <w:r w:rsidR="00751D6A" w:rsidRPr="00C74276">
        <w:rPr>
          <w:lang w:val="en-CA"/>
        </w:rPr>
        <w:t xml:space="preserve">which was </w:t>
      </w:r>
      <w:r w:rsidR="00721242" w:rsidRPr="00C74276">
        <w:rPr>
          <w:lang w:val="en-CA"/>
        </w:rPr>
        <w:t>a</w:t>
      </w:r>
      <w:r w:rsidR="004A5A56">
        <w:rPr>
          <w:lang w:val="en-CA"/>
        </w:rPr>
        <w:t>n overriding</w:t>
      </w:r>
      <w:r w:rsidR="00721242" w:rsidRPr="00C74276">
        <w:rPr>
          <w:lang w:val="en-CA"/>
        </w:rPr>
        <w:t xml:space="preserve"> error, the judge consequently failed to analyze the partie</w:t>
      </w:r>
      <w:r w:rsidR="006C5587" w:rsidRPr="00C74276">
        <w:rPr>
          <w:lang w:val="en-CA"/>
        </w:rPr>
        <w:t xml:space="preserve">s’ common intention </w:t>
      </w:r>
      <w:r w:rsidR="007E428F" w:rsidRPr="00C74276">
        <w:rPr>
          <w:lang w:val="en-CA"/>
        </w:rPr>
        <w:t>to</w:t>
      </w:r>
      <w:r w:rsidR="006C5587" w:rsidRPr="00C74276">
        <w:rPr>
          <w:lang w:val="en-CA"/>
        </w:rPr>
        <w:t xml:space="preserve"> determin</w:t>
      </w:r>
      <w:r w:rsidR="007E428F" w:rsidRPr="00C74276">
        <w:rPr>
          <w:lang w:val="en-CA"/>
        </w:rPr>
        <w:t>e</w:t>
      </w:r>
      <w:r w:rsidR="00721242" w:rsidRPr="00C74276">
        <w:rPr>
          <w:lang w:val="en-CA"/>
        </w:rPr>
        <w:t xml:space="preserve"> its duration. </w:t>
      </w:r>
    </w:p>
    <w:p w14:paraId="246361EE" w14:textId="5BF0BF5A" w:rsidR="00634D8F" w:rsidRPr="00C74276" w:rsidRDefault="00721242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In fact, in concluding that QA had granted Druide a</w:t>
      </w:r>
      <w:r w:rsidR="007E428F" w:rsidRPr="00C74276">
        <w:rPr>
          <w:lang w:val="en-CA"/>
        </w:rPr>
        <w:t xml:space="preserve"> [</w:t>
      </w:r>
      <w:r w:rsidR="007E428F" w:rsidRPr="00C74276">
        <w:rPr>
          <w:smallCaps/>
          <w:lang w:val="en-CA"/>
        </w:rPr>
        <w:t>translation</w:t>
      </w:r>
      <w:r w:rsidR="007E428F" w:rsidRPr="00C74276">
        <w:rPr>
          <w:lang w:val="en-CA"/>
        </w:rPr>
        <w:t>]</w:t>
      </w:r>
      <w:r w:rsidRPr="00C74276">
        <w:rPr>
          <w:lang w:val="en-CA"/>
        </w:rPr>
        <w:t xml:space="preserve"> “consent” </w:t>
      </w:r>
      <w:r w:rsidRPr="00C74276">
        <w:rPr>
          <w:u w:val="single"/>
          <w:lang w:val="en-CA"/>
        </w:rPr>
        <w:t>limited</w:t>
      </w:r>
      <w:r w:rsidRPr="00C74276">
        <w:rPr>
          <w:lang w:val="en-CA"/>
        </w:rPr>
        <w:t xml:space="preserve"> solely to Antidote HD, </w:t>
      </w:r>
      <w:r w:rsidR="006C5587" w:rsidRPr="00C74276">
        <w:rPr>
          <w:lang w:val="en-CA"/>
        </w:rPr>
        <w:t>s</w:t>
      </w:r>
      <w:r w:rsidRPr="00C74276">
        <w:rPr>
          <w:lang w:val="en-CA"/>
        </w:rPr>
        <w:t xml:space="preserve">he equated this </w:t>
      </w:r>
      <w:r w:rsidR="007E428F" w:rsidRPr="00C74276">
        <w:rPr>
          <w:lang w:val="en-CA"/>
        </w:rPr>
        <w:t>[</w:t>
      </w:r>
      <w:r w:rsidR="007E428F" w:rsidRPr="00C74276">
        <w:rPr>
          <w:smallCaps/>
          <w:lang w:val="en-CA"/>
        </w:rPr>
        <w:t>translation</w:t>
      </w:r>
      <w:r w:rsidR="007E428F" w:rsidRPr="00C74276">
        <w:rPr>
          <w:lang w:val="en-CA"/>
        </w:rPr>
        <w:t xml:space="preserve">] </w:t>
      </w:r>
      <w:r w:rsidRPr="00C74276">
        <w:rPr>
          <w:lang w:val="en-CA"/>
        </w:rPr>
        <w:t xml:space="preserve">“consent” to a </w:t>
      </w:r>
      <w:r w:rsidRPr="00C74276">
        <w:rPr>
          <w:u w:val="single"/>
          <w:lang w:val="en-CA"/>
        </w:rPr>
        <w:t>fixed</w:t>
      </w:r>
      <w:r w:rsidRPr="00C74276">
        <w:rPr>
          <w:lang w:val="en-CA"/>
        </w:rPr>
        <w:t>-term contract.</w:t>
      </w:r>
    </w:p>
    <w:p w14:paraId="13B0B2EB" w14:textId="4C233B8F" w:rsidR="00634D8F" w:rsidRPr="00C74276" w:rsidRDefault="00721242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This conclusion is </w:t>
      </w:r>
      <w:r w:rsidR="00DC3C92" w:rsidRPr="00C74276">
        <w:rPr>
          <w:lang w:val="en-CA"/>
        </w:rPr>
        <w:t xml:space="preserve">quite </w:t>
      </w:r>
      <w:r w:rsidRPr="00C74276">
        <w:rPr>
          <w:lang w:val="en-CA"/>
        </w:rPr>
        <w:t xml:space="preserve">simply not supported by the evidence, </w:t>
      </w:r>
      <w:r w:rsidR="00947F79" w:rsidRPr="00C74276">
        <w:rPr>
          <w:lang w:val="en-CA"/>
        </w:rPr>
        <w:t xml:space="preserve">as </w:t>
      </w:r>
      <w:r w:rsidRPr="00C74276">
        <w:rPr>
          <w:lang w:val="en-CA"/>
        </w:rPr>
        <w:t>the parties never agreed, explicitly or implicitly, that their agreement would be limit</w:t>
      </w:r>
      <w:r w:rsidR="00DC3C92" w:rsidRPr="00C74276">
        <w:rPr>
          <w:lang w:val="en-CA"/>
        </w:rPr>
        <w:t xml:space="preserve">ed in time to the </w:t>
      </w:r>
      <w:r w:rsidR="00947F79" w:rsidRPr="00C74276">
        <w:rPr>
          <w:lang w:val="en-CA"/>
        </w:rPr>
        <w:t>sole</w:t>
      </w:r>
      <w:r w:rsidR="00DC3C92" w:rsidRPr="00C74276">
        <w:rPr>
          <w:lang w:val="en-CA"/>
        </w:rPr>
        <w:t xml:space="preserve"> edition</w:t>
      </w:r>
      <w:r w:rsidRPr="00C74276">
        <w:rPr>
          <w:lang w:val="en-CA"/>
        </w:rPr>
        <w:t xml:space="preserve"> of Antidote HD. </w:t>
      </w:r>
    </w:p>
    <w:p w14:paraId="7CCC9179" w14:textId="0AC0CC22" w:rsidR="00634D8F" w:rsidRPr="00C74276" w:rsidRDefault="00E54F5B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The evidence established that discussions frequently took place</w:t>
      </w:r>
      <w:r w:rsidR="006C5587" w:rsidRPr="00C74276">
        <w:rPr>
          <w:lang w:val="en-CA"/>
        </w:rPr>
        <w:t xml:space="preserve"> reg</w:t>
      </w:r>
      <w:r w:rsidR="00955767" w:rsidRPr="00C74276">
        <w:rPr>
          <w:lang w:val="en-CA"/>
        </w:rPr>
        <w:t>arding the setting of a term</w:t>
      </w:r>
      <w:r w:rsidRPr="00C74276">
        <w:rPr>
          <w:lang w:val="en-CA"/>
        </w:rPr>
        <w:t>, without, however, an</w:t>
      </w:r>
      <w:r w:rsidR="00A4060F" w:rsidRPr="00C74276">
        <w:rPr>
          <w:lang w:val="en-CA"/>
        </w:rPr>
        <w:t>y</w:t>
      </w:r>
      <w:r w:rsidRPr="00C74276">
        <w:rPr>
          <w:lang w:val="en-CA"/>
        </w:rPr>
        <w:t xml:space="preserve"> agreement </w:t>
      </w:r>
      <w:r w:rsidR="006C5587" w:rsidRPr="00C74276">
        <w:rPr>
          <w:lang w:val="en-CA"/>
        </w:rPr>
        <w:t xml:space="preserve">being reached </w:t>
      </w:r>
      <w:r w:rsidRPr="00C74276">
        <w:rPr>
          <w:lang w:val="en-CA"/>
        </w:rPr>
        <w:t xml:space="preserve">between the parties on this subject. </w:t>
      </w:r>
    </w:p>
    <w:p w14:paraId="4EF5C053" w14:textId="780783BE" w:rsidR="00634D8F" w:rsidRPr="00C74276" w:rsidRDefault="00E54F5B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Thus, discussions were underway at the time of the integration of </w:t>
      </w:r>
      <w:r w:rsidR="00AB1702" w:rsidRPr="00C74276">
        <w:rPr>
          <w:lang w:val="en-CA"/>
        </w:rPr>
        <w:t>l’Index du Visuel</w:t>
      </w:r>
      <w:r w:rsidRPr="00C74276">
        <w:rPr>
          <w:lang w:val="en-CA"/>
        </w:rPr>
        <w:t xml:space="preserve">, </w:t>
      </w:r>
      <w:r w:rsidR="004273D4" w:rsidRPr="00C74276">
        <w:rPr>
          <w:lang w:val="en-CA"/>
        </w:rPr>
        <w:t xml:space="preserve">the </w:t>
      </w:r>
      <w:r w:rsidRPr="00C74276">
        <w:rPr>
          <w:lang w:val="en-CA"/>
        </w:rPr>
        <w:t xml:space="preserve">predecessor of </w:t>
      </w:r>
      <w:r w:rsidRPr="00C74276">
        <w:rPr>
          <w:b/>
          <w:lang w:val="en-CA"/>
        </w:rPr>
        <w:t>Visuel Nano</w:t>
      </w:r>
      <w:r w:rsidRPr="00C74276">
        <w:rPr>
          <w:lang w:val="en-CA"/>
        </w:rPr>
        <w:t xml:space="preserve">. The 2004 draft agreement, </w:t>
      </w:r>
      <w:r w:rsidR="004273D4" w:rsidRPr="00C74276">
        <w:rPr>
          <w:lang w:val="en-CA"/>
        </w:rPr>
        <w:t xml:space="preserve">which was </w:t>
      </w:r>
      <w:r w:rsidRPr="00C74276">
        <w:rPr>
          <w:lang w:val="en-CA"/>
        </w:rPr>
        <w:t>nev</w:t>
      </w:r>
      <w:r w:rsidR="00A4060F" w:rsidRPr="00C74276">
        <w:rPr>
          <w:lang w:val="en-CA"/>
        </w:rPr>
        <w:t>er finalized or signed, provided</w:t>
      </w:r>
      <w:r w:rsidRPr="00C74276">
        <w:rPr>
          <w:lang w:val="en-CA"/>
        </w:rPr>
        <w:t xml:space="preserve"> for an agreement </w:t>
      </w:r>
      <w:r w:rsidR="004273D4" w:rsidRPr="00C74276">
        <w:rPr>
          <w:lang w:val="en-CA"/>
        </w:rPr>
        <w:t xml:space="preserve">that was </w:t>
      </w:r>
      <w:r w:rsidRPr="00C74276">
        <w:rPr>
          <w:lang w:val="en-CA"/>
        </w:rPr>
        <w:t xml:space="preserve">valid for three years </w:t>
      </w:r>
      <w:r w:rsidR="004273D4" w:rsidRPr="00C74276">
        <w:rPr>
          <w:lang w:val="en-CA"/>
        </w:rPr>
        <w:t xml:space="preserve">and </w:t>
      </w:r>
      <w:r w:rsidRPr="00C74276">
        <w:rPr>
          <w:lang w:val="en-CA"/>
        </w:rPr>
        <w:t>automatically renewable.</w:t>
      </w:r>
      <w:r w:rsidR="00361DEE" w:rsidRPr="00C74276">
        <w:rPr>
          <w:rStyle w:val="Appelnotedebasdep"/>
          <w:lang w:val="en-CA"/>
        </w:rPr>
        <w:footnoteReference w:id="120"/>
      </w:r>
      <w:r w:rsidR="00FC5E57" w:rsidRPr="00C74276">
        <w:rPr>
          <w:lang w:val="en-CA"/>
        </w:rPr>
        <w:t xml:space="preserve"> </w:t>
      </w:r>
      <w:r w:rsidRPr="00C74276">
        <w:rPr>
          <w:lang w:val="en-CA"/>
        </w:rPr>
        <w:t xml:space="preserve">In May </w:t>
      </w:r>
      <w:r w:rsidR="00A4060F" w:rsidRPr="00C74276">
        <w:rPr>
          <w:lang w:val="en-CA"/>
        </w:rPr>
        <w:t>2008, at the time of</w:t>
      </w:r>
      <w:r w:rsidRPr="00C74276">
        <w:rPr>
          <w:lang w:val="en-CA"/>
        </w:rPr>
        <w:t xml:space="preserve"> designing the </w:t>
      </w:r>
      <w:r w:rsidRPr="00C74276">
        <w:rPr>
          <w:b/>
          <w:lang w:val="en-CA"/>
        </w:rPr>
        <w:t>Visuel Nano</w:t>
      </w:r>
      <w:r w:rsidRPr="00C74276">
        <w:rPr>
          <w:lang w:val="en-CA"/>
        </w:rPr>
        <w:t xml:space="preserve"> interfac</w:t>
      </w:r>
      <w:r w:rsidR="006C5587" w:rsidRPr="00C74276">
        <w:rPr>
          <w:lang w:val="en-CA"/>
        </w:rPr>
        <w:t>e, QA confirmed that Druide could</w:t>
      </w:r>
      <w:r w:rsidR="00A4060F" w:rsidRPr="00C74276">
        <w:rPr>
          <w:lang w:val="en-CA"/>
        </w:rPr>
        <w:t xml:space="preserve"> </w:t>
      </w:r>
      <w:r w:rsidRPr="00C74276">
        <w:rPr>
          <w:lang w:val="en-CA"/>
        </w:rPr>
        <w:t xml:space="preserve">continue to offer this new interface </w:t>
      </w:r>
      <w:r w:rsidR="009F1EDA" w:rsidRPr="00C74276">
        <w:rPr>
          <w:lang w:val="en-CA"/>
        </w:rPr>
        <w:t xml:space="preserve">in the Antidote HD software </w:t>
      </w:r>
      <w:r w:rsidR="004273D4" w:rsidRPr="00C74276">
        <w:rPr>
          <w:lang w:val="en-CA"/>
        </w:rPr>
        <w:t>[</w:t>
      </w:r>
      <w:r w:rsidR="004273D4" w:rsidRPr="00C74276">
        <w:rPr>
          <w:smallCaps/>
          <w:lang w:val="en-CA"/>
        </w:rPr>
        <w:t>translation</w:t>
      </w:r>
      <w:r w:rsidR="004273D4" w:rsidRPr="00C74276">
        <w:rPr>
          <w:lang w:val="en-CA"/>
        </w:rPr>
        <w:t xml:space="preserve">] </w:t>
      </w:r>
      <w:r w:rsidR="009F1EDA" w:rsidRPr="00C74276">
        <w:rPr>
          <w:lang w:val="en-CA"/>
        </w:rPr>
        <w:t>“for a period of 10 years following</w:t>
      </w:r>
      <w:r w:rsidR="006C5587" w:rsidRPr="00C74276">
        <w:rPr>
          <w:lang w:val="en-CA"/>
        </w:rPr>
        <w:t xml:space="preserve"> a possible</w:t>
      </w:r>
      <w:r w:rsidR="00A4060F" w:rsidRPr="00C74276">
        <w:rPr>
          <w:lang w:val="en-CA"/>
        </w:rPr>
        <w:t xml:space="preserve"> withdrawal” by QA from</w:t>
      </w:r>
      <w:r w:rsidR="009F1EDA" w:rsidRPr="00C74276">
        <w:rPr>
          <w:lang w:val="en-CA"/>
        </w:rPr>
        <w:t xml:space="preserve"> this partnership.</w:t>
      </w:r>
      <w:r w:rsidR="00361DEE" w:rsidRPr="00C74276">
        <w:rPr>
          <w:rStyle w:val="Appelnotedebasdep"/>
          <w:lang w:val="en-CA"/>
        </w:rPr>
        <w:footnoteReference w:id="121"/>
      </w:r>
      <w:r w:rsidR="00095F90" w:rsidRPr="00C74276">
        <w:rPr>
          <w:lang w:val="en-CA"/>
        </w:rPr>
        <w:t xml:space="preserve"> </w:t>
      </w:r>
      <w:r w:rsidR="009F1EDA" w:rsidRPr="00C74276">
        <w:rPr>
          <w:lang w:val="en-CA"/>
        </w:rPr>
        <w:t xml:space="preserve">In January 2009, Druide announced to QA that it was abandoning </w:t>
      </w:r>
      <w:r w:rsidR="00223102" w:rsidRPr="00C74276">
        <w:rPr>
          <w:lang w:val="en-CA"/>
        </w:rPr>
        <w:t>[</w:t>
      </w:r>
      <w:r w:rsidR="00223102" w:rsidRPr="00C74276">
        <w:rPr>
          <w:smallCaps/>
          <w:lang w:val="en-CA"/>
        </w:rPr>
        <w:t>translation</w:t>
      </w:r>
      <w:r w:rsidR="00223102" w:rsidRPr="00C74276">
        <w:rPr>
          <w:lang w:val="en-CA"/>
        </w:rPr>
        <w:t xml:space="preserve">] </w:t>
      </w:r>
      <w:r w:rsidR="009F1EDA" w:rsidRPr="00C74276">
        <w:rPr>
          <w:lang w:val="en-CA"/>
        </w:rPr>
        <w:t>“the initial idea of a 10-year contr</w:t>
      </w:r>
      <w:r w:rsidR="00EC4C86" w:rsidRPr="00C74276">
        <w:rPr>
          <w:lang w:val="en-CA"/>
        </w:rPr>
        <w:t>act”,</w:t>
      </w:r>
      <w:r w:rsidR="00955767" w:rsidRPr="00C74276">
        <w:rPr>
          <w:lang w:val="en-CA"/>
        </w:rPr>
        <w:t xml:space="preserve"> favouring instead a term</w:t>
      </w:r>
      <w:r w:rsidR="009F1EDA" w:rsidRPr="00C74276">
        <w:rPr>
          <w:lang w:val="en-CA"/>
        </w:rPr>
        <w:t xml:space="preserve"> described as </w:t>
      </w:r>
      <w:r w:rsidR="00223102" w:rsidRPr="00C74276">
        <w:rPr>
          <w:lang w:val="en-CA"/>
        </w:rPr>
        <w:t>[</w:t>
      </w:r>
      <w:r w:rsidR="00223102" w:rsidRPr="00C74276">
        <w:rPr>
          <w:smallCaps/>
          <w:lang w:val="en-CA"/>
        </w:rPr>
        <w:t>translation</w:t>
      </w:r>
      <w:r w:rsidR="00223102" w:rsidRPr="00C74276">
        <w:rPr>
          <w:lang w:val="en-CA"/>
        </w:rPr>
        <w:t xml:space="preserve">] </w:t>
      </w:r>
      <w:r w:rsidR="009F1EDA" w:rsidRPr="00C74276">
        <w:rPr>
          <w:lang w:val="en-CA"/>
        </w:rPr>
        <w:t>“unlimited”</w:t>
      </w:r>
      <w:r w:rsidR="00E06F47">
        <w:rPr>
          <w:lang w:val="en-CA"/>
        </w:rPr>
        <w:t>.</w:t>
      </w:r>
      <w:r w:rsidR="00650070" w:rsidRPr="00C74276">
        <w:rPr>
          <w:rStyle w:val="Appelnotedebasdep"/>
          <w:lang w:val="en-CA"/>
        </w:rPr>
        <w:footnoteReference w:id="122"/>
      </w:r>
      <w:r w:rsidR="00095F90" w:rsidRPr="00C74276">
        <w:rPr>
          <w:lang w:val="en-CA"/>
        </w:rPr>
        <w:t xml:space="preserve"> Following the launch of Antido</w:t>
      </w:r>
      <w:r w:rsidR="009F1EDA" w:rsidRPr="00C74276">
        <w:rPr>
          <w:lang w:val="en-CA"/>
        </w:rPr>
        <w:t xml:space="preserve">te </w:t>
      </w:r>
      <w:r w:rsidR="00EC4C86" w:rsidRPr="00C74276">
        <w:rPr>
          <w:lang w:val="en-CA"/>
        </w:rPr>
        <w:t>HD in October 2009, QA agreed</w:t>
      </w:r>
      <w:r w:rsidR="009F1EDA" w:rsidRPr="00C74276">
        <w:rPr>
          <w:lang w:val="en-CA"/>
        </w:rPr>
        <w:t xml:space="preserve"> to the use of its Works for almost two years,</w:t>
      </w:r>
      <w:r w:rsidR="00E06F47">
        <w:rPr>
          <w:lang w:val="en-CA"/>
        </w:rPr>
        <w:t xml:space="preserve"> as</w:t>
      </w:r>
      <w:r w:rsidR="009F1EDA" w:rsidRPr="00C74276">
        <w:rPr>
          <w:lang w:val="en-CA"/>
        </w:rPr>
        <w:t xml:space="preserve"> their negotiations to reach a written agreement </w:t>
      </w:r>
      <w:r w:rsidR="006C5587" w:rsidRPr="00C74276">
        <w:rPr>
          <w:lang w:val="en-CA"/>
        </w:rPr>
        <w:t>ha</w:t>
      </w:r>
      <w:r w:rsidR="00E06F47">
        <w:rPr>
          <w:lang w:val="en-CA"/>
        </w:rPr>
        <w:t>d</w:t>
      </w:r>
      <w:r w:rsidR="006C5587" w:rsidRPr="00C74276">
        <w:rPr>
          <w:lang w:val="en-CA"/>
        </w:rPr>
        <w:t xml:space="preserve"> extended</w:t>
      </w:r>
      <w:r w:rsidR="009F1EDA" w:rsidRPr="00C74276">
        <w:rPr>
          <w:lang w:val="en-CA"/>
        </w:rPr>
        <w:t xml:space="preserve"> until June 22, 2012.</w:t>
      </w:r>
      <w:r w:rsidR="00650070" w:rsidRPr="00C74276">
        <w:rPr>
          <w:rStyle w:val="Appelnotedebasdep"/>
          <w:lang w:val="en-CA"/>
        </w:rPr>
        <w:footnoteReference w:id="123"/>
      </w:r>
      <w:r w:rsidR="00095F90" w:rsidRPr="00C74276">
        <w:rPr>
          <w:lang w:val="en-CA"/>
        </w:rPr>
        <w:t xml:space="preserve"> </w:t>
      </w:r>
      <w:r w:rsidR="009F1EDA" w:rsidRPr="00C74276">
        <w:rPr>
          <w:lang w:val="en-CA"/>
        </w:rPr>
        <w:t xml:space="preserve">In April 2011, Luc Roberge sent an email to Jacques Fortin. </w:t>
      </w:r>
      <w:r w:rsidR="00095F90" w:rsidRPr="00C74276">
        <w:rPr>
          <w:lang w:val="en-CA"/>
        </w:rPr>
        <w:t>In it</w:t>
      </w:r>
      <w:r w:rsidR="009F1EDA" w:rsidRPr="00C74276">
        <w:rPr>
          <w:lang w:val="en-CA"/>
        </w:rPr>
        <w:t xml:space="preserve"> he wrote: </w:t>
      </w:r>
    </w:p>
    <w:p w14:paraId="3FF04D20" w14:textId="618FAD31" w:rsidR="00223102" w:rsidRPr="00C74276" w:rsidRDefault="00223102" w:rsidP="00C554B2">
      <w:pPr>
        <w:pStyle w:val="Citationenretrait"/>
        <w:keepNext/>
        <w:rPr>
          <w:rFonts w:cs="Arial"/>
          <w:lang w:val="en-CA"/>
        </w:rPr>
      </w:pPr>
      <w:r w:rsidRPr="00C74276">
        <w:rPr>
          <w:rFonts w:cs="Arial"/>
          <w:lang w:val="en-CA"/>
        </w:rPr>
        <w:lastRenderedPageBreak/>
        <w:t>[</w:t>
      </w:r>
      <w:r w:rsidRPr="00C74276">
        <w:rPr>
          <w:rFonts w:cs="Arial"/>
          <w:smallCaps/>
          <w:lang w:val="en-CA"/>
        </w:rPr>
        <w:t>translation</w:t>
      </w:r>
      <w:r w:rsidRPr="00C74276">
        <w:rPr>
          <w:rFonts w:cs="Arial"/>
          <w:lang w:val="en-CA"/>
        </w:rPr>
        <w:t>]</w:t>
      </w:r>
    </w:p>
    <w:p w14:paraId="44E0033F" w14:textId="4BC96857" w:rsidR="00634D8F" w:rsidRPr="00C74276" w:rsidRDefault="00095F90" w:rsidP="00C554B2">
      <w:pPr>
        <w:pStyle w:val="Citationenretrait"/>
        <w:keepNext/>
        <w:rPr>
          <w:lang w:val="en-CA"/>
        </w:rPr>
      </w:pPr>
      <w:r w:rsidRPr="00C74276">
        <w:rPr>
          <w:rFonts w:cs="Arial"/>
          <w:lang w:val="en-CA"/>
        </w:rPr>
        <w:t>However, I do not recall</w:t>
      </w:r>
      <w:r w:rsidR="006C5587" w:rsidRPr="00C74276">
        <w:rPr>
          <w:rFonts w:cs="Arial"/>
          <w:lang w:val="en-CA"/>
        </w:rPr>
        <w:t xml:space="preserve"> that we had agreed </w:t>
      </w:r>
      <w:r w:rsidRPr="00C74276">
        <w:rPr>
          <w:rFonts w:cs="Arial"/>
          <w:lang w:val="en-CA"/>
        </w:rPr>
        <w:t>on the duration of the contract</w:t>
      </w:r>
      <w:r w:rsidR="00223102" w:rsidRPr="00C74276">
        <w:rPr>
          <w:rFonts w:cs="Arial"/>
          <w:lang w:val="en-CA"/>
        </w:rPr>
        <w:t>.</w:t>
      </w:r>
      <w:r w:rsidRPr="00C74276">
        <w:rPr>
          <w:rFonts w:cs="Arial"/>
          <w:lang w:val="en-CA"/>
        </w:rPr>
        <w:t xml:space="preserve"> As I wrote to you, there has always been a historical irritant around the duration at each negotiation</w:t>
      </w:r>
      <w:r w:rsidR="00223102" w:rsidRPr="00C74276">
        <w:rPr>
          <w:rFonts w:cs="Arial"/>
          <w:lang w:val="en-CA"/>
        </w:rPr>
        <w:t>.</w:t>
      </w:r>
      <w:r w:rsidRPr="00C74276">
        <w:rPr>
          <w:rFonts w:cs="Arial"/>
          <w:lang w:val="en-CA"/>
        </w:rPr>
        <w:t xml:space="preserve"> I have a</w:t>
      </w:r>
      <w:r w:rsidR="00B02061" w:rsidRPr="00C74276">
        <w:rPr>
          <w:rFonts w:cs="Arial"/>
          <w:lang w:val="en-CA"/>
        </w:rPr>
        <w:t>lways wanted to put a fixed duration</w:t>
      </w:r>
      <w:r w:rsidRPr="00C74276">
        <w:rPr>
          <w:rFonts w:cs="Arial"/>
          <w:lang w:val="en-CA"/>
        </w:rPr>
        <w:t xml:space="preserve"> on the agreements</w:t>
      </w:r>
      <w:r w:rsidR="00223102" w:rsidRPr="00C74276">
        <w:rPr>
          <w:rFonts w:cs="Arial"/>
          <w:lang w:val="en-CA"/>
        </w:rPr>
        <w:t>,</w:t>
      </w:r>
      <w:r w:rsidRPr="00C74276">
        <w:rPr>
          <w:rFonts w:cs="Arial"/>
          <w:lang w:val="en-CA"/>
        </w:rPr>
        <w:t xml:space="preserve"> and </w:t>
      </w:r>
      <w:r w:rsidRPr="00C74276">
        <w:rPr>
          <w:lang w:val="en-CA"/>
        </w:rPr>
        <w:t>André</w:t>
      </w:r>
      <w:r w:rsidRPr="00C74276">
        <w:rPr>
          <w:rFonts w:cs="Arial"/>
          <w:lang w:val="en-CA"/>
        </w:rPr>
        <w:t xml:space="preserve"> has always insisted on agreements of unlimited duration.</w:t>
      </w:r>
      <w:r w:rsidR="00634D8F" w:rsidRPr="00C74276">
        <w:rPr>
          <w:rStyle w:val="Appelnotedebasdep"/>
          <w:lang w:val="en-CA"/>
        </w:rPr>
        <w:footnoteReference w:id="124"/>
      </w:r>
    </w:p>
    <w:p w14:paraId="60E97295" w14:textId="5B54685E" w:rsidR="00634D8F" w:rsidRPr="00C74276" w:rsidRDefault="00CC3698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In the absence of </w:t>
      </w:r>
      <w:r w:rsidR="00B02061" w:rsidRPr="00C74276">
        <w:rPr>
          <w:lang w:val="en-CA"/>
        </w:rPr>
        <w:t>an accord</w:t>
      </w:r>
      <w:r w:rsidR="0078327B" w:rsidRPr="00C74276">
        <w:rPr>
          <w:lang w:val="en-CA"/>
        </w:rPr>
        <w:t xml:space="preserve"> </w:t>
      </w:r>
      <w:r w:rsidR="00955767" w:rsidRPr="00C74276">
        <w:rPr>
          <w:lang w:val="en-CA"/>
        </w:rPr>
        <w:t>limiting the term</w:t>
      </w:r>
      <w:r w:rsidR="0078327B" w:rsidRPr="00C74276">
        <w:rPr>
          <w:lang w:val="en-CA"/>
        </w:rPr>
        <w:t xml:space="preserve"> of the agreement entered into for the Antidote HD edition or providing for an extinctive term or even </w:t>
      </w:r>
      <w:r w:rsidR="00650070" w:rsidRPr="00C74276">
        <w:rPr>
          <w:lang w:val="en-CA"/>
        </w:rPr>
        <w:t>for an unlimited term,</w:t>
      </w:r>
      <w:r w:rsidR="00650070" w:rsidRPr="00C74276">
        <w:rPr>
          <w:rStyle w:val="Appelnotedebasdep"/>
          <w:lang w:val="en-CA"/>
        </w:rPr>
        <w:footnoteReference w:id="125"/>
      </w:r>
      <w:r w:rsidR="0078327B" w:rsidRPr="00C74276">
        <w:rPr>
          <w:lang w:val="en-CA"/>
        </w:rPr>
        <w:t xml:space="preserve"> it must be concluded that the parties were bound by a</w:t>
      </w:r>
      <w:r w:rsidR="00373E80">
        <w:rPr>
          <w:lang w:val="en-CA"/>
        </w:rPr>
        <w:t xml:space="preserve"> contract for an</w:t>
      </w:r>
      <w:r w:rsidR="0078327B" w:rsidRPr="00C74276">
        <w:rPr>
          <w:lang w:val="en-CA"/>
        </w:rPr>
        <w:t xml:space="preserve"> indeterminate </w:t>
      </w:r>
      <w:r w:rsidR="00746B48" w:rsidRPr="00C74276">
        <w:rPr>
          <w:lang w:val="en-CA"/>
        </w:rPr>
        <w:t>term</w:t>
      </w:r>
      <w:r w:rsidR="0078327B" w:rsidRPr="00C74276">
        <w:rPr>
          <w:lang w:val="en-CA"/>
        </w:rPr>
        <w:t xml:space="preserve">. </w:t>
      </w:r>
    </w:p>
    <w:p w14:paraId="76DDB124" w14:textId="7B49D8BA" w:rsidR="00634D8F" w:rsidRPr="00C74276" w:rsidRDefault="00D13088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I</w:t>
      </w:r>
      <w:r w:rsidR="0078327B" w:rsidRPr="00C74276">
        <w:rPr>
          <w:lang w:val="en-CA"/>
        </w:rPr>
        <w:t xml:space="preserve">n these circumstances, </w:t>
      </w:r>
      <w:r w:rsidRPr="00C74276">
        <w:rPr>
          <w:lang w:val="en-CA"/>
        </w:rPr>
        <w:t xml:space="preserve">QA could not </w:t>
      </w:r>
      <w:r w:rsidR="0078327B" w:rsidRPr="00C74276">
        <w:rPr>
          <w:lang w:val="en-CA"/>
        </w:rPr>
        <w:t>terminate this contract without giving reasonable notice to Druide to allow it</w:t>
      </w:r>
      <w:r w:rsidRPr="00C74276">
        <w:rPr>
          <w:lang w:val="en-CA"/>
        </w:rPr>
        <w:t xml:space="preserve"> [</w:t>
      </w:r>
      <w:r w:rsidRPr="00C74276">
        <w:rPr>
          <w:smallCaps/>
          <w:lang w:val="en-CA"/>
        </w:rPr>
        <w:t>translation</w:t>
      </w:r>
      <w:r w:rsidRPr="00C74276">
        <w:rPr>
          <w:lang w:val="en-CA"/>
        </w:rPr>
        <w:t>]</w:t>
      </w:r>
      <w:r w:rsidR="0078327B" w:rsidRPr="00C74276">
        <w:rPr>
          <w:lang w:val="en-CA"/>
        </w:rPr>
        <w:t xml:space="preserve"> “to benefit fro</w:t>
      </w:r>
      <w:r w:rsidR="00746B48" w:rsidRPr="00C74276">
        <w:rPr>
          <w:lang w:val="en-CA"/>
        </w:rPr>
        <w:t>m a period necessary to reorient</w:t>
      </w:r>
      <w:r w:rsidR="0078327B" w:rsidRPr="00C74276">
        <w:rPr>
          <w:lang w:val="en-CA"/>
        </w:rPr>
        <w:t xml:space="preserve"> its commercial activities”</w:t>
      </w:r>
      <w:r w:rsidRPr="00C74276">
        <w:rPr>
          <w:lang w:val="en-CA"/>
        </w:rPr>
        <w:t>.</w:t>
      </w:r>
      <w:r w:rsidR="00634D8F" w:rsidRPr="00C74276">
        <w:rPr>
          <w:rStyle w:val="Appelnotedebasdep"/>
          <w:lang w:val="en-CA"/>
        </w:rPr>
        <w:footnoteReference w:id="126"/>
      </w:r>
    </w:p>
    <w:p w14:paraId="31E1AB50" w14:textId="01261469" w:rsidR="00634D8F" w:rsidRPr="00C74276" w:rsidRDefault="00D13088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R</w:t>
      </w:r>
      <w:r w:rsidR="0078327B" w:rsidRPr="00C74276">
        <w:rPr>
          <w:lang w:val="en-CA"/>
        </w:rPr>
        <w:t xml:space="preserve">ecall that the judge rejected the </w:t>
      </w:r>
      <w:r w:rsidR="009A074B" w:rsidRPr="00C74276">
        <w:rPr>
          <w:lang w:val="en-CA"/>
        </w:rPr>
        <w:t>idea that the agreement between the part</w:t>
      </w:r>
      <w:r w:rsidR="0039326E" w:rsidRPr="00C74276">
        <w:rPr>
          <w:lang w:val="en-CA"/>
        </w:rPr>
        <w:t>ies was for an indeterminate</w:t>
      </w:r>
      <w:r w:rsidR="00955767" w:rsidRPr="00C74276">
        <w:rPr>
          <w:lang w:val="en-CA"/>
        </w:rPr>
        <w:t xml:space="preserve"> term</w:t>
      </w:r>
      <w:r w:rsidR="009A074B" w:rsidRPr="00C74276">
        <w:rPr>
          <w:lang w:val="en-CA"/>
        </w:rPr>
        <w:t xml:space="preserve">. Despite this determination, </w:t>
      </w:r>
      <w:r w:rsidR="00B02061" w:rsidRPr="00C74276">
        <w:rPr>
          <w:lang w:val="en-CA"/>
        </w:rPr>
        <w:t>s</w:t>
      </w:r>
      <w:r w:rsidR="009A074B" w:rsidRPr="00C74276">
        <w:rPr>
          <w:lang w:val="en-CA"/>
        </w:rPr>
        <w:t xml:space="preserve">he nevertheless granted Druide a period of </w:t>
      </w:r>
      <w:r w:rsidR="00B02061" w:rsidRPr="00C74276">
        <w:rPr>
          <w:lang w:val="en-CA"/>
        </w:rPr>
        <w:t xml:space="preserve">time akin to prior </w:t>
      </w:r>
      <w:r w:rsidR="009A074B" w:rsidRPr="00C74276">
        <w:rPr>
          <w:lang w:val="en-CA"/>
        </w:rPr>
        <w:t>notice to cease using QA</w:t>
      </w:r>
      <w:r w:rsidRPr="00C74276">
        <w:rPr>
          <w:lang w:val="en-CA"/>
        </w:rPr>
        <w:t>’s</w:t>
      </w:r>
      <w:r w:rsidR="009A074B" w:rsidRPr="00C74276">
        <w:rPr>
          <w:lang w:val="en-CA"/>
        </w:rPr>
        <w:t xml:space="preserve"> Works, i.e.</w:t>
      </w:r>
      <w:r w:rsidRPr="00C74276">
        <w:rPr>
          <w:lang w:val="en-CA"/>
        </w:rPr>
        <w:t>,</w:t>
      </w:r>
      <w:r w:rsidR="009A074B" w:rsidRPr="00C74276">
        <w:rPr>
          <w:lang w:val="en-CA"/>
        </w:rPr>
        <w:t xml:space="preserve"> until the earlier of the following two dates: the launch date of the next editio</w:t>
      </w:r>
      <w:r w:rsidR="00746B48" w:rsidRPr="00C74276">
        <w:rPr>
          <w:lang w:val="en-CA"/>
        </w:rPr>
        <w:t>n of Antidote, which was to</w:t>
      </w:r>
      <w:r w:rsidR="009A074B" w:rsidRPr="00C74276">
        <w:rPr>
          <w:lang w:val="en-CA"/>
        </w:rPr>
        <w:t xml:space="preserve"> be Antidote 10, or December 31, 2018. </w:t>
      </w:r>
    </w:p>
    <w:p w14:paraId="3975F202" w14:textId="5AA9AA92" w:rsidR="00634D8F" w:rsidRPr="00C74276" w:rsidRDefault="009A074B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Considering the nature of the business relationship between the parties, the duration of this relationship</w:t>
      </w:r>
      <w:r w:rsidR="00746B48" w:rsidRPr="00C74276">
        <w:rPr>
          <w:lang w:val="en-CA"/>
        </w:rPr>
        <w:t>,</w:t>
      </w:r>
      <w:r w:rsidRPr="00C74276">
        <w:rPr>
          <w:lang w:val="en-CA"/>
        </w:rPr>
        <w:t xml:space="preserve"> </w:t>
      </w:r>
      <w:r w:rsidR="00D13088" w:rsidRPr="00C74276">
        <w:rPr>
          <w:lang w:val="en-CA"/>
        </w:rPr>
        <w:t>and</w:t>
      </w:r>
      <w:r w:rsidRPr="00C74276">
        <w:rPr>
          <w:lang w:val="en-CA"/>
        </w:rPr>
        <w:t xml:space="preserve"> the period nec</w:t>
      </w:r>
      <w:r w:rsidR="00746B48" w:rsidRPr="00C74276">
        <w:rPr>
          <w:lang w:val="en-CA"/>
        </w:rPr>
        <w:t>essary to allow Druide to reorient</w:t>
      </w:r>
      <w:r w:rsidRPr="00C74276">
        <w:rPr>
          <w:lang w:val="en-CA"/>
        </w:rPr>
        <w:t xml:space="preserve"> its commercial activities, the da</w:t>
      </w:r>
      <w:r w:rsidR="00746B48" w:rsidRPr="00C74276">
        <w:rPr>
          <w:lang w:val="en-CA"/>
        </w:rPr>
        <w:t>te of December 31, 2018</w:t>
      </w:r>
      <w:r w:rsidR="00D13088" w:rsidRPr="00C74276">
        <w:rPr>
          <w:lang w:val="en-CA"/>
        </w:rPr>
        <w:t>,</w:t>
      </w:r>
      <w:r w:rsidR="00746B48" w:rsidRPr="00C74276">
        <w:rPr>
          <w:lang w:val="en-CA"/>
        </w:rPr>
        <w:t xml:space="preserve"> </w:t>
      </w:r>
      <w:r w:rsidR="00D13088" w:rsidRPr="00C74276">
        <w:rPr>
          <w:lang w:val="en-CA"/>
        </w:rPr>
        <w:t>accepted</w:t>
      </w:r>
      <w:r w:rsidRPr="00C74276">
        <w:rPr>
          <w:lang w:val="en-CA"/>
        </w:rPr>
        <w:t xml:space="preserve"> by the judge constitute</w:t>
      </w:r>
      <w:r w:rsidR="00CA53B2" w:rsidRPr="00C74276">
        <w:rPr>
          <w:lang w:val="en-CA"/>
        </w:rPr>
        <w:t>d</w:t>
      </w:r>
      <w:r w:rsidR="00383451" w:rsidRPr="00C74276">
        <w:rPr>
          <w:lang w:val="en-CA"/>
        </w:rPr>
        <w:t xml:space="preserve"> </w:t>
      </w:r>
      <w:r w:rsidRPr="00C74276">
        <w:rPr>
          <w:lang w:val="en-CA"/>
        </w:rPr>
        <w:t xml:space="preserve">reasonable notice in the circumstances. </w:t>
      </w:r>
    </w:p>
    <w:p w14:paraId="7CD1F750" w14:textId="53560642" w:rsidR="00634D8F" w:rsidRPr="00C74276" w:rsidRDefault="00D13088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Because</w:t>
      </w:r>
      <w:r w:rsidR="009A074B" w:rsidRPr="00C74276">
        <w:rPr>
          <w:lang w:val="en-CA"/>
        </w:rPr>
        <w:t xml:space="preserve"> the contract binding </w:t>
      </w:r>
      <w:r w:rsidR="00CA53B2" w:rsidRPr="00C74276">
        <w:rPr>
          <w:lang w:val="en-CA"/>
        </w:rPr>
        <w:t>the parties was</w:t>
      </w:r>
      <w:r w:rsidR="00383451" w:rsidRPr="00C74276">
        <w:rPr>
          <w:lang w:val="en-CA"/>
        </w:rPr>
        <w:t xml:space="preserve"> for an indeterminate</w:t>
      </w:r>
      <w:r w:rsidR="009A074B" w:rsidRPr="00C74276">
        <w:rPr>
          <w:lang w:val="en-CA"/>
        </w:rPr>
        <w:t xml:space="preserve"> </w:t>
      </w:r>
      <w:r w:rsidRPr="00C74276">
        <w:rPr>
          <w:lang w:val="en-CA"/>
        </w:rPr>
        <w:t>term</w:t>
      </w:r>
      <w:r w:rsidR="00E06F47">
        <w:rPr>
          <w:lang w:val="en-CA"/>
        </w:rPr>
        <w:t>,</w:t>
      </w:r>
      <w:r w:rsidR="009A074B" w:rsidRPr="00C74276">
        <w:rPr>
          <w:lang w:val="en-CA"/>
        </w:rPr>
        <w:t xml:space="preserve"> and the period </w:t>
      </w:r>
      <w:r w:rsidRPr="00C74276">
        <w:rPr>
          <w:lang w:val="en-CA"/>
        </w:rPr>
        <w:t xml:space="preserve">of time </w:t>
      </w:r>
      <w:r w:rsidR="00CA53B2" w:rsidRPr="00C74276">
        <w:rPr>
          <w:lang w:val="en-CA"/>
        </w:rPr>
        <w:t>granted by the judge served</w:t>
      </w:r>
      <w:r w:rsidR="005A3E11" w:rsidRPr="00C74276">
        <w:rPr>
          <w:lang w:val="en-CA"/>
        </w:rPr>
        <w:t xml:space="preserve"> as reasonable notice to terminate it, the use by Druide of QA</w:t>
      </w:r>
      <w:r w:rsidRPr="00C74276">
        <w:rPr>
          <w:lang w:val="en-CA"/>
        </w:rPr>
        <w:t>’s</w:t>
      </w:r>
      <w:r w:rsidR="005A3E11" w:rsidRPr="00C74276">
        <w:rPr>
          <w:lang w:val="en-CA"/>
        </w:rPr>
        <w:t xml:space="preserve"> Works in Antid</w:t>
      </w:r>
      <w:r w:rsidR="00383451" w:rsidRPr="00C74276">
        <w:rPr>
          <w:lang w:val="en-CA"/>
        </w:rPr>
        <w:t xml:space="preserve">ote 8 and 9, launched </w:t>
      </w:r>
      <w:r w:rsidR="005A3E11" w:rsidRPr="00C74276">
        <w:rPr>
          <w:lang w:val="en-CA"/>
        </w:rPr>
        <w:t>in 2012 and 2015</w:t>
      </w:r>
      <w:r w:rsidR="00383451" w:rsidRPr="00C74276">
        <w:rPr>
          <w:lang w:val="en-CA"/>
        </w:rPr>
        <w:t xml:space="preserve"> respectively</w:t>
      </w:r>
      <w:r w:rsidR="005A3E11" w:rsidRPr="00C74276">
        <w:rPr>
          <w:lang w:val="en-CA"/>
        </w:rPr>
        <w:t xml:space="preserve">, </w:t>
      </w:r>
      <w:r w:rsidR="00D2100B" w:rsidRPr="00C74276">
        <w:rPr>
          <w:lang w:val="en-CA"/>
        </w:rPr>
        <w:t>did</w:t>
      </w:r>
      <w:r w:rsidR="005A3E11" w:rsidRPr="00C74276">
        <w:rPr>
          <w:lang w:val="en-CA"/>
        </w:rPr>
        <w:t xml:space="preserve"> not infringe the copyright of QA. </w:t>
      </w:r>
      <w:r w:rsidR="00D2100B" w:rsidRPr="00C74276">
        <w:rPr>
          <w:lang w:val="en-CA"/>
        </w:rPr>
        <w:t>Accordingly</w:t>
      </w:r>
      <w:r w:rsidR="00CA53B2" w:rsidRPr="00C74276">
        <w:rPr>
          <w:lang w:val="en-CA"/>
        </w:rPr>
        <w:t>,</w:t>
      </w:r>
      <w:r w:rsidR="00383451" w:rsidRPr="00C74276">
        <w:rPr>
          <w:lang w:val="en-CA"/>
        </w:rPr>
        <w:t xml:space="preserve"> I</w:t>
      </w:r>
      <w:r w:rsidR="00B46BC4" w:rsidRPr="00C74276">
        <w:rPr>
          <w:lang w:val="en-CA"/>
        </w:rPr>
        <w:t xml:space="preserve"> propose to set aside</w:t>
      </w:r>
      <w:r w:rsidR="005A3E11" w:rsidRPr="00C74276">
        <w:rPr>
          <w:lang w:val="en-CA"/>
        </w:rPr>
        <w:t xml:space="preserve"> the </w:t>
      </w:r>
      <w:r w:rsidR="00E06B86" w:rsidRPr="00C74276">
        <w:rPr>
          <w:lang w:val="en-CA"/>
        </w:rPr>
        <w:t>condemnation to pay</w:t>
      </w:r>
      <w:r w:rsidR="005A3E11" w:rsidRPr="00C74276">
        <w:rPr>
          <w:lang w:val="en-CA"/>
        </w:rPr>
        <w:t xml:space="preserve"> damages of $100,000.  </w:t>
      </w:r>
    </w:p>
    <w:p w14:paraId="1E09A7EF" w14:textId="1AB3AE3A" w:rsidR="00634D8F" w:rsidRPr="00C74276" w:rsidRDefault="00634D8F" w:rsidP="00B35FB3">
      <w:pPr>
        <w:pStyle w:val="Titre2"/>
        <w:ind w:left="709" w:hanging="709"/>
        <w:jc w:val="both"/>
        <w:rPr>
          <w:i w:val="0"/>
          <w:lang w:val="en-CA"/>
        </w:rPr>
      </w:pPr>
      <w:r w:rsidRPr="00C74276">
        <w:rPr>
          <w:i w:val="0"/>
          <w:lang w:val="en-CA"/>
        </w:rPr>
        <w:t>4.2</w:t>
      </w:r>
      <w:r w:rsidRPr="00C74276">
        <w:rPr>
          <w:i w:val="0"/>
          <w:lang w:val="en-CA"/>
        </w:rPr>
        <w:tab/>
      </w:r>
      <w:r w:rsidR="005A3E11" w:rsidRPr="00C74276">
        <w:rPr>
          <w:i w:val="0"/>
          <w:lang w:val="en-CA"/>
        </w:rPr>
        <w:t xml:space="preserve">Did the judge make a reviewable error in awarding punitive damages to QA? </w:t>
      </w:r>
    </w:p>
    <w:p w14:paraId="737C36A4" w14:textId="7A2FACAD" w:rsidR="00634D8F" w:rsidRPr="00C74276" w:rsidRDefault="005A3E11" w:rsidP="00C554B2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The judge awarded QA punitive damages of $25,000. </w:t>
      </w:r>
      <w:r w:rsidR="00057352" w:rsidRPr="00C74276">
        <w:rPr>
          <w:lang w:val="en-CA"/>
        </w:rPr>
        <w:t>Sh</w:t>
      </w:r>
      <w:r w:rsidR="00383451" w:rsidRPr="00C74276">
        <w:rPr>
          <w:lang w:val="en-CA"/>
        </w:rPr>
        <w:t>e explained this</w:t>
      </w:r>
      <w:r w:rsidR="006A31AC" w:rsidRPr="00C74276">
        <w:rPr>
          <w:lang w:val="en-CA"/>
        </w:rPr>
        <w:t xml:space="preserve"> as follows: </w:t>
      </w:r>
    </w:p>
    <w:p w14:paraId="3CFAA1D1" w14:textId="1F173143" w:rsidR="00E06B86" w:rsidRPr="00C74276" w:rsidRDefault="00E06B86" w:rsidP="00C554B2">
      <w:pPr>
        <w:pStyle w:val="Citationenretrait"/>
        <w:keepNext/>
        <w:rPr>
          <w:lang w:val="en-CA"/>
        </w:rPr>
      </w:pPr>
      <w:r w:rsidRPr="00C74276">
        <w:rPr>
          <w:lang w:val="en-CA"/>
        </w:rPr>
        <w:lastRenderedPageBreak/>
        <w:t>[</w:t>
      </w:r>
      <w:r w:rsidRPr="00C74276">
        <w:rPr>
          <w:smallCaps/>
          <w:lang w:val="en-CA"/>
        </w:rPr>
        <w:t>translation</w:t>
      </w:r>
      <w:r w:rsidRPr="00C74276">
        <w:rPr>
          <w:lang w:val="en-CA"/>
        </w:rPr>
        <w:t>]</w:t>
      </w:r>
    </w:p>
    <w:p w14:paraId="7F4921F8" w14:textId="07395C78" w:rsidR="00634D8F" w:rsidRPr="00C74276" w:rsidRDefault="00634D8F" w:rsidP="00C554B2">
      <w:pPr>
        <w:pStyle w:val="Citationenretrait"/>
        <w:keepNext/>
        <w:rPr>
          <w:lang w:val="en-CA"/>
        </w:rPr>
      </w:pPr>
      <w:r w:rsidRPr="00C74276">
        <w:rPr>
          <w:lang w:val="en-CA"/>
        </w:rPr>
        <w:t>[354]</w:t>
      </w:r>
      <w:r w:rsidRPr="00C74276">
        <w:rPr>
          <w:lang w:val="en-CA"/>
        </w:rPr>
        <w:tab/>
      </w:r>
      <w:r w:rsidR="00CF51F5" w:rsidRPr="00C74276">
        <w:rPr>
          <w:lang w:val="en-CA"/>
        </w:rPr>
        <w:t xml:space="preserve">Moreover, Druide Informatique launched a bilingual version of Antidote 9, even though </w:t>
      </w:r>
      <w:r w:rsidR="009D3B11" w:rsidRPr="00C74276">
        <w:rPr>
          <w:lang w:val="en-CA"/>
        </w:rPr>
        <w:t>the rights it invoked applied</w:t>
      </w:r>
      <w:r w:rsidR="00383451" w:rsidRPr="00C74276">
        <w:rPr>
          <w:lang w:val="en-CA"/>
        </w:rPr>
        <w:t xml:space="preserve"> only </w:t>
      </w:r>
      <w:r w:rsidR="009D3B11" w:rsidRPr="00C74276">
        <w:rPr>
          <w:lang w:val="en-CA"/>
        </w:rPr>
        <w:t xml:space="preserve">to </w:t>
      </w:r>
      <w:r w:rsidR="00383451" w:rsidRPr="00C74276">
        <w:rPr>
          <w:lang w:val="en-CA"/>
        </w:rPr>
        <w:t xml:space="preserve">the French </w:t>
      </w:r>
      <w:r w:rsidR="00554A74" w:rsidRPr="00C74276">
        <w:rPr>
          <w:lang w:val="en-CA"/>
        </w:rPr>
        <w:t>language version of the Antidote software. In addit</w:t>
      </w:r>
      <w:r w:rsidR="00383451" w:rsidRPr="00C74276">
        <w:rPr>
          <w:lang w:val="en-CA"/>
        </w:rPr>
        <w:t>ion, the evidence show</w:t>
      </w:r>
      <w:r w:rsidR="00E06B86" w:rsidRPr="00C74276">
        <w:rPr>
          <w:lang w:val="en-CA"/>
        </w:rPr>
        <w:t>s</w:t>
      </w:r>
      <w:r w:rsidR="00554A74" w:rsidRPr="00C74276">
        <w:rPr>
          <w:lang w:val="en-CA"/>
        </w:rPr>
        <w:t xml:space="preserve"> that it</w:t>
      </w:r>
      <w:r w:rsidR="003A688F" w:rsidRPr="00C74276">
        <w:rPr>
          <w:lang w:val="en-CA"/>
        </w:rPr>
        <w:t xml:space="preserve"> [</w:t>
      </w:r>
      <w:r w:rsidR="003A688F" w:rsidRPr="00C74276">
        <w:rPr>
          <w:smallCaps/>
          <w:lang w:val="en-CA"/>
        </w:rPr>
        <w:t>translation</w:t>
      </w:r>
      <w:r w:rsidR="003A688F" w:rsidRPr="00C74276">
        <w:rPr>
          <w:lang w:val="en-CA"/>
        </w:rPr>
        <w:t>]</w:t>
      </w:r>
      <w:r w:rsidR="00554A74" w:rsidRPr="00C74276">
        <w:rPr>
          <w:lang w:val="en-CA"/>
        </w:rPr>
        <w:t xml:space="preserve"> “</w:t>
      </w:r>
      <w:r w:rsidR="003A688F" w:rsidRPr="00C74276">
        <w:rPr>
          <w:lang w:val="en-CA"/>
        </w:rPr>
        <w:t>repeated</w:t>
      </w:r>
      <w:r w:rsidR="00554A74" w:rsidRPr="00C74276">
        <w:rPr>
          <w:lang w:val="en-CA"/>
        </w:rPr>
        <w:t>” definitions, wit</w:t>
      </w:r>
      <w:r w:rsidR="00CA53B2" w:rsidRPr="00C74276">
        <w:rPr>
          <w:lang w:val="en-CA"/>
        </w:rPr>
        <w:t>hout entitlement, for</w:t>
      </w:r>
      <w:r w:rsidR="00554A74" w:rsidRPr="00C74276">
        <w:rPr>
          <w:lang w:val="en-CA"/>
        </w:rPr>
        <w:t xml:space="preserve"> Antidote’s dictionary of definitions. Should exemplary damages be awarded to sanction these infringements? </w:t>
      </w:r>
    </w:p>
    <w:p w14:paraId="33A9129E" w14:textId="7AFEAC04" w:rsidR="00634D8F" w:rsidRPr="00C74276" w:rsidRDefault="00634D8F" w:rsidP="00634D8F">
      <w:pPr>
        <w:pStyle w:val="Citationenretrait"/>
        <w:rPr>
          <w:lang w:val="en-CA"/>
        </w:rPr>
      </w:pPr>
      <w:r w:rsidRPr="00C74276">
        <w:rPr>
          <w:lang w:val="en-CA"/>
        </w:rPr>
        <w:t>[355]</w:t>
      </w:r>
      <w:r w:rsidRPr="00C74276">
        <w:rPr>
          <w:lang w:val="en-CA"/>
        </w:rPr>
        <w:tab/>
      </w:r>
      <w:r w:rsidR="00554A74" w:rsidRPr="00C74276">
        <w:rPr>
          <w:lang w:val="en-CA"/>
        </w:rPr>
        <w:t>The Court finds that the use of the Works in the English section of the bilingual version of Antidote 9 and the</w:t>
      </w:r>
      <w:r w:rsidR="003A688F" w:rsidRPr="00C74276">
        <w:rPr>
          <w:lang w:val="en-CA"/>
        </w:rPr>
        <w:t xml:space="preserve"> [</w:t>
      </w:r>
      <w:r w:rsidR="003A688F" w:rsidRPr="00C74276">
        <w:rPr>
          <w:smallCaps/>
          <w:lang w:val="en-CA"/>
        </w:rPr>
        <w:t>translation</w:t>
      </w:r>
      <w:r w:rsidR="003A688F" w:rsidRPr="00C74276">
        <w:rPr>
          <w:lang w:val="en-CA"/>
        </w:rPr>
        <w:t>]</w:t>
      </w:r>
      <w:r w:rsidR="00554A74" w:rsidRPr="00C74276">
        <w:rPr>
          <w:lang w:val="en-CA"/>
        </w:rPr>
        <w:t xml:space="preserve"> </w:t>
      </w:r>
      <w:r w:rsidR="004A6143" w:rsidRPr="00C74276">
        <w:rPr>
          <w:lang w:val="en-CA"/>
        </w:rPr>
        <w:t>“</w:t>
      </w:r>
      <w:r w:rsidR="003A688F" w:rsidRPr="00C74276">
        <w:rPr>
          <w:lang w:val="en-CA"/>
        </w:rPr>
        <w:t>repetition</w:t>
      </w:r>
      <w:r w:rsidR="004A6143" w:rsidRPr="00C74276">
        <w:rPr>
          <w:lang w:val="en-CA"/>
        </w:rPr>
        <w:t>”</w:t>
      </w:r>
      <w:r w:rsidR="00554A74" w:rsidRPr="00C74276">
        <w:rPr>
          <w:lang w:val="en-CA"/>
        </w:rPr>
        <w:t xml:space="preserve"> of the d</w:t>
      </w:r>
      <w:r w:rsidR="00CA53B2" w:rsidRPr="00C74276">
        <w:rPr>
          <w:lang w:val="en-CA"/>
        </w:rPr>
        <w:t>efinitions of Québec Amérique for</w:t>
      </w:r>
      <w:r w:rsidR="00554A74" w:rsidRPr="00C74276">
        <w:rPr>
          <w:lang w:val="en-CA"/>
        </w:rPr>
        <w:t xml:space="preserve"> Antidote</w:t>
      </w:r>
      <w:r w:rsidR="003A688F" w:rsidRPr="00C74276">
        <w:rPr>
          <w:lang w:val="en-CA"/>
        </w:rPr>
        <w:t>’s</w:t>
      </w:r>
      <w:r w:rsidR="00554A74" w:rsidRPr="00C74276">
        <w:rPr>
          <w:lang w:val="en-CA"/>
        </w:rPr>
        <w:t xml:space="preserve"> dictionary </w:t>
      </w:r>
      <w:r w:rsidR="003A688F" w:rsidRPr="00C74276">
        <w:rPr>
          <w:lang w:val="en-CA"/>
        </w:rPr>
        <w:t xml:space="preserve">of definitions </w:t>
      </w:r>
      <w:r w:rsidR="00554A74" w:rsidRPr="00C74276">
        <w:rPr>
          <w:lang w:val="en-CA"/>
        </w:rPr>
        <w:t xml:space="preserve">constitutes unlawful and intentional </w:t>
      </w:r>
      <w:r w:rsidR="003A688F" w:rsidRPr="00C74276">
        <w:rPr>
          <w:lang w:val="en-CA"/>
        </w:rPr>
        <w:t>interference with</w:t>
      </w:r>
      <w:r w:rsidR="00554A74" w:rsidRPr="00C74276">
        <w:rPr>
          <w:lang w:val="en-CA"/>
        </w:rPr>
        <w:t xml:space="preserve"> the copyright of </w:t>
      </w:r>
      <w:r w:rsidR="00BA57B9" w:rsidRPr="00C74276">
        <w:rPr>
          <w:lang w:val="en-CA"/>
        </w:rPr>
        <w:t xml:space="preserve">Québec Amérique by Druide Informatique. </w:t>
      </w:r>
    </w:p>
    <w:p w14:paraId="783C040C" w14:textId="171A1F8C" w:rsidR="00634D8F" w:rsidRPr="00C74276" w:rsidRDefault="00634D8F" w:rsidP="00634D8F">
      <w:pPr>
        <w:pStyle w:val="Citationenretrait"/>
        <w:rPr>
          <w:lang w:val="en-CA"/>
        </w:rPr>
      </w:pPr>
      <w:r w:rsidRPr="00C74276">
        <w:rPr>
          <w:lang w:val="en-CA"/>
        </w:rPr>
        <w:t>[356]</w:t>
      </w:r>
      <w:r w:rsidRPr="00C74276">
        <w:rPr>
          <w:lang w:val="en-CA"/>
        </w:rPr>
        <w:tab/>
      </w:r>
      <w:r w:rsidR="00D91280" w:rsidRPr="00C74276">
        <w:rPr>
          <w:lang w:val="en-CA"/>
        </w:rPr>
        <w:t>Taking into account</w:t>
      </w:r>
      <w:r w:rsidR="00BA57B9" w:rsidRPr="00C74276">
        <w:rPr>
          <w:lang w:val="en-CA"/>
        </w:rPr>
        <w:t xml:space="preserve"> all of the circumstances of this case, the Court considers that an amount of twenty-five thousand dollars ($25,000) is appropriate to satisfy the deterrence requirement specific to this </w:t>
      </w:r>
      <w:r w:rsidR="003A688F" w:rsidRPr="00C74276">
        <w:rPr>
          <w:lang w:val="en-CA"/>
        </w:rPr>
        <w:t>type</w:t>
      </w:r>
      <w:r w:rsidR="00650070" w:rsidRPr="00C74276">
        <w:rPr>
          <w:lang w:val="en-CA"/>
        </w:rPr>
        <w:t xml:space="preserve"> of damages.</w:t>
      </w:r>
      <w:r w:rsidRPr="00C74276">
        <w:rPr>
          <w:rStyle w:val="Appelnotedebasdep"/>
          <w:sz w:val="20"/>
          <w:lang w:val="en-CA"/>
        </w:rPr>
        <w:footnoteReference w:id="127"/>
      </w:r>
    </w:p>
    <w:p w14:paraId="31743998" w14:textId="07F60F39" w:rsidR="00634D8F" w:rsidRPr="00C74276" w:rsidRDefault="003A688F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P</w:t>
      </w:r>
      <w:r w:rsidR="00BA57B9" w:rsidRPr="00C74276">
        <w:rPr>
          <w:lang w:val="en-CA"/>
        </w:rPr>
        <w:t>unitive damages were awarded first</w:t>
      </w:r>
      <w:r w:rsidR="00D91280" w:rsidRPr="00C74276">
        <w:rPr>
          <w:lang w:val="en-CA"/>
        </w:rPr>
        <w:t>ly</w:t>
      </w:r>
      <w:r w:rsidR="00BA57B9" w:rsidRPr="00C74276">
        <w:rPr>
          <w:lang w:val="en-CA"/>
        </w:rPr>
        <w:t xml:space="preserve"> on the basis of Druide’s use of QA</w:t>
      </w:r>
      <w:r w:rsidRPr="00C74276">
        <w:rPr>
          <w:lang w:val="en-CA"/>
        </w:rPr>
        <w:t>’s</w:t>
      </w:r>
      <w:r w:rsidR="00BA57B9" w:rsidRPr="00C74276">
        <w:rPr>
          <w:lang w:val="en-CA"/>
        </w:rPr>
        <w:t xml:space="preserve"> Works in the English section of the bilingual version of Antidote 9. </w:t>
      </w:r>
    </w:p>
    <w:p w14:paraId="52D25229" w14:textId="1177EA71" w:rsidR="00634D8F" w:rsidRPr="00C74276" w:rsidRDefault="00BA57B9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T</w:t>
      </w:r>
      <w:r w:rsidR="005E3E8F" w:rsidRPr="00C74276">
        <w:rPr>
          <w:lang w:val="en-CA"/>
        </w:rPr>
        <w:t xml:space="preserve">he judge made an error that </w:t>
      </w:r>
      <w:r w:rsidR="00885877" w:rsidRPr="00C74276">
        <w:rPr>
          <w:lang w:val="en-CA"/>
        </w:rPr>
        <w:t>QA</w:t>
      </w:r>
      <w:r w:rsidRPr="00C74276">
        <w:rPr>
          <w:lang w:val="en-CA"/>
        </w:rPr>
        <w:t xml:space="preserve"> rec</w:t>
      </w:r>
      <w:r w:rsidR="005E3E8F" w:rsidRPr="00C74276">
        <w:rPr>
          <w:lang w:val="en-CA"/>
        </w:rPr>
        <w:t>ognized before this Court</w:t>
      </w:r>
      <w:r w:rsidRPr="00C74276">
        <w:rPr>
          <w:lang w:val="en-CA"/>
        </w:rPr>
        <w:t xml:space="preserve"> in determining that the Works were used in the English section of the bilingual version of Antidote 9. </w:t>
      </w:r>
      <w:r w:rsidR="005E3E8F" w:rsidRPr="00C74276">
        <w:rPr>
          <w:lang w:val="en-CA"/>
        </w:rPr>
        <w:t>In fact, the Works were used</w:t>
      </w:r>
      <w:r w:rsidRPr="00C74276">
        <w:rPr>
          <w:lang w:val="en-CA"/>
        </w:rPr>
        <w:t xml:space="preserve"> only in the French section of this version, as explained by witness Bertrand Pelletier of Druide at trial.</w:t>
      </w:r>
      <w:r w:rsidR="00650070" w:rsidRPr="00C74276">
        <w:rPr>
          <w:rStyle w:val="Appelnotedebasdep"/>
          <w:lang w:val="en-CA"/>
        </w:rPr>
        <w:footnoteReference w:id="128"/>
      </w:r>
      <w:r w:rsidR="00650070" w:rsidRPr="00C74276">
        <w:rPr>
          <w:lang w:val="en-CA"/>
        </w:rPr>
        <w:t xml:space="preserve"> </w:t>
      </w:r>
      <w:r w:rsidR="005E3E8F" w:rsidRPr="00C74276">
        <w:rPr>
          <w:lang w:val="en-CA"/>
        </w:rPr>
        <w:t>As the</w:t>
      </w:r>
      <w:r w:rsidRPr="00C74276">
        <w:rPr>
          <w:lang w:val="en-CA"/>
        </w:rPr>
        <w:t xml:space="preserve"> factual premise adopted by the judge </w:t>
      </w:r>
      <w:r w:rsidR="005E3E8F" w:rsidRPr="00C74276">
        <w:rPr>
          <w:lang w:val="en-CA"/>
        </w:rPr>
        <w:t>was</w:t>
      </w:r>
      <w:r w:rsidRPr="00C74276">
        <w:rPr>
          <w:lang w:val="en-CA"/>
        </w:rPr>
        <w:t xml:space="preserve"> inaccurate</w:t>
      </w:r>
      <w:r w:rsidR="004178BA" w:rsidRPr="00C74276">
        <w:rPr>
          <w:lang w:val="en-CA"/>
        </w:rPr>
        <w:t xml:space="preserve">, </w:t>
      </w:r>
      <w:r w:rsidR="00D91280" w:rsidRPr="00C74276">
        <w:rPr>
          <w:lang w:val="en-CA"/>
        </w:rPr>
        <w:t>s</w:t>
      </w:r>
      <w:r w:rsidR="004178BA" w:rsidRPr="00C74276">
        <w:rPr>
          <w:lang w:val="en-CA"/>
        </w:rPr>
        <w:t xml:space="preserve">he could not therefore base the award of punitive damages on it. </w:t>
      </w:r>
    </w:p>
    <w:p w14:paraId="69A6D5D8" w14:textId="1D08F193" w:rsidR="00634D8F" w:rsidRPr="00C74276" w:rsidRDefault="00CA53B2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Next</w:t>
      </w:r>
      <w:r w:rsidR="004178BA" w:rsidRPr="00C74276">
        <w:rPr>
          <w:lang w:val="en-CA"/>
        </w:rPr>
        <w:t xml:space="preserve">, the judge </w:t>
      </w:r>
      <w:r w:rsidR="009A2EEE" w:rsidRPr="00C74276">
        <w:rPr>
          <w:lang w:val="en-CA"/>
        </w:rPr>
        <w:t>faulted</w:t>
      </w:r>
      <w:r w:rsidR="004178BA" w:rsidRPr="00C74276">
        <w:rPr>
          <w:lang w:val="en-CA"/>
        </w:rPr>
        <w:t xml:space="preserve"> Druide for having </w:t>
      </w:r>
      <w:r w:rsidR="00D91280" w:rsidRPr="00C74276">
        <w:rPr>
          <w:lang w:val="en-CA"/>
        </w:rPr>
        <w:t>transplanted</w:t>
      </w:r>
      <w:r w:rsidR="004178BA" w:rsidRPr="00C74276">
        <w:rPr>
          <w:lang w:val="en-CA"/>
        </w:rPr>
        <w:t xml:space="preserve"> definitions </w:t>
      </w:r>
      <w:r w:rsidR="009A2EEE" w:rsidRPr="00C74276">
        <w:rPr>
          <w:lang w:val="en-CA"/>
        </w:rPr>
        <w:t>from</w:t>
      </w:r>
      <w:r w:rsidR="004178BA" w:rsidRPr="00C74276">
        <w:rPr>
          <w:lang w:val="en-CA"/>
        </w:rPr>
        <w:t xml:space="preserve"> the QA dictionary </w:t>
      </w:r>
      <w:r w:rsidR="009A2EEE" w:rsidRPr="00C74276">
        <w:rPr>
          <w:lang w:val="en-CA"/>
        </w:rPr>
        <w:t>and</w:t>
      </w:r>
      <w:r w:rsidR="004178BA" w:rsidRPr="00C74276">
        <w:rPr>
          <w:lang w:val="en-CA"/>
        </w:rPr>
        <w:t xml:space="preserve"> reproduc</w:t>
      </w:r>
      <w:r w:rsidR="009A2EEE" w:rsidRPr="00C74276">
        <w:rPr>
          <w:lang w:val="en-CA"/>
        </w:rPr>
        <w:t>ing</w:t>
      </w:r>
      <w:r w:rsidR="004178BA" w:rsidRPr="00C74276">
        <w:rPr>
          <w:lang w:val="en-CA"/>
        </w:rPr>
        <w:t xml:space="preserve"> them in its own dictionary of definitions</w:t>
      </w:r>
      <w:r w:rsidR="009A2EEE" w:rsidRPr="00C74276">
        <w:rPr>
          <w:lang w:val="en-CA"/>
        </w:rPr>
        <w:t>, without being entitled to do so</w:t>
      </w:r>
      <w:r w:rsidR="004178BA" w:rsidRPr="00C74276">
        <w:rPr>
          <w:lang w:val="en-CA"/>
        </w:rPr>
        <w:t xml:space="preserve">. </w:t>
      </w:r>
    </w:p>
    <w:p w14:paraId="4066AF56" w14:textId="52CB8B0C" w:rsidR="00634D8F" w:rsidRPr="00C74276" w:rsidRDefault="004178BA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I find it diffi</w:t>
      </w:r>
      <w:r w:rsidR="007D672F" w:rsidRPr="00C74276">
        <w:rPr>
          <w:lang w:val="en-CA"/>
        </w:rPr>
        <w:t>cult to see in these actions</w:t>
      </w:r>
      <w:r w:rsidR="00124E90" w:rsidRPr="00C74276">
        <w:rPr>
          <w:lang w:val="en-CA"/>
        </w:rPr>
        <w:t xml:space="preserve"> </w:t>
      </w:r>
      <w:r w:rsidR="00854272" w:rsidRPr="00C74276">
        <w:rPr>
          <w:lang w:val="en-CA"/>
        </w:rPr>
        <w:t xml:space="preserve">an intentional infringement evidencing </w:t>
      </w:r>
      <w:r w:rsidRPr="00C74276">
        <w:rPr>
          <w:lang w:val="en-CA"/>
        </w:rPr>
        <w:t>mal</w:t>
      </w:r>
      <w:r w:rsidR="00854272" w:rsidRPr="00C74276">
        <w:rPr>
          <w:lang w:val="en-CA"/>
        </w:rPr>
        <w:t>icious and oppressive conduct by</w:t>
      </w:r>
      <w:r w:rsidRPr="00C74276">
        <w:rPr>
          <w:lang w:val="en-CA"/>
        </w:rPr>
        <w:t xml:space="preserve"> Druide. </w:t>
      </w:r>
    </w:p>
    <w:p w14:paraId="3E61575A" w14:textId="7B284986" w:rsidR="00634D8F" w:rsidRPr="00C74276" w:rsidRDefault="0082266F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>I</w:t>
      </w:r>
      <w:r w:rsidR="007D672F" w:rsidRPr="00C74276">
        <w:rPr>
          <w:lang w:val="en-CA"/>
        </w:rPr>
        <w:t>t should be emphasized</w:t>
      </w:r>
      <w:r w:rsidR="00C43F51" w:rsidRPr="00C74276">
        <w:rPr>
          <w:lang w:val="en-CA"/>
        </w:rPr>
        <w:t xml:space="preserve"> that the judge had previously </w:t>
      </w:r>
      <w:r w:rsidR="009E33F0" w:rsidRPr="00C74276">
        <w:rPr>
          <w:lang w:val="en-CA"/>
        </w:rPr>
        <w:t>found</w:t>
      </w:r>
      <w:r w:rsidR="00C43F51" w:rsidRPr="00C74276">
        <w:rPr>
          <w:lang w:val="en-CA"/>
        </w:rPr>
        <w:t xml:space="preserve"> that </w:t>
      </w:r>
      <w:r w:rsidR="007D672F" w:rsidRPr="00C74276">
        <w:rPr>
          <w:lang w:val="en-CA"/>
        </w:rPr>
        <w:t>s</w:t>
      </w:r>
      <w:r w:rsidR="00C43F51" w:rsidRPr="00C74276">
        <w:rPr>
          <w:lang w:val="en-CA"/>
        </w:rPr>
        <w:t>he would not aw</w:t>
      </w:r>
      <w:r w:rsidR="00854272" w:rsidRPr="00C74276">
        <w:rPr>
          <w:lang w:val="en-CA"/>
        </w:rPr>
        <w:t>ard punitive damages for Druide’s use</w:t>
      </w:r>
      <w:r w:rsidR="00C43F51" w:rsidRPr="00C74276">
        <w:rPr>
          <w:lang w:val="en-CA"/>
        </w:rPr>
        <w:t xml:space="preserve"> of QA</w:t>
      </w:r>
      <w:r w:rsidR="009E33F0" w:rsidRPr="00C74276">
        <w:rPr>
          <w:lang w:val="en-CA"/>
        </w:rPr>
        <w:t>’s</w:t>
      </w:r>
      <w:r w:rsidR="00C43F51" w:rsidRPr="00C74276">
        <w:rPr>
          <w:lang w:val="en-CA"/>
        </w:rPr>
        <w:t xml:space="preserve"> Works in </w:t>
      </w:r>
      <w:r w:rsidR="007D672F" w:rsidRPr="00C74276">
        <w:rPr>
          <w:lang w:val="en-CA"/>
        </w:rPr>
        <w:t>Antidote 8 and 9</w:t>
      </w:r>
      <w:r w:rsidR="009E33F0" w:rsidRPr="00C74276">
        <w:rPr>
          <w:lang w:val="en-CA"/>
        </w:rPr>
        <w:t>,</w:t>
      </w:r>
      <w:r w:rsidR="007D672F" w:rsidRPr="00C74276">
        <w:rPr>
          <w:lang w:val="en-CA"/>
        </w:rPr>
        <w:t xml:space="preserve"> as</w:t>
      </w:r>
      <w:r w:rsidR="00C43F51" w:rsidRPr="00C74276">
        <w:rPr>
          <w:lang w:val="en-CA"/>
        </w:rPr>
        <w:t xml:space="preserve"> </w:t>
      </w:r>
      <w:r w:rsidR="007D672F" w:rsidRPr="00C74276">
        <w:rPr>
          <w:lang w:val="en-CA"/>
        </w:rPr>
        <w:t>s</w:t>
      </w:r>
      <w:r w:rsidR="00C43F51" w:rsidRPr="00C74276">
        <w:rPr>
          <w:lang w:val="en-CA"/>
        </w:rPr>
        <w:t>he wrote:</w:t>
      </w:r>
      <w:r w:rsidR="009E33F0" w:rsidRPr="00C74276">
        <w:rPr>
          <w:lang w:val="en-CA"/>
        </w:rPr>
        <w:t xml:space="preserve"> [</w:t>
      </w:r>
      <w:r w:rsidR="009E33F0" w:rsidRPr="00C74276">
        <w:rPr>
          <w:smallCaps/>
          <w:lang w:val="en-CA"/>
        </w:rPr>
        <w:t>translation</w:t>
      </w:r>
      <w:r w:rsidR="009E33F0" w:rsidRPr="00C74276">
        <w:rPr>
          <w:lang w:val="en-CA"/>
        </w:rPr>
        <w:t>]</w:t>
      </w:r>
      <w:r w:rsidR="00C43F51" w:rsidRPr="00C74276">
        <w:rPr>
          <w:lang w:val="en-CA"/>
        </w:rPr>
        <w:t xml:space="preserve"> </w:t>
      </w:r>
      <w:r w:rsidR="00FD4289" w:rsidRPr="00C74276">
        <w:rPr>
          <w:lang w:val="en-CA"/>
        </w:rPr>
        <w:t>“</w:t>
      </w:r>
      <w:r w:rsidR="00854272" w:rsidRPr="00C74276">
        <w:rPr>
          <w:lang w:val="en-CA"/>
        </w:rPr>
        <w:t>The dispute between the parties stems</w:t>
      </w:r>
      <w:r w:rsidR="00C43F51" w:rsidRPr="00C74276">
        <w:rPr>
          <w:lang w:val="en-CA"/>
        </w:rPr>
        <w:t xml:space="preserve"> from a complex factual and legal situation. </w:t>
      </w:r>
      <w:r w:rsidR="00C43F51" w:rsidRPr="00C74276">
        <w:rPr>
          <w:u w:val="single"/>
          <w:lang w:val="en-CA"/>
        </w:rPr>
        <w:t>The position put for</w:t>
      </w:r>
      <w:r w:rsidR="009E33F0" w:rsidRPr="00C74276">
        <w:rPr>
          <w:u w:val="single"/>
          <w:lang w:val="en-CA"/>
        </w:rPr>
        <w:t>ward</w:t>
      </w:r>
      <w:r w:rsidR="00C43F51" w:rsidRPr="00C74276">
        <w:rPr>
          <w:u w:val="single"/>
          <w:lang w:val="en-CA"/>
        </w:rPr>
        <w:t xml:space="preserve"> by Druide Informatique</w:t>
      </w:r>
      <w:r w:rsidR="00C43F51" w:rsidRPr="00C74276">
        <w:rPr>
          <w:lang w:val="en-CA"/>
        </w:rPr>
        <w:t xml:space="preserve"> to justify the use of the Works in the Antidote 8 and 9 software </w:t>
      </w:r>
      <w:r w:rsidR="00C43F51" w:rsidRPr="00C74276">
        <w:rPr>
          <w:u w:val="single"/>
          <w:lang w:val="en-CA"/>
        </w:rPr>
        <w:t>is</w:t>
      </w:r>
      <w:r w:rsidR="009568A1" w:rsidRPr="00C74276">
        <w:rPr>
          <w:u w:val="single"/>
          <w:lang w:val="en-CA"/>
        </w:rPr>
        <w:t xml:space="preserve"> not wholly unsupported</w:t>
      </w:r>
      <w:r w:rsidR="00C43F51" w:rsidRPr="00C74276">
        <w:rPr>
          <w:lang w:val="en-CA"/>
        </w:rPr>
        <w:t>, although the Court does not entirely accept it</w:t>
      </w:r>
      <w:r w:rsidR="00FD4289" w:rsidRPr="00C74276">
        <w:rPr>
          <w:lang w:val="en-CA"/>
        </w:rPr>
        <w:t>”</w:t>
      </w:r>
      <w:r w:rsidR="009E33F0" w:rsidRPr="00C74276">
        <w:rPr>
          <w:lang w:val="en-CA"/>
        </w:rPr>
        <w:t>.</w:t>
      </w:r>
      <w:r w:rsidR="008C0D4A" w:rsidRPr="00C74276">
        <w:rPr>
          <w:rStyle w:val="Appelnotedebasdep"/>
          <w:lang w:val="en-CA"/>
        </w:rPr>
        <w:footnoteReference w:id="129"/>
      </w:r>
      <w:r w:rsidR="008C0D4A" w:rsidRPr="00C74276">
        <w:rPr>
          <w:lang w:val="en-CA"/>
        </w:rPr>
        <w:t> </w:t>
      </w:r>
      <w:r w:rsidR="007D672F" w:rsidRPr="00C74276">
        <w:rPr>
          <w:lang w:val="en-CA"/>
        </w:rPr>
        <w:t>She added</w:t>
      </w:r>
      <w:r w:rsidR="00C43F51" w:rsidRPr="00C74276">
        <w:rPr>
          <w:lang w:val="en-CA"/>
        </w:rPr>
        <w:t xml:space="preserve"> </w:t>
      </w:r>
      <w:r w:rsidR="00B861C8" w:rsidRPr="00C74276">
        <w:rPr>
          <w:lang w:val="en-CA"/>
        </w:rPr>
        <w:t xml:space="preserve">more </w:t>
      </w:r>
      <w:r w:rsidR="00C43F51" w:rsidRPr="00C74276">
        <w:rPr>
          <w:lang w:val="en-CA"/>
        </w:rPr>
        <w:t>in the next paragraph by stating that</w:t>
      </w:r>
      <w:r w:rsidR="009E33F0" w:rsidRPr="00C74276">
        <w:rPr>
          <w:lang w:val="en-CA"/>
        </w:rPr>
        <w:t xml:space="preserve"> [</w:t>
      </w:r>
      <w:r w:rsidR="009E33F0" w:rsidRPr="00C74276">
        <w:rPr>
          <w:smallCaps/>
          <w:lang w:val="en-CA"/>
        </w:rPr>
        <w:t>translation</w:t>
      </w:r>
      <w:r w:rsidR="009E33F0" w:rsidRPr="00C74276">
        <w:rPr>
          <w:lang w:val="en-CA"/>
        </w:rPr>
        <w:t>]</w:t>
      </w:r>
      <w:r w:rsidR="00C43F51" w:rsidRPr="00C74276">
        <w:rPr>
          <w:lang w:val="en-CA"/>
        </w:rPr>
        <w:t xml:space="preserve"> </w:t>
      </w:r>
      <w:r w:rsidR="00FD4289" w:rsidRPr="00C74276">
        <w:rPr>
          <w:lang w:val="en-CA"/>
        </w:rPr>
        <w:t>“</w:t>
      </w:r>
      <w:r w:rsidR="00C43F51" w:rsidRPr="00C74276">
        <w:rPr>
          <w:lang w:val="en-CA"/>
        </w:rPr>
        <w:t xml:space="preserve">Druide Informatique </w:t>
      </w:r>
      <w:r w:rsidR="00C43F51" w:rsidRPr="00C74276">
        <w:rPr>
          <w:u w:val="single"/>
          <w:lang w:val="en-CA"/>
        </w:rPr>
        <w:t>did not infringe Québec Amérique’s copyright in a d</w:t>
      </w:r>
      <w:r w:rsidR="007540BC" w:rsidRPr="00C74276">
        <w:rPr>
          <w:u w:val="single"/>
          <w:lang w:val="en-CA"/>
        </w:rPr>
        <w:t>eliberate and intentional way</w:t>
      </w:r>
      <w:r w:rsidR="00C43F51" w:rsidRPr="00C74276">
        <w:rPr>
          <w:u w:val="single"/>
          <w:lang w:val="en-CA"/>
        </w:rPr>
        <w:t xml:space="preserve">, </w:t>
      </w:r>
      <w:r w:rsidRPr="00C74276">
        <w:rPr>
          <w:u w:val="single"/>
          <w:lang w:val="en-CA"/>
        </w:rPr>
        <w:t>marked by</w:t>
      </w:r>
      <w:r w:rsidR="00C43F51" w:rsidRPr="00C74276">
        <w:rPr>
          <w:u w:val="single"/>
          <w:lang w:val="en-CA"/>
        </w:rPr>
        <w:t xml:space="preserve"> bad faith</w:t>
      </w:r>
      <w:r w:rsidR="00FF322E" w:rsidRPr="00C74276">
        <w:rPr>
          <w:lang w:val="en-CA"/>
        </w:rPr>
        <w:t xml:space="preserve"> </w:t>
      </w:r>
      <w:r w:rsidR="00BC7B8B" w:rsidRPr="00C74276">
        <w:rPr>
          <w:lang w:val="en-CA"/>
        </w:rPr>
        <w:t>in opposi</w:t>
      </w:r>
      <w:r w:rsidRPr="00C74276">
        <w:rPr>
          <w:lang w:val="en-CA"/>
        </w:rPr>
        <w:t>ng</w:t>
      </w:r>
      <w:r w:rsidR="00BC7B8B" w:rsidRPr="00C74276">
        <w:rPr>
          <w:lang w:val="en-CA"/>
        </w:rPr>
        <w:t xml:space="preserve"> </w:t>
      </w:r>
      <w:r w:rsidR="00C43F51" w:rsidRPr="00C74276">
        <w:rPr>
          <w:lang w:val="en-CA"/>
        </w:rPr>
        <w:t>Québec Amérique</w:t>
      </w:r>
      <w:r w:rsidRPr="00C74276">
        <w:rPr>
          <w:lang w:val="en-CA"/>
        </w:rPr>
        <w:t>’s proceedings</w:t>
      </w:r>
      <w:r w:rsidR="00FD4289" w:rsidRPr="00C74276">
        <w:rPr>
          <w:lang w:val="en-CA"/>
        </w:rPr>
        <w:t>”</w:t>
      </w:r>
      <w:r w:rsidRPr="00C74276">
        <w:rPr>
          <w:lang w:val="en-CA"/>
        </w:rPr>
        <w:t>.</w:t>
      </w:r>
      <w:r w:rsidR="00634D8F" w:rsidRPr="00C74276">
        <w:rPr>
          <w:rStyle w:val="Appelnotedebasdep"/>
          <w:lang w:val="en-CA"/>
        </w:rPr>
        <w:footnoteReference w:id="130"/>
      </w:r>
    </w:p>
    <w:p w14:paraId="3760DAC2" w14:textId="48C8C17D" w:rsidR="00634D8F" w:rsidRPr="00C74276" w:rsidRDefault="0082266F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lastRenderedPageBreak/>
        <w:t>Moreover</w:t>
      </w:r>
      <w:r w:rsidR="00FD4289" w:rsidRPr="00C74276">
        <w:rPr>
          <w:lang w:val="en-CA"/>
        </w:rPr>
        <w:t xml:space="preserve">, the explanations provided by Druide at trial to justify the use of the Visuel Multimedia definitions in its dictionary </w:t>
      </w:r>
      <w:r w:rsidR="007540BC" w:rsidRPr="00C74276">
        <w:rPr>
          <w:lang w:val="en-CA"/>
        </w:rPr>
        <w:t xml:space="preserve">were not </w:t>
      </w:r>
      <w:r w:rsidR="00BC7B8B" w:rsidRPr="00C74276">
        <w:rPr>
          <w:lang w:val="en-CA"/>
        </w:rPr>
        <w:t>wholly</w:t>
      </w:r>
      <w:r w:rsidR="007540BC" w:rsidRPr="00C74276">
        <w:rPr>
          <w:lang w:val="en-CA"/>
        </w:rPr>
        <w:t xml:space="preserve"> unsupported</w:t>
      </w:r>
      <w:r w:rsidR="00462AFE" w:rsidRPr="00C74276">
        <w:rPr>
          <w:lang w:val="en-CA"/>
        </w:rPr>
        <w:t>, to use the words of the judge. The purpose of integrating the definitions was to create a link between an illustration and a phrase in Antidote</w:t>
      </w:r>
      <w:r w:rsidR="00C26281" w:rsidRPr="00C74276">
        <w:rPr>
          <w:lang w:val="en-CA"/>
        </w:rPr>
        <w:t>,</w:t>
      </w:r>
      <w:r w:rsidR="00462AFE" w:rsidRPr="00C74276">
        <w:rPr>
          <w:lang w:val="en-CA"/>
        </w:rPr>
        <w:t xml:space="preserve"> and the minor changes made to these definitions were only intended to adapt them to the technological environment and terminology specific to Antidote</w:t>
      </w:r>
      <w:r w:rsidR="00CA53B2" w:rsidRPr="00C74276">
        <w:rPr>
          <w:lang w:val="en-CA"/>
        </w:rPr>
        <w:t>.</w:t>
      </w:r>
      <w:r w:rsidR="008C0D4A" w:rsidRPr="00C74276">
        <w:rPr>
          <w:rStyle w:val="Appelnotedebasdep"/>
          <w:lang w:val="en-CA"/>
        </w:rPr>
        <w:footnoteReference w:id="131"/>
      </w:r>
      <w:r w:rsidR="00E75821" w:rsidRPr="00C74276">
        <w:rPr>
          <w:lang w:val="en-CA"/>
        </w:rPr>
        <w:t xml:space="preserve"> </w:t>
      </w:r>
      <w:r w:rsidR="00462AFE" w:rsidRPr="00C74276">
        <w:rPr>
          <w:lang w:val="en-CA"/>
        </w:rPr>
        <w:t>This explanation in no way suggests “</w:t>
      </w:r>
      <w:r w:rsidR="00535667" w:rsidRPr="00C74276">
        <w:rPr>
          <w:lang w:val="en-CA"/>
        </w:rPr>
        <w:t>a state of mind that implies a desire or intent</w:t>
      </w:r>
      <w:r w:rsidR="00462AFE" w:rsidRPr="00C74276">
        <w:rPr>
          <w:lang w:val="en-CA"/>
        </w:rPr>
        <w:t xml:space="preserve"> to cause the consequences of </w:t>
      </w:r>
      <w:r w:rsidR="00C26281" w:rsidRPr="00C74276">
        <w:rPr>
          <w:lang w:val="en-CA"/>
        </w:rPr>
        <w:t>[</w:t>
      </w:r>
      <w:r w:rsidR="00462AFE" w:rsidRPr="00C74276">
        <w:rPr>
          <w:lang w:val="en-CA"/>
        </w:rPr>
        <w:t>its</w:t>
      </w:r>
      <w:r w:rsidR="00C26281" w:rsidRPr="00C74276">
        <w:rPr>
          <w:lang w:val="en-CA"/>
        </w:rPr>
        <w:t>]</w:t>
      </w:r>
      <w:r w:rsidR="00462AFE" w:rsidRPr="00C74276">
        <w:rPr>
          <w:lang w:val="en-CA"/>
        </w:rPr>
        <w:t xml:space="preserve"> wrongful conduct</w:t>
      </w:r>
      <w:r w:rsidR="00535667" w:rsidRPr="00C74276">
        <w:rPr>
          <w:lang w:val="en-CA"/>
        </w:rPr>
        <w:t>, or when that person</w:t>
      </w:r>
      <w:r w:rsidR="00462AFE" w:rsidRPr="00C74276">
        <w:rPr>
          <w:lang w:val="en-CA"/>
        </w:rPr>
        <w:t xml:space="preserve"> acts with full knowledge of the</w:t>
      </w:r>
      <w:r w:rsidR="00535667" w:rsidRPr="00C74276">
        <w:rPr>
          <w:lang w:val="en-CA"/>
        </w:rPr>
        <w:t xml:space="preserve"> immediate and natural or at least extremely probable</w:t>
      </w:r>
      <w:r w:rsidR="00462AFE" w:rsidRPr="00C74276">
        <w:rPr>
          <w:lang w:val="en-CA"/>
        </w:rPr>
        <w:t xml:space="preserve"> conseq</w:t>
      </w:r>
      <w:r w:rsidR="00535667" w:rsidRPr="00C74276">
        <w:rPr>
          <w:lang w:val="en-CA"/>
        </w:rPr>
        <w:t>u</w:t>
      </w:r>
      <w:r w:rsidR="00462AFE" w:rsidRPr="00C74276">
        <w:rPr>
          <w:lang w:val="en-CA"/>
        </w:rPr>
        <w:t>ences</w:t>
      </w:r>
      <w:r w:rsidR="00535667" w:rsidRPr="00C74276">
        <w:rPr>
          <w:lang w:val="en-CA"/>
        </w:rPr>
        <w:t xml:space="preserve"> that </w:t>
      </w:r>
      <w:r w:rsidR="00C26281" w:rsidRPr="00C74276">
        <w:rPr>
          <w:lang w:val="en-CA"/>
        </w:rPr>
        <w:t>[its]</w:t>
      </w:r>
      <w:r w:rsidR="00535667" w:rsidRPr="00C74276">
        <w:rPr>
          <w:lang w:val="en-CA"/>
        </w:rPr>
        <w:t xml:space="preserve"> conduct will cause</w:t>
      </w:r>
      <w:r w:rsidR="00462AFE" w:rsidRPr="00C74276">
        <w:rPr>
          <w:lang w:val="en-CA"/>
        </w:rPr>
        <w:t>”</w:t>
      </w:r>
      <w:r w:rsidR="004D373E">
        <w:rPr>
          <w:lang w:val="en-CA"/>
        </w:rPr>
        <w:t>.</w:t>
      </w:r>
      <w:r w:rsidR="008C0D4A" w:rsidRPr="00C74276">
        <w:rPr>
          <w:rStyle w:val="Appelnotedebasdep"/>
          <w:lang w:val="en-CA"/>
        </w:rPr>
        <w:footnoteReference w:id="132"/>
      </w:r>
      <w:r w:rsidR="008C0D4A" w:rsidRPr="00C74276">
        <w:rPr>
          <w:lang w:val="en-CA"/>
        </w:rPr>
        <w:t xml:space="preserve"> </w:t>
      </w:r>
      <w:r w:rsidR="00462AFE" w:rsidRPr="00C74276">
        <w:rPr>
          <w:lang w:val="en-CA"/>
        </w:rPr>
        <w:t>On the contrary, Druide’s explanations are credible and sensible. Its conduct in this regard shows at most a certain negligence or</w:t>
      </w:r>
      <w:r w:rsidR="00646400" w:rsidRPr="00C74276">
        <w:rPr>
          <w:lang w:val="en-CA"/>
        </w:rPr>
        <w:t xml:space="preserve"> casualness, which does not satisfy the exacting</w:t>
      </w:r>
      <w:r w:rsidR="00462AFE" w:rsidRPr="00C74276">
        <w:rPr>
          <w:lang w:val="en-CA"/>
        </w:rPr>
        <w:t xml:space="preserve"> criteria authorizing the judge to award punitive damages.</w:t>
      </w:r>
      <w:r w:rsidR="00634D8F" w:rsidRPr="00C74276">
        <w:rPr>
          <w:rStyle w:val="Appelnotedebasdep"/>
          <w:lang w:val="en-CA"/>
        </w:rPr>
        <w:footnoteReference w:id="133"/>
      </w:r>
    </w:p>
    <w:p w14:paraId="19B50DC2" w14:textId="63B6CD7C" w:rsidR="00634D8F" w:rsidRPr="00C74276" w:rsidRDefault="00E75821" w:rsidP="00FA34B7">
      <w:pPr>
        <w:pStyle w:val="Paragraphe"/>
        <w:spacing w:line="280" w:lineRule="exact"/>
        <w:rPr>
          <w:lang w:val="en-CA"/>
        </w:rPr>
      </w:pPr>
      <w:r w:rsidRPr="00C74276">
        <w:rPr>
          <w:lang w:val="en-CA"/>
        </w:rPr>
        <w:t xml:space="preserve">For these reasons, I </w:t>
      </w:r>
      <w:r w:rsidR="00473CFA" w:rsidRPr="00C74276">
        <w:rPr>
          <w:lang w:val="en-CA"/>
        </w:rPr>
        <w:t xml:space="preserve">would </w:t>
      </w:r>
      <w:r w:rsidR="002F5472" w:rsidRPr="00C74276">
        <w:rPr>
          <w:lang w:val="en-CA"/>
        </w:rPr>
        <w:t xml:space="preserve">allow the appeal, </w:t>
      </w:r>
      <w:r w:rsidR="00473CFA" w:rsidRPr="00C74276">
        <w:rPr>
          <w:lang w:val="en-CA"/>
        </w:rPr>
        <w:t>reverse</w:t>
      </w:r>
      <w:r w:rsidRPr="00C74276">
        <w:rPr>
          <w:lang w:val="en-CA"/>
        </w:rPr>
        <w:t xml:space="preserve"> the trial judgment, and set aside the </w:t>
      </w:r>
      <w:r w:rsidR="00473CFA" w:rsidRPr="00C74276">
        <w:rPr>
          <w:lang w:val="en-CA"/>
        </w:rPr>
        <w:t>condemnation</w:t>
      </w:r>
      <w:r w:rsidR="00406243" w:rsidRPr="00C74276">
        <w:rPr>
          <w:lang w:val="en-CA"/>
        </w:rPr>
        <w:t xml:space="preserve"> to pay</w:t>
      </w:r>
      <w:r w:rsidRPr="00C74276">
        <w:rPr>
          <w:lang w:val="en-CA"/>
        </w:rPr>
        <w:t xml:space="preserve"> damages of $100,000 and the </w:t>
      </w:r>
      <w:r w:rsidR="00473CFA" w:rsidRPr="00C74276">
        <w:rPr>
          <w:lang w:val="en-CA"/>
        </w:rPr>
        <w:t xml:space="preserve">condemnation </w:t>
      </w:r>
      <w:r w:rsidR="00406243" w:rsidRPr="00C74276">
        <w:rPr>
          <w:lang w:val="en-CA"/>
        </w:rPr>
        <w:t>to pay</w:t>
      </w:r>
      <w:r w:rsidRPr="00C74276">
        <w:rPr>
          <w:lang w:val="en-CA"/>
        </w:rPr>
        <w:t xml:space="preserve"> punitive damages of $25,000, the whole with </w:t>
      </w:r>
      <w:r w:rsidR="00B46BC4" w:rsidRPr="00C74276">
        <w:rPr>
          <w:lang w:val="en-CA"/>
        </w:rPr>
        <w:t xml:space="preserve">legal </w:t>
      </w:r>
      <w:r w:rsidRPr="00C74276">
        <w:rPr>
          <w:lang w:val="en-CA"/>
        </w:rPr>
        <w:t xml:space="preserve">costs.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5"/>
        <w:gridCol w:w="4625"/>
      </w:tblGrid>
      <w:tr w:rsidR="00634D8F" w:rsidRPr="00C554B2" w14:paraId="3D10BDA3" w14:textId="77777777" w:rsidTr="00B35FB3">
        <w:trPr>
          <w:cantSplit/>
          <w:trHeight w:val="513"/>
        </w:trPr>
        <w:tc>
          <w:tcPr>
            <w:tcW w:w="9360" w:type="dxa"/>
            <w:gridSpan w:val="2"/>
          </w:tcPr>
          <w:p w14:paraId="51DD97AE" w14:textId="77777777" w:rsidR="00634D8F" w:rsidRPr="00C74276" w:rsidRDefault="00634D8F" w:rsidP="00B35FB3">
            <w:pPr>
              <w:rPr>
                <w:lang w:val="en-CA"/>
              </w:rPr>
            </w:pPr>
          </w:p>
        </w:tc>
      </w:tr>
      <w:tr w:rsidR="00634D8F" w:rsidRPr="00C554B2" w14:paraId="5812BFAB" w14:textId="77777777" w:rsidTr="00B35FB3">
        <w:trPr>
          <w:cantSplit/>
          <w:trHeight w:val="277"/>
        </w:trPr>
        <w:tc>
          <w:tcPr>
            <w:tcW w:w="4735" w:type="dxa"/>
            <w:vMerge w:val="restart"/>
          </w:tcPr>
          <w:p w14:paraId="4647DE5F" w14:textId="77777777" w:rsidR="00634D8F" w:rsidRPr="00C74276" w:rsidRDefault="00634D8F" w:rsidP="00B35FB3">
            <w:pPr>
              <w:rPr>
                <w:lang w:val="en-CA"/>
              </w:rPr>
            </w:pPr>
          </w:p>
        </w:tc>
        <w:tc>
          <w:tcPr>
            <w:tcW w:w="4625" w:type="dxa"/>
            <w:tcBorders>
              <w:bottom w:val="single" w:sz="8" w:space="0" w:color="auto"/>
            </w:tcBorders>
          </w:tcPr>
          <w:p w14:paraId="4E2AB947" w14:textId="77777777" w:rsidR="00634D8F" w:rsidRPr="00C74276" w:rsidRDefault="00634D8F" w:rsidP="00B35FB3">
            <w:pPr>
              <w:rPr>
                <w:lang w:val="en-CA"/>
              </w:rPr>
            </w:pPr>
          </w:p>
        </w:tc>
      </w:tr>
      <w:tr w:rsidR="00634D8F" w:rsidRPr="00C74276" w14:paraId="3B7DCC0C" w14:textId="77777777" w:rsidTr="00B35FB3">
        <w:trPr>
          <w:cantSplit/>
          <w:trHeight w:val="276"/>
        </w:trPr>
        <w:tc>
          <w:tcPr>
            <w:tcW w:w="4735" w:type="dxa"/>
            <w:vMerge/>
          </w:tcPr>
          <w:p w14:paraId="624FEC05" w14:textId="77777777" w:rsidR="00634D8F" w:rsidRPr="00C74276" w:rsidRDefault="00634D8F" w:rsidP="00B35FB3">
            <w:pPr>
              <w:rPr>
                <w:lang w:val="en-CA"/>
              </w:rPr>
            </w:pPr>
          </w:p>
        </w:tc>
        <w:tc>
          <w:tcPr>
            <w:tcW w:w="4625" w:type="dxa"/>
          </w:tcPr>
          <w:p w14:paraId="2F1E610C" w14:textId="76F5F658" w:rsidR="00634D8F" w:rsidRPr="00C74276" w:rsidRDefault="00E757BD" w:rsidP="00B35FB3">
            <w:pPr>
              <w:rPr>
                <w:lang w:val="en-CA"/>
              </w:rPr>
            </w:pPr>
            <w:r w:rsidRPr="00C74276">
              <w:rPr>
                <w:lang w:val="en-CA"/>
              </w:rPr>
              <w:t>JOCELYN F. RANCOURT, J.A.</w:t>
            </w:r>
          </w:p>
        </w:tc>
      </w:tr>
      <w:bookmarkEnd w:id="11"/>
    </w:tbl>
    <w:p w14:paraId="6409B529" w14:textId="77777777" w:rsidR="00740A17" w:rsidRPr="00C74276" w:rsidRDefault="00740A17" w:rsidP="00104660">
      <w:pPr>
        <w:rPr>
          <w:lang w:val="en-CA"/>
        </w:rPr>
      </w:pPr>
    </w:p>
    <w:sectPr w:rsidR="00740A17" w:rsidRPr="00C74276" w:rsidSect="00125D94">
      <w:headerReference w:type="default" r:id="rId11"/>
      <w:pgSz w:w="12242" w:h="15842" w:code="1"/>
      <w:pgMar w:top="1440" w:right="1008" w:bottom="1440" w:left="1872" w:header="1440" w:footer="792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AF3F" w14:textId="77777777" w:rsidR="009323AF" w:rsidRDefault="009323AF">
      <w:r>
        <w:separator/>
      </w:r>
    </w:p>
  </w:endnote>
  <w:endnote w:type="continuationSeparator" w:id="0">
    <w:p w14:paraId="5FF34D11" w14:textId="77777777" w:rsidR="009323AF" w:rsidRDefault="0093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2C0C" w14:textId="77777777" w:rsidR="009323AF" w:rsidRDefault="009323AF">
      <w:r>
        <w:separator/>
      </w:r>
    </w:p>
  </w:footnote>
  <w:footnote w:type="continuationSeparator" w:id="0">
    <w:p w14:paraId="78436D1C" w14:textId="77777777" w:rsidR="009323AF" w:rsidRDefault="009323AF">
      <w:r>
        <w:continuationSeparator/>
      </w:r>
    </w:p>
  </w:footnote>
  <w:footnote w:id="1">
    <w:p w14:paraId="3923F2A7" w14:textId="52CBBC21" w:rsidR="007629E2" w:rsidRPr="000E2D2A" w:rsidRDefault="007629E2" w:rsidP="00F55EC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>
        <w:rPr>
          <w:i/>
        </w:rPr>
        <w:t xml:space="preserve">Éditions Québec Amérique inc. </w:t>
      </w:r>
      <w:r w:rsidR="0007451F">
        <w:rPr>
          <w:i/>
        </w:rPr>
        <w:t>c</w:t>
      </w:r>
      <w:r w:rsidRPr="00C946F6">
        <w:rPr>
          <w:i/>
        </w:rPr>
        <w:t xml:space="preserve">. </w:t>
      </w:r>
      <w:r w:rsidRPr="000E2D2A">
        <w:rPr>
          <w:i/>
        </w:rPr>
        <w:t xml:space="preserve">Druide informatique inc., </w:t>
      </w:r>
      <w:r w:rsidRPr="000E2D2A">
        <w:t>2017 QCCS 4092</w:t>
      </w:r>
      <w:r w:rsidRPr="000E2D2A">
        <w:rPr>
          <w:i/>
        </w:rPr>
        <w:t xml:space="preserve"> </w:t>
      </w:r>
      <w:r w:rsidRPr="000E2D2A">
        <w:t>[</w:t>
      </w:r>
      <w:r w:rsidR="003A33C1" w:rsidRPr="000E2D2A">
        <w:t>J</w:t>
      </w:r>
      <w:r w:rsidRPr="000E2D2A">
        <w:t>udgment</w:t>
      </w:r>
      <w:r w:rsidR="003A33C1" w:rsidRPr="000E2D2A">
        <w:t xml:space="preserve"> under appeal</w:t>
      </w:r>
      <w:r w:rsidRPr="000E2D2A">
        <w:t>].</w:t>
      </w:r>
    </w:p>
  </w:footnote>
  <w:footnote w:id="2">
    <w:p w14:paraId="3320CBA2" w14:textId="4473D298" w:rsidR="007629E2" w:rsidRPr="00133929" w:rsidRDefault="007629E2" w:rsidP="00634D8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133929">
        <w:rPr>
          <w:lang w:val="en-US"/>
        </w:rPr>
        <w:t xml:space="preserve"> </w:t>
      </w:r>
      <w:r w:rsidRPr="00133929">
        <w:rPr>
          <w:lang w:val="en-US"/>
        </w:rPr>
        <w:tab/>
      </w:r>
      <w:r w:rsidR="003A33C1" w:rsidRPr="000E2D2A">
        <w:rPr>
          <w:lang w:val="en-CA"/>
        </w:rPr>
        <w:t>Judgment under appeal</w:t>
      </w:r>
      <w:r w:rsidRPr="00133929">
        <w:rPr>
          <w:lang w:val="en-US"/>
        </w:rPr>
        <w:t xml:space="preserve"> </w:t>
      </w:r>
      <w:r w:rsidR="002849AC">
        <w:rPr>
          <w:lang w:val="en-US"/>
        </w:rPr>
        <w:t xml:space="preserve">at </w:t>
      </w:r>
      <w:r w:rsidRPr="00133929">
        <w:rPr>
          <w:lang w:val="en-US"/>
        </w:rPr>
        <w:t>para. 312.</w:t>
      </w:r>
    </w:p>
  </w:footnote>
  <w:footnote w:id="3">
    <w:p w14:paraId="155B4AEB" w14:textId="77777777" w:rsidR="007629E2" w:rsidRPr="009D11B8" w:rsidRDefault="007629E2" w:rsidP="0081312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9D11B8">
        <w:rPr>
          <w:lang w:val="en-US"/>
        </w:rPr>
        <w:t xml:space="preserve"> </w:t>
      </w:r>
      <w:r w:rsidRPr="009D11B8">
        <w:rPr>
          <w:lang w:val="en-US"/>
        </w:rPr>
        <w:tab/>
        <w:t>Exhibit P-16, Draft distribution agreement, 2004.</w:t>
      </w:r>
    </w:p>
  </w:footnote>
  <w:footnote w:id="4">
    <w:p w14:paraId="4733BB4E" w14:textId="2E650132" w:rsidR="007629E2" w:rsidRPr="009D11B8" w:rsidRDefault="007629E2" w:rsidP="00634D8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9D11B8">
        <w:rPr>
          <w:lang w:val="en-US"/>
        </w:rPr>
        <w:t xml:space="preserve"> </w:t>
      </w:r>
      <w:r w:rsidRPr="009D11B8">
        <w:rPr>
          <w:lang w:val="en-US"/>
        </w:rPr>
        <w:tab/>
        <w:t xml:space="preserve">Exhibit P-24J, Email from Caroline Fortin to André d’Orsonnens </w:t>
      </w:r>
      <w:r w:rsidR="00621765">
        <w:rPr>
          <w:lang w:val="en-US"/>
        </w:rPr>
        <w:t xml:space="preserve">(6 </w:t>
      </w:r>
      <w:r w:rsidRPr="009D11B8">
        <w:rPr>
          <w:lang w:val="en-US"/>
        </w:rPr>
        <w:t>October 2009</w:t>
      </w:r>
      <w:r w:rsidR="00621765">
        <w:rPr>
          <w:lang w:val="en-US"/>
        </w:rPr>
        <w:t>)</w:t>
      </w:r>
      <w:r w:rsidRPr="009D11B8">
        <w:rPr>
          <w:lang w:val="en-US"/>
        </w:rPr>
        <w:t>.</w:t>
      </w:r>
    </w:p>
  </w:footnote>
  <w:footnote w:id="5">
    <w:p w14:paraId="1EA8BD6B" w14:textId="6E1A323C" w:rsidR="00272CE2" w:rsidRPr="00272CE2" w:rsidRDefault="00272CE2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272CE2">
        <w:rPr>
          <w:lang w:val="en-US"/>
        </w:rPr>
        <w:t xml:space="preserve"> </w:t>
      </w:r>
      <w:r>
        <w:rPr>
          <w:lang w:val="en-US"/>
        </w:rPr>
        <w:tab/>
      </w:r>
      <w:r w:rsidR="003A33C1" w:rsidRPr="000E2D2A">
        <w:rPr>
          <w:lang w:val="en-CA"/>
        </w:rPr>
        <w:t>Judgment under appeal</w:t>
      </w:r>
      <w:r>
        <w:rPr>
          <w:lang w:val="en-US"/>
        </w:rPr>
        <w:t xml:space="preserve"> </w:t>
      </w:r>
      <w:r w:rsidR="00B813E5">
        <w:rPr>
          <w:lang w:val="en-US"/>
        </w:rPr>
        <w:t xml:space="preserve">at </w:t>
      </w:r>
      <w:r>
        <w:rPr>
          <w:lang w:val="en-US"/>
        </w:rPr>
        <w:t>para. 15.</w:t>
      </w:r>
    </w:p>
  </w:footnote>
  <w:footnote w:id="6">
    <w:p w14:paraId="68BB5A3D" w14:textId="4A901879" w:rsidR="007629E2" w:rsidRPr="009D11B8" w:rsidRDefault="007629E2" w:rsidP="00734D12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9D11B8">
        <w:rPr>
          <w:lang w:val="en-US"/>
        </w:rPr>
        <w:t xml:space="preserve"> </w:t>
      </w:r>
      <w:r w:rsidRPr="009D11B8">
        <w:rPr>
          <w:lang w:val="en-US"/>
        </w:rPr>
        <w:tab/>
        <w:t xml:space="preserve">Exhibit P-11, Notice of revocation of licence </w:t>
      </w:r>
      <w:r w:rsidR="00D06F99">
        <w:rPr>
          <w:lang w:val="en-US"/>
        </w:rPr>
        <w:t xml:space="preserve">(26 </w:t>
      </w:r>
      <w:r w:rsidRPr="009D11B8">
        <w:rPr>
          <w:lang w:val="en-US"/>
        </w:rPr>
        <w:t>June 2011</w:t>
      </w:r>
      <w:r w:rsidR="00D06F99">
        <w:rPr>
          <w:lang w:val="en-US"/>
        </w:rPr>
        <w:t>)</w:t>
      </w:r>
      <w:r w:rsidRPr="009D11B8">
        <w:rPr>
          <w:lang w:val="en-US"/>
        </w:rPr>
        <w:t>.</w:t>
      </w:r>
    </w:p>
  </w:footnote>
  <w:footnote w:id="7">
    <w:p w14:paraId="73C983FF" w14:textId="62757732" w:rsidR="007629E2" w:rsidRPr="007B0B98" w:rsidRDefault="007629E2" w:rsidP="005863A4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7B0B98">
        <w:rPr>
          <w:lang w:val="en-US"/>
        </w:rPr>
        <w:t xml:space="preserve"> </w:t>
      </w:r>
      <w:r w:rsidRPr="007B0B98">
        <w:rPr>
          <w:lang w:val="en-US"/>
        </w:rPr>
        <w:tab/>
        <w:t xml:space="preserve">Exhibit P-12, Letter extending </w:t>
      </w:r>
      <w:r w:rsidR="00597442">
        <w:rPr>
          <w:lang w:val="en-US"/>
        </w:rPr>
        <w:t xml:space="preserve">the </w:t>
      </w:r>
      <w:r w:rsidRPr="007B0B98">
        <w:rPr>
          <w:lang w:val="en-US"/>
        </w:rPr>
        <w:t xml:space="preserve">licence end date </w:t>
      </w:r>
      <w:r w:rsidR="00597442">
        <w:rPr>
          <w:lang w:val="en-US"/>
        </w:rPr>
        <w:t xml:space="preserve">(27 </w:t>
      </w:r>
      <w:r w:rsidRPr="007B0B98">
        <w:rPr>
          <w:lang w:val="en-US"/>
        </w:rPr>
        <w:t>September 2011</w:t>
      </w:r>
      <w:r w:rsidR="00597442">
        <w:rPr>
          <w:lang w:val="en-US"/>
        </w:rPr>
        <w:t>)</w:t>
      </w:r>
      <w:r w:rsidRPr="007B0B98">
        <w:rPr>
          <w:lang w:val="en-US"/>
        </w:rPr>
        <w:t>.</w:t>
      </w:r>
    </w:p>
  </w:footnote>
  <w:footnote w:id="8">
    <w:p w14:paraId="0B2C0150" w14:textId="48510B1E" w:rsidR="007629E2" w:rsidRPr="007B0B98" w:rsidRDefault="007629E2" w:rsidP="005863A4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7B0B98">
        <w:rPr>
          <w:lang w:val="en-US"/>
        </w:rPr>
        <w:t xml:space="preserve"> </w:t>
      </w:r>
      <w:r w:rsidRPr="007B0B98">
        <w:rPr>
          <w:lang w:val="en-US"/>
        </w:rPr>
        <w:tab/>
        <w:t xml:space="preserve">Exhibit P-13, Notice extending </w:t>
      </w:r>
      <w:r w:rsidR="00597442">
        <w:rPr>
          <w:lang w:val="en-US"/>
        </w:rPr>
        <w:t xml:space="preserve">the </w:t>
      </w:r>
      <w:r w:rsidRPr="007B0B98">
        <w:rPr>
          <w:lang w:val="en-US"/>
        </w:rPr>
        <w:t xml:space="preserve">licence end date </w:t>
      </w:r>
      <w:r w:rsidR="00597442">
        <w:rPr>
          <w:lang w:val="en-US"/>
        </w:rPr>
        <w:t xml:space="preserve">(8 </w:t>
      </w:r>
      <w:r w:rsidRPr="007B0B98">
        <w:rPr>
          <w:lang w:val="en-US"/>
        </w:rPr>
        <w:t>December 2011</w:t>
      </w:r>
      <w:r w:rsidR="00597442">
        <w:rPr>
          <w:lang w:val="en-US"/>
        </w:rPr>
        <w:t>)</w:t>
      </w:r>
      <w:r w:rsidRPr="007B0B98">
        <w:rPr>
          <w:lang w:val="en-US"/>
        </w:rPr>
        <w:t>.</w:t>
      </w:r>
    </w:p>
  </w:footnote>
  <w:footnote w:id="9">
    <w:p w14:paraId="230A09EB" w14:textId="4DC7ED3F" w:rsidR="007629E2" w:rsidRPr="007B0B98" w:rsidRDefault="007629E2" w:rsidP="00634D8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7B0B98">
        <w:rPr>
          <w:lang w:val="en-US"/>
        </w:rPr>
        <w:t xml:space="preserve"> </w:t>
      </w:r>
      <w:r w:rsidRPr="007B0B98">
        <w:rPr>
          <w:lang w:val="en-US"/>
        </w:rPr>
        <w:tab/>
        <w:t xml:space="preserve">Exhibit P-28 a) </w:t>
      </w:r>
      <w:r w:rsidR="00597442">
        <w:rPr>
          <w:lang w:val="en-US"/>
        </w:rPr>
        <w:t>to</w:t>
      </w:r>
      <w:r w:rsidRPr="007B0B98">
        <w:rPr>
          <w:lang w:val="en-US"/>
        </w:rPr>
        <w:t xml:space="preserve"> f), Dra</w:t>
      </w:r>
      <w:r>
        <w:rPr>
          <w:lang w:val="en-US"/>
        </w:rPr>
        <w:t>ft contracts</w:t>
      </w:r>
      <w:r w:rsidRPr="007B0B98">
        <w:rPr>
          <w:lang w:val="en-US"/>
        </w:rPr>
        <w:t xml:space="preserve"> </w:t>
      </w:r>
      <w:r w:rsidR="001F74A0">
        <w:rPr>
          <w:lang w:val="en-US"/>
        </w:rPr>
        <w:t xml:space="preserve">(11 </w:t>
      </w:r>
      <w:r w:rsidRPr="007B0B98">
        <w:rPr>
          <w:lang w:val="en-US"/>
        </w:rPr>
        <w:t xml:space="preserve">May to </w:t>
      </w:r>
      <w:r w:rsidR="001F74A0">
        <w:rPr>
          <w:lang w:val="en-US"/>
        </w:rPr>
        <w:t xml:space="preserve">22 </w:t>
      </w:r>
      <w:r w:rsidRPr="007B0B98">
        <w:rPr>
          <w:lang w:val="en-US"/>
        </w:rPr>
        <w:t>June 2012</w:t>
      </w:r>
      <w:r w:rsidR="001F74A0">
        <w:rPr>
          <w:lang w:val="en-US"/>
        </w:rPr>
        <w:t>)</w:t>
      </w:r>
      <w:r w:rsidRPr="007B0B98">
        <w:rPr>
          <w:lang w:val="en-US"/>
        </w:rPr>
        <w:t>.</w:t>
      </w:r>
    </w:p>
  </w:footnote>
  <w:footnote w:id="10">
    <w:p w14:paraId="150230AF" w14:textId="2E554CEC" w:rsidR="007629E2" w:rsidRPr="000B4874" w:rsidRDefault="007629E2" w:rsidP="0095075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0B4874">
        <w:rPr>
          <w:lang w:val="en-US"/>
        </w:rPr>
        <w:t xml:space="preserve"> </w:t>
      </w:r>
      <w:r w:rsidRPr="000B4874">
        <w:rPr>
          <w:lang w:val="en-US"/>
        </w:rPr>
        <w:tab/>
        <w:t>Re</w:t>
      </w:r>
      <w:r>
        <w:rPr>
          <w:lang w:val="en-US"/>
        </w:rPr>
        <w:t>-</w:t>
      </w:r>
      <w:r w:rsidRPr="000B4874">
        <w:rPr>
          <w:lang w:val="en-US"/>
        </w:rPr>
        <w:t xml:space="preserve">amended </w:t>
      </w:r>
      <w:r w:rsidR="007C054E">
        <w:rPr>
          <w:lang w:val="en-US"/>
        </w:rPr>
        <w:t>originating application</w:t>
      </w:r>
      <w:r w:rsidRPr="000B4874">
        <w:rPr>
          <w:lang w:val="en-US"/>
        </w:rPr>
        <w:t xml:space="preserve"> </w:t>
      </w:r>
      <w:r w:rsidR="007C054E">
        <w:rPr>
          <w:lang w:val="en-US"/>
        </w:rPr>
        <w:t xml:space="preserve">(22 </w:t>
      </w:r>
      <w:r w:rsidRPr="000B4874">
        <w:rPr>
          <w:lang w:val="en-US"/>
        </w:rPr>
        <w:t>December 2016</w:t>
      </w:r>
      <w:r w:rsidR="007C054E">
        <w:rPr>
          <w:lang w:val="en-US"/>
        </w:rPr>
        <w:t>)</w:t>
      </w:r>
      <w:r w:rsidRPr="000B4874">
        <w:rPr>
          <w:lang w:val="en-US"/>
        </w:rPr>
        <w:t>.</w:t>
      </w:r>
    </w:p>
  </w:footnote>
  <w:footnote w:id="11">
    <w:p w14:paraId="3E556149" w14:textId="1974B561" w:rsidR="007629E2" w:rsidRPr="000E2D2A" w:rsidRDefault="007629E2" w:rsidP="00634D8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>
        <w:rPr>
          <w:i/>
        </w:rPr>
        <w:t xml:space="preserve">Éditions Québec-Amérique inc. </w:t>
      </w:r>
      <w:r w:rsidR="00FB3B01">
        <w:rPr>
          <w:i/>
        </w:rPr>
        <w:t>c</w:t>
      </w:r>
      <w:r w:rsidRPr="00E92F25">
        <w:rPr>
          <w:i/>
        </w:rPr>
        <w:t xml:space="preserve">. </w:t>
      </w:r>
      <w:r w:rsidRPr="000E2D2A">
        <w:rPr>
          <w:i/>
        </w:rPr>
        <w:t>Druide Informatique inc</w:t>
      </w:r>
      <w:r w:rsidRPr="000E2D2A">
        <w:t>., 2013 QCCS 82.</w:t>
      </w:r>
    </w:p>
  </w:footnote>
  <w:footnote w:id="12">
    <w:p w14:paraId="038C702C" w14:textId="3396805B" w:rsidR="007629E2" w:rsidRPr="000E2D2A" w:rsidRDefault="007629E2" w:rsidP="00950759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="003A33C1" w:rsidRPr="000E2D2A">
        <w:rPr>
          <w:lang w:val="en-CA"/>
        </w:rPr>
        <w:t>Judgment under appeal</w:t>
      </w:r>
      <w:r w:rsidRPr="000E2D2A">
        <w:rPr>
          <w:lang w:val="en-CA"/>
        </w:rPr>
        <w:t xml:space="preserve"> </w:t>
      </w:r>
      <w:r w:rsidR="003A33C1" w:rsidRPr="000E2D2A">
        <w:rPr>
          <w:lang w:val="en-CA"/>
        </w:rPr>
        <w:t xml:space="preserve">at </w:t>
      </w:r>
      <w:r w:rsidRPr="000E2D2A">
        <w:rPr>
          <w:lang w:val="en-CA"/>
        </w:rPr>
        <w:t>para. 206.</w:t>
      </w:r>
    </w:p>
  </w:footnote>
  <w:footnote w:id="13">
    <w:p w14:paraId="50F721E6" w14:textId="7E822500" w:rsidR="007629E2" w:rsidRPr="007B0B98" w:rsidRDefault="007629E2" w:rsidP="00634D8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I</w:t>
      </w:r>
      <w:r w:rsidR="0032465C" w:rsidRPr="000E2D2A">
        <w:rPr>
          <w:i/>
          <w:lang w:val="en-CA"/>
        </w:rPr>
        <w:t>bi</w:t>
      </w:r>
      <w:r w:rsidRPr="000E2D2A">
        <w:rPr>
          <w:i/>
          <w:lang w:val="en-CA"/>
        </w:rPr>
        <w:t>d</w:t>
      </w:r>
      <w:r w:rsidRPr="000E2D2A">
        <w:rPr>
          <w:lang w:val="en-CA"/>
        </w:rPr>
        <w:t xml:space="preserve">. </w:t>
      </w:r>
      <w:r w:rsidR="0032465C" w:rsidRPr="000E2D2A">
        <w:rPr>
          <w:lang w:val="en-CA"/>
        </w:rPr>
        <w:t xml:space="preserve">at </w:t>
      </w:r>
      <w:r w:rsidRPr="000E2D2A">
        <w:rPr>
          <w:lang w:val="en-CA"/>
        </w:rPr>
        <w:t>para</w:t>
      </w:r>
      <w:r w:rsidR="0032465C" w:rsidRPr="000E2D2A">
        <w:rPr>
          <w:lang w:val="en-CA"/>
        </w:rPr>
        <w:t>s</w:t>
      </w:r>
      <w:r w:rsidRPr="000E2D2A">
        <w:rPr>
          <w:lang w:val="en-CA"/>
        </w:rPr>
        <w:t xml:space="preserve">. </w:t>
      </w:r>
      <w:r w:rsidRPr="007B0B98">
        <w:rPr>
          <w:lang w:val="en-US"/>
        </w:rPr>
        <w:t>207</w:t>
      </w:r>
      <w:r w:rsidR="0032465C">
        <w:rPr>
          <w:lang w:val="en-US"/>
        </w:rPr>
        <w:t>–</w:t>
      </w:r>
      <w:r w:rsidRPr="007B0B98">
        <w:rPr>
          <w:lang w:val="en-US"/>
        </w:rPr>
        <w:t>209.</w:t>
      </w:r>
    </w:p>
  </w:footnote>
  <w:footnote w:id="14">
    <w:p w14:paraId="25371056" w14:textId="61D274CC" w:rsidR="007629E2" w:rsidRPr="00950759" w:rsidRDefault="007629E2" w:rsidP="0095075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950759">
        <w:rPr>
          <w:lang w:val="en-US"/>
        </w:rPr>
        <w:t xml:space="preserve"> </w:t>
      </w:r>
      <w:r w:rsidRPr="00950759">
        <w:rPr>
          <w:lang w:val="en-US"/>
        </w:rPr>
        <w:tab/>
      </w:r>
      <w:r w:rsidRPr="00950759">
        <w:rPr>
          <w:i/>
          <w:lang w:val="en-US"/>
        </w:rPr>
        <w:t>I</w:t>
      </w:r>
      <w:r w:rsidR="0032465C">
        <w:rPr>
          <w:i/>
          <w:lang w:val="en-US"/>
        </w:rPr>
        <w:t>bi</w:t>
      </w:r>
      <w:r w:rsidRPr="00950759">
        <w:rPr>
          <w:i/>
          <w:lang w:val="en-US"/>
        </w:rPr>
        <w:t>d</w:t>
      </w:r>
      <w:r w:rsidRPr="00950759">
        <w:rPr>
          <w:lang w:val="en-US"/>
        </w:rPr>
        <w:t xml:space="preserve">. </w:t>
      </w:r>
      <w:r w:rsidR="0032465C">
        <w:rPr>
          <w:lang w:val="en-US"/>
        </w:rPr>
        <w:t xml:space="preserve">at </w:t>
      </w:r>
      <w:r w:rsidRPr="00950759">
        <w:rPr>
          <w:lang w:val="en-US"/>
        </w:rPr>
        <w:t>para. 211.</w:t>
      </w:r>
    </w:p>
  </w:footnote>
  <w:footnote w:id="15">
    <w:p w14:paraId="23D8CF58" w14:textId="02C2BEFB" w:rsidR="007629E2" w:rsidRPr="00133929" w:rsidRDefault="007629E2" w:rsidP="0095075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F26464">
        <w:rPr>
          <w:lang w:val="en-US"/>
        </w:rPr>
        <w:t xml:space="preserve"> </w:t>
      </w:r>
      <w:r w:rsidRPr="00F26464">
        <w:rPr>
          <w:lang w:val="en-US"/>
        </w:rPr>
        <w:tab/>
      </w:r>
      <w:r w:rsidRPr="00F26464">
        <w:rPr>
          <w:i/>
          <w:lang w:val="en-US"/>
        </w:rPr>
        <w:t>Copyright Act</w:t>
      </w:r>
      <w:r>
        <w:rPr>
          <w:lang w:val="en-US"/>
        </w:rPr>
        <w:t>, R.S</w:t>
      </w:r>
      <w:r w:rsidR="00660D94">
        <w:rPr>
          <w:lang w:val="en-US"/>
        </w:rPr>
        <w:t>.C. 1985, c</w:t>
      </w:r>
      <w:r w:rsidRPr="00F26464">
        <w:rPr>
          <w:lang w:val="en-US"/>
        </w:rPr>
        <w:t xml:space="preserve">. </w:t>
      </w:r>
      <w:r w:rsidRPr="00133929">
        <w:rPr>
          <w:lang w:val="en-US"/>
        </w:rPr>
        <w:t>C-42.</w:t>
      </w:r>
    </w:p>
  </w:footnote>
  <w:footnote w:id="16">
    <w:p w14:paraId="1E23DE5E" w14:textId="28A58D54" w:rsidR="007629E2" w:rsidRPr="000E2D2A" w:rsidRDefault="007629E2" w:rsidP="00634D8F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="003A33C1" w:rsidRPr="000E2D2A">
        <w:rPr>
          <w:lang w:val="en-CA"/>
        </w:rPr>
        <w:t>Judgment under appeal</w:t>
      </w:r>
      <w:r w:rsidRPr="000E2D2A">
        <w:rPr>
          <w:lang w:val="en-CA"/>
        </w:rPr>
        <w:t xml:space="preserve"> </w:t>
      </w:r>
      <w:r w:rsidR="003A33C1" w:rsidRPr="000E2D2A">
        <w:rPr>
          <w:lang w:val="en-CA"/>
        </w:rPr>
        <w:t xml:space="preserve">at </w:t>
      </w:r>
      <w:r w:rsidRPr="000E2D2A">
        <w:rPr>
          <w:lang w:val="en-CA"/>
        </w:rPr>
        <w:t>para</w:t>
      </w:r>
      <w:r w:rsidR="005A562F">
        <w:rPr>
          <w:lang w:val="en-CA"/>
        </w:rPr>
        <w:t>s</w:t>
      </w:r>
      <w:r w:rsidRPr="000E2D2A">
        <w:rPr>
          <w:lang w:val="en-CA"/>
        </w:rPr>
        <w:t>. 217</w:t>
      </w:r>
      <w:r w:rsidR="005A562F" w:rsidRPr="000E2D2A">
        <w:rPr>
          <w:lang w:val="en-CA"/>
        </w:rPr>
        <w:t>–</w:t>
      </w:r>
      <w:r w:rsidRPr="000E2D2A">
        <w:rPr>
          <w:lang w:val="en-CA"/>
        </w:rPr>
        <w:t>221.</w:t>
      </w:r>
    </w:p>
  </w:footnote>
  <w:footnote w:id="17">
    <w:p w14:paraId="6116747E" w14:textId="722B853D" w:rsidR="007629E2" w:rsidRPr="000E2D2A" w:rsidRDefault="007629E2" w:rsidP="00634D8F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I</w:t>
      </w:r>
      <w:r w:rsidR="00804736" w:rsidRPr="000E2D2A">
        <w:rPr>
          <w:i/>
          <w:lang w:val="en-CA"/>
        </w:rPr>
        <w:t>bi</w:t>
      </w:r>
      <w:r w:rsidRPr="000E2D2A">
        <w:rPr>
          <w:i/>
          <w:lang w:val="en-CA"/>
        </w:rPr>
        <w:t>d</w:t>
      </w:r>
      <w:r w:rsidRPr="000E2D2A">
        <w:rPr>
          <w:lang w:val="en-CA"/>
        </w:rPr>
        <w:t xml:space="preserve">. </w:t>
      </w:r>
      <w:r w:rsidR="00804736" w:rsidRPr="000E2D2A">
        <w:rPr>
          <w:lang w:val="en-CA"/>
        </w:rPr>
        <w:t xml:space="preserve">at </w:t>
      </w:r>
      <w:r w:rsidRPr="000E2D2A">
        <w:rPr>
          <w:lang w:val="en-CA"/>
        </w:rPr>
        <w:t>para</w:t>
      </w:r>
      <w:r w:rsidR="00804736" w:rsidRPr="000E2D2A">
        <w:rPr>
          <w:lang w:val="en-CA"/>
        </w:rPr>
        <w:t>s</w:t>
      </w:r>
      <w:r w:rsidRPr="000E2D2A">
        <w:rPr>
          <w:lang w:val="en-CA"/>
        </w:rPr>
        <w:t>. 224, 306.</w:t>
      </w:r>
    </w:p>
  </w:footnote>
  <w:footnote w:id="18">
    <w:p w14:paraId="5FF7BA61" w14:textId="34771FD6" w:rsidR="007629E2" w:rsidRPr="000E2D2A" w:rsidRDefault="007629E2" w:rsidP="00390D05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I</w:t>
      </w:r>
      <w:r w:rsidR="00804736" w:rsidRPr="000E2D2A">
        <w:rPr>
          <w:i/>
          <w:lang w:val="en-CA"/>
        </w:rPr>
        <w:t>bi</w:t>
      </w:r>
      <w:r w:rsidRPr="000E2D2A">
        <w:rPr>
          <w:i/>
          <w:lang w:val="en-CA"/>
        </w:rPr>
        <w:t>d</w:t>
      </w:r>
      <w:r w:rsidRPr="000E2D2A">
        <w:rPr>
          <w:lang w:val="en-CA"/>
        </w:rPr>
        <w:t xml:space="preserve">. </w:t>
      </w:r>
      <w:r w:rsidR="00804736" w:rsidRPr="000E2D2A">
        <w:rPr>
          <w:lang w:val="en-CA"/>
        </w:rPr>
        <w:t xml:space="preserve">at </w:t>
      </w:r>
      <w:r w:rsidRPr="000E2D2A">
        <w:rPr>
          <w:lang w:val="en-CA"/>
        </w:rPr>
        <w:t>para</w:t>
      </w:r>
      <w:r w:rsidR="00804736" w:rsidRPr="000E2D2A">
        <w:rPr>
          <w:lang w:val="en-CA"/>
        </w:rPr>
        <w:t>s</w:t>
      </w:r>
      <w:r w:rsidRPr="000E2D2A">
        <w:rPr>
          <w:lang w:val="en-CA"/>
        </w:rPr>
        <w:t>. 226, 279, 290,301, 303</w:t>
      </w:r>
      <w:r w:rsidR="00BE4906">
        <w:rPr>
          <w:lang w:val="en-CA"/>
        </w:rPr>
        <w:t>,</w:t>
      </w:r>
      <w:r w:rsidRPr="000E2D2A">
        <w:rPr>
          <w:lang w:val="en-CA"/>
        </w:rPr>
        <w:t xml:space="preserve"> and 306.</w:t>
      </w:r>
    </w:p>
  </w:footnote>
  <w:footnote w:id="19">
    <w:p w14:paraId="63E63135" w14:textId="51A8A0A5" w:rsidR="007629E2" w:rsidRPr="000E2D2A" w:rsidRDefault="007629E2" w:rsidP="00390D05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I</w:t>
      </w:r>
      <w:r w:rsidR="00804736" w:rsidRPr="000E2D2A">
        <w:rPr>
          <w:i/>
          <w:lang w:val="en-CA"/>
        </w:rPr>
        <w:t>bi</w:t>
      </w:r>
      <w:r w:rsidRPr="000E2D2A">
        <w:rPr>
          <w:i/>
          <w:lang w:val="en-CA"/>
        </w:rPr>
        <w:t>d</w:t>
      </w:r>
      <w:r w:rsidRPr="000E2D2A">
        <w:rPr>
          <w:lang w:val="en-CA"/>
        </w:rPr>
        <w:t xml:space="preserve">. </w:t>
      </w:r>
      <w:r w:rsidR="00804736" w:rsidRPr="000E2D2A">
        <w:rPr>
          <w:lang w:val="en-CA"/>
        </w:rPr>
        <w:t xml:space="preserve">at </w:t>
      </w:r>
      <w:r w:rsidRPr="000E2D2A">
        <w:rPr>
          <w:lang w:val="en-CA"/>
        </w:rPr>
        <w:t>para</w:t>
      </w:r>
      <w:r w:rsidR="00804736" w:rsidRPr="000E2D2A">
        <w:rPr>
          <w:lang w:val="en-CA"/>
        </w:rPr>
        <w:t>s</w:t>
      </w:r>
      <w:r w:rsidRPr="000E2D2A">
        <w:rPr>
          <w:lang w:val="en-CA"/>
        </w:rPr>
        <w:t>. 227, 304</w:t>
      </w:r>
      <w:r w:rsidR="00804736" w:rsidRPr="000E2D2A">
        <w:rPr>
          <w:rFonts w:cs="Arial"/>
          <w:lang w:val="en-CA"/>
        </w:rPr>
        <w:t>–</w:t>
      </w:r>
      <w:r w:rsidRPr="000E2D2A">
        <w:rPr>
          <w:lang w:val="en-CA"/>
        </w:rPr>
        <w:t>306.</w:t>
      </w:r>
    </w:p>
  </w:footnote>
  <w:footnote w:id="20">
    <w:p w14:paraId="275988B8" w14:textId="0676995A" w:rsidR="007629E2" w:rsidRPr="000E2D2A" w:rsidRDefault="007629E2" w:rsidP="00390D05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="00DA3328" w:rsidRPr="000E2D2A">
        <w:rPr>
          <w:i/>
          <w:iCs/>
          <w:lang w:val="en-CA"/>
        </w:rPr>
        <w:t>Ibid</w:t>
      </w:r>
      <w:r w:rsidR="00DA3328" w:rsidRPr="000E2D2A">
        <w:rPr>
          <w:lang w:val="en-CA"/>
        </w:rPr>
        <w:t>. at</w:t>
      </w:r>
      <w:r w:rsidRPr="000E2D2A">
        <w:rPr>
          <w:lang w:val="en-CA"/>
        </w:rPr>
        <w:t xml:space="preserve"> para</w:t>
      </w:r>
      <w:r w:rsidR="00DA3328">
        <w:rPr>
          <w:lang w:val="en-CA"/>
        </w:rPr>
        <w:t>s</w:t>
      </w:r>
      <w:r w:rsidRPr="000E2D2A">
        <w:rPr>
          <w:lang w:val="en-CA"/>
        </w:rPr>
        <w:t>. 279, 294, 298</w:t>
      </w:r>
      <w:r w:rsidR="00DA3328" w:rsidRPr="000E2D2A">
        <w:rPr>
          <w:lang w:val="en-CA"/>
        </w:rPr>
        <w:t>,</w:t>
      </w:r>
      <w:r w:rsidRPr="000E2D2A">
        <w:rPr>
          <w:lang w:val="en-CA"/>
        </w:rPr>
        <w:t xml:space="preserve"> and 300.</w:t>
      </w:r>
    </w:p>
  </w:footnote>
  <w:footnote w:id="21">
    <w:p w14:paraId="50A63017" w14:textId="1DC491F0" w:rsidR="007629E2" w:rsidRPr="000E2D2A" w:rsidRDefault="007629E2" w:rsidP="00390D05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="00DA3328" w:rsidRPr="00837202">
        <w:rPr>
          <w:i/>
          <w:iCs/>
          <w:lang w:val="en-CA"/>
        </w:rPr>
        <w:t>Ibid</w:t>
      </w:r>
      <w:r w:rsidR="00DA3328" w:rsidRPr="00837202">
        <w:rPr>
          <w:lang w:val="en-CA"/>
        </w:rPr>
        <w:t>. at</w:t>
      </w:r>
      <w:r w:rsidRPr="000E2D2A">
        <w:rPr>
          <w:lang w:val="en-CA"/>
        </w:rPr>
        <w:t xml:space="preserve"> para. 299.</w:t>
      </w:r>
    </w:p>
  </w:footnote>
  <w:footnote w:id="22">
    <w:p w14:paraId="19D1C90D" w14:textId="645010F6" w:rsidR="007629E2" w:rsidRPr="000E2D2A" w:rsidRDefault="007629E2" w:rsidP="00634D8F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="00DA3328" w:rsidRPr="00837202">
        <w:rPr>
          <w:i/>
          <w:iCs/>
          <w:lang w:val="en-CA"/>
        </w:rPr>
        <w:t>Ibid</w:t>
      </w:r>
      <w:r w:rsidR="00DA3328" w:rsidRPr="00837202">
        <w:rPr>
          <w:lang w:val="en-CA"/>
        </w:rPr>
        <w:t>. at</w:t>
      </w:r>
      <w:r w:rsidRPr="000E2D2A">
        <w:rPr>
          <w:lang w:val="en-CA"/>
        </w:rPr>
        <w:t xml:space="preserve"> para. 307.</w:t>
      </w:r>
    </w:p>
  </w:footnote>
  <w:footnote w:id="23">
    <w:p w14:paraId="65D26CC3" w14:textId="2CE0C395" w:rsidR="007629E2" w:rsidRPr="000E2D2A" w:rsidRDefault="007629E2" w:rsidP="00B060B1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="00DA3328" w:rsidRPr="00837202">
        <w:rPr>
          <w:i/>
          <w:iCs/>
          <w:lang w:val="en-CA"/>
        </w:rPr>
        <w:t>Ibid</w:t>
      </w:r>
      <w:r w:rsidR="00DA3328" w:rsidRPr="00837202">
        <w:rPr>
          <w:lang w:val="en-CA"/>
        </w:rPr>
        <w:t>. at</w:t>
      </w:r>
      <w:r w:rsidRPr="000E2D2A">
        <w:rPr>
          <w:lang w:val="en-CA"/>
        </w:rPr>
        <w:t xml:space="preserve"> para. 317.</w:t>
      </w:r>
    </w:p>
  </w:footnote>
  <w:footnote w:id="24">
    <w:p w14:paraId="0031AA34" w14:textId="55A21799" w:rsidR="007629E2" w:rsidRPr="000E2D2A" w:rsidRDefault="007629E2" w:rsidP="00B060B1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="00DA3328" w:rsidRPr="00837202">
        <w:rPr>
          <w:i/>
          <w:iCs/>
          <w:lang w:val="en-CA"/>
        </w:rPr>
        <w:t>Ibid</w:t>
      </w:r>
      <w:r w:rsidR="00DA3328" w:rsidRPr="00837202">
        <w:rPr>
          <w:lang w:val="en-CA"/>
        </w:rPr>
        <w:t>. at</w:t>
      </w:r>
      <w:r w:rsidRPr="000E2D2A">
        <w:rPr>
          <w:lang w:val="en-CA"/>
        </w:rPr>
        <w:t xml:space="preserve"> para. 318.</w:t>
      </w:r>
    </w:p>
  </w:footnote>
  <w:footnote w:id="25">
    <w:p w14:paraId="498C50E8" w14:textId="575295FE" w:rsidR="007629E2" w:rsidRPr="000E2D2A" w:rsidRDefault="007629E2" w:rsidP="00634D8F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="00DA3328" w:rsidRPr="00837202">
        <w:rPr>
          <w:i/>
          <w:iCs/>
          <w:lang w:val="en-CA"/>
        </w:rPr>
        <w:t>Ibid</w:t>
      </w:r>
      <w:r w:rsidR="00DA3328" w:rsidRPr="00837202">
        <w:rPr>
          <w:lang w:val="en-CA"/>
        </w:rPr>
        <w:t>. at</w:t>
      </w:r>
      <w:r w:rsidRPr="000E2D2A">
        <w:rPr>
          <w:lang w:val="en-CA"/>
        </w:rPr>
        <w:t xml:space="preserve"> para. 319.</w:t>
      </w:r>
    </w:p>
  </w:footnote>
  <w:footnote w:id="26">
    <w:p w14:paraId="5A36BA11" w14:textId="3D9A2F6A" w:rsidR="007629E2" w:rsidRPr="000E2D2A" w:rsidRDefault="007629E2" w:rsidP="00B060B1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="00DA3328" w:rsidRPr="00837202">
        <w:rPr>
          <w:i/>
          <w:iCs/>
          <w:lang w:val="en-CA"/>
        </w:rPr>
        <w:t>Ibid</w:t>
      </w:r>
      <w:r w:rsidR="00DA3328" w:rsidRPr="00837202">
        <w:rPr>
          <w:lang w:val="en-CA"/>
        </w:rPr>
        <w:t>. at</w:t>
      </w:r>
      <w:r w:rsidRPr="000E2D2A">
        <w:rPr>
          <w:lang w:val="en-CA"/>
        </w:rPr>
        <w:t xml:space="preserve"> para. 324.</w:t>
      </w:r>
    </w:p>
  </w:footnote>
  <w:footnote w:id="27">
    <w:p w14:paraId="15D58CDD" w14:textId="7D09116E" w:rsidR="007629E2" w:rsidRPr="000E2D2A" w:rsidRDefault="007629E2" w:rsidP="00634D8F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="00DA3328" w:rsidRPr="00837202">
        <w:rPr>
          <w:i/>
          <w:iCs/>
          <w:lang w:val="en-CA"/>
        </w:rPr>
        <w:t>Ibid</w:t>
      </w:r>
      <w:r w:rsidR="00DA3328" w:rsidRPr="00837202">
        <w:rPr>
          <w:lang w:val="en-CA"/>
        </w:rPr>
        <w:t>. at</w:t>
      </w:r>
      <w:r w:rsidRPr="000E2D2A">
        <w:rPr>
          <w:lang w:val="en-CA"/>
        </w:rPr>
        <w:t xml:space="preserve"> para. 348.</w:t>
      </w:r>
    </w:p>
  </w:footnote>
  <w:footnote w:id="28">
    <w:p w14:paraId="3C89BB19" w14:textId="00F4868A" w:rsidR="007629E2" w:rsidRDefault="007629E2" w:rsidP="00634D8F">
      <w:pPr>
        <w:pStyle w:val="Notedebasdepage"/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="00DA3328" w:rsidRPr="00316642">
        <w:rPr>
          <w:i/>
          <w:iCs/>
          <w:lang w:val="en-CA"/>
        </w:rPr>
        <w:t>Ibid</w:t>
      </w:r>
      <w:r w:rsidR="00DA3328" w:rsidRPr="00316642">
        <w:rPr>
          <w:lang w:val="en-CA"/>
        </w:rPr>
        <w:t>. at</w:t>
      </w:r>
      <w:r w:rsidRPr="000E2D2A">
        <w:rPr>
          <w:lang w:val="en-CA"/>
        </w:rPr>
        <w:t xml:space="preserve"> para</w:t>
      </w:r>
      <w:r w:rsidR="00DA3328" w:rsidRPr="000E2D2A">
        <w:rPr>
          <w:lang w:val="en-CA"/>
        </w:rPr>
        <w:t>s</w:t>
      </w:r>
      <w:r w:rsidRPr="000E2D2A">
        <w:rPr>
          <w:lang w:val="en-CA"/>
        </w:rPr>
        <w:t xml:space="preserve">. </w:t>
      </w:r>
      <w:r>
        <w:t>355</w:t>
      </w:r>
      <w:r w:rsidR="00DA3328">
        <w:t>–</w:t>
      </w:r>
      <w:r>
        <w:t>356.</w:t>
      </w:r>
    </w:p>
  </w:footnote>
  <w:footnote w:id="29">
    <w:p w14:paraId="25D13323" w14:textId="67FE786B" w:rsidR="007629E2" w:rsidRPr="00295D78" w:rsidRDefault="007629E2" w:rsidP="00B93B61">
      <w:pPr>
        <w:pStyle w:val="Notedebasdepage"/>
      </w:pPr>
      <w:r>
        <w:rPr>
          <w:rStyle w:val="Appelnotedebasdep"/>
        </w:rPr>
        <w:footnoteRef/>
      </w:r>
      <w:r w:rsidRPr="00295D78">
        <w:t xml:space="preserve"> </w:t>
      </w:r>
      <w:r w:rsidRPr="00295D78">
        <w:tab/>
      </w:r>
      <w:r>
        <w:rPr>
          <w:i/>
        </w:rPr>
        <w:t>Uniprix inc. v. Gestion Gosselin et</w:t>
      </w:r>
      <w:r w:rsidRPr="00295D78">
        <w:rPr>
          <w:i/>
        </w:rPr>
        <w:t xml:space="preserve"> Bérubé inc</w:t>
      </w:r>
      <w:r w:rsidRPr="00295D78">
        <w:t>., 2017 SC</w:t>
      </w:r>
      <w:r w:rsidR="00C11B7F">
        <w:t>C</w:t>
      </w:r>
      <w:r w:rsidRPr="00295D78">
        <w:t xml:space="preserve"> 43 </w:t>
      </w:r>
      <w:r w:rsidR="00C11B7F">
        <w:t xml:space="preserve">at </w:t>
      </w:r>
      <w:r w:rsidRPr="00295D78">
        <w:t>par</w:t>
      </w:r>
      <w:r>
        <w:t>a</w:t>
      </w:r>
      <w:r w:rsidRPr="00295D78">
        <w:t>. 42</w:t>
      </w:r>
      <w:r>
        <w:t xml:space="preserve">; </w:t>
      </w:r>
      <w:r>
        <w:rPr>
          <w:i/>
        </w:rPr>
        <w:t xml:space="preserve">Station Mont-Tremblant </w:t>
      </w:r>
      <w:r w:rsidR="00C11B7F">
        <w:rPr>
          <w:i/>
        </w:rPr>
        <w:t>c</w:t>
      </w:r>
      <w:r>
        <w:rPr>
          <w:i/>
        </w:rPr>
        <w:t>. </w:t>
      </w:r>
      <w:r w:rsidRPr="00295D78">
        <w:rPr>
          <w:i/>
        </w:rPr>
        <w:t>Banville-Joncas</w:t>
      </w:r>
      <w:r>
        <w:t xml:space="preserve">, 2017 QCCA 939 </w:t>
      </w:r>
      <w:r w:rsidR="00C11B7F">
        <w:t xml:space="preserve">at </w:t>
      </w:r>
      <w:r>
        <w:t>para</w:t>
      </w:r>
      <w:r w:rsidR="00C11B7F">
        <w:t>s</w:t>
      </w:r>
      <w:r>
        <w:t>. 63</w:t>
      </w:r>
      <w:r w:rsidR="00C11B7F">
        <w:t>–</w:t>
      </w:r>
      <w:r>
        <w:t xml:space="preserve">65; </w:t>
      </w:r>
      <w:r w:rsidRPr="005C7FCB">
        <w:rPr>
          <w:i/>
        </w:rPr>
        <w:t>Admi</w:t>
      </w:r>
      <w:r>
        <w:rPr>
          <w:i/>
        </w:rPr>
        <w:t xml:space="preserve">nistration portuaire de Québec </w:t>
      </w:r>
      <w:r w:rsidR="00C11B7F">
        <w:rPr>
          <w:i/>
        </w:rPr>
        <w:t>c</w:t>
      </w:r>
      <w:r w:rsidRPr="005C7FCB">
        <w:rPr>
          <w:i/>
        </w:rPr>
        <w:t>. Fortin</w:t>
      </w:r>
      <w:r>
        <w:t>, 2017 </w:t>
      </w:r>
      <w:r w:rsidRPr="005C7FCB">
        <w:t>QCCA 315</w:t>
      </w:r>
      <w:r>
        <w:t xml:space="preserve"> </w:t>
      </w:r>
      <w:r w:rsidR="00C11B7F">
        <w:t xml:space="preserve">at </w:t>
      </w:r>
      <w:r>
        <w:t xml:space="preserve">para. 12; </w:t>
      </w:r>
      <w:r w:rsidRPr="005C7FCB">
        <w:rPr>
          <w:i/>
        </w:rPr>
        <w:t xml:space="preserve">Compagnie canadienne </w:t>
      </w:r>
      <w:r>
        <w:rPr>
          <w:i/>
        </w:rPr>
        <w:t xml:space="preserve">d'assurances générales Lombard </w:t>
      </w:r>
      <w:r w:rsidR="00C11B7F">
        <w:rPr>
          <w:i/>
        </w:rPr>
        <w:t>c</w:t>
      </w:r>
      <w:r w:rsidRPr="005C7FCB">
        <w:rPr>
          <w:i/>
        </w:rPr>
        <w:t>. Promutuel Portneuf-Champlain, société mutuelle d'assurances générales</w:t>
      </w:r>
      <w:r>
        <w:t xml:space="preserve">, 2016 QCCA 1903 </w:t>
      </w:r>
      <w:r w:rsidR="00C11B7F">
        <w:t xml:space="preserve">at </w:t>
      </w:r>
      <w:r>
        <w:t xml:space="preserve">para. 17; </w:t>
      </w:r>
      <w:r w:rsidRPr="005C7FCB">
        <w:rPr>
          <w:i/>
        </w:rPr>
        <w:t>Merci</w:t>
      </w:r>
      <w:r>
        <w:rPr>
          <w:i/>
        </w:rPr>
        <w:t xml:space="preserve">lle </w:t>
      </w:r>
      <w:r w:rsidR="00C11B7F">
        <w:rPr>
          <w:i/>
        </w:rPr>
        <w:t>c</w:t>
      </w:r>
      <w:r w:rsidRPr="005C7FCB">
        <w:rPr>
          <w:i/>
        </w:rPr>
        <w:t>. 9221-8247 Québec inc</w:t>
      </w:r>
      <w:r w:rsidRPr="005C7FCB">
        <w:t>., 2016 QCCA 49</w:t>
      </w:r>
      <w:r>
        <w:t xml:space="preserve"> </w:t>
      </w:r>
      <w:r w:rsidR="00C11B7F">
        <w:t xml:space="preserve">at </w:t>
      </w:r>
      <w:r>
        <w:t xml:space="preserve">para. 38; </w:t>
      </w:r>
      <w:r w:rsidRPr="00295D78">
        <w:rPr>
          <w:i/>
        </w:rPr>
        <w:t xml:space="preserve">Montréal, Maine &amp; Atlantique Canada Cie/Montreal, Maine &amp; Atlantic Canada Co. </w:t>
      </w:r>
      <w:r w:rsidRPr="00316642">
        <w:rPr>
          <w:i/>
        </w:rPr>
        <w:t>(M.M.A.) (Arrangement relatif à),</w:t>
      </w:r>
      <w:r w:rsidRPr="00316642">
        <w:t xml:space="preserve"> 2014 QCCA 2072 </w:t>
      </w:r>
      <w:r w:rsidR="00C11B7F" w:rsidRPr="00316642">
        <w:t xml:space="preserve">at </w:t>
      </w:r>
      <w:r w:rsidRPr="00316642">
        <w:t>para. </w:t>
      </w:r>
      <w:r w:rsidRPr="00CD5D2F">
        <w:rPr>
          <w:lang w:val="en-US"/>
        </w:rPr>
        <w:t xml:space="preserve">20. This is also what the Federal Court of Appeal held in the copyright context: </w:t>
      </w:r>
      <w:r w:rsidRPr="00CD5D2F">
        <w:rPr>
          <w:i/>
          <w:lang w:val="en-US"/>
        </w:rPr>
        <w:t>Planification-Organisation-Pub</w:t>
      </w:r>
      <w:r>
        <w:rPr>
          <w:i/>
          <w:lang w:val="en-US"/>
        </w:rPr>
        <w:t xml:space="preserve">lications Systèmes (POPS) </w:t>
      </w:r>
      <w:r w:rsidR="0041007E">
        <w:rPr>
          <w:i/>
          <w:lang w:val="en-US"/>
        </w:rPr>
        <w:t>L</w:t>
      </w:r>
      <w:r>
        <w:rPr>
          <w:i/>
          <w:lang w:val="en-US"/>
        </w:rPr>
        <w:t>tée v</w:t>
      </w:r>
      <w:r w:rsidRPr="00CD5D2F">
        <w:rPr>
          <w:i/>
          <w:lang w:val="en-US"/>
        </w:rPr>
        <w:t xml:space="preserve">. 9054-8181 Québec </w:t>
      </w:r>
      <w:r w:rsidR="00C11B7F">
        <w:rPr>
          <w:i/>
          <w:lang w:val="en-US"/>
        </w:rPr>
        <w:t>I</w:t>
      </w:r>
      <w:r w:rsidRPr="00CD5D2F">
        <w:rPr>
          <w:i/>
          <w:lang w:val="en-US"/>
        </w:rPr>
        <w:t>nc</w:t>
      </w:r>
      <w:r>
        <w:rPr>
          <w:lang w:val="en-US"/>
        </w:rPr>
        <w:t>., 2014 FCA</w:t>
      </w:r>
      <w:r w:rsidRPr="00CD5D2F">
        <w:rPr>
          <w:lang w:val="en-US"/>
        </w:rPr>
        <w:t xml:space="preserve"> 185</w:t>
      </w:r>
      <w:r>
        <w:rPr>
          <w:lang w:val="en-US"/>
        </w:rPr>
        <w:t xml:space="preserve"> </w:t>
      </w:r>
      <w:r w:rsidR="00C11B7F">
        <w:rPr>
          <w:lang w:val="en-US"/>
        </w:rPr>
        <w:t xml:space="preserve">at </w:t>
      </w:r>
      <w:r>
        <w:rPr>
          <w:lang w:val="en-US"/>
        </w:rPr>
        <w:t>para</w:t>
      </w:r>
      <w:r w:rsidRPr="00CD5D2F">
        <w:rPr>
          <w:lang w:val="en-US"/>
        </w:rPr>
        <w:t xml:space="preserve">. </w:t>
      </w:r>
      <w:r>
        <w:t>43.</w:t>
      </w:r>
    </w:p>
  </w:footnote>
  <w:footnote w:id="30">
    <w:p w14:paraId="23A99285" w14:textId="0BB1167C" w:rsidR="007629E2" w:rsidRPr="00133929" w:rsidRDefault="007629E2" w:rsidP="00634D8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5C7FCB">
        <w:t xml:space="preserve"> </w:t>
      </w:r>
      <w:r w:rsidRPr="005C7FCB">
        <w:tab/>
      </w:r>
      <w:r>
        <w:rPr>
          <w:i/>
        </w:rPr>
        <w:t xml:space="preserve">Station Mont-Tremblant </w:t>
      </w:r>
      <w:r w:rsidR="00DC6F2F">
        <w:rPr>
          <w:i/>
        </w:rPr>
        <w:t>c</w:t>
      </w:r>
      <w:r w:rsidRPr="00295D78">
        <w:rPr>
          <w:i/>
        </w:rPr>
        <w:t>. Banville-Joncas</w:t>
      </w:r>
      <w:r>
        <w:t xml:space="preserve">, </w:t>
      </w:r>
      <w:r w:rsidRPr="00C40ACF">
        <w:rPr>
          <w:i/>
        </w:rPr>
        <w:t>supra</w:t>
      </w:r>
      <w:r>
        <w:t xml:space="preserve"> note </w:t>
      </w:r>
      <w:r w:rsidR="00DC6F2F">
        <w:t>29</w:t>
      </w:r>
      <w:r>
        <w:t xml:space="preserve"> </w:t>
      </w:r>
      <w:r w:rsidR="00C96647">
        <w:t xml:space="preserve">at </w:t>
      </w:r>
      <w:r>
        <w:t>para</w:t>
      </w:r>
      <w:r w:rsidR="00C96647">
        <w:t>s</w:t>
      </w:r>
      <w:r>
        <w:t>. 64</w:t>
      </w:r>
      <w:r w:rsidR="00C96647">
        <w:t>–</w:t>
      </w:r>
      <w:r>
        <w:t xml:space="preserve">65. See also </w:t>
      </w:r>
      <w:r>
        <w:rPr>
          <w:i/>
        </w:rPr>
        <w:t>Uniprix inc. v. </w:t>
      </w:r>
      <w:r w:rsidRPr="004B069B">
        <w:rPr>
          <w:i/>
        </w:rPr>
        <w:t>Gestion Gosselin et Bérubé inc</w:t>
      </w:r>
      <w:r>
        <w:t xml:space="preserve">., </w:t>
      </w:r>
      <w:r w:rsidRPr="00C40ACF">
        <w:rPr>
          <w:i/>
        </w:rPr>
        <w:t>supra</w:t>
      </w:r>
      <w:r>
        <w:t xml:space="preserve"> note </w:t>
      </w:r>
      <w:r w:rsidR="00DC6F2F">
        <w:t>29</w:t>
      </w:r>
      <w:r>
        <w:t xml:space="preserve"> </w:t>
      </w:r>
      <w:r w:rsidR="00DC6F2F">
        <w:t xml:space="preserve">at </w:t>
      </w:r>
      <w:r>
        <w:t xml:space="preserve">para. 44; </w:t>
      </w:r>
      <w:r>
        <w:rPr>
          <w:i/>
        </w:rPr>
        <w:t xml:space="preserve">Samen Investments Inc. </w:t>
      </w:r>
      <w:r w:rsidR="00DC6F2F">
        <w:rPr>
          <w:i/>
        </w:rPr>
        <w:t>c</w:t>
      </w:r>
      <w:r w:rsidRPr="004B069B">
        <w:rPr>
          <w:i/>
        </w:rPr>
        <w:t>. Monit Management Ltd.</w:t>
      </w:r>
      <w:r>
        <w:t xml:space="preserve">, 2014 QCCA 826 </w:t>
      </w:r>
      <w:r w:rsidR="00DF15B8">
        <w:t xml:space="preserve">at </w:t>
      </w:r>
      <w:r>
        <w:t xml:space="preserve">para. 52; </w:t>
      </w:r>
      <w:r w:rsidRPr="004B069B">
        <w:rPr>
          <w:i/>
        </w:rPr>
        <w:t>Régie de gestion des matiè</w:t>
      </w:r>
      <w:r>
        <w:rPr>
          <w:i/>
        </w:rPr>
        <w:t xml:space="preserve">res résiduelles de la Mauricie </w:t>
      </w:r>
      <w:r w:rsidR="00DF15B8">
        <w:rPr>
          <w:i/>
        </w:rPr>
        <w:t>c</w:t>
      </w:r>
      <w:r w:rsidRPr="004B069B">
        <w:rPr>
          <w:i/>
        </w:rPr>
        <w:t>. Serres du St-Laurent inc</w:t>
      </w:r>
      <w:r w:rsidRPr="005C7FCB">
        <w:t>., 2013 QCCA 1607</w:t>
      </w:r>
      <w:r>
        <w:t xml:space="preserve"> </w:t>
      </w:r>
      <w:r w:rsidR="00DF15B8">
        <w:t xml:space="preserve">at </w:t>
      </w:r>
      <w:r>
        <w:t xml:space="preserve">para. 64; </w:t>
      </w:r>
      <w:r w:rsidRPr="004B069B">
        <w:rPr>
          <w:i/>
        </w:rPr>
        <w:t>P</w:t>
      </w:r>
      <w:r>
        <w:rPr>
          <w:i/>
        </w:rPr>
        <w:t xml:space="preserve">rimmum, compagnie d'assurances </w:t>
      </w:r>
      <w:r w:rsidR="00DF15B8">
        <w:rPr>
          <w:i/>
        </w:rPr>
        <w:t>c</w:t>
      </w:r>
      <w:r w:rsidRPr="004B069B">
        <w:rPr>
          <w:i/>
        </w:rPr>
        <w:t>. Société d'assurances collective Sodaco</w:t>
      </w:r>
      <w:r w:rsidRPr="004B069B">
        <w:t>, 2013 QCCA 1516</w:t>
      </w:r>
      <w:r>
        <w:t xml:space="preserve">; </w:t>
      </w:r>
      <w:r w:rsidRPr="004B069B">
        <w:rPr>
          <w:i/>
        </w:rPr>
        <w:t xml:space="preserve">Compagnie canadienne </w:t>
      </w:r>
      <w:r>
        <w:rPr>
          <w:i/>
        </w:rPr>
        <w:t xml:space="preserve">d'assurances générales Lombard </w:t>
      </w:r>
      <w:r w:rsidR="00DF15B8">
        <w:rPr>
          <w:i/>
        </w:rPr>
        <w:t>c</w:t>
      </w:r>
      <w:r w:rsidRPr="004B069B">
        <w:rPr>
          <w:i/>
        </w:rPr>
        <w:t>. CIT Financial Ltd</w:t>
      </w:r>
      <w:r w:rsidRPr="004B069B">
        <w:t>., 2012 QCCA 1811</w:t>
      </w:r>
      <w:r>
        <w:t xml:space="preserve"> </w:t>
      </w:r>
      <w:r w:rsidR="00DF15B8">
        <w:t xml:space="preserve">at </w:t>
      </w:r>
      <w:r>
        <w:t xml:space="preserve">para. 18; </w:t>
      </w:r>
      <w:r w:rsidRPr="004B069B">
        <w:rPr>
          <w:i/>
        </w:rPr>
        <w:t>Compagnie de chemin de fer du littoral nord</w:t>
      </w:r>
      <w:r>
        <w:rPr>
          <w:i/>
        </w:rPr>
        <w:t xml:space="preserve"> de Québec et du Labrador inc. </w:t>
      </w:r>
      <w:r w:rsidR="00DF15B8">
        <w:rPr>
          <w:i/>
        </w:rPr>
        <w:t>c</w:t>
      </w:r>
      <w:r w:rsidRPr="004B069B">
        <w:rPr>
          <w:i/>
        </w:rPr>
        <w:t xml:space="preserve">. </w:t>
      </w:r>
      <w:r w:rsidRPr="000E2D2A">
        <w:rPr>
          <w:i/>
        </w:rPr>
        <w:t>Sodexho Québec ltée</w:t>
      </w:r>
      <w:r w:rsidRPr="000E2D2A">
        <w:t xml:space="preserve">, 2010 QCCA 2408 </w:t>
      </w:r>
      <w:r w:rsidR="00DF15B8" w:rsidRPr="000E2D2A">
        <w:t xml:space="preserve">at </w:t>
      </w:r>
      <w:r w:rsidRPr="000E2D2A">
        <w:t xml:space="preserve">para. </w:t>
      </w:r>
      <w:r w:rsidRPr="00133929">
        <w:rPr>
          <w:lang w:val="en-US"/>
        </w:rPr>
        <w:t>81.</w:t>
      </w:r>
    </w:p>
  </w:footnote>
  <w:footnote w:id="31">
    <w:p w14:paraId="3B66BC80" w14:textId="72227592" w:rsidR="007629E2" w:rsidRPr="00133929" w:rsidRDefault="007629E2" w:rsidP="00634D8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133929">
        <w:rPr>
          <w:lang w:val="en-US"/>
        </w:rPr>
        <w:t xml:space="preserve"> </w:t>
      </w:r>
      <w:r w:rsidRPr="00133929">
        <w:rPr>
          <w:lang w:val="en-US"/>
        </w:rPr>
        <w:tab/>
      </w:r>
      <w:r w:rsidR="003A33C1" w:rsidRPr="000E2D2A">
        <w:rPr>
          <w:lang w:val="en-CA"/>
        </w:rPr>
        <w:t>Judgment under appeal</w:t>
      </w:r>
      <w:r w:rsidRPr="00133929">
        <w:rPr>
          <w:lang w:val="en-US"/>
        </w:rPr>
        <w:t xml:space="preserve"> </w:t>
      </w:r>
      <w:r w:rsidR="003A33C1">
        <w:rPr>
          <w:lang w:val="en-US"/>
        </w:rPr>
        <w:t xml:space="preserve">at </w:t>
      </w:r>
      <w:r w:rsidRPr="00133929">
        <w:rPr>
          <w:lang w:val="en-US"/>
        </w:rPr>
        <w:t>para</w:t>
      </w:r>
      <w:r w:rsidR="00DF15B8">
        <w:rPr>
          <w:lang w:val="en-US"/>
        </w:rPr>
        <w:t>s</w:t>
      </w:r>
      <w:r w:rsidRPr="00133929">
        <w:rPr>
          <w:lang w:val="en-US"/>
        </w:rPr>
        <w:t>. 206</w:t>
      </w:r>
      <w:r w:rsidR="00DF15B8">
        <w:rPr>
          <w:lang w:val="en-US"/>
        </w:rPr>
        <w:t>–</w:t>
      </w:r>
      <w:r w:rsidRPr="00133929">
        <w:rPr>
          <w:lang w:val="en-US"/>
        </w:rPr>
        <w:t>207.</w:t>
      </w:r>
    </w:p>
  </w:footnote>
  <w:footnote w:id="32">
    <w:p w14:paraId="6F5A5F93" w14:textId="6BEAFC66" w:rsidR="007629E2" w:rsidRPr="000741B6" w:rsidRDefault="007629E2" w:rsidP="00634D8F">
      <w:pPr>
        <w:pStyle w:val="Notedebasdepage"/>
      </w:pPr>
      <w:r>
        <w:rPr>
          <w:rStyle w:val="Appelnotedebasdep"/>
        </w:rPr>
        <w:footnoteRef/>
      </w:r>
      <w:r w:rsidRPr="00B7478D">
        <w:rPr>
          <w:lang w:val="en-US"/>
        </w:rPr>
        <w:t xml:space="preserve"> </w:t>
      </w:r>
      <w:r w:rsidRPr="00B7478D">
        <w:rPr>
          <w:lang w:val="en-US"/>
        </w:rPr>
        <w:tab/>
      </w:r>
      <w:r w:rsidRPr="00B7478D">
        <w:rPr>
          <w:i/>
          <w:lang w:val="en-CA"/>
        </w:rPr>
        <w:t>Harmony Consulting Ltd. v. G. A. Foss Transport Ltd</w:t>
      </w:r>
      <w:r w:rsidRPr="00B7478D">
        <w:rPr>
          <w:lang w:val="en-CA"/>
        </w:rPr>
        <w:t xml:space="preserve">., 2012 FCA 226 </w:t>
      </w:r>
      <w:r w:rsidR="00D64702">
        <w:rPr>
          <w:lang w:val="en-CA"/>
        </w:rPr>
        <w:t xml:space="preserve">at </w:t>
      </w:r>
      <w:r w:rsidRPr="00B7478D">
        <w:rPr>
          <w:lang w:val="en-CA"/>
        </w:rPr>
        <w:t xml:space="preserve">para. </w:t>
      </w:r>
      <w:r w:rsidRPr="00133929">
        <w:t xml:space="preserve">31. See also </w:t>
      </w:r>
      <w:r w:rsidRPr="000741B6">
        <w:t>Jean</w:t>
      </w:r>
      <w:r w:rsidRPr="000741B6">
        <w:noBreakHyphen/>
        <w:t xml:space="preserve">Philippe Mikus, “Recours en contrefaçon” in </w:t>
      </w:r>
      <w:r w:rsidRPr="000741B6">
        <w:rPr>
          <w:i/>
        </w:rPr>
        <w:t>JurisClasseur Québec</w:t>
      </w:r>
      <w:r w:rsidRPr="000741B6">
        <w:t xml:space="preserve">, vol. </w:t>
      </w:r>
      <w:r w:rsidRPr="000741B6">
        <w:rPr>
          <w:i/>
        </w:rPr>
        <w:t>Recours en contrefaçon de droits d'auteur</w:t>
      </w:r>
      <w:r w:rsidRPr="000741B6">
        <w:t xml:space="preserve"> </w:t>
      </w:r>
      <w:r w:rsidR="000741B6" w:rsidRPr="000E2D2A">
        <w:t>(</w:t>
      </w:r>
      <w:r w:rsidRPr="000741B6">
        <w:t>Montr</w:t>
      </w:r>
      <w:r w:rsidR="000741B6" w:rsidRPr="000E2D2A">
        <w:t>e</w:t>
      </w:r>
      <w:r w:rsidRPr="000741B6">
        <w:t>al</w:t>
      </w:r>
      <w:r w:rsidR="000741B6" w:rsidRPr="000E2D2A">
        <w:t>:</w:t>
      </w:r>
      <w:r w:rsidRPr="000741B6">
        <w:t xml:space="preserve"> Lexis Nexis, 2018</w:t>
      </w:r>
      <w:r w:rsidR="000741B6" w:rsidRPr="000E2D2A">
        <w:t>)</w:t>
      </w:r>
      <w:r w:rsidRPr="000741B6">
        <w:t xml:space="preserve"> </w:t>
      </w:r>
      <w:r w:rsidR="000741B6" w:rsidRPr="000E2D2A">
        <w:t xml:space="preserve">at </w:t>
      </w:r>
      <w:r w:rsidRPr="000741B6">
        <w:t>1/58.</w:t>
      </w:r>
    </w:p>
  </w:footnote>
  <w:footnote w:id="33">
    <w:p w14:paraId="79118BE0" w14:textId="47410503" w:rsidR="007629E2" w:rsidRPr="00B7478D" w:rsidRDefault="007629E2" w:rsidP="00634D8F">
      <w:pPr>
        <w:pStyle w:val="Notedebasdepage"/>
        <w:rPr>
          <w:lang w:val="en-CA"/>
        </w:rPr>
      </w:pPr>
      <w:r w:rsidRPr="000741B6">
        <w:rPr>
          <w:rStyle w:val="Appelnotedebasdep"/>
          <w:lang w:val="en-CA"/>
        </w:rPr>
        <w:footnoteRef/>
      </w:r>
      <w:r w:rsidRPr="000741B6">
        <w:rPr>
          <w:lang w:val="en-CA"/>
        </w:rPr>
        <w:t xml:space="preserve"> </w:t>
      </w:r>
      <w:r w:rsidRPr="000741B6">
        <w:rPr>
          <w:lang w:val="en-CA"/>
        </w:rPr>
        <w:tab/>
        <w:t xml:space="preserve">David Vaver, “Consent or No Consent: The Burden of Proof in Intellectual Property Infringement Suits” (2001) 23 </w:t>
      </w:r>
      <w:r w:rsidRPr="000E2D2A">
        <w:rPr>
          <w:iCs/>
          <w:lang w:val="en-CA"/>
        </w:rPr>
        <w:t>I.P.J.</w:t>
      </w:r>
      <w:r w:rsidRPr="000741B6">
        <w:rPr>
          <w:lang w:val="en-CA"/>
        </w:rPr>
        <w:t xml:space="preserve"> 147 </w:t>
      </w:r>
      <w:r w:rsidR="000741B6" w:rsidRPr="000E2D2A">
        <w:rPr>
          <w:lang w:val="en-CA"/>
        </w:rPr>
        <w:t xml:space="preserve">at </w:t>
      </w:r>
      <w:r w:rsidRPr="000741B6">
        <w:rPr>
          <w:lang w:val="en-CA"/>
        </w:rPr>
        <w:t>150</w:t>
      </w:r>
      <w:r w:rsidR="00E469B0">
        <w:rPr>
          <w:lang w:val="en-CA"/>
        </w:rPr>
        <w:t xml:space="preserve"> [Vaver, </w:t>
      </w:r>
      <w:bookmarkStart w:id="16" w:name="_Hlk150500792"/>
      <w:r w:rsidR="00E469B0">
        <w:rPr>
          <w:lang w:val="en-CA"/>
        </w:rPr>
        <w:t>“Consent or No Consent”</w:t>
      </w:r>
      <w:bookmarkEnd w:id="16"/>
      <w:r w:rsidR="00E469B0">
        <w:rPr>
          <w:lang w:val="en-CA"/>
        </w:rPr>
        <w:t>]</w:t>
      </w:r>
      <w:r w:rsidR="00D64702">
        <w:rPr>
          <w:lang w:val="en-CA"/>
        </w:rPr>
        <w:t>;</w:t>
      </w:r>
      <w:r w:rsidRPr="00B7478D">
        <w:rPr>
          <w:lang w:val="en-CA"/>
        </w:rPr>
        <w:t xml:space="preserve"> </w:t>
      </w:r>
      <w:r>
        <w:rPr>
          <w:i/>
          <w:lang w:val="en-CA"/>
        </w:rPr>
        <w:t>Harmony Consulting Ltd. v</w:t>
      </w:r>
      <w:r w:rsidRPr="00B7478D">
        <w:rPr>
          <w:i/>
          <w:lang w:val="en-CA"/>
        </w:rPr>
        <w:t>. G. A. Foss Transport Ltd.</w:t>
      </w:r>
      <w:r w:rsidRPr="00B7478D">
        <w:rPr>
          <w:lang w:val="en-CA"/>
        </w:rPr>
        <w:t xml:space="preserve">, </w:t>
      </w:r>
      <w:r w:rsidRPr="00B7478D">
        <w:rPr>
          <w:i/>
          <w:lang w:val="en-CA"/>
        </w:rPr>
        <w:t>supra</w:t>
      </w:r>
      <w:r w:rsidRPr="00B7478D">
        <w:rPr>
          <w:lang w:val="en-CA"/>
        </w:rPr>
        <w:t xml:space="preserve"> note </w:t>
      </w:r>
      <w:r w:rsidR="00D64702">
        <w:rPr>
          <w:lang w:val="en-CA"/>
        </w:rPr>
        <w:t>32</w:t>
      </w:r>
      <w:r w:rsidRPr="00B7478D">
        <w:rPr>
          <w:lang w:val="en-CA"/>
        </w:rPr>
        <w:t xml:space="preserve"> </w:t>
      </w:r>
      <w:r w:rsidR="00D64702">
        <w:rPr>
          <w:lang w:val="en-CA"/>
        </w:rPr>
        <w:t xml:space="preserve">at </w:t>
      </w:r>
      <w:r>
        <w:rPr>
          <w:lang w:val="en-CA"/>
        </w:rPr>
        <w:t>para</w:t>
      </w:r>
      <w:r w:rsidRPr="00B7478D">
        <w:rPr>
          <w:lang w:val="en-CA"/>
        </w:rPr>
        <w:t>. 32.</w:t>
      </w:r>
    </w:p>
  </w:footnote>
  <w:footnote w:id="34">
    <w:p w14:paraId="31300BC8" w14:textId="355EC9A0" w:rsidR="007629E2" w:rsidRPr="00133929" w:rsidRDefault="007629E2" w:rsidP="00634D8F">
      <w:pPr>
        <w:pStyle w:val="Notedebasdepage"/>
      </w:pPr>
      <w:r w:rsidRPr="00B7478D">
        <w:rPr>
          <w:rStyle w:val="Appelnotedebasdep"/>
          <w:lang w:val="en-CA"/>
        </w:rPr>
        <w:footnoteRef/>
      </w:r>
      <w:r w:rsidRPr="00B7478D">
        <w:rPr>
          <w:lang w:val="en-CA"/>
        </w:rPr>
        <w:t xml:space="preserve"> </w:t>
      </w:r>
      <w:r w:rsidRPr="00B7478D">
        <w:rPr>
          <w:lang w:val="en-CA"/>
        </w:rPr>
        <w:tab/>
      </w:r>
      <w:r w:rsidRPr="00B7478D">
        <w:rPr>
          <w:i/>
          <w:lang w:val="en-CA"/>
        </w:rPr>
        <w:t>I</w:t>
      </w:r>
      <w:r w:rsidR="00D64702">
        <w:rPr>
          <w:i/>
          <w:lang w:val="en-CA"/>
        </w:rPr>
        <w:t>bi</w:t>
      </w:r>
      <w:r w:rsidRPr="00B7478D">
        <w:rPr>
          <w:i/>
          <w:lang w:val="en-CA"/>
        </w:rPr>
        <w:t>d</w:t>
      </w:r>
      <w:r w:rsidRPr="00B7478D">
        <w:rPr>
          <w:lang w:val="en-CA"/>
        </w:rPr>
        <w:t xml:space="preserve">. </w:t>
      </w:r>
      <w:r w:rsidR="00D64702">
        <w:rPr>
          <w:lang w:val="en-CA"/>
        </w:rPr>
        <w:t>at</w:t>
      </w:r>
      <w:r w:rsidRPr="00B7478D">
        <w:rPr>
          <w:lang w:val="en-CA"/>
        </w:rPr>
        <w:t xml:space="preserve"> 148</w:t>
      </w:r>
      <w:r w:rsidR="00D64702">
        <w:rPr>
          <w:lang w:val="en-CA"/>
        </w:rPr>
        <w:t>–</w:t>
      </w:r>
      <w:r w:rsidRPr="00B7478D">
        <w:rPr>
          <w:lang w:val="en-CA"/>
        </w:rPr>
        <w:t>149</w:t>
      </w:r>
      <w:r w:rsidR="002A1FAC">
        <w:rPr>
          <w:lang w:val="en-CA"/>
        </w:rPr>
        <w:t>;</w:t>
      </w:r>
      <w:r w:rsidRPr="00B7478D">
        <w:rPr>
          <w:lang w:val="en-CA"/>
        </w:rPr>
        <w:t xml:space="preserve"> </w:t>
      </w:r>
      <w:r>
        <w:rPr>
          <w:i/>
          <w:lang w:val="en-CA"/>
        </w:rPr>
        <w:t>Harmony Consulting Ltd. v</w:t>
      </w:r>
      <w:r w:rsidRPr="00B7478D">
        <w:rPr>
          <w:i/>
          <w:lang w:val="en-CA"/>
        </w:rPr>
        <w:t>. G. A. Foss Transport Ltd.</w:t>
      </w:r>
      <w:r w:rsidRPr="00B7478D">
        <w:rPr>
          <w:lang w:val="en-CA"/>
        </w:rPr>
        <w:t xml:space="preserve">, </w:t>
      </w:r>
      <w:r w:rsidRPr="00B7478D">
        <w:rPr>
          <w:i/>
          <w:lang w:val="en-CA"/>
        </w:rPr>
        <w:t>supra</w:t>
      </w:r>
      <w:r w:rsidRPr="00B7478D">
        <w:rPr>
          <w:lang w:val="en-CA"/>
        </w:rPr>
        <w:t xml:space="preserve"> note </w:t>
      </w:r>
      <w:r w:rsidR="00CC6E95">
        <w:rPr>
          <w:lang w:val="en-CA"/>
        </w:rPr>
        <w:t>32</w:t>
      </w:r>
      <w:r w:rsidRPr="00B7478D">
        <w:rPr>
          <w:lang w:val="en-CA"/>
        </w:rPr>
        <w:t xml:space="preserve"> </w:t>
      </w:r>
      <w:r w:rsidR="00D64702">
        <w:rPr>
          <w:lang w:val="en-CA"/>
        </w:rPr>
        <w:t xml:space="preserve">at </w:t>
      </w:r>
      <w:r w:rsidRPr="00B7478D">
        <w:rPr>
          <w:lang w:val="en-CA"/>
        </w:rPr>
        <w:t xml:space="preserve">para. </w:t>
      </w:r>
      <w:r w:rsidRPr="00133929">
        <w:t>32.</w:t>
      </w:r>
    </w:p>
  </w:footnote>
  <w:footnote w:id="35">
    <w:p w14:paraId="1B40D7CB" w14:textId="77777777" w:rsidR="007629E2" w:rsidRPr="00923971" w:rsidRDefault="007629E2" w:rsidP="00634D8F">
      <w:pPr>
        <w:pStyle w:val="Notedebasdepage"/>
      </w:pPr>
      <w:r>
        <w:rPr>
          <w:rStyle w:val="Appelnotedebasdep"/>
        </w:rPr>
        <w:footnoteRef/>
      </w:r>
      <w:r w:rsidRPr="00923971">
        <w:t xml:space="preserve"> </w:t>
      </w:r>
      <w:r w:rsidRPr="00923971">
        <w:tab/>
      </w:r>
      <w:r>
        <w:rPr>
          <w:i/>
        </w:rPr>
        <w:t>Ibid</w:t>
      </w:r>
      <w:r w:rsidRPr="00F43493">
        <w:t>.</w:t>
      </w:r>
    </w:p>
  </w:footnote>
  <w:footnote w:id="36">
    <w:p w14:paraId="5B5037EA" w14:textId="47EECAD1" w:rsidR="007629E2" w:rsidRDefault="007629E2" w:rsidP="00AF441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4B069B">
        <w:rPr>
          <w:i/>
        </w:rPr>
        <w:t>Uni</w:t>
      </w:r>
      <w:r>
        <w:rPr>
          <w:i/>
        </w:rPr>
        <w:t>prix inc. v. Gestion Gosselin et</w:t>
      </w:r>
      <w:r w:rsidRPr="004B069B">
        <w:rPr>
          <w:i/>
        </w:rPr>
        <w:t xml:space="preserve"> Bérubé inc</w:t>
      </w:r>
      <w:r>
        <w:t xml:space="preserve">., </w:t>
      </w:r>
      <w:r w:rsidRPr="004F59F9">
        <w:rPr>
          <w:i/>
        </w:rPr>
        <w:t>supra</w:t>
      </w:r>
      <w:r>
        <w:t xml:space="preserve"> note </w:t>
      </w:r>
      <w:r w:rsidR="002A1FAC">
        <w:t>29</w:t>
      </w:r>
      <w:r>
        <w:t>.</w:t>
      </w:r>
    </w:p>
  </w:footnote>
  <w:footnote w:id="37">
    <w:p w14:paraId="0D44CFDD" w14:textId="2EE7879F" w:rsidR="007629E2" w:rsidRPr="000E2D2A" w:rsidRDefault="007629E2" w:rsidP="00AF4418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I</w:t>
      </w:r>
      <w:r w:rsidR="002A1FAC" w:rsidRPr="000E2D2A">
        <w:rPr>
          <w:i/>
          <w:lang w:val="en-CA"/>
        </w:rPr>
        <w:t>bi</w:t>
      </w:r>
      <w:r w:rsidRPr="000E2D2A">
        <w:rPr>
          <w:i/>
          <w:lang w:val="en-CA"/>
        </w:rPr>
        <w:t>d.</w:t>
      </w:r>
      <w:r w:rsidRPr="000E2D2A">
        <w:rPr>
          <w:lang w:val="en-CA"/>
        </w:rPr>
        <w:t xml:space="preserve"> </w:t>
      </w:r>
      <w:r w:rsidR="002A1FAC" w:rsidRPr="000E2D2A">
        <w:rPr>
          <w:lang w:val="en-CA"/>
        </w:rPr>
        <w:t xml:space="preserve">at </w:t>
      </w:r>
      <w:r w:rsidRPr="000E2D2A">
        <w:rPr>
          <w:lang w:val="en-CA"/>
        </w:rPr>
        <w:t>para. 37.</w:t>
      </w:r>
    </w:p>
  </w:footnote>
  <w:footnote w:id="38">
    <w:p w14:paraId="05C6C92E" w14:textId="034AB47C" w:rsidR="007629E2" w:rsidRPr="000E2D2A" w:rsidRDefault="007629E2" w:rsidP="00D868A6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I</w:t>
      </w:r>
      <w:r w:rsidR="002A1FAC" w:rsidRPr="000E2D2A">
        <w:rPr>
          <w:i/>
          <w:lang w:val="en-CA"/>
        </w:rPr>
        <w:t>bi</w:t>
      </w:r>
      <w:r w:rsidRPr="000E2D2A">
        <w:rPr>
          <w:i/>
          <w:lang w:val="en-CA"/>
        </w:rPr>
        <w:t>d.</w:t>
      </w:r>
      <w:r w:rsidRPr="000E2D2A">
        <w:rPr>
          <w:lang w:val="en-CA"/>
        </w:rPr>
        <w:t xml:space="preserve"> </w:t>
      </w:r>
      <w:r w:rsidR="002A1FAC" w:rsidRPr="000E2D2A">
        <w:rPr>
          <w:lang w:val="en-CA"/>
        </w:rPr>
        <w:t xml:space="preserve">at </w:t>
      </w:r>
      <w:r w:rsidRPr="000E2D2A">
        <w:rPr>
          <w:lang w:val="en-CA"/>
        </w:rPr>
        <w:t>para. 29.</w:t>
      </w:r>
    </w:p>
  </w:footnote>
  <w:footnote w:id="39">
    <w:p w14:paraId="2FA1CCE2" w14:textId="77777777" w:rsidR="007629E2" w:rsidRPr="000E2D2A" w:rsidRDefault="007629E2" w:rsidP="00D868A6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Ibid</w:t>
      </w:r>
      <w:r w:rsidRPr="000E2D2A">
        <w:rPr>
          <w:lang w:val="en-CA"/>
        </w:rPr>
        <w:t>.</w:t>
      </w:r>
    </w:p>
  </w:footnote>
  <w:footnote w:id="40">
    <w:p w14:paraId="17171FB9" w14:textId="794DFADF" w:rsidR="007629E2" w:rsidRPr="000E2D2A" w:rsidRDefault="007629E2" w:rsidP="00634D8F">
      <w:pPr>
        <w:pStyle w:val="Notedebasdepage"/>
      </w:pPr>
      <w:r>
        <w:rPr>
          <w:rStyle w:val="Appelnotedebasdep"/>
        </w:rPr>
        <w:footnoteRef/>
      </w:r>
      <w:r w:rsidRPr="00133929">
        <w:rPr>
          <w:lang w:val="en-US"/>
        </w:rPr>
        <w:t xml:space="preserve"> </w:t>
      </w:r>
      <w:r w:rsidRPr="00133929">
        <w:rPr>
          <w:lang w:val="en-US"/>
        </w:rPr>
        <w:tab/>
      </w:r>
      <w:r w:rsidRPr="00133929">
        <w:rPr>
          <w:i/>
          <w:lang w:val="en-US"/>
        </w:rPr>
        <w:t>I</w:t>
      </w:r>
      <w:r w:rsidR="002A1FAC">
        <w:rPr>
          <w:i/>
          <w:lang w:val="en-US"/>
        </w:rPr>
        <w:t>bi</w:t>
      </w:r>
      <w:r w:rsidRPr="00133929">
        <w:rPr>
          <w:i/>
          <w:lang w:val="en-US"/>
        </w:rPr>
        <w:t>d.</w:t>
      </w:r>
      <w:r w:rsidRPr="00133929">
        <w:rPr>
          <w:lang w:val="en-US"/>
        </w:rPr>
        <w:t xml:space="preserve"> </w:t>
      </w:r>
      <w:r w:rsidR="002A1FAC">
        <w:rPr>
          <w:lang w:val="en-US"/>
        </w:rPr>
        <w:t xml:space="preserve">at </w:t>
      </w:r>
      <w:r w:rsidRPr="00133929">
        <w:rPr>
          <w:lang w:val="en-US"/>
        </w:rPr>
        <w:t xml:space="preserve">para. </w:t>
      </w:r>
      <w:r w:rsidRPr="005948BA">
        <w:rPr>
          <w:lang w:val="en-US"/>
        </w:rPr>
        <w:t xml:space="preserve">38, citing on this </w:t>
      </w:r>
      <w:r w:rsidR="000741B6">
        <w:rPr>
          <w:lang w:val="en-US"/>
        </w:rPr>
        <w:t>point</w:t>
      </w:r>
      <w:r w:rsidRPr="005948BA">
        <w:rPr>
          <w:lang w:val="en-US"/>
        </w:rPr>
        <w:t xml:space="preserve"> authors </w:t>
      </w:r>
      <w:r w:rsidRPr="00E469B0">
        <w:rPr>
          <w:lang w:val="en-US"/>
        </w:rPr>
        <w:t xml:space="preserve">Lluelles and Moore in Didier Lluelles and Benoît Moore, </w:t>
      </w:r>
      <w:r w:rsidRPr="00E469B0">
        <w:rPr>
          <w:i/>
          <w:lang w:val="en-US"/>
        </w:rPr>
        <w:t>Droit des obligations</w:t>
      </w:r>
      <w:r w:rsidRPr="00E469B0">
        <w:rPr>
          <w:lang w:val="en-US"/>
        </w:rPr>
        <w:t>, 2</w:t>
      </w:r>
      <w:r w:rsidRPr="000E2D2A">
        <w:rPr>
          <w:lang w:val="en-US"/>
        </w:rPr>
        <w:t>nd</w:t>
      </w:r>
      <w:r w:rsidRPr="00E469B0">
        <w:rPr>
          <w:vertAlign w:val="superscript"/>
          <w:lang w:val="en-US"/>
        </w:rPr>
        <w:t xml:space="preserve"> </w:t>
      </w:r>
      <w:r w:rsidRPr="00E469B0">
        <w:rPr>
          <w:lang w:val="en-US"/>
        </w:rPr>
        <w:t xml:space="preserve">ed. </w:t>
      </w:r>
      <w:r w:rsidR="000741B6" w:rsidRPr="000E2D2A">
        <w:t>(</w:t>
      </w:r>
      <w:r w:rsidRPr="000E2D2A">
        <w:t>Montr</w:t>
      </w:r>
      <w:r w:rsidR="000741B6" w:rsidRPr="000E2D2A">
        <w:t>e</w:t>
      </w:r>
      <w:r w:rsidRPr="000E2D2A">
        <w:t>al</w:t>
      </w:r>
      <w:r w:rsidR="000741B6" w:rsidRPr="000E2D2A">
        <w:t>:</w:t>
      </w:r>
      <w:r w:rsidRPr="000E2D2A">
        <w:t xml:space="preserve"> Thémis, 2012</w:t>
      </w:r>
      <w:r w:rsidR="000741B6" w:rsidRPr="000E2D2A">
        <w:t>)</w:t>
      </w:r>
      <w:r w:rsidRPr="000E2D2A">
        <w:t xml:space="preserve"> </w:t>
      </w:r>
      <w:r w:rsidR="000741B6" w:rsidRPr="000E2D2A">
        <w:t>at Nos.</w:t>
      </w:r>
      <w:r w:rsidRPr="000E2D2A">
        <w:t xml:space="preserve"> 1727 and 1729.</w:t>
      </w:r>
    </w:p>
  </w:footnote>
  <w:footnote w:id="41">
    <w:p w14:paraId="12F99EAC" w14:textId="194A44A1" w:rsidR="007629E2" w:rsidRPr="002A0D65" w:rsidRDefault="007629E2" w:rsidP="00867C5A">
      <w:pPr>
        <w:pStyle w:val="Notedebasdepage"/>
        <w:rPr>
          <w:lang w:val="en-CA"/>
        </w:rPr>
      </w:pPr>
      <w:r w:rsidRPr="00E469B0">
        <w:rPr>
          <w:rStyle w:val="Appelnotedebasdep"/>
        </w:rPr>
        <w:footnoteRef/>
      </w:r>
      <w:r w:rsidRPr="00E469B0">
        <w:t xml:space="preserve"> </w:t>
      </w:r>
      <w:r w:rsidRPr="00E469B0">
        <w:tab/>
        <w:t xml:space="preserve">Stéphane Gilker, “Principes généraux du droit d’auteur” in Service de la formation continue, Barreau du Québec, </w:t>
      </w:r>
      <w:r w:rsidRPr="00E469B0">
        <w:rPr>
          <w:i/>
        </w:rPr>
        <w:t>Congrès annuel du Barreau du Québec 2009</w:t>
      </w:r>
      <w:r w:rsidRPr="00E469B0">
        <w:t xml:space="preserve"> </w:t>
      </w:r>
      <w:r w:rsidR="000741B6" w:rsidRPr="000E2D2A">
        <w:t>(</w:t>
      </w:r>
      <w:r w:rsidRPr="00E469B0">
        <w:t>Montr</w:t>
      </w:r>
      <w:r w:rsidR="000741B6" w:rsidRPr="000E2D2A">
        <w:t>e</w:t>
      </w:r>
      <w:r w:rsidRPr="00E469B0">
        <w:t>al, 2009</w:t>
      </w:r>
      <w:r w:rsidR="000741B6" w:rsidRPr="000E2D2A">
        <w:t>)</w:t>
      </w:r>
      <w:r w:rsidRPr="00E469B0">
        <w:t xml:space="preserve"> </w:t>
      </w:r>
      <w:r w:rsidR="000741B6" w:rsidRPr="000E2D2A">
        <w:t xml:space="preserve">at </w:t>
      </w:r>
      <w:r w:rsidRPr="00E469B0">
        <w:t>71.</w:t>
      </w:r>
      <w:r w:rsidRPr="00867C5A">
        <w:t xml:space="preserve"> </w:t>
      </w:r>
      <w:r>
        <w:rPr>
          <w:lang w:val="en-CA"/>
        </w:rPr>
        <w:t>See also</w:t>
      </w:r>
      <w:r w:rsidRPr="002A0D65">
        <w:rPr>
          <w:lang w:val="en-CA"/>
        </w:rPr>
        <w:t xml:space="preserve"> </w:t>
      </w:r>
      <w:r w:rsidRPr="002A0D65">
        <w:rPr>
          <w:i/>
          <w:lang w:val="en-CA"/>
        </w:rPr>
        <w:t>Electric Fireproofing Co. of Canada v. Electric Fireproofing Co</w:t>
      </w:r>
      <w:r w:rsidRPr="002A0D65">
        <w:rPr>
          <w:lang w:val="en-CA"/>
        </w:rPr>
        <w:t>., (1910) 43 SCR 182, 1</w:t>
      </w:r>
      <w:r>
        <w:rPr>
          <w:lang w:val="en-CA"/>
        </w:rPr>
        <w:t xml:space="preserve">910 CanLII 66; </w:t>
      </w:r>
      <w:r w:rsidRPr="00E469B0">
        <w:rPr>
          <w:lang w:val="en-CA"/>
        </w:rPr>
        <w:t xml:space="preserve">Camille Aubin, “Les licences implicites de droit d’auteur en matière de logiciels” (2017) 29 </w:t>
      </w:r>
      <w:r w:rsidRPr="000E2D2A">
        <w:rPr>
          <w:iCs/>
          <w:lang w:val="en-CA"/>
        </w:rPr>
        <w:t>C.P.I.</w:t>
      </w:r>
      <w:r w:rsidRPr="00E469B0">
        <w:rPr>
          <w:lang w:val="en-CA"/>
        </w:rPr>
        <w:t xml:space="preserve"> 1 </w:t>
      </w:r>
      <w:r w:rsidR="00A670D5" w:rsidRPr="000E2D2A">
        <w:rPr>
          <w:lang w:val="en-CA"/>
        </w:rPr>
        <w:t xml:space="preserve">at </w:t>
      </w:r>
      <w:r w:rsidRPr="00E469B0">
        <w:rPr>
          <w:lang w:val="en-CA"/>
        </w:rPr>
        <w:t xml:space="preserve">6; John S. McKeown, </w:t>
      </w:r>
      <w:r w:rsidRPr="00E469B0">
        <w:rPr>
          <w:i/>
          <w:lang w:val="en-CA"/>
        </w:rPr>
        <w:t>Fox on Canadian Law of Copyright and Industrial Design</w:t>
      </w:r>
      <w:r w:rsidRPr="00E469B0">
        <w:rPr>
          <w:lang w:val="en-CA"/>
        </w:rPr>
        <w:t>, 4</w:t>
      </w:r>
      <w:r w:rsidRPr="000E2D2A">
        <w:rPr>
          <w:lang w:val="en-CA"/>
        </w:rPr>
        <w:t>th</w:t>
      </w:r>
      <w:r w:rsidRPr="00E469B0">
        <w:rPr>
          <w:lang w:val="en-CA"/>
        </w:rPr>
        <w:t xml:space="preserve"> ed., vol. 1 </w:t>
      </w:r>
      <w:r w:rsidR="00A670D5" w:rsidRPr="000E2D2A">
        <w:rPr>
          <w:lang w:val="en-CA"/>
        </w:rPr>
        <w:t>(</w:t>
      </w:r>
      <w:r w:rsidRPr="00E469B0">
        <w:rPr>
          <w:lang w:val="en-CA"/>
        </w:rPr>
        <w:t>Toronto</w:t>
      </w:r>
      <w:r w:rsidR="00A670D5" w:rsidRPr="000E2D2A">
        <w:rPr>
          <w:lang w:val="en-CA"/>
        </w:rPr>
        <w:t>:</w:t>
      </w:r>
      <w:r w:rsidRPr="00E469B0">
        <w:rPr>
          <w:lang w:val="en-CA"/>
        </w:rPr>
        <w:t xml:space="preserve"> Thomson Reuters, 2003</w:t>
      </w:r>
      <w:r w:rsidR="00A670D5" w:rsidRPr="000E2D2A">
        <w:rPr>
          <w:lang w:val="en-CA"/>
        </w:rPr>
        <w:t>)</w:t>
      </w:r>
      <w:r w:rsidRPr="00E469B0">
        <w:rPr>
          <w:lang w:val="en-CA"/>
        </w:rPr>
        <w:t xml:space="preserve"> (looseleaf update</w:t>
      </w:r>
      <w:r w:rsidR="00E469B0" w:rsidRPr="000E2D2A">
        <w:rPr>
          <w:lang w:val="en-CA"/>
        </w:rPr>
        <w:t>d 2013</w:t>
      </w:r>
      <w:r w:rsidRPr="00E469B0">
        <w:rPr>
          <w:lang w:val="en-CA"/>
        </w:rPr>
        <w:t xml:space="preserve">) </w:t>
      </w:r>
      <w:r w:rsidR="00E469B0" w:rsidRPr="000E2D2A">
        <w:rPr>
          <w:lang w:val="en-CA"/>
        </w:rPr>
        <w:t xml:space="preserve">at </w:t>
      </w:r>
      <w:r w:rsidRPr="00E469B0">
        <w:rPr>
          <w:lang w:val="en-CA"/>
        </w:rPr>
        <w:t>19</w:t>
      </w:r>
      <w:r w:rsidR="00BE4906">
        <w:rPr>
          <w:lang w:val="en-CA"/>
        </w:rPr>
        <w:t>-</w:t>
      </w:r>
      <w:r w:rsidRPr="00E469B0">
        <w:rPr>
          <w:lang w:val="en-CA"/>
        </w:rPr>
        <w:t xml:space="preserve">17; David Vaver, </w:t>
      </w:r>
      <w:r w:rsidRPr="00E469B0">
        <w:rPr>
          <w:i/>
          <w:lang w:val="en-CA"/>
        </w:rPr>
        <w:t xml:space="preserve">Intellectual </w:t>
      </w:r>
      <w:r w:rsidR="00AE7360">
        <w:rPr>
          <w:i/>
          <w:lang w:val="en-CA"/>
        </w:rPr>
        <w:t>P</w:t>
      </w:r>
      <w:r w:rsidRPr="00E469B0">
        <w:rPr>
          <w:i/>
          <w:lang w:val="en-CA"/>
        </w:rPr>
        <w:t xml:space="preserve">roperty </w:t>
      </w:r>
      <w:r w:rsidR="00AE7360">
        <w:rPr>
          <w:i/>
          <w:lang w:val="en-CA"/>
        </w:rPr>
        <w:t>L</w:t>
      </w:r>
      <w:r w:rsidRPr="00E469B0">
        <w:rPr>
          <w:i/>
          <w:lang w:val="en-CA"/>
        </w:rPr>
        <w:t xml:space="preserve">aw: </w:t>
      </w:r>
      <w:r w:rsidR="00AE7360">
        <w:rPr>
          <w:i/>
          <w:lang w:val="en-CA"/>
        </w:rPr>
        <w:t>C</w:t>
      </w:r>
      <w:r w:rsidRPr="00E469B0">
        <w:rPr>
          <w:i/>
          <w:lang w:val="en-CA"/>
        </w:rPr>
        <w:t xml:space="preserve">opyright, </w:t>
      </w:r>
      <w:r w:rsidR="00AE7360">
        <w:rPr>
          <w:i/>
          <w:lang w:val="en-CA"/>
        </w:rPr>
        <w:t>P</w:t>
      </w:r>
      <w:r w:rsidRPr="00E469B0">
        <w:rPr>
          <w:i/>
          <w:lang w:val="en-CA"/>
        </w:rPr>
        <w:t xml:space="preserve">atents, </w:t>
      </w:r>
      <w:r w:rsidR="00AE7360">
        <w:rPr>
          <w:i/>
          <w:lang w:val="en-CA"/>
        </w:rPr>
        <w:t>T</w:t>
      </w:r>
      <w:r w:rsidRPr="00E469B0">
        <w:rPr>
          <w:i/>
          <w:lang w:val="en-CA"/>
        </w:rPr>
        <w:t>rade-marks</w:t>
      </w:r>
      <w:r w:rsidRPr="00E469B0">
        <w:rPr>
          <w:lang w:val="en-CA"/>
        </w:rPr>
        <w:t>, 2</w:t>
      </w:r>
      <w:r w:rsidRPr="000E2D2A">
        <w:rPr>
          <w:lang w:val="en-CA"/>
        </w:rPr>
        <w:t>nd</w:t>
      </w:r>
      <w:r w:rsidRPr="00E469B0">
        <w:rPr>
          <w:lang w:val="en-CA"/>
        </w:rPr>
        <w:t xml:space="preserve"> ed. </w:t>
      </w:r>
      <w:r w:rsidR="00E469B0" w:rsidRPr="000E2D2A">
        <w:rPr>
          <w:lang w:val="en-CA"/>
        </w:rPr>
        <w:t>(</w:t>
      </w:r>
      <w:r w:rsidRPr="00E469B0">
        <w:rPr>
          <w:lang w:val="en-CA"/>
        </w:rPr>
        <w:t>Toronto</w:t>
      </w:r>
      <w:r w:rsidR="00AE7360">
        <w:rPr>
          <w:lang w:val="en-CA"/>
        </w:rPr>
        <w:t>:</w:t>
      </w:r>
      <w:r w:rsidRPr="00E469B0">
        <w:rPr>
          <w:lang w:val="en-CA"/>
        </w:rPr>
        <w:t xml:space="preserve"> Irwin Law, 2011</w:t>
      </w:r>
      <w:r w:rsidR="00E469B0" w:rsidRPr="000E2D2A">
        <w:rPr>
          <w:lang w:val="en-CA"/>
        </w:rPr>
        <w:t>)</w:t>
      </w:r>
      <w:r w:rsidRPr="00E469B0">
        <w:rPr>
          <w:lang w:val="en-CA"/>
        </w:rPr>
        <w:t xml:space="preserve"> </w:t>
      </w:r>
      <w:r w:rsidR="00E469B0" w:rsidRPr="000E2D2A">
        <w:rPr>
          <w:lang w:val="en-CA"/>
        </w:rPr>
        <w:t xml:space="preserve">at </w:t>
      </w:r>
      <w:r w:rsidRPr="00E469B0">
        <w:rPr>
          <w:lang w:val="en-CA"/>
        </w:rPr>
        <w:t>563</w:t>
      </w:r>
      <w:r w:rsidR="00BE4906">
        <w:rPr>
          <w:lang w:val="en-CA"/>
        </w:rPr>
        <w:t xml:space="preserve"> </w:t>
      </w:r>
      <w:r w:rsidR="00485FD9">
        <w:rPr>
          <w:lang w:val="en-CA"/>
        </w:rPr>
        <w:t xml:space="preserve">[Vaver, </w:t>
      </w:r>
      <w:bookmarkStart w:id="18" w:name="_Hlk150500874"/>
      <w:r w:rsidR="00485FD9" w:rsidRPr="00E469B0">
        <w:rPr>
          <w:i/>
          <w:lang w:val="en-CA"/>
        </w:rPr>
        <w:t xml:space="preserve">Intellectual </w:t>
      </w:r>
      <w:r w:rsidR="00AE7360">
        <w:rPr>
          <w:i/>
          <w:lang w:val="en-CA"/>
        </w:rPr>
        <w:t>P</w:t>
      </w:r>
      <w:r w:rsidR="00485FD9" w:rsidRPr="00E469B0">
        <w:rPr>
          <w:i/>
          <w:lang w:val="en-CA"/>
        </w:rPr>
        <w:t xml:space="preserve">roperty </w:t>
      </w:r>
      <w:r w:rsidR="00AE7360">
        <w:rPr>
          <w:i/>
          <w:lang w:val="en-CA"/>
        </w:rPr>
        <w:t>L</w:t>
      </w:r>
      <w:r w:rsidR="00485FD9" w:rsidRPr="00E469B0">
        <w:rPr>
          <w:i/>
          <w:lang w:val="en-CA"/>
        </w:rPr>
        <w:t>aw</w:t>
      </w:r>
      <w:bookmarkEnd w:id="18"/>
      <w:r w:rsidR="00485FD9">
        <w:rPr>
          <w:iCs/>
          <w:lang w:val="en-CA"/>
        </w:rPr>
        <w:t>]</w:t>
      </w:r>
      <w:r w:rsidRPr="00E469B0">
        <w:rPr>
          <w:lang w:val="en-CA"/>
        </w:rPr>
        <w:t>: “An assignment changes ownership in the right from assignor to assignee”.</w:t>
      </w:r>
    </w:p>
  </w:footnote>
  <w:footnote w:id="42">
    <w:p w14:paraId="08419020" w14:textId="118CDE54" w:rsidR="007629E2" w:rsidRPr="000E2D2A" w:rsidRDefault="007629E2" w:rsidP="00867C5A">
      <w:pPr>
        <w:pStyle w:val="Notedebasdepage"/>
        <w:rPr>
          <w:lang w:val="en-CA"/>
        </w:rPr>
      </w:pPr>
      <w:r w:rsidRPr="002A0D65">
        <w:rPr>
          <w:rStyle w:val="Appelnotedebasdep"/>
          <w:lang w:val="en-CA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Euro-Excellence Inc. v. Kraft Canada Inc</w:t>
      </w:r>
      <w:r w:rsidRPr="000E2D2A">
        <w:rPr>
          <w:lang w:val="en-CA"/>
        </w:rPr>
        <w:t xml:space="preserve">., 2007 SCC 37 </w:t>
      </w:r>
      <w:r w:rsidR="00845CEB" w:rsidRPr="000E2D2A">
        <w:rPr>
          <w:lang w:val="en-CA"/>
        </w:rPr>
        <w:t xml:space="preserve">at </w:t>
      </w:r>
      <w:r w:rsidRPr="000E2D2A">
        <w:rPr>
          <w:lang w:val="en-CA"/>
        </w:rPr>
        <w:t>para</w:t>
      </w:r>
      <w:r w:rsidR="00845CEB">
        <w:rPr>
          <w:lang w:val="en-CA"/>
        </w:rPr>
        <w:t>s</w:t>
      </w:r>
      <w:r w:rsidRPr="000E2D2A">
        <w:rPr>
          <w:lang w:val="en-CA"/>
        </w:rPr>
        <w:t>. 27</w:t>
      </w:r>
      <w:r w:rsidR="00845CEB" w:rsidRPr="000E2D2A">
        <w:rPr>
          <w:lang w:val="en-CA"/>
        </w:rPr>
        <w:t>–</w:t>
      </w:r>
      <w:r w:rsidRPr="000E2D2A">
        <w:rPr>
          <w:lang w:val="en-CA"/>
        </w:rPr>
        <w:t>29.</w:t>
      </w:r>
    </w:p>
  </w:footnote>
  <w:footnote w:id="43">
    <w:p w14:paraId="56245131" w14:textId="643A098A" w:rsidR="007629E2" w:rsidRPr="000E2D2A" w:rsidRDefault="007629E2" w:rsidP="00867C5A">
      <w:pPr>
        <w:pStyle w:val="Notedebasdepage"/>
        <w:rPr>
          <w:lang w:val="en-CA"/>
        </w:rPr>
      </w:pPr>
      <w:r w:rsidRPr="002A0D65">
        <w:rPr>
          <w:rStyle w:val="Appelnotedebasdep"/>
          <w:lang w:val="en-CA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I</w:t>
      </w:r>
      <w:r w:rsidR="00E469B0">
        <w:rPr>
          <w:i/>
          <w:lang w:val="en-CA"/>
        </w:rPr>
        <w:t>bi</w:t>
      </w:r>
      <w:r w:rsidRPr="000E2D2A">
        <w:rPr>
          <w:i/>
          <w:lang w:val="en-CA"/>
        </w:rPr>
        <w:t>d.</w:t>
      </w:r>
      <w:r w:rsidRPr="000E2D2A">
        <w:rPr>
          <w:lang w:val="en-CA"/>
        </w:rPr>
        <w:t xml:space="preserve"> </w:t>
      </w:r>
      <w:r w:rsidR="00E469B0">
        <w:rPr>
          <w:lang w:val="en-CA"/>
        </w:rPr>
        <w:t xml:space="preserve">at </w:t>
      </w:r>
      <w:r w:rsidRPr="000E2D2A">
        <w:rPr>
          <w:lang w:val="en-CA"/>
        </w:rPr>
        <w:t>para</w:t>
      </w:r>
      <w:r w:rsidR="00E469B0">
        <w:rPr>
          <w:lang w:val="en-CA"/>
        </w:rPr>
        <w:t>s</w:t>
      </w:r>
      <w:r w:rsidRPr="000E2D2A">
        <w:rPr>
          <w:lang w:val="en-CA"/>
        </w:rPr>
        <w:t>. 27 and 32.</w:t>
      </w:r>
    </w:p>
  </w:footnote>
  <w:footnote w:id="44">
    <w:p w14:paraId="0D1716A5" w14:textId="4018CA40" w:rsidR="007629E2" w:rsidRPr="000E2D2A" w:rsidRDefault="007629E2" w:rsidP="00867C5A">
      <w:pPr>
        <w:pStyle w:val="Notedebasdepage"/>
        <w:rPr>
          <w:lang w:val="en-CA"/>
        </w:rPr>
      </w:pPr>
      <w:r w:rsidRPr="002A0D65">
        <w:rPr>
          <w:rStyle w:val="Appelnotedebasdep"/>
          <w:lang w:val="en-CA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="00050FDE" w:rsidRPr="00E6466D">
        <w:rPr>
          <w:lang w:val="en-CA"/>
        </w:rPr>
        <w:t>Subsection</w:t>
      </w:r>
      <w:r w:rsidRPr="000E2D2A">
        <w:rPr>
          <w:lang w:val="en-CA"/>
        </w:rPr>
        <w:t xml:space="preserve"> 13(5) </w:t>
      </w:r>
      <w:r w:rsidRPr="000E2D2A">
        <w:rPr>
          <w:i/>
          <w:lang w:val="en-CA"/>
        </w:rPr>
        <w:t>CA</w:t>
      </w:r>
      <w:r w:rsidRPr="000E2D2A">
        <w:rPr>
          <w:lang w:val="en-CA"/>
        </w:rPr>
        <w:t xml:space="preserve">; </w:t>
      </w:r>
      <w:r w:rsidRPr="000E2D2A">
        <w:rPr>
          <w:i/>
          <w:lang w:val="en-CA"/>
        </w:rPr>
        <w:t>Euro-Excellence Inc. v. Kraft Canada Inc</w:t>
      </w:r>
      <w:r w:rsidRPr="000E2D2A">
        <w:rPr>
          <w:lang w:val="en-CA"/>
        </w:rPr>
        <w:t xml:space="preserve">.,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3F771F" w:rsidRPr="000E2D2A">
        <w:rPr>
          <w:lang w:val="en-CA"/>
        </w:rPr>
        <w:t xml:space="preserve"> 42</w:t>
      </w:r>
      <w:r w:rsidRPr="000E2D2A">
        <w:rPr>
          <w:lang w:val="en-CA"/>
        </w:rPr>
        <w:t xml:space="preserve"> </w:t>
      </w:r>
      <w:r w:rsidR="003F771F" w:rsidRPr="000E2D2A">
        <w:rPr>
          <w:lang w:val="en-CA"/>
        </w:rPr>
        <w:t xml:space="preserve">at </w:t>
      </w:r>
      <w:r w:rsidRPr="000E2D2A">
        <w:rPr>
          <w:lang w:val="en-CA"/>
        </w:rPr>
        <w:t>para. 29.</w:t>
      </w:r>
    </w:p>
  </w:footnote>
  <w:footnote w:id="45">
    <w:p w14:paraId="04247BF7" w14:textId="1213CCB9" w:rsidR="007629E2" w:rsidRPr="000E2D2A" w:rsidRDefault="007629E2" w:rsidP="00634D8F">
      <w:pPr>
        <w:pStyle w:val="Notedebasdepage"/>
        <w:rPr>
          <w:lang w:val="en-CA"/>
        </w:rPr>
      </w:pPr>
      <w:r w:rsidRPr="002A0D65">
        <w:rPr>
          <w:rStyle w:val="Appelnotedebasdep"/>
          <w:lang w:val="en-CA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="00050FDE" w:rsidRPr="00E6466D">
        <w:rPr>
          <w:lang w:val="en-CA"/>
        </w:rPr>
        <w:t>Subsection</w:t>
      </w:r>
      <w:r w:rsidRPr="000E2D2A">
        <w:rPr>
          <w:lang w:val="en-CA"/>
        </w:rPr>
        <w:t xml:space="preserve"> 13(4) </w:t>
      </w:r>
      <w:r w:rsidRPr="000E2D2A">
        <w:rPr>
          <w:i/>
          <w:lang w:val="en-CA"/>
        </w:rPr>
        <w:t>CA</w:t>
      </w:r>
      <w:r w:rsidRPr="000E2D2A">
        <w:rPr>
          <w:lang w:val="en-CA"/>
        </w:rPr>
        <w:t>.</w:t>
      </w:r>
    </w:p>
  </w:footnote>
  <w:footnote w:id="46">
    <w:p w14:paraId="67394E04" w14:textId="3414079C" w:rsidR="007629E2" w:rsidRPr="00B17E89" w:rsidRDefault="007629E2" w:rsidP="00867C5A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  <w:t>S</w:t>
      </w:r>
      <w:r w:rsidR="003F771F" w:rsidRPr="000E2D2A">
        <w:rPr>
          <w:lang w:val="en-CA"/>
        </w:rPr>
        <w:t>ection</w:t>
      </w:r>
      <w:r w:rsidRPr="000E2D2A">
        <w:rPr>
          <w:lang w:val="en-CA"/>
        </w:rPr>
        <w:t xml:space="preserve"> 2.7 </w:t>
      </w:r>
      <w:r w:rsidRPr="000E2D2A">
        <w:rPr>
          <w:i/>
          <w:lang w:val="en-CA"/>
        </w:rPr>
        <w:t>CA</w:t>
      </w:r>
      <w:r w:rsidRPr="000E2D2A">
        <w:rPr>
          <w:lang w:val="en-CA"/>
        </w:rPr>
        <w:t xml:space="preserve">; </w:t>
      </w:r>
      <w:r w:rsidRPr="000E2D2A">
        <w:rPr>
          <w:i/>
          <w:lang w:val="en-CA"/>
        </w:rPr>
        <w:t>Euro-Excellence Inc. v. Kraft Canada Inc</w:t>
      </w:r>
      <w:r w:rsidRPr="000E2D2A">
        <w:rPr>
          <w:lang w:val="en-CA"/>
        </w:rPr>
        <w:t xml:space="preserve">.,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 </w:t>
      </w:r>
      <w:r w:rsidR="003F771F" w:rsidRPr="000E2D2A">
        <w:rPr>
          <w:lang w:val="en-CA"/>
        </w:rPr>
        <w:t>42</w:t>
      </w:r>
      <w:r w:rsidRPr="000E2D2A">
        <w:rPr>
          <w:lang w:val="en-CA"/>
        </w:rPr>
        <w:t xml:space="preserve"> </w:t>
      </w:r>
      <w:r w:rsidR="003F771F" w:rsidRPr="000E2D2A">
        <w:rPr>
          <w:lang w:val="en-CA"/>
        </w:rPr>
        <w:t xml:space="preserve">at </w:t>
      </w:r>
      <w:r w:rsidRPr="000E2D2A">
        <w:rPr>
          <w:lang w:val="en-CA"/>
        </w:rPr>
        <w:t xml:space="preserve">para. </w:t>
      </w:r>
      <w:r>
        <w:rPr>
          <w:lang w:val="en-CA"/>
        </w:rPr>
        <w:t>27.</w:t>
      </w:r>
    </w:p>
  </w:footnote>
  <w:footnote w:id="47">
    <w:p w14:paraId="007B448B" w14:textId="65DDD8D7" w:rsidR="007629E2" w:rsidRPr="00EE73F8" w:rsidRDefault="007629E2" w:rsidP="00867C5A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A3775C">
        <w:rPr>
          <w:lang w:val="en-CA"/>
        </w:rPr>
        <w:t xml:space="preserve"> </w:t>
      </w:r>
      <w:r w:rsidRPr="00A3775C">
        <w:rPr>
          <w:lang w:val="en-CA"/>
        </w:rPr>
        <w:tab/>
        <w:t xml:space="preserve">Vaver, </w:t>
      </w:r>
      <w:r w:rsidR="00E469B0">
        <w:rPr>
          <w:lang w:val="en-CA"/>
        </w:rPr>
        <w:t xml:space="preserve">“Consent or No Consent”, </w:t>
      </w:r>
      <w:r w:rsidRPr="00A3775C">
        <w:rPr>
          <w:i/>
          <w:lang w:val="en-CA"/>
        </w:rPr>
        <w:t>supra</w:t>
      </w:r>
      <w:r w:rsidRPr="00A3775C">
        <w:rPr>
          <w:lang w:val="en-CA"/>
        </w:rPr>
        <w:t xml:space="preserve"> note</w:t>
      </w:r>
      <w:r w:rsidR="003F771F">
        <w:rPr>
          <w:lang w:val="en-CA"/>
        </w:rPr>
        <w:t xml:space="preserve"> 33</w:t>
      </w:r>
      <w:r w:rsidRPr="00A3775C">
        <w:rPr>
          <w:lang w:val="en-CA"/>
        </w:rPr>
        <w:t xml:space="preserve"> </w:t>
      </w:r>
      <w:r w:rsidR="003F771F">
        <w:rPr>
          <w:lang w:val="en-CA"/>
        </w:rPr>
        <w:t>at</w:t>
      </w:r>
      <w:r w:rsidRPr="00A3775C">
        <w:rPr>
          <w:lang w:val="en-CA"/>
        </w:rPr>
        <w:t xml:space="preserve"> 150: </w:t>
      </w:r>
      <w:r w:rsidRPr="000E2D2A">
        <w:rPr>
          <w:lang w:val="en-CA"/>
        </w:rPr>
        <w:t xml:space="preserve">“Some laws say “licence” instead of “consent” </w:t>
      </w:r>
      <w:r w:rsidRPr="000E2D2A">
        <w:rPr>
          <w:u w:val="single"/>
          <w:lang w:val="en-CA"/>
        </w:rPr>
        <w:t>but the two words here mean the same</w:t>
      </w:r>
      <w:r w:rsidRPr="00050FDE">
        <w:rPr>
          <w:lang w:val="en-CA"/>
        </w:rPr>
        <w:t>”</w:t>
      </w:r>
      <w:r w:rsidR="00964290" w:rsidRPr="00050FDE">
        <w:rPr>
          <w:lang w:val="en-CA"/>
        </w:rPr>
        <w:t xml:space="preserve"> [e</w:t>
      </w:r>
      <w:r w:rsidR="00FE37EC" w:rsidRPr="00050FDE">
        <w:rPr>
          <w:lang w:val="en-CA"/>
        </w:rPr>
        <w:t>mphasis added</w:t>
      </w:r>
      <w:r w:rsidRPr="00050FDE">
        <w:rPr>
          <w:lang w:val="en-CA"/>
        </w:rPr>
        <w:t xml:space="preserve">]. </w:t>
      </w:r>
      <w:r w:rsidR="00FE37EC" w:rsidRPr="00050FDE">
        <w:rPr>
          <w:lang w:val="en-CA"/>
        </w:rPr>
        <w:t>See also</w:t>
      </w:r>
      <w:r w:rsidRPr="00050FDE">
        <w:rPr>
          <w:lang w:val="en-CA"/>
        </w:rPr>
        <w:t xml:space="preserve"> Vaver, </w:t>
      </w:r>
      <w:r w:rsidR="00965B67" w:rsidRPr="00E469B0">
        <w:rPr>
          <w:i/>
          <w:lang w:val="en-CA"/>
        </w:rPr>
        <w:t xml:space="preserve">Intellectual </w:t>
      </w:r>
      <w:r w:rsidR="00AE7360">
        <w:rPr>
          <w:i/>
          <w:lang w:val="en-CA"/>
        </w:rPr>
        <w:t>P</w:t>
      </w:r>
      <w:r w:rsidR="00965B67" w:rsidRPr="00E469B0">
        <w:rPr>
          <w:i/>
          <w:lang w:val="en-CA"/>
        </w:rPr>
        <w:t xml:space="preserve">roperty </w:t>
      </w:r>
      <w:r w:rsidR="00AE7360">
        <w:rPr>
          <w:i/>
          <w:lang w:val="en-CA"/>
        </w:rPr>
        <w:t>L</w:t>
      </w:r>
      <w:r w:rsidR="00965B67" w:rsidRPr="00E469B0">
        <w:rPr>
          <w:i/>
          <w:lang w:val="en-CA"/>
        </w:rPr>
        <w:t>aw</w:t>
      </w:r>
      <w:r w:rsidR="00965B67">
        <w:rPr>
          <w:iCs/>
          <w:lang w:val="en-CA"/>
        </w:rPr>
        <w:t>,</w:t>
      </w:r>
      <w:r w:rsidR="00965B67" w:rsidRPr="00050FDE">
        <w:rPr>
          <w:i/>
          <w:lang w:val="en-CA"/>
        </w:rPr>
        <w:t xml:space="preserve"> </w:t>
      </w:r>
      <w:r w:rsidRPr="00050FDE">
        <w:rPr>
          <w:i/>
          <w:lang w:val="en-CA"/>
        </w:rPr>
        <w:t>supra</w:t>
      </w:r>
      <w:r w:rsidRPr="00050FDE">
        <w:rPr>
          <w:lang w:val="en-CA"/>
        </w:rPr>
        <w:t xml:space="preserve"> note</w:t>
      </w:r>
      <w:r w:rsidR="003F771F" w:rsidRPr="00050FDE">
        <w:rPr>
          <w:lang w:val="en-CA"/>
        </w:rPr>
        <w:t xml:space="preserve"> 41</w:t>
      </w:r>
      <w:r w:rsidR="00FE37EC" w:rsidRPr="00050FDE">
        <w:rPr>
          <w:lang w:val="en-CA"/>
        </w:rPr>
        <w:t xml:space="preserve"> </w:t>
      </w:r>
      <w:r w:rsidR="003F771F" w:rsidRPr="00050FDE">
        <w:rPr>
          <w:lang w:val="en-CA"/>
        </w:rPr>
        <w:t>at</w:t>
      </w:r>
      <w:r w:rsidR="00FE37EC" w:rsidRPr="00050FDE">
        <w:rPr>
          <w:lang w:val="en-CA"/>
        </w:rPr>
        <w:t xml:space="preserve"> 575</w:t>
      </w:r>
      <w:r w:rsidRPr="00050FDE">
        <w:rPr>
          <w:lang w:val="en-CA"/>
        </w:rPr>
        <w:t>: “</w:t>
      </w:r>
      <w:r w:rsidRPr="000E2D2A">
        <w:rPr>
          <w:lang w:val="en-CA"/>
        </w:rPr>
        <w:t xml:space="preserve">While an assignment changes ownership in the right from assignor to assignee, </w:t>
      </w:r>
      <w:r w:rsidRPr="000E2D2A">
        <w:rPr>
          <w:u w:val="single"/>
          <w:lang w:val="en-CA"/>
        </w:rPr>
        <w:t>a licence is just a consent, permission, or clearance (the terms are all interchangeable) to use [intellectual property</w:t>
      </w:r>
      <w:r w:rsidRPr="000E2D2A">
        <w:rPr>
          <w:lang w:val="en-CA"/>
        </w:rPr>
        <w:t>] on the terms specified by the licensor</w:t>
      </w:r>
      <w:r>
        <w:rPr>
          <w:lang w:val="en-CA"/>
        </w:rPr>
        <w:t xml:space="preserve"> …” </w:t>
      </w:r>
      <w:r w:rsidR="00964290" w:rsidRPr="00EE73F8">
        <w:rPr>
          <w:lang w:val="en-CA"/>
        </w:rPr>
        <w:t>[e</w:t>
      </w:r>
      <w:r w:rsidR="00FE37EC" w:rsidRPr="00EE73F8">
        <w:rPr>
          <w:lang w:val="en-CA"/>
        </w:rPr>
        <w:t>mphasis added</w:t>
      </w:r>
      <w:r w:rsidRPr="00EE73F8">
        <w:rPr>
          <w:lang w:val="en-CA"/>
        </w:rPr>
        <w:t>].</w:t>
      </w:r>
    </w:p>
  </w:footnote>
  <w:footnote w:id="48">
    <w:p w14:paraId="3F954FA7" w14:textId="7A196FB6" w:rsidR="007629E2" w:rsidRPr="00050FDE" w:rsidRDefault="007629E2" w:rsidP="00F35928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50FDE">
        <w:rPr>
          <w:lang w:val="en-CA"/>
        </w:rPr>
        <w:t xml:space="preserve"> </w:t>
      </w:r>
      <w:r w:rsidRPr="00050FDE">
        <w:rPr>
          <w:lang w:val="en-CA"/>
        </w:rPr>
        <w:tab/>
        <w:t xml:space="preserve">Mikus, </w:t>
      </w:r>
      <w:r w:rsidRPr="00050FDE">
        <w:rPr>
          <w:i/>
          <w:lang w:val="en-CA"/>
        </w:rPr>
        <w:t>supra</w:t>
      </w:r>
      <w:r w:rsidRPr="00050FDE">
        <w:rPr>
          <w:lang w:val="en-CA"/>
        </w:rPr>
        <w:t xml:space="preserve"> note</w:t>
      </w:r>
      <w:r w:rsidR="00050FDE" w:rsidRPr="00050FDE">
        <w:rPr>
          <w:lang w:val="en-CA"/>
        </w:rPr>
        <w:t xml:space="preserve"> 32</w:t>
      </w:r>
      <w:r w:rsidRPr="00050FDE">
        <w:rPr>
          <w:lang w:val="en-CA"/>
        </w:rPr>
        <w:t xml:space="preserve"> </w:t>
      </w:r>
      <w:r w:rsidR="00050FDE" w:rsidRPr="000E2D2A">
        <w:rPr>
          <w:lang w:val="en-CA"/>
        </w:rPr>
        <w:t xml:space="preserve">at </w:t>
      </w:r>
      <w:r w:rsidRPr="00050FDE">
        <w:rPr>
          <w:lang w:val="en-CA"/>
        </w:rPr>
        <w:t xml:space="preserve">1/60; McKeown, </w:t>
      </w:r>
      <w:r w:rsidRPr="00050FDE">
        <w:rPr>
          <w:i/>
          <w:lang w:val="en-CA"/>
        </w:rPr>
        <w:t>supra</w:t>
      </w:r>
      <w:r w:rsidRPr="00050FDE">
        <w:rPr>
          <w:lang w:val="en-CA"/>
        </w:rPr>
        <w:t xml:space="preserve"> note</w:t>
      </w:r>
      <w:r w:rsidR="00050FDE">
        <w:rPr>
          <w:lang w:val="en-CA"/>
        </w:rPr>
        <w:t xml:space="preserve"> 41</w:t>
      </w:r>
      <w:r w:rsidRPr="00050FDE">
        <w:rPr>
          <w:lang w:val="en-CA"/>
        </w:rPr>
        <w:t xml:space="preserve"> </w:t>
      </w:r>
      <w:r w:rsidR="00050FDE">
        <w:rPr>
          <w:lang w:val="en-CA"/>
        </w:rPr>
        <w:t xml:space="preserve">at </w:t>
      </w:r>
      <w:r w:rsidRPr="00050FDE">
        <w:rPr>
          <w:lang w:val="en-CA"/>
        </w:rPr>
        <w:t>19</w:t>
      </w:r>
      <w:r w:rsidR="00050FDE">
        <w:rPr>
          <w:lang w:val="en-CA"/>
        </w:rPr>
        <w:t>–</w:t>
      </w:r>
      <w:r w:rsidRPr="00050FDE">
        <w:rPr>
          <w:lang w:val="en-CA"/>
        </w:rPr>
        <w:t>27.</w:t>
      </w:r>
    </w:p>
  </w:footnote>
  <w:footnote w:id="49">
    <w:p w14:paraId="2DD66320" w14:textId="7F571A08" w:rsidR="007629E2" w:rsidRPr="000E2D2A" w:rsidRDefault="007629E2" w:rsidP="00F35928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="00050FDE" w:rsidRPr="000E2D2A">
        <w:rPr>
          <w:lang w:val="en-CA"/>
        </w:rPr>
        <w:t>Subsection</w:t>
      </w:r>
      <w:r w:rsidRPr="000E2D2A">
        <w:rPr>
          <w:lang w:val="en-CA"/>
        </w:rPr>
        <w:t xml:space="preserve"> 27(1) </w:t>
      </w:r>
      <w:r w:rsidRPr="000E2D2A">
        <w:rPr>
          <w:i/>
          <w:lang w:val="en-CA"/>
        </w:rPr>
        <w:t>CA</w:t>
      </w:r>
      <w:r w:rsidRPr="000E2D2A">
        <w:rPr>
          <w:lang w:val="en-CA"/>
        </w:rPr>
        <w:t xml:space="preserve">; McKeown,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050FDE">
        <w:rPr>
          <w:lang w:val="en-CA"/>
        </w:rPr>
        <w:t xml:space="preserve"> 41</w:t>
      </w:r>
      <w:r w:rsidRPr="000E2D2A">
        <w:rPr>
          <w:lang w:val="en-CA"/>
        </w:rPr>
        <w:t xml:space="preserve"> </w:t>
      </w:r>
      <w:r w:rsidR="00050FDE">
        <w:rPr>
          <w:lang w:val="en-CA"/>
        </w:rPr>
        <w:t xml:space="preserve">at </w:t>
      </w:r>
      <w:r w:rsidRPr="000E2D2A">
        <w:rPr>
          <w:lang w:val="en-CA"/>
        </w:rPr>
        <w:t>19</w:t>
      </w:r>
      <w:r w:rsidR="00050FDE">
        <w:rPr>
          <w:lang w:val="en-CA"/>
        </w:rPr>
        <w:t>–</w:t>
      </w:r>
      <w:r w:rsidRPr="000E2D2A">
        <w:rPr>
          <w:lang w:val="en-CA"/>
        </w:rPr>
        <w:t>27.</w:t>
      </w:r>
    </w:p>
  </w:footnote>
  <w:footnote w:id="50">
    <w:p w14:paraId="3B429555" w14:textId="69C164DA" w:rsidR="007629E2" w:rsidRPr="0041535F" w:rsidRDefault="007629E2" w:rsidP="00634D8F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  <w:t xml:space="preserve">Mikus,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050FDE" w:rsidRPr="000E2D2A">
        <w:rPr>
          <w:lang w:val="en-CA"/>
        </w:rPr>
        <w:t xml:space="preserve"> 3</w:t>
      </w:r>
      <w:r w:rsidR="00D21217">
        <w:rPr>
          <w:lang w:val="en-CA"/>
        </w:rPr>
        <w:t>2</w:t>
      </w:r>
      <w:r w:rsidRPr="000E2D2A">
        <w:rPr>
          <w:lang w:val="en-CA"/>
        </w:rPr>
        <w:t xml:space="preserve"> </w:t>
      </w:r>
      <w:r w:rsidR="00050FDE" w:rsidRPr="000E2D2A">
        <w:rPr>
          <w:lang w:val="en-CA"/>
        </w:rPr>
        <w:t xml:space="preserve">at </w:t>
      </w:r>
      <w:r w:rsidRPr="000E2D2A">
        <w:rPr>
          <w:lang w:val="en-CA"/>
        </w:rPr>
        <w:t xml:space="preserve">1/60. </w:t>
      </w:r>
      <w:r>
        <w:rPr>
          <w:lang w:val="en-CA"/>
        </w:rPr>
        <w:t>See also</w:t>
      </w:r>
      <w:r w:rsidRPr="0041535F">
        <w:rPr>
          <w:lang w:val="en-CA"/>
        </w:rPr>
        <w:t xml:space="preserve"> </w:t>
      </w:r>
      <w:r>
        <w:rPr>
          <w:i/>
          <w:lang w:val="en-CA"/>
        </w:rPr>
        <w:t>Albian Sands Energy Inc. v</w:t>
      </w:r>
      <w:r w:rsidRPr="00D24722">
        <w:rPr>
          <w:i/>
          <w:lang w:val="en-CA"/>
        </w:rPr>
        <w:t>. Positive Attitude Safety System Inc</w:t>
      </w:r>
      <w:r w:rsidRPr="0041535F">
        <w:rPr>
          <w:i/>
          <w:lang w:val="en-CA"/>
        </w:rPr>
        <w:t>.</w:t>
      </w:r>
      <w:r>
        <w:rPr>
          <w:lang w:val="en-CA"/>
        </w:rPr>
        <w:t xml:space="preserve">, 2005 FCA 332 </w:t>
      </w:r>
      <w:r w:rsidR="00050FDE">
        <w:rPr>
          <w:lang w:val="en-CA"/>
        </w:rPr>
        <w:t xml:space="preserve">at </w:t>
      </w:r>
      <w:r>
        <w:rPr>
          <w:lang w:val="en-CA"/>
        </w:rPr>
        <w:t>para</w:t>
      </w:r>
      <w:r w:rsidR="00050FDE">
        <w:rPr>
          <w:lang w:val="en-CA"/>
        </w:rPr>
        <w:t>s</w:t>
      </w:r>
      <w:r w:rsidRPr="0041535F">
        <w:rPr>
          <w:lang w:val="en-CA"/>
        </w:rPr>
        <w:t>. 39</w:t>
      </w:r>
      <w:r w:rsidR="00050FDE">
        <w:rPr>
          <w:lang w:val="en-CA"/>
        </w:rPr>
        <w:t>–</w:t>
      </w:r>
      <w:r w:rsidRPr="0041535F">
        <w:rPr>
          <w:lang w:val="en-CA"/>
        </w:rPr>
        <w:t>40.</w:t>
      </w:r>
    </w:p>
  </w:footnote>
  <w:footnote w:id="51">
    <w:p w14:paraId="2DFFD284" w14:textId="5E403475" w:rsidR="007629E2" w:rsidRPr="0041535F" w:rsidRDefault="007629E2" w:rsidP="00F35928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41535F">
        <w:rPr>
          <w:lang w:val="en-CA"/>
        </w:rPr>
        <w:t xml:space="preserve"> </w:t>
      </w:r>
      <w:r w:rsidRPr="0041535F">
        <w:rPr>
          <w:lang w:val="en-CA"/>
        </w:rPr>
        <w:tab/>
        <w:t xml:space="preserve">Gilker, </w:t>
      </w:r>
      <w:r w:rsidRPr="0041535F">
        <w:rPr>
          <w:i/>
          <w:lang w:val="en-CA"/>
        </w:rPr>
        <w:t>supra</w:t>
      </w:r>
      <w:r w:rsidRPr="0041535F">
        <w:rPr>
          <w:lang w:val="en-CA"/>
        </w:rPr>
        <w:t xml:space="preserve"> note</w:t>
      </w:r>
      <w:r w:rsidR="00050FDE">
        <w:rPr>
          <w:lang w:val="en-CA"/>
        </w:rPr>
        <w:t xml:space="preserve"> 41</w:t>
      </w:r>
      <w:r w:rsidRPr="0041535F">
        <w:rPr>
          <w:lang w:val="en-CA"/>
        </w:rPr>
        <w:t xml:space="preserve"> </w:t>
      </w:r>
      <w:r w:rsidR="00050FDE">
        <w:rPr>
          <w:lang w:val="en-CA"/>
        </w:rPr>
        <w:t xml:space="preserve">at </w:t>
      </w:r>
      <w:r w:rsidRPr="0041535F">
        <w:rPr>
          <w:lang w:val="en-CA"/>
        </w:rPr>
        <w:t>71.</w:t>
      </w:r>
    </w:p>
  </w:footnote>
  <w:footnote w:id="52">
    <w:p w14:paraId="69ADDC27" w14:textId="2F2ED63C" w:rsidR="007629E2" w:rsidRPr="000E2D2A" w:rsidRDefault="007629E2" w:rsidP="00F35928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41535F">
        <w:rPr>
          <w:lang w:val="en-CA"/>
        </w:rPr>
        <w:t xml:space="preserve"> </w:t>
      </w:r>
      <w:r w:rsidRPr="0041535F">
        <w:rPr>
          <w:lang w:val="en-CA"/>
        </w:rPr>
        <w:tab/>
      </w:r>
      <w:r w:rsidRPr="00965B67">
        <w:rPr>
          <w:lang w:val="en-CA"/>
        </w:rPr>
        <w:t xml:space="preserve">Bruce Ziff, </w:t>
      </w:r>
      <w:r w:rsidRPr="00965B67">
        <w:rPr>
          <w:i/>
          <w:lang w:val="en-CA"/>
        </w:rPr>
        <w:t>Principles of Property Law</w:t>
      </w:r>
      <w:r w:rsidRPr="00965B67">
        <w:rPr>
          <w:lang w:val="en-CA"/>
        </w:rPr>
        <w:t>, 7</w:t>
      </w:r>
      <w:r w:rsidRPr="000E2D2A">
        <w:rPr>
          <w:lang w:val="en-CA"/>
        </w:rPr>
        <w:t>th</w:t>
      </w:r>
      <w:r w:rsidRPr="00965B67">
        <w:rPr>
          <w:vertAlign w:val="superscript"/>
          <w:lang w:val="en-CA"/>
        </w:rPr>
        <w:t xml:space="preserve"> </w:t>
      </w:r>
      <w:r w:rsidRPr="00965B67">
        <w:rPr>
          <w:lang w:val="en-CA"/>
        </w:rPr>
        <w:t xml:space="preserve">ed. </w:t>
      </w:r>
      <w:r w:rsidR="00965B67" w:rsidRPr="000E2D2A">
        <w:rPr>
          <w:lang w:val="en-CA"/>
        </w:rPr>
        <w:t>(</w:t>
      </w:r>
      <w:r w:rsidRPr="00965B67">
        <w:rPr>
          <w:lang w:val="en-CA"/>
        </w:rPr>
        <w:t>Toronto</w:t>
      </w:r>
      <w:r w:rsidR="00AE7360">
        <w:rPr>
          <w:lang w:val="en-CA"/>
        </w:rPr>
        <w:t>:</w:t>
      </w:r>
      <w:r w:rsidRPr="00965B67">
        <w:rPr>
          <w:lang w:val="en-CA"/>
        </w:rPr>
        <w:t xml:space="preserve"> Thomson Reuters, 2018</w:t>
      </w:r>
      <w:r w:rsidR="00965B67" w:rsidRPr="000E2D2A">
        <w:rPr>
          <w:lang w:val="en-CA"/>
        </w:rPr>
        <w:t>)</w:t>
      </w:r>
      <w:r w:rsidRPr="00965B67">
        <w:rPr>
          <w:lang w:val="en-CA"/>
        </w:rPr>
        <w:t xml:space="preserve"> </w:t>
      </w:r>
      <w:r w:rsidR="00965B67" w:rsidRPr="000E2D2A">
        <w:rPr>
          <w:lang w:val="en-CA"/>
        </w:rPr>
        <w:t xml:space="preserve">at </w:t>
      </w:r>
      <w:r w:rsidRPr="00965B67">
        <w:rPr>
          <w:lang w:val="en-CA"/>
        </w:rPr>
        <w:t>354</w:t>
      </w:r>
      <w:r w:rsidRPr="000E2D2A">
        <w:rPr>
          <w:lang w:val="en-CA"/>
        </w:rPr>
        <w:t xml:space="preserve">; McKeown,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050FDE" w:rsidRPr="000E2D2A">
        <w:rPr>
          <w:lang w:val="en-CA"/>
        </w:rPr>
        <w:t xml:space="preserve"> 41</w:t>
      </w:r>
      <w:r w:rsidRPr="000E2D2A">
        <w:rPr>
          <w:lang w:val="en-CA"/>
        </w:rPr>
        <w:t xml:space="preserve"> </w:t>
      </w:r>
      <w:r w:rsidR="00050FDE">
        <w:rPr>
          <w:lang w:val="en-CA"/>
        </w:rPr>
        <w:t xml:space="preserve">at </w:t>
      </w:r>
      <w:r w:rsidRPr="000E2D2A">
        <w:rPr>
          <w:lang w:val="en-CA"/>
        </w:rPr>
        <w:t>19</w:t>
      </w:r>
      <w:r w:rsidR="00050FDE">
        <w:rPr>
          <w:lang w:val="en-CA"/>
        </w:rPr>
        <w:t>–</w:t>
      </w:r>
      <w:r w:rsidRPr="000E2D2A">
        <w:rPr>
          <w:lang w:val="en-CA"/>
        </w:rPr>
        <w:t>27.</w:t>
      </w:r>
    </w:p>
  </w:footnote>
  <w:footnote w:id="53">
    <w:p w14:paraId="5DEA4000" w14:textId="2AAEE7AA" w:rsidR="007629E2" w:rsidRPr="000E2D2A" w:rsidRDefault="007629E2" w:rsidP="00F35928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Euro-Excellence Inc. v. Kraft Canada Inc</w:t>
      </w:r>
      <w:r w:rsidRPr="000E2D2A">
        <w:rPr>
          <w:lang w:val="en-CA"/>
        </w:rPr>
        <w:t xml:space="preserve">.,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050FDE" w:rsidRPr="000E2D2A">
        <w:rPr>
          <w:lang w:val="en-CA"/>
        </w:rPr>
        <w:t xml:space="preserve"> 42</w:t>
      </w:r>
      <w:r w:rsidRPr="000E2D2A">
        <w:rPr>
          <w:lang w:val="en-CA"/>
        </w:rPr>
        <w:t xml:space="preserve"> </w:t>
      </w:r>
      <w:r w:rsidR="00050FDE" w:rsidRPr="000E2D2A">
        <w:rPr>
          <w:lang w:val="en-CA"/>
        </w:rPr>
        <w:t xml:space="preserve">at </w:t>
      </w:r>
      <w:r w:rsidRPr="000E2D2A">
        <w:rPr>
          <w:lang w:val="en-CA"/>
        </w:rPr>
        <w:t xml:space="preserve">para. 27; McKeown,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050FDE" w:rsidRPr="000E2D2A">
        <w:rPr>
          <w:lang w:val="en-CA"/>
        </w:rPr>
        <w:t xml:space="preserve"> 41</w:t>
      </w:r>
      <w:r w:rsidRPr="000E2D2A">
        <w:rPr>
          <w:lang w:val="en-CA"/>
        </w:rPr>
        <w:t xml:space="preserve"> </w:t>
      </w:r>
      <w:r w:rsidR="00050FDE" w:rsidRPr="000E2D2A">
        <w:rPr>
          <w:lang w:val="en-CA"/>
        </w:rPr>
        <w:t xml:space="preserve">at </w:t>
      </w:r>
      <w:r w:rsidRPr="000E2D2A">
        <w:rPr>
          <w:lang w:val="en-CA"/>
        </w:rPr>
        <w:t>19</w:t>
      </w:r>
      <w:r w:rsidR="00050FDE" w:rsidRPr="000E2D2A">
        <w:rPr>
          <w:lang w:val="en-CA"/>
        </w:rPr>
        <w:t>–</w:t>
      </w:r>
      <w:r w:rsidRPr="000E2D2A">
        <w:rPr>
          <w:lang w:val="en-CA"/>
        </w:rPr>
        <w:t>27.</w:t>
      </w:r>
    </w:p>
  </w:footnote>
  <w:footnote w:id="54">
    <w:p w14:paraId="66011092" w14:textId="52D5AB7B" w:rsidR="007629E2" w:rsidRPr="000E2D2A" w:rsidRDefault="007629E2" w:rsidP="00634D8F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Euro-Excellence Inc. v. Kraft Canada Inc</w:t>
      </w:r>
      <w:r w:rsidRPr="000E2D2A">
        <w:rPr>
          <w:lang w:val="en-CA"/>
        </w:rPr>
        <w:t xml:space="preserve">.,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050FDE" w:rsidRPr="000E2D2A">
        <w:rPr>
          <w:lang w:val="en-CA"/>
        </w:rPr>
        <w:t xml:space="preserve"> </w:t>
      </w:r>
      <w:r w:rsidR="00050FDE">
        <w:rPr>
          <w:lang w:val="en-CA"/>
        </w:rPr>
        <w:t>42</w:t>
      </w:r>
      <w:r w:rsidRPr="000E2D2A">
        <w:rPr>
          <w:lang w:val="en-CA"/>
        </w:rPr>
        <w:t xml:space="preserve"> </w:t>
      </w:r>
      <w:r w:rsidR="00050FDE">
        <w:rPr>
          <w:lang w:val="en-CA"/>
        </w:rPr>
        <w:t xml:space="preserve">at </w:t>
      </w:r>
      <w:r w:rsidRPr="000E2D2A">
        <w:rPr>
          <w:lang w:val="en-CA"/>
        </w:rPr>
        <w:t>para. 27.</w:t>
      </w:r>
    </w:p>
  </w:footnote>
  <w:footnote w:id="55">
    <w:p w14:paraId="51E598F7" w14:textId="4164C370" w:rsidR="007629E2" w:rsidRPr="000E2D2A" w:rsidRDefault="007629E2" w:rsidP="00634D8F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  <w:t>Vaver,</w:t>
      </w:r>
      <w:r w:rsidR="00965B67">
        <w:rPr>
          <w:lang w:val="en-CA"/>
        </w:rPr>
        <w:t xml:space="preserve"> </w:t>
      </w:r>
      <w:r w:rsidR="00965B67" w:rsidRPr="00E469B0">
        <w:rPr>
          <w:i/>
          <w:lang w:val="en-CA"/>
        </w:rPr>
        <w:t xml:space="preserve">Intellectual </w:t>
      </w:r>
      <w:r w:rsidR="00AE7360">
        <w:rPr>
          <w:i/>
          <w:lang w:val="en-CA"/>
        </w:rPr>
        <w:t>P</w:t>
      </w:r>
      <w:r w:rsidR="00965B67" w:rsidRPr="00E469B0">
        <w:rPr>
          <w:i/>
          <w:lang w:val="en-CA"/>
        </w:rPr>
        <w:t xml:space="preserve">roperty </w:t>
      </w:r>
      <w:r w:rsidR="00AE7360">
        <w:rPr>
          <w:i/>
          <w:lang w:val="en-CA"/>
        </w:rPr>
        <w:t>L</w:t>
      </w:r>
      <w:r w:rsidR="00965B67" w:rsidRPr="00E469B0">
        <w:rPr>
          <w:i/>
          <w:lang w:val="en-CA"/>
        </w:rPr>
        <w:t>aw</w:t>
      </w:r>
      <w:r w:rsidR="00965B67">
        <w:rPr>
          <w:iCs/>
          <w:lang w:val="en-CA"/>
        </w:rPr>
        <w:t>,</w:t>
      </w:r>
      <w:r w:rsidRPr="000E2D2A">
        <w:rPr>
          <w:lang w:val="en-CA"/>
        </w:rPr>
        <w:t xml:space="preserve">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050FDE" w:rsidRPr="000E2D2A">
        <w:rPr>
          <w:lang w:val="en-CA"/>
        </w:rPr>
        <w:t xml:space="preserve"> 41</w:t>
      </w:r>
      <w:r w:rsidRPr="000E2D2A">
        <w:rPr>
          <w:lang w:val="en-CA"/>
        </w:rPr>
        <w:t xml:space="preserve"> </w:t>
      </w:r>
      <w:r w:rsidR="00050FDE" w:rsidRPr="000E2D2A">
        <w:rPr>
          <w:lang w:val="en-CA"/>
        </w:rPr>
        <w:t xml:space="preserve">at </w:t>
      </w:r>
      <w:r w:rsidRPr="000E2D2A">
        <w:rPr>
          <w:lang w:val="en-CA"/>
        </w:rPr>
        <w:t>576.</w:t>
      </w:r>
    </w:p>
  </w:footnote>
  <w:footnote w:id="56">
    <w:p w14:paraId="338DE268" w14:textId="24B139BE" w:rsidR="007629E2" w:rsidRPr="000E2D2A" w:rsidRDefault="007629E2" w:rsidP="00F35928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  <w:t>S</w:t>
      </w:r>
      <w:r w:rsidR="00050FDE" w:rsidRPr="000E2D2A">
        <w:rPr>
          <w:lang w:val="en-CA"/>
        </w:rPr>
        <w:t>ection</w:t>
      </w:r>
      <w:r w:rsidRPr="000E2D2A">
        <w:rPr>
          <w:lang w:val="en-CA"/>
        </w:rPr>
        <w:t xml:space="preserve"> 2.7 </w:t>
      </w:r>
      <w:r w:rsidRPr="000E2D2A">
        <w:rPr>
          <w:i/>
          <w:lang w:val="en-CA"/>
        </w:rPr>
        <w:t>CA</w:t>
      </w:r>
      <w:r w:rsidRPr="000E2D2A">
        <w:rPr>
          <w:lang w:val="en-CA"/>
        </w:rPr>
        <w:t xml:space="preserve">; </w:t>
      </w:r>
      <w:r w:rsidRPr="000E2D2A">
        <w:rPr>
          <w:i/>
          <w:lang w:val="en-CA"/>
        </w:rPr>
        <w:t>Euro-Excellence Inc. v. Kraft Canada Inc</w:t>
      </w:r>
      <w:r w:rsidRPr="000E2D2A">
        <w:rPr>
          <w:lang w:val="en-CA"/>
        </w:rPr>
        <w:t xml:space="preserve">.,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050FDE" w:rsidRPr="000E2D2A">
        <w:rPr>
          <w:lang w:val="en-CA"/>
        </w:rPr>
        <w:t xml:space="preserve"> 42</w:t>
      </w:r>
      <w:r w:rsidRPr="000E2D2A">
        <w:rPr>
          <w:lang w:val="en-CA"/>
        </w:rPr>
        <w:t xml:space="preserve"> </w:t>
      </w:r>
      <w:r w:rsidR="00050FDE" w:rsidRPr="000E2D2A">
        <w:rPr>
          <w:lang w:val="en-CA"/>
        </w:rPr>
        <w:t xml:space="preserve">at </w:t>
      </w:r>
      <w:r w:rsidRPr="000E2D2A">
        <w:rPr>
          <w:lang w:val="en-CA"/>
        </w:rPr>
        <w:t>para. 39.</w:t>
      </w:r>
    </w:p>
  </w:footnote>
  <w:footnote w:id="57">
    <w:p w14:paraId="5F0A5740" w14:textId="7F74B120" w:rsidR="007629E2" w:rsidRPr="000E2D2A" w:rsidRDefault="007629E2" w:rsidP="00F35928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Euro-Excellence Inc. v. Kraft Canada Inc</w:t>
      </w:r>
      <w:r w:rsidRPr="000E2D2A">
        <w:rPr>
          <w:lang w:val="en-CA"/>
        </w:rPr>
        <w:t xml:space="preserve">.,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6606F4" w:rsidRPr="000E2D2A">
        <w:rPr>
          <w:lang w:val="en-CA"/>
        </w:rPr>
        <w:t xml:space="preserve"> 42</w:t>
      </w:r>
      <w:r w:rsidRPr="000E2D2A">
        <w:rPr>
          <w:lang w:val="en-CA"/>
        </w:rPr>
        <w:t xml:space="preserve"> </w:t>
      </w:r>
      <w:r w:rsidR="006606F4" w:rsidRPr="000E2D2A">
        <w:rPr>
          <w:lang w:val="en-CA"/>
        </w:rPr>
        <w:t xml:space="preserve">at </w:t>
      </w:r>
      <w:r w:rsidRPr="000E2D2A">
        <w:rPr>
          <w:lang w:val="en-CA"/>
        </w:rPr>
        <w:t xml:space="preserve">para. 40; Gilker,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6606F4" w:rsidRPr="000E2D2A">
        <w:rPr>
          <w:lang w:val="en-CA"/>
        </w:rPr>
        <w:t xml:space="preserve"> 41</w:t>
      </w:r>
      <w:r w:rsidRPr="000E2D2A">
        <w:rPr>
          <w:lang w:val="en-CA"/>
        </w:rPr>
        <w:t> </w:t>
      </w:r>
      <w:r w:rsidR="006606F4" w:rsidRPr="000E2D2A">
        <w:rPr>
          <w:lang w:val="en-CA"/>
        </w:rPr>
        <w:t xml:space="preserve">at </w:t>
      </w:r>
      <w:r w:rsidRPr="000E2D2A">
        <w:rPr>
          <w:lang w:val="en-CA"/>
        </w:rPr>
        <w:t xml:space="preserve">71; Aubin,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6606F4" w:rsidRPr="000E2D2A">
        <w:rPr>
          <w:lang w:val="en-CA"/>
        </w:rPr>
        <w:t xml:space="preserve"> 41</w:t>
      </w:r>
      <w:r w:rsidRPr="000E2D2A">
        <w:rPr>
          <w:lang w:val="en-CA"/>
        </w:rPr>
        <w:t xml:space="preserve"> </w:t>
      </w:r>
      <w:r w:rsidR="006606F4" w:rsidRPr="000E2D2A">
        <w:rPr>
          <w:lang w:val="en-CA"/>
        </w:rPr>
        <w:t xml:space="preserve">at </w:t>
      </w:r>
      <w:r w:rsidRPr="000E2D2A">
        <w:rPr>
          <w:lang w:val="en-CA"/>
        </w:rPr>
        <w:t>6.</w:t>
      </w:r>
    </w:p>
  </w:footnote>
  <w:footnote w:id="58">
    <w:p w14:paraId="33A6A031" w14:textId="6849289A" w:rsidR="007629E2" w:rsidRPr="00133929" w:rsidRDefault="007629E2" w:rsidP="00634D8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Euro-Excellence Inc. v. Kraft Canada Inc</w:t>
      </w:r>
      <w:r w:rsidRPr="000E2D2A">
        <w:rPr>
          <w:lang w:val="en-CA"/>
        </w:rPr>
        <w:t xml:space="preserve">.,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6606F4" w:rsidRPr="000E2D2A">
        <w:rPr>
          <w:lang w:val="en-CA"/>
        </w:rPr>
        <w:t xml:space="preserve"> 42</w:t>
      </w:r>
      <w:r w:rsidRPr="000E2D2A">
        <w:rPr>
          <w:lang w:val="en-CA"/>
        </w:rPr>
        <w:t xml:space="preserve"> </w:t>
      </w:r>
      <w:r w:rsidR="006606F4" w:rsidRPr="000E2D2A">
        <w:rPr>
          <w:lang w:val="en-CA"/>
        </w:rPr>
        <w:t xml:space="preserve">at </w:t>
      </w:r>
      <w:r w:rsidRPr="000E2D2A">
        <w:rPr>
          <w:lang w:val="en-CA"/>
        </w:rPr>
        <w:t xml:space="preserve">para. </w:t>
      </w:r>
      <w:r w:rsidRPr="00133929">
        <w:rPr>
          <w:lang w:val="en-US"/>
        </w:rPr>
        <w:t>26.</w:t>
      </w:r>
    </w:p>
  </w:footnote>
  <w:footnote w:id="59">
    <w:p w14:paraId="60A36F03" w14:textId="59A797F3" w:rsidR="007629E2" w:rsidRPr="00EF0C55" w:rsidRDefault="007629E2" w:rsidP="00EF0C55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F0C55">
        <w:rPr>
          <w:lang w:val="en-US"/>
        </w:rPr>
        <w:t xml:space="preserve"> </w:t>
      </w:r>
      <w:r w:rsidRPr="00EF0C55">
        <w:rPr>
          <w:lang w:val="en-US"/>
        </w:rPr>
        <w:tab/>
      </w:r>
      <w:r w:rsidRPr="00EF0C55">
        <w:rPr>
          <w:i/>
          <w:lang w:val="en-US"/>
        </w:rPr>
        <w:t>I</w:t>
      </w:r>
      <w:r w:rsidR="006606F4">
        <w:rPr>
          <w:i/>
          <w:lang w:val="en-US"/>
        </w:rPr>
        <w:t>bi</w:t>
      </w:r>
      <w:r w:rsidRPr="00EF0C55">
        <w:rPr>
          <w:i/>
          <w:lang w:val="en-US"/>
        </w:rPr>
        <w:t>d.</w:t>
      </w:r>
      <w:r w:rsidR="00964290">
        <w:rPr>
          <w:lang w:val="en-US"/>
        </w:rPr>
        <w:t xml:space="preserve"> </w:t>
      </w:r>
      <w:r w:rsidR="006606F4">
        <w:rPr>
          <w:lang w:val="en-US"/>
        </w:rPr>
        <w:t xml:space="preserve">at </w:t>
      </w:r>
      <w:r w:rsidR="00964290">
        <w:rPr>
          <w:lang w:val="en-US"/>
        </w:rPr>
        <w:t>para. 28 [i</w:t>
      </w:r>
      <w:r w:rsidRPr="00EF0C55">
        <w:rPr>
          <w:lang w:val="en-US"/>
        </w:rPr>
        <w:t>talics added].</w:t>
      </w:r>
    </w:p>
  </w:footnote>
  <w:footnote w:id="60">
    <w:p w14:paraId="60284F9B" w14:textId="59F64D0E" w:rsidR="007629E2" w:rsidRPr="00DE6975" w:rsidRDefault="007629E2" w:rsidP="00634D8F">
      <w:pPr>
        <w:pStyle w:val="Notedebasdepage"/>
        <w:rPr>
          <w:lang w:val="en-US"/>
        </w:rPr>
      </w:pPr>
      <w:r w:rsidRPr="00B82C5F">
        <w:rPr>
          <w:rStyle w:val="Appelnotedebasdep"/>
        </w:rPr>
        <w:footnoteRef/>
      </w:r>
      <w:r w:rsidRPr="00EF0C55">
        <w:rPr>
          <w:lang w:val="en-US"/>
        </w:rPr>
        <w:t xml:space="preserve"> </w:t>
      </w:r>
      <w:r w:rsidRPr="00EF0C55">
        <w:rPr>
          <w:lang w:val="en-US"/>
        </w:rPr>
        <w:tab/>
      </w:r>
      <w:r w:rsidRPr="00EF0C55">
        <w:rPr>
          <w:i/>
          <w:lang w:val="en-US"/>
        </w:rPr>
        <w:t>Ibid.</w:t>
      </w:r>
      <w:r w:rsidRPr="00EF0C55">
        <w:rPr>
          <w:lang w:val="en-US"/>
        </w:rPr>
        <w:t xml:space="preserve"> </w:t>
      </w:r>
      <w:r w:rsidRPr="00DE6975">
        <w:rPr>
          <w:rFonts w:cs="Arial"/>
          <w:lang w:val="en-US"/>
        </w:rPr>
        <w:t>[</w:t>
      </w:r>
      <w:r w:rsidR="00964290">
        <w:rPr>
          <w:lang w:val="en-US"/>
        </w:rPr>
        <w:t>emphasis</w:t>
      </w:r>
      <w:r w:rsidRPr="00DE6975">
        <w:rPr>
          <w:lang w:val="en-US"/>
        </w:rPr>
        <w:t xml:space="preserve"> added].</w:t>
      </w:r>
    </w:p>
  </w:footnote>
  <w:footnote w:id="61">
    <w:p w14:paraId="599832A3" w14:textId="17A90AD6" w:rsidR="007629E2" w:rsidRPr="000E2D2A" w:rsidRDefault="007629E2" w:rsidP="00EF0C55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133929">
        <w:rPr>
          <w:lang w:val="en-US"/>
        </w:rPr>
        <w:t xml:space="preserve"> </w:t>
      </w:r>
      <w:r w:rsidRPr="00133929">
        <w:rPr>
          <w:lang w:val="en-US"/>
        </w:rPr>
        <w:tab/>
      </w:r>
      <w:r w:rsidR="006606F4">
        <w:rPr>
          <w:lang w:val="en-US"/>
        </w:rPr>
        <w:t>Subsection</w:t>
      </w:r>
      <w:r w:rsidRPr="00133929">
        <w:rPr>
          <w:lang w:val="en-US"/>
        </w:rPr>
        <w:t xml:space="preserve"> 13(4) </w:t>
      </w:r>
      <w:r w:rsidRPr="00133929">
        <w:rPr>
          <w:i/>
          <w:lang w:val="en-US"/>
        </w:rPr>
        <w:t>CA</w:t>
      </w:r>
      <w:r w:rsidRPr="00133929">
        <w:rPr>
          <w:lang w:val="en-US"/>
        </w:rPr>
        <w:t xml:space="preserve">; </w:t>
      </w:r>
      <w:r w:rsidRPr="00133929">
        <w:rPr>
          <w:i/>
          <w:lang w:val="en-US"/>
        </w:rPr>
        <w:t>Robertson v. Thomson Corp</w:t>
      </w:r>
      <w:r w:rsidRPr="00133929">
        <w:rPr>
          <w:lang w:val="en-US"/>
        </w:rPr>
        <w:t xml:space="preserve">., 2006 SCC 43 </w:t>
      </w:r>
      <w:r w:rsidR="006606F4">
        <w:rPr>
          <w:lang w:val="en-US"/>
        </w:rPr>
        <w:t xml:space="preserve">at </w:t>
      </w:r>
      <w:r w:rsidRPr="00133929">
        <w:rPr>
          <w:lang w:val="en-US"/>
        </w:rPr>
        <w:t xml:space="preserve">para. </w:t>
      </w:r>
      <w:r w:rsidRPr="000E2D2A">
        <w:rPr>
          <w:lang w:val="en-CA"/>
        </w:rPr>
        <w:t>56.</w:t>
      </w:r>
    </w:p>
  </w:footnote>
  <w:footnote w:id="62">
    <w:p w14:paraId="5EE18AFA" w14:textId="624992F6" w:rsidR="007629E2" w:rsidRPr="000741B6" w:rsidRDefault="007629E2" w:rsidP="00EF0C55">
      <w:pPr>
        <w:pStyle w:val="Notedebasdepage"/>
        <w:rPr>
          <w:lang w:val="es-CL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="006606F4" w:rsidRPr="000E2D2A">
        <w:rPr>
          <w:i/>
          <w:lang w:val="en-CA"/>
        </w:rPr>
        <w:t>CCH Canadian Ltd. v. Law Society of Upper Canada</w:t>
      </w:r>
      <w:r w:rsidRPr="000E2D2A">
        <w:rPr>
          <w:lang w:val="en-CA"/>
        </w:rPr>
        <w:t xml:space="preserve">, 2004 SCC 13 </w:t>
      </w:r>
      <w:r w:rsidR="006606F4">
        <w:rPr>
          <w:lang w:val="en-CA"/>
        </w:rPr>
        <w:t xml:space="preserve">at </w:t>
      </w:r>
      <w:r w:rsidRPr="000E2D2A">
        <w:rPr>
          <w:lang w:val="en-CA"/>
        </w:rPr>
        <w:t xml:space="preserve">para. </w:t>
      </w:r>
      <w:r w:rsidRPr="00EE73F8">
        <w:rPr>
          <w:lang w:val="es-CL"/>
        </w:rPr>
        <w:t xml:space="preserve">23; </w:t>
      </w:r>
      <w:r w:rsidRPr="00EE73F8">
        <w:rPr>
          <w:i/>
          <w:lang w:val="es-CL"/>
        </w:rPr>
        <w:t xml:space="preserve">Tremblay v. Orio Canada </w:t>
      </w:r>
      <w:r w:rsidR="006606F4">
        <w:rPr>
          <w:i/>
          <w:lang w:val="es-CL"/>
        </w:rPr>
        <w:t>I</w:t>
      </w:r>
      <w:r w:rsidRPr="00EE73F8">
        <w:rPr>
          <w:i/>
          <w:lang w:val="es-CL"/>
        </w:rPr>
        <w:t>nc</w:t>
      </w:r>
      <w:r w:rsidRPr="00EE73F8">
        <w:rPr>
          <w:lang w:val="es-CL"/>
        </w:rPr>
        <w:t xml:space="preserve">., 2013 FCA 225 </w:t>
      </w:r>
      <w:r w:rsidR="006606F4">
        <w:rPr>
          <w:lang w:val="es-CL"/>
        </w:rPr>
        <w:t xml:space="preserve">at </w:t>
      </w:r>
      <w:r w:rsidRPr="00EE73F8">
        <w:rPr>
          <w:lang w:val="es-CL"/>
        </w:rPr>
        <w:t xml:space="preserve">para. </w:t>
      </w:r>
      <w:r w:rsidRPr="000741B6">
        <w:rPr>
          <w:lang w:val="es-CL"/>
        </w:rPr>
        <w:t xml:space="preserve">18; Aubin, </w:t>
      </w:r>
      <w:r w:rsidRPr="000741B6">
        <w:rPr>
          <w:i/>
          <w:lang w:val="es-CL"/>
        </w:rPr>
        <w:t>supra</w:t>
      </w:r>
      <w:r w:rsidRPr="000741B6">
        <w:rPr>
          <w:lang w:val="es-CL"/>
        </w:rPr>
        <w:t xml:space="preserve"> note</w:t>
      </w:r>
      <w:r w:rsidR="006606F4" w:rsidRPr="000741B6">
        <w:rPr>
          <w:lang w:val="es-CL"/>
        </w:rPr>
        <w:t xml:space="preserve"> 41</w:t>
      </w:r>
      <w:r w:rsidRPr="000741B6">
        <w:rPr>
          <w:lang w:val="es-CL"/>
        </w:rPr>
        <w:t xml:space="preserve"> </w:t>
      </w:r>
      <w:r w:rsidR="006606F4" w:rsidRPr="000741B6">
        <w:rPr>
          <w:lang w:val="es-CL"/>
        </w:rPr>
        <w:t xml:space="preserve">at </w:t>
      </w:r>
      <w:r w:rsidRPr="000741B6">
        <w:rPr>
          <w:lang w:val="es-CL"/>
        </w:rPr>
        <w:t>7.</w:t>
      </w:r>
    </w:p>
  </w:footnote>
  <w:footnote w:id="63">
    <w:p w14:paraId="506CF8D3" w14:textId="0C3EA257" w:rsidR="007629E2" w:rsidRPr="000E2D2A" w:rsidRDefault="007629E2" w:rsidP="00634D8F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="006120A7">
        <w:rPr>
          <w:lang w:val="en-US"/>
        </w:rPr>
        <w:t xml:space="preserve"> </w:t>
      </w:r>
      <w:r w:rsidR="006120A7">
        <w:rPr>
          <w:lang w:val="en-US"/>
        </w:rPr>
        <w:tab/>
        <w:t xml:space="preserve">In </w:t>
      </w:r>
      <w:r w:rsidRPr="0005744A">
        <w:rPr>
          <w:i/>
          <w:lang w:val="en-US"/>
        </w:rPr>
        <w:t xml:space="preserve">Seggie </w:t>
      </w:r>
      <w:r w:rsidR="00552494">
        <w:rPr>
          <w:i/>
          <w:lang w:val="en-US"/>
        </w:rPr>
        <w:t>c</w:t>
      </w:r>
      <w:r w:rsidRPr="0005744A">
        <w:rPr>
          <w:i/>
          <w:lang w:val="en-US"/>
        </w:rPr>
        <w:t>. Roofdog Games inc.</w:t>
      </w:r>
      <w:r w:rsidRPr="0005744A">
        <w:rPr>
          <w:lang w:val="en-US"/>
        </w:rPr>
        <w:t xml:space="preserve">, 2015 QCCS 6462 </w:t>
      </w:r>
      <w:r w:rsidR="00552494">
        <w:rPr>
          <w:lang w:val="en-US"/>
        </w:rPr>
        <w:t xml:space="preserve">at </w:t>
      </w:r>
      <w:r w:rsidRPr="0005744A">
        <w:rPr>
          <w:lang w:val="en-US"/>
        </w:rPr>
        <w:t xml:space="preserve">para. </w:t>
      </w:r>
      <w:r w:rsidRPr="007629E2">
        <w:rPr>
          <w:lang w:val="en-US"/>
        </w:rPr>
        <w:t xml:space="preserve">80, the Superior Court recognized that an email or text message on a mobile phone could be considered a writing within the meaning of the </w:t>
      </w:r>
      <w:r w:rsidRPr="007629E2">
        <w:rPr>
          <w:i/>
          <w:lang w:val="en-US"/>
        </w:rPr>
        <w:t>CA</w:t>
      </w:r>
      <w:r w:rsidRPr="007629E2">
        <w:rPr>
          <w:lang w:val="en-US"/>
        </w:rPr>
        <w:t xml:space="preserve">. </w:t>
      </w:r>
      <w:r w:rsidR="006120A7">
        <w:rPr>
          <w:lang w:val="en-US"/>
        </w:rPr>
        <w:t xml:space="preserve">In </w:t>
      </w:r>
      <w:r w:rsidRPr="0087137F">
        <w:rPr>
          <w:i/>
          <w:lang w:val="en-US"/>
        </w:rPr>
        <w:t xml:space="preserve">Tremblay v. Orio Canada </w:t>
      </w:r>
      <w:r w:rsidR="00552494">
        <w:rPr>
          <w:i/>
          <w:lang w:val="en-US"/>
        </w:rPr>
        <w:t>I</w:t>
      </w:r>
      <w:r w:rsidRPr="0087137F">
        <w:rPr>
          <w:i/>
          <w:lang w:val="en-US"/>
        </w:rPr>
        <w:t>nc</w:t>
      </w:r>
      <w:r w:rsidRPr="0087137F">
        <w:rPr>
          <w:lang w:val="en-US"/>
        </w:rPr>
        <w:t xml:space="preserve">., </w:t>
      </w:r>
      <w:r w:rsidRPr="0087137F">
        <w:rPr>
          <w:i/>
          <w:lang w:val="en-US"/>
        </w:rPr>
        <w:t>supra</w:t>
      </w:r>
      <w:r w:rsidRPr="0087137F">
        <w:rPr>
          <w:lang w:val="en-US"/>
        </w:rPr>
        <w:t xml:space="preserve"> note</w:t>
      </w:r>
      <w:r w:rsidR="00552494">
        <w:rPr>
          <w:lang w:val="en-US"/>
        </w:rPr>
        <w:t xml:space="preserve"> 62</w:t>
      </w:r>
      <w:r w:rsidRPr="0087137F">
        <w:rPr>
          <w:lang w:val="en-US"/>
        </w:rPr>
        <w:t xml:space="preserve"> </w:t>
      </w:r>
      <w:r w:rsidR="00552494">
        <w:rPr>
          <w:lang w:val="en-US"/>
        </w:rPr>
        <w:t xml:space="preserve">at </w:t>
      </w:r>
      <w:r w:rsidRPr="0087137F">
        <w:rPr>
          <w:lang w:val="en-US"/>
        </w:rPr>
        <w:t>para</w:t>
      </w:r>
      <w:r w:rsidR="00552494">
        <w:rPr>
          <w:lang w:val="en-US"/>
        </w:rPr>
        <w:t>s.</w:t>
      </w:r>
      <w:r w:rsidRPr="0087137F">
        <w:rPr>
          <w:lang w:val="en-US"/>
        </w:rPr>
        <w:t xml:space="preserve"> 22</w:t>
      </w:r>
      <w:r w:rsidR="00552494">
        <w:rPr>
          <w:lang w:val="en-US"/>
        </w:rPr>
        <w:t>–</w:t>
      </w:r>
      <w:r w:rsidRPr="0087137F">
        <w:rPr>
          <w:lang w:val="en-US"/>
        </w:rPr>
        <w:t>23</w:t>
      </w:r>
      <w:r>
        <w:rPr>
          <w:lang w:val="en-US"/>
        </w:rPr>
        <w:t>,</w:t>
      </w:r>
      <w:r w:rsidRPr="0087137F">
        <w:rPr>
          <w:lang w:val="en-US"/>
        </w:rPr>
        <w:t xml:space="preserve"> the assignor had acknowledged before the </w:t>
      </w:r>
      <w:r w:rsidR="00552494">
        <w:rPr>
          <w:lang w:val="en-US"/>
        </w:rPr>
        <w:t>C</w:t>
      </w:r>
      <w:r w:rsidRPr="0087137F">
        <w:rPr>
          <w:lang w:val="en-US"/>
        </w:rPr>
        <w:t xml:space="preserve">ourt </w:t>
      </w:r>
      <w:r w:rsidR="00552494">
        <w:rPr>
          <w:lang w:val="en-US"/>
        </w:rPr>
        <w:t xml:space="preserve">that he </w:t>
      </w:r>
      <w:r w:rsidRPr="0087137F">
        <w:rPr>
          <w:lang w:val="en-US"/>
        </w:rPr>
        <w:t xml:space="preserve">consented to the transfer of the copyright and acknowledged that the clause, written but unsigned, governed </w:t>
      </w:r>
      <w:r w:rsidR="00F4494A">
        <w:rPr>
          <w:lang w:val="en-US"/>
        </w:rPr>
        <w:t>his</w:t>
      </w:r>
      <w:r w:rsidRPr="0087137F">
        <w:rPr>
          <w:lang w:val="en-US"/>
        </w:rPr>
        <w:t xml:space="preserve"> relationship with the assignee. The Federal Court of Appeal concluded that in such circumstances, the purpose</w:t>
      </w:r>
      <w:r>
        <w:rPr>
          <w:lang w:val="en-US"/>
        </w:rPr>
        <w:t xml:space="preserve"> sought by the </w:t>
      </w:r>
      <w:r w:rsidRPr="00446E4E">
        <w:rPr>
          <w:i/>
          <w:lang w:val="en-US"/>
        </w:rPr>
        <w:t>CA</w:t>
      </w:r>
      <w:r>
        <w:rPr>
          <w:lang w:val="en-US"/>
        </w:rPr>
        <w:t xml:space="preserve"> is fulfilled. </w:t>
      </w:r>
      <w:r w:rsidRPr="000E2D2A">
        <w:rPr>
          <w:lang w:val="en-CA"/>
        </w:rPr>
        <w:t xml:space="preserve">See also Aubin,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F4494A" w:rsidRPr="000E2D2A">
        <w:rPr>
          <w:lang w:val="en-CA"/>
        </w:rPr>
        <w:t xml:space="preserve"> 41</w:t>
      </w:r>
      <w:r w:rsidRPr="000E2D2A">
        <w:rPr>
          <w:lang w:val="en-CA"/>
        </w:rPr>
        <w:t> </w:t>
      </w:r>
      <w:r w:rsidR="00F4494A" w:rsidRPr="000E2D2A">
        <w:rPr>
          <w:lang w:val="en-CA"/>
        </w:rPr>
        <w:t xml:space="preserve">at </w:t>
      </w:r>
      <w:r w:rsidRPr="000E2D2A">
        <w:rPr>
          <w:lang w:val="en-CA"/>
        </w:rPr>
        <w:t>7.</w:t>
      </w:r>
    </w:p>
  </w:footnote>
  <w:footnote w:id="64">
    <w:p w14:paraId="3C018508" w14:textId="31476183" w:rsidR="007629E2" w:rsidRPr="00EE73F8" w:rsidRDefault="007629E2" w:rsidP="00EF0C55">
      <w:pPr>
        <w:pStyle w:val="Notedebasdepage"/>
        <w:rPr>
          <w:lang w:val="es-CL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Euro-Excellence Inc. v. Kraft Canada Inc</w:t>
      </w:r>
      <w:r w:rsidRPr="000E2D2A">
        <w:rPr>
          <w:lang w:val="en-CA"/>
        </w:rPr>
        <w:t xml:space="preserve">.,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D9756D" w:rsidRPr="000E2D2A">
        <w:rPr>
          <w:lang w:val="en-CA"/>
        </w:rPr>
        <w:t xml:space="preserve"> 42</w:t>
      </w:r>
      <w:r w:rsidRPr="000E2D2A">
        <w:rPr>
          <w:lang w:val="en-CA"/>
        </w:rPr>
        <w:t xml:space="preserve"> </w:t>
      </w:r>
      <w:r w:rsidR="00D9756D" w:rsidRPr="000E2D2A">
        <w:rPr>
          <w:lang w:val="en-CA"/>
        </w:rPr>
        <w:t xml:space="preserve">at </w:t>
      </w:r>
      <w:r w:rsidRPr="000E2D2A">
        <w:rPr>
          <w:lang w:val="en-CA"/>
        </w:rPr>
        <w:t xml:space="preserve">para. </w:t>
      </w:r>
      <w:r w:rsidRPr="00EE73F8">
        <w:rPr>
          <w:lang w:val="es-CL"/>
        </w:rPr>
        <w:t xml:space="preserve">28; </w:t>
      </w:r>
      <w:r w:rsidRPr="00EE73F8">
        <w:rPr>
          <w:i/>
          <w:lang w:val="es-CL"/>
        </w:rPr>
        <w:t xml:space="preserve">Tremblay v. Orio Canada </w:t>
      </w:r>
      <w:r w:rsidR="00D9756D">
        <w:rPr>
          <w:i/>
          <w:lang w:val="es-CL"/>
        </w:rPr>
        <w:t>I</w:t>
      </w:r>
      <w:r w:rsidRPr="00EE73F8">
        <w:rPr>
          <w:i/>
          <w:lang w:val="es-CL"/>
        </w:rPr>
        <w:t>nc</w:t>
      </w:r>
      <w:r w:rsidRPr="00EE73F8">
        <w:rPr>
          <w:lang w:val="es-CL"/>
        </w:rPr>
        <w:t xml:space="preserve">., </w:t>
      </w:r>
      <w:r w:rsidRPr="00EE73F8">
        <w:rPr>
          <w:i/>
          <w:lang w:val="es-CL"/>
        </w:rPr>
        <w:t>supra</w:t>
      </w:r>
      <w:r w:rsidRPr="00EE73F8">
        <w:rPr>
          <w:lang w:val="es-CL"/>
        </w:rPr>
        <w:t xml:space="preserve"> note</w:t>
      </w:r>
      <w:r w:rsidR="00D9756D">
        <w:rPr>
          <w:lang w:val="es-CL"/>
        </w:rPr>
        <w:t xml:space="preserve"> 62</w:t>
      </w:r>
      <w:r w:rsidRPr="00EE73F8">
        <w:rPr>
          <w:lang w:val="es-CL"/>
        </w:rPr>
        <w:t xml:space="preserve"> </w:t>
      </w:r>
      <w:r w:rsidR="00D9756D">
        <w:rPr>
          <w:lang w:val="es-CL"/>
        </w:rPr>
        <w:t xml:space="preserve">at </w:t>
      </w:r>
      <w:r w:rsidRPr="00EE73F8">
        <w:rPr>
          <w:lang w:val="es-CL"/>
        </w:rPr>
        <w:t>para. 19.</w:t>
      </w:r>
    </w:p>
  </w:footnote>
  <w:footnote w:id="65">
    <w:p w14:paraId="46E61233" w14:textId="0C8BCC2B" w:rsidR="007629E2" w:rsidRPr="00EE73F8" w:rsidRDefault="007629E2" w:rsidP="002078BE">
      <w:pPr>
        <w:pStyle w:val="Notedebasdepage"/>
        <w:rPr>
          <w:lang w:val="es-CL"/>
        </w:rPr>
      </w:pPr>
      <w:r>
        <w:rPr>
          <w:rStyle w:val="Appelnotedebasdep"/>
        </w:rPr>
        <w:footnoteRef/>
      </w:r>
      <w:r w:rsidRPr="00EE73F8">
        <w:rPr>
          <w:lang w:val="es-CL"/>
        </w:rPr>
        <w:t xml:space="preserve"> </w:t>
      </w:r>
      <w:r w:rsidRPr="00EE73F8">
        <w:rPr>
          <w:lang w:val="es-CL"/>
        </w:rPr>
        <w:tab/>
      </w:r>
      <w:r w:rsidRPr="00EE73F8">
        <w:rPr>
          <w:i/>
          <w:lang w:val="es-CL"/>
        </w:rPr>
        <w:t>Euro-Excellence Inc. v. Kraft Canada Inc</w:t>
      </w:r>
      <w:r w:rsidRPr="00EE73F8">
        <w:rPr>
          <w:lang w:val="es-CL"/>
        </w:rPr>
        <w:t xml:space="preserve">., </w:t>
      </w:r>
      <w:r w:rsidRPr="00EE73F8">
        <w:rPr>
          <w:i/>
          <w:lang w:val="es-CL"/>
        </w:rPr>
        <w:t>supra</w:t>
      </w:r>
      <w:r w:rsidRPr="00EE73F8">
        <w:rPr>
          <w:lang w:val="es-CL"/>
        </w:rPr>
        <w:t xml:space="preserve"> note</w:t>
      </w:r>
      <w:r w:rsidR="00D9756D">
        <w:rPr>
          <w:lang w:val="es-CL"/>
        </w:rPr>
        <w:t xml:space="preserve"> 42</w:t>
      </w:r>
      <w:r w:rsidRPr="00EE73F8">
        <w:rPr>
          <w:lang w:val="es-CL"/>
        </w:rPr>
        <w:t xml:space="preserve"> </w:t>
      </w:r>
      <w:r w:rsidR="00D9756D">
        <w:rPr>
          <w:lang w:val="es-CL"/>
        </w:rPr>
        <w:t xml:space="preserve">at </w:t>
      </w:r>
      <w:r w:rsidRPr="00EE73F8">
        <w:rPr>
          <w:lang w:val="es-CL"/>
        </w:rPr>
        <w:t>para. 31.</w:t>
      </w:r>
    </w:p>
  </w:footnote>
  <w:footnote w:id="66">
    <w:p w14:paraId="5F267879" w14:textId="763EA305" w:rsidR="007629E2" w:rsidRPr="000741B6" w:rsidRDefault="007629E2" w:rsidP="002078BE">
      <w:pPr>
        <w:pStyle w:val="Notedebasdepage"/>
        <w:rPr>
          <w:lang w:val="es-CL"/>
        </w:rPr>
      </w:pPr>
      <w:r>
        <w:rPr>
          <w:rStyle w:val="Appelnotedebasdep"/>
        </w:rPr>
        <w:footnoteRef/>
      </w:r>
      <w:r w:rsidRPr="000741B6">
        <w:rPr>
          <w:lang w:val="es-CL"/>
        </w:rPr>
        <w:t xml:space="preserve"> </w:t>
      </w:r>
      <w:r w:rsidRPr="000741B6">
        <w:rPr>
          <w:lang w:val="es-CL"/>
        </w:rPr>
        <w:tab/>
        <w:t xml:space="preserve">Gilker, </w:t>
      </w:r>
      <w:r w:rsidRPr="000741B6">
        <w:rPr>
          <w:i/>
          <w:lang w:val="es-CL"/>
        </w:rPr>
        <w:t>supra</w:t>
      </w:r>
      <w:r w:rsidRPr="000741B6">
        <w:rPr>
          <w:lang w:val="es-CL"/>
        </w:rPr>
        <w:t xml:space="preserve"> note</w:t>
      </w:r>
      <w:r w:rsidR="00D9756D" w:rsidRPr="000741B6">
        <w:rPr>
          <w:lang w:val="es-CL"/>
        </w:rPr>
        <w:t xml:space="preserve"> 41</w:t>
      </w:r>
      <w:r w:rsidRPr="000741B6">
        <w:rPr>
          <w:lang w:val="es-CL"/>
        </w:rPr>
        <w:t xml:space="preserve"> </w:t>
      </w:r>
      <w:r w:rsidR="00D9756D" w:rsidRPr="000741B6">
        <w:rPr>
          <w:lang w:val="es-CL"/>
        </w:rPr>
        <w:t xml:space="preserve">at </w:t>
      </w:r>
      <w:r w:rsidRPr="000741B6">
        <w:rPr>
          <w:lang w:val="es-CL"/>
        </w:rPr>
        <w:t>71.</w:t>
      </w:r>
    </w:p>
  </w:footnote>
  <w:footnote w:id="67">
    <w:p w14:paraId="1D380B72" w14:textId="53DA2FA8" w:rsidR="007629E2" w:rsidRPr="00EE73F8" w:rsidRDefault="007629E2" w:rsidP="002D6B08">
      <w:pPr>
        <w:pStyle w:val="Notedebasdepage"/>
        <w:rPr>
          <w:lang w:val="es-CL"/>
        </w:rPr>
      </w:pPr>
      <w:r>
        <w:rPr>
          <w:rStyle w:val="Appelnotedebasdep"/>
        </w:rPr>
        <w:footnoteRef/>
      </w:r>
      <w:r w:rsidRPr="00EE73F8">
        <w:rPr>
          <w:lang w:val="es-CL"/>
        </w:rPr>
        <w:t xml:space="preserve"> </w:t>
      </w:r>
      <w:r w:rsidRPr="00EE73F8">
        <w:rPr>
          <w:lang w:val="es-CL"/>
        </w:rPr>
        <w:tab/>
      </w:r>
      <w:r w:rsidRPr="00EE73F8">
        <w:rPr>
          <w:i/>
          <w:lang w:val="es-CL"/>
        </w:rPr>
        <w:t>Euro-Excellence Inc. v. Kraft Canada Inc</w:t>
      </w:r>
      <w:r w:rsidRPr="00EE73F8">
        <w:rPr>
          <w:lang w:val="es-CL"/>
        </w:rPr>
        <w:t xml:space="preserve">., </w:t>
      </w:r>
      <w:r w:rsidRPr="00EE73F8">
        <w:rPr>
          <w:i/>
          <w:lang w:val="es-CL"/>
        </w:rPr>
        <w:t>supra</w:t>
      </w:r>
      <w:r w:rsidRPr="00EE73F8">
        <w:rPr>
          <w:lang w:val="es-CL"/>
        </w:rPr>
        <w:t xml:space="preserve"> note</w:t>
      </w:r>
      <w:r w:rsidR="00D9756D">
        <w:rPr>
          <w:lang w:val="es-CL"/>
        </w:rPr>
        <w:t xml:space="preserve"> 42</w:t>
      </w:r>
      <w:r w:rsidRPr="00EE73F8">
        <w:rPr>
          <w:lang w:val="es-CL"/>
        </w:rPr>
        <w:t xml:space="preserve"> </w:t>
      </w:r>
      <w:r w:rsidR="00D9756D">
        <w:rPr>
          <w:lang w:val="es-CL"/>
        </w:rPr>
        <w:t xml:space="preserve">at </w:t>
      </w:r>
      <w:r w:rsidRPr="00EE73F8">
        <w:rPr>
          <w:lang w:val="es-CL"/>
        </w:rPr>
        <w:t>para. 28.</w:t>
      </w:r>
    </w:p>
  </w:footnote>
  <w:footnote w:id="68">
    <w:p w14:paraId="2F5E159E" w14:textId="5599BD82" w:rsidR="007629E2" w:rsidRPr="000E2D2A" w:rsidRDefault="007629E2" w:rsidP="00634D8F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C554B2">
        <w:rPr>
          <w:lang w:val="es-CL"/>
        </w:rPr>
        <w:t xml:space="preserve"> </w:t>
      </w:r>
      <w:r w:rsidRPr="00C554B2">
        <w:rPr>
          <w:lang w:val="es-CL"/>
        </w:rPr>
        <w:tab/>
      </w:r>
      <w:r w:rsidRPr="00C554B2">
        <w:rPr>
          <w:i/>
          <w:lang w:val="es-CL"/>
        </w:rPr>
        <w:t>Robertson v. Thomson Corp.,</w:t>
      </w:r>
      <w:r w:rsidRPr="00C554B2">
        <w:rPr>
          <w:lang w:val="es-CL"/>
        </w:rPr>
        <w:t xml:space="preserve"> </w:t>
      </w:r>
      <w:r w:rsidRPr="00C554B2">
        <w:rPr>
          <w:i/>
          <w:lang w:val="es-CL"/>
        </w:rPr>
        <w:t>supra</w:t>
      </w:r>
      <w:r w:rsidR="00AE7360" w:rsidRPr="00C554B2">
        <w:rPr>
          <w:lang w:val="es-CL"/>
        </w:rPr>
        <w:t xml:space="preserve"> </w:t>
      </w:r>
      <w:r w:rsidRPr="00C554B2">
        <w:rPr>
          <w:lang w:val="es-CL"/>
        </w:rPr>
        <w:t>note</w:t>
      </w:r>
      <w:r w:rsidR="00D9756D" w:rsidRPr="00C554B2">
        <w:rPr>
          <w:lang w:val="es-CL"/>
        </w:rPr>
        <w:t xml:space="preserve"> 61</w:t>
      </w:r>
      <w:r w:rsidRPr="00C554B2">
        <w:rPr>
          <w:lang w:val="es-CL"/>
        </w:rPr>
        <w:t xml:space="preserve"> </w:t>
      </w:r>
      <w:r w:rsidR="00D9756D" w:rsidRPr="00C554B2">
        <w:rPr>
          <w:lang w:val="es-CL"/>
        </w:rPr>
        <w:t xml:space="preserve">at </w:t>
      </w:r>
      <w:r w:rsidRPr="00C554B2">
        <w:rPr>
          <w:lang w:val="es-CL"/>
        </w:rPr>
        <w:t xml:space="preserve">para. </w:t>
      </w:r>
      <w:r w:rsidRPr="000E2D2A">
        <w:t xml:space="preserve">56; Normand Tamaro, </w:t>
      </w:r>
      <w:r w:rsidRPr="000E2D2A">
        <w:rPr>
          <w:i/>
        </w:rPr>
        <w:t>Loi sur le droit d’auteur, texte annoté</w:t>
      </w:r>
      <w:r w:rsidRPr="000E2D2A">
        <w:t xml:space="preserve">, 11th ed. </w:t>
      </w:r>
      <w:r w:rsidR="00194280" w:rsidRPr="000E2D2A">
        <w:rPr>
          <w:lang w:val="en-CA"/>
        </w:rPr>
        <w:t>(</w:t>
      </w:r>
      <w:r w:rsidRPr="000E2D2A">
        <w:rPr>
          <w:lang w:val="en-CA"/>
        </w:rPr>
        <w:t>Toronto</w:t>
      </w:r>
      <w:r w:rsidR="00AE7360">
        <w:rPr>
          <w:lang w:val="en-CA"/>
        </w:rPr>
        <w:t>:</w:t>
      </w:r>
      <w:r w:rsidRPr="000E2D2A">
        <w:rPr>
          <w:lang w:val="en-CA"/>
        </w:rPr>
        <w:t xml:space="preserve"> Thomson Reuters, 2019</w:t>
      </w:r>
      <w:r w:rsidR="00194280" w:rsidRPr="000E2D2A">
        <w:rPr>
          <w:lang w:val="en-CA"/>
        </w:rPr>
        <w:t>)</w:t>
      </w:r>
      <w:r w:rsidRPr="000E2D2A">
        <w:rPr>
          <w:lang w:val="en-CA"/>
        </w:rPr>
        <w:t> </w:t>
      </w:r>
      <w:r w:rsidR="00194280" w:rsidRPr="000E2D2A">
        <w:rPr>
          <w:lang w:val="en-CA"/>
        </w:rPr>
        <w:t xml:space="preserve">at </w:t>
      </w:r>
      <w:r w:rsidRPr="000E2D2A">
        <w:rPr>
          <w:lang w:val="en-CA"/>
        </w:rPr>
        <w:t xml:space="preserve">524; Gregory Hagen </w:t>
      </w:r>
      <w:r w:rsidRPr="000E2D2A">
        <w:rPr>
          <w:i/>
          <w:lang w:val="en-CA"/>
        </w:rPr>
        <w:t>et al</w:t>
      </w:r>
      <w:r w:rsidRPr="000E2D2A">
        <w:rPr>
          <w:lang w:val="en-CA"/>
        </w:rPr>
        <w:t xml:space="preserve">., </w:t>
      </w:r>
      <w:r w:rsidRPr="000E2D2A">
        <w:rPr>
          <w:i/>
          <w:lang w:val="en-CA"/>
        </w:rPr>
        <w:t xml:space="preserve">Canadian </w:t>
      </w:r>
      <w:r w:rsidR="00A8733C">
        <w:rPr>
          <w:i/>
          <w:lang w:val="en-CA"/>
        </w:rPr>
        <w:t>I</w:t>
      </w:r>
      <w:r w:rsidRPr="000E2D2A">
        <w:rPr>
          <w:i/>
          <w:lang w:val="en-CA"/>
        </w:rPr>
        <w:t xml:space="preserve">ntellectual </w:t>
      </w:r>
      <w:r w:rsidR="00A8733C">
        <w:rPr>
          <w:i/>
          <w:lang w:val="en-CA"/>
        </w:rPr>
        <w:t>P</w:t>
      </w:r>
      <w:r w:rsidRPr="000E2D2A">
        <w:rPr>
          <w:i/>
          <w:lang w:val="en-CA"/>
        </w:rPr>
        <w:t xml:space="preserve">roperty </w:t>
      </w:r>
      <w:r w:rsidR="00A8733C">
        <w:rPr>
          <w:i/>
          <w:lang w:val="en-CA"/>
        </w:rPr>
        <w:t>L</w:t>
      </w:r>
      <w:r w:rsidRPr="000E2D2A">
        <w:rPr>
          <w:i/>
          <w:lang w:val="en-CA"/>
        </w:rPr>
        <w:t xml:space="preserve">aw: </w:t>
      </w:r>
      <w:r w:rsidR="00A8733C">
        <w:rPr>
          <w:i/>
          <w:lang w:val="en-CA"/>
        </w:rPr>
        <w:t>C</w:t>
      </w:r>
      <w:r w:rsidRPr="000E2D2A">
        <w:rPr>
          <w:i/>
          <w:lang w:val="en-CA"/>
        </w:rPr>
        <w:t xml:space="preserve">ases and </w:t>
      </w:r>
      <w:r w:rsidR="00A8733C">
        <w:rPr>
          <w:i/>
          <w:lang w:val="en-CA"/>
        </w:rPr>
        <w:t>M</w:t>
      </w:r>
      <w:r w:rsidRPr="000E2D2A">
        <w:rPr>
          <w:i/>
          <w:lang w:val="en-CA"/>
        </w:rPr>
        <w:t>aterials</w:t>
      </w:r>
      <w:r w:rsidRPr="000E2D2A">
        <w:rPr>
          <w:lang w:val="en-CA"/>
        </w:rPr>
        <w:t xml:space="preserve">, 2nd ed. </w:t>
      </w:r>
      <w:r w:rsidR="00194280" w:rsidRPr="000E2D2A">
        <w:rPr>
          <w:lang w:val="en-CA"/>
        </w:rPr>
        <w:t>(</w:t>
      </w:r>
      <w:r w:rsidRPr="000E2D2A">
        <w:rPr>
          <w:lang w:val="en-CA"/>
        </w:rPr>
        <w:t>Toronto</w:t>
      </w:r>
      <w:r w:rsidR="00AE7360">
        <w:rPr>
          <w:lang w:val="en-CA"/>
        </w:rPr>
        <w:t>:</w:t>
      </w:r>
      <w:r w:rsidRPr="000E2D2A">
        <w:rPr>
          <w:lang w:val="en-CA"/>
        </w:rPr>
        <w:t xml:space="preserve"> Emond Montgomery, 2018</w:t>
      </w:r>
      <w:r w:rsidR="00194280" w:rsidRPr="000E2D2A">
        <w:rPr>
          <w:lang w:val="en-CA"/>
        </w:rPr>
        <w:t>)</w:t>
      </w:r>
      <w:r w:rsidRPr="000E2D2A">
        <w:rPr>
          <w:lang w:val="en-CA"/>
        </w:rPr>
        <w:t xml:space="preserve"> </w:t>
      </w:r>
      <w:r w:rsidR="00194280" w:rsidRPr="000E2D2A">
        <w:rPr>
          <w:lang w:val="en-CA"/>
        </w:rPr>
        <w:t xml:space="preserve">at </w:t>
      </w:r>
      <w:r w:rsidRPr="000E2D2A">
        <w:rPr>
          <w:lang w:val="en-CA"/>
        </w:rPr>
        <w:t>147.</w:t>
      </w:r>
    </w:p>
  </w:footnote>
  <w:footnote w:id="69">
    <w:p w14:paraId="6067933F" w14:textId="149B321B" w:rsidR="007629E2" w:rsidRPr="000E2D2A" w:rsidRDefault="007629E2" w:rsidP="002D6B08">
      <w:pPr>
        <w:pStyle w:val="Notedebasdepage"/>
        <w:rPr>
          <w:lang w:val="es-CL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Netupsky et al. v. Dominion Bridge Co. Ltd.,</w:t>
      </w:r>
      <w:r w:rsidRPr="000E2D2A">
        <w:rPr>
          <w:lang w:val="en-CA"/>
        </w:rPr>
        <w:t xml:space="preserve"> [1972] SCR 368 </w:t>
      </w:r>
      <w:r w:rsidR="00D9756D" w:rsidRPr="000E2D2A">
        <w:rPr>
          <w:lang w:val="en-CA"/>
        </w:rPr>
        <w:t xml:space="preserve">at </w:t>
      </w:r>
      <w:r w:rsidRPr="000E2D2A">
        <w:rPr>
          <w:lang w:val="en-CA"/>
        </w:rPr>
        <w:t>para</w:t>
      </w:r>
      <w:r w:rsidR="00D9756D" w:rsidRPr="000E2D2A">
        <w:rPr>
          <w:lang w:val="en-CA"/>
        </w:rPr>
        <w:t>s</w:t>
      </w:r>
      <w:r w:rsidRPr="000E2D2A">
        <w:rPr>
          <w:lang w:val="en-CA"/>
        </w:rPr>
        <w:t xml:space="preserve">. </w:t>
      </w:r>
      <w:r w:rsidRPr="00EE73F8">
        <w:rPr>
          <w:lang w:val="es-CL"/>
        </w:rPr>
        <w:t>378</w:t>
      </w:r>
      <w:r w:rsidR="00D9756D">
        <w:rPr>
          <w:lang w:val="es-CL"/>
        </w:rPr>
        <w:t>–</w:t>
      </w:r>
      <w:r w:rsidRPr="00EE73F8">
        <w:rPr>
          <w:lang w:val="es-CL"/>
        </w:rPr>
        <w:t xml:space="preserve">379; </w:t>
      </w:r>
      <w:r w:rsidRPr="00EE73F8">
        <w:rPr>
          <w:i/>
          <w:lang w:val="es-CL"/>
        </w:rPr>
        <w:t xml:space="preserve">Tremblay v. Orio Canada </w:t>
      </w:r>
      <w:r w:rsidR="00D9756D">
        <w:rPr>
          <w:i/>
          <w:lang w:val="es-CL"/>
        </w:rPr>
        <w:t>I</w:t>
      </w:r>
      <w:r w:rsidRPr="00EE73F8">
        <w:rPr>
          <w:i/>
          <w:lang w:val="es-CL"/>
        </w:rPr>
        <w:t>nc</w:t>
      </w:r>
      <w:r w:rsidRPr="00EE73F8">
        <w:rPr>
          <w:lang w:val="es-CL"/>
        </w:rPr>
        <w:t xml:space="preserve">., </w:t>
      </w:r>
      <w:r w:rsidRPr="00EE73F8">
        <w:rPr>
          <w:i/>
          <w:lang w:val="es-CL"/>
        </w:rPr>
        <w:t>supra</w:t>
      </w:r>
      <w:r w:rsidRPr="00EE73F8">
        <w:rPr>
          <w:lang w:val="es-CL"/>
        </w:rPr>
        <w:t xml:space="preserve"> note</w:t>
      </w:r>
      <w:r w:rsidR="00D9756D">
        <w:rPr>
          <w:lang w:val="es-CL"/>
        </w:rPr>
        <w:t xml:space="preserve"> 62</w:t>
      </w:r>
      <w:r w:rsidRPr="00EE73F8">
        <w:rPr>
          <w:lang w:val="es-CL"/>
        </w:rPr>
        <w:t xml:space="preserve"> </w:t>
      </w:r>
      <w:r w:rsidR="00D9756D">
        <w:rPr>
          <w:lang w:val="es-CL"/>
        </w:rPr>
        <w:t xml:space="preserve">at </w:t>
      </w:r>
      <w:r w:rsidRPr="00EE73F8">
        <w:rPr>
          <w:lang w:val="es-CL"/>
        </w:rPr>
        <w:t xml:space="preserve">para. </w:t>
      </w:r>
      <w:r w:rsidRPr="000E2D2A">
        <w:rPr>
          <w:lang w:val="es-CL"/>
        </w:rPr>
        <w:t xml:space="preserve">25; Aubin, </w:t>
      </w:r>
      <w:r w:rsidRPr="000E2D2A">
        <w:rPr>
          <w:i/>
          <w:lang w:val="es-CL"/>
        </w:rPr>
        <w:t>supra</w:t>
      </w:r>
      <w:r w:rsidRPr="000E2D2A">
        <w:rPr>
          <w:lang w:val="es-CL"/>
        </w:rPr>
        <w:t xml:space="preserve"> note</w:t>
      </w:r>
      <w:r w:rsidR="00D9756D" w:rsidRPr="000E2D2A">
        <w:rPr>
          <w:lang w:val="es-CL"/>
        </w:rPr>
        <w:t xml:space="preserve"> </w:t>
      </w:r>
      <w:r w:rsidR="00D9756D">
        <w:rPr>
          <w:lang w:val="es-CL"/>
        </w:rPr>
        <w:t>41</w:t>
      </w:r>
      <w:r w:rsidRPr="000E2D2A">
        <w:rPr>
          <w:lang w:val="es-CL"/>
        </w:rPr>
        <w:t>.</w:t>
      </w:r>
    </w:p>
  </w:footnote>
  <w:footnote w:id="70">
    <w:p w14:paraId="34995FC6" w14:textId="4A83E201" w:rsidR="007629E2" w:rsidRPr="0087137F" w:rsidRDefault="007629E2" w:rsidP="00634D8F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E5593B">
        <w:rPr>
          <w:lang w:val="en-US"/>
        </w:rPr>
        <w:t xml:space="preserve"> </w:t>
      </w:r>
      <w:r w:rsidRPr="00E5593B">
        <w:rPr>
          <w:lang w:val="en-US"/>
        </w:rPr>
        <w:tab/>
        <w:t>“Implied licence” and “non-exclusive licence</w:t>
      </w:r>
      <w:r>
        <w:rPr>
          <w:lang w:val="en-US"/>
        </w:rPr>
        <w:t>”</w:t>
      </w:r>
      <w:r w:rsidRPr="00E5593B">
        <w:rPr>
          <w:lang w:val="en-US"/>
        </w:rPr>
        <w:t xml:space="preserve"> are often wrongly considered interchangeable expressions, since the consent giving rise to the non-exclusive licence can be implicit. </w:t>
      </w:r>
      <w:r w:rsidRPr="007629E2">
        <w:rPr>
          <w:lang w:val="en-US"/>
        </w:rPr>
        <w:t xml:space="preserve">However, an implied licence, as described by the Supreme Court </w:t>
      </w:r>
      <w:r>
        <w:rPr>
          <w:lang w:val="en-CA"/>
        </w:rPr>
        <w:t xml:space="preserve">in </w:t>
      </w:r>
      <w:r>
        <w:rPr>
          <w:i/>
          <w:lang w:val="en-CA"/>
        </w:rPr>
        <w:t>Netupsky et al. v</w:t>
      </w:r>
      <w:r w:rsidRPr="0087137F">
        <w:rPr>
          <w:i/>
          <w:lang w:val="en-CA"/>
        </w:rPr>
        <w:t>. Dominion Bridge Co. Ltd.,</w:t>
      </w:r>
      <w:r w:rsidRPr="0087137F">
        <w:rPr>
          <w:lang w:val="en-CA"/>
        </w:rPr>
        <w:t xml:space="preserve"> </w:t>
      </w:r>
      <w:r w:rsidRPr="0087137F">
        <w:rPr>
          <w:i/>
          <w:lang w:val="en-CA"/>
        </w:rPr>
        <w:t>supra</w:t>
      </w:r>
      <w:r w:rsidRPr="0087137F">
        <w:rPr>
          <w:lang w:val="en-CA"/>
        </w:rPr>
        <w:t xml:space="preserve"> note</w:t>
      </w:r>
      <w:r w:rsidR="00D9756D">
        <w:rPr>
          <w:lang w:val="en-CA"/>
        </w:rPr>
        <w:t xml:space="preserve"> 69</w:t>
      </w:r>
      <w:r w:rsidRPr="0087137F">
        <w:rPr>
          <w:lang w:val="en-CA"/>
        </w:rPr>
        <w:t xml:space="preserve">, </w:t>
      </w:r>
      <w:r>
        <w:rPr>
          <w:lang w:val="en-CA"/>
        </w:rPr>
        <w:t xml:space="preserve">refers </w:t>
      </w:r>
      <w:r w:rsidR="00D9756D">
        <w:rPr>
          <w:lang w:val="en-CA"/>
        </w:rPr>
        <w:t xml:space="preserve">instead </w:t>
      </w:r>
      <w:r>
        <w:rPr>
          <w:lang w:val="en-CA"/>
        </w:rPr>
        <w:t xml:space="preserve">to terms that are not explicitly covered by an assignment or </w:t>
      </w:r>
      <w:r w:rsidR="0026233D">
        <w:rPr>
          <w:lang w:val="en-CA"/>
        </w:rPr>
        <w:t>a grant</w:t>
      </w:r>
      <w:r w:rsidR="00A8733C">
        <w:rPr>
          <w:lang w:val="en-CA"/>
        </w:rPr>
        <w:t xml:space="preserve"> of</w:t>
      </w:r>
      <w:r w:rsidR="0026233D">
        <w:rPr>
          <w:lang w:val="en-CA"/>
        </w:rPr>
        <w:t xml:space="preserve"> </w:t>
      </w:r>
      <w:r>
        <w:rPr>
          <w:lang w:val="en-CA"/>
        </w:rPr>
        <w:t xml:space="preserve">licence, but are </w:t>
      </w:r>
      <w:r w:rsidR="0026233D">
        <w:rPr>
          <w:lang w:val="en-CA"/>
        </w:rPr>
        <w:t>implicitly</w:t>
      </w:r>
      <w:r>
        <w:rPr>
          <w:lang w:val="en-CA"/>
        </w:rPr>
        <w:t xml:space="preserve"> </w:t>
      </w:r>
      <w:r w:rsidR="0026233D">
        <w:rPr>
          <w:lang w:val="en-CA"/>
        </w:rPr>
        <w:t>authorized</w:t>
      </w:r>
      <w:r>
        <w:rPr>
          <w:lang w:val="en-CA"/>
        </w:rPr>
        <w:t>.</w:t>
      </w:r>
    </w:p>
  </w:footnote>
  <w:footnote w:id="71">
    <w:p w14:paraId="7C9F46CE" w14:textId="2052692A" w:rsidR="007629E2" w:rsidRPr="000E2D2A" w:rsidRDefault="007629E2" w:rsidP="002D6B08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Euro-Excellence Inc. v. Kraft Canada Inc</w:t>
      </w:r>
      <w:r w:rsidRPr="000E2D2A">
        <w:rPr>
          <w:lang w:val="en-CA"/>
        </w:rPr>
        <w:t xml:space="preserve">.,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26233D" w:rsidRPr="000E2D2A">
        <w:rPr>
          <w:lang w:val="en-CA"/>
        </w:rPr>
        <w:t xml:space="preserve"> 42</w:t>
      </w:r>
      <w:r w:rsidRPr="000E2D2A">
        <w:rPr>
          <w:lang w:val="en-CA"/>
        </w:rPr>
        <w:t xml:space="preserve"> </w:t>
      </w:r>
      <w:r w:rsidR="0026233D" w:rsidRPr="000E2D2A">
        <w:rPr>
          <w:lang w:val="en-CA"/>
        </w:rPr>
        <w:t xml:space="preserve">at </w:t>
      </w:r>
      <w:r w:rsidRPr="000E2D2A">
        <w:rPr>
          <w:lang w:val="en-CA"/>
        </w:rPr>
        <w:t>para. 29.</w:t>
      </w:r>
    </w:p>
  </w:footnote>
  <w:footnote w:id="72">
    <w:p w14:paraId="08CB8A60" w14:textId="1499296E" w:rsidR="007629E2" w:rsidRPr="000E2D2A" w:rsidRDefault="007629E2" w:rsidP="002D6B08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I</w:t>
      </w:r>
      <w:r w:rsidR="0026233D" w:rsidRPr="000E2D2A">
        <w:rPr>
          <w:i/>
          <w:lang w:val="en-CA"/>
        </w:rPr>
        <w:t>bi</w:t>
      </w:r>
      <w:r w:rsidRPr="000E2D2A">
        <w:rPr>
          <w:i/>
          <w:lang w:val="en-CA"/>
        </w:rPr>
        <w:t>d.</w:t>
      </w:r>
      <w:r w:rsidRPr="000E2D2A">
        <w:rPr>
          <w:lang w:val="en-CA"/>
        </w:rPr>
        <w:t xml:space="preserve"> </w:t>
      </w:r>
      <w:r w:rsidR="0026233D" w:rsidRPr="000E2D2A">
        <w:rPr>
          <w:lang w:val="en-CA"/>
        </w:rPr>
        <w:t xml:space="preserve">at </w:t>
      </w:r>
      <w:r w:rsidRPr="000E2D2A">
        <w:rPr>
          <w:lang w:val="en-CA"/>
        </w:rPr>
        <w:t>para. 37.</w:t>
      </w:r>
    </w:p>
  </w:footnote>
  <w:footnote w:id="73">
    <w:p w14:paraId="0DC9150B" w14:textId="6983F6F0" w:rsidR="007629E2" w:rsidRPr="000E2D2A" w:rsidRDefault="007629E2" w:rsidP="00634D8F">
      <w:pPr>
        <w:pStyle w:val="Notedebasdepage"/>
        <w:rPr>
          <w:lang w:val="en-CA"/>
        </w:rPr>
      </w:pPr>
      <w:r w:rsidRPr="003B53F0"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Uniprix inc. v. Gestion Gosselin et Bérubé inc</w:t>
      </w:r>
      <w:r w:rsidRPr="000E2D2A">
        <w:rPr>
          <w:lang w:val="en-CA"/>
        </w:rPr>
        <w:t xml:space="preserve">.,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26233D" w:rsidRPr="000E2D2A">
        <w:rPr>
          <w:lang w:val="en-CA"/>
        </w:rPr>
        <w:t xml:space="preserve"> 29</w:t>
      </w:r>
      <w:r w:rsidRPr="000E2D2A">
        <w:rPr>
          <w:lang w:val="en-CA"/>
        </w:rPr>
        <w:t xml:space="preserve"> </w:t>
      </w:r>
      <w:r w:rsidR="0026233D" w:rsidRPr="000E2D2A">
        <w:rPr>
          <w:lang w:val="en-CA"/>
        </w:rPr>
        <w:t xml:space="preserve">at </w:t>
      </w:r>
      <w:r w:rsidRPr="000E2D2A">
        <w:rPr>
          <w:lang w:val="en-CA"/>
        </w:rPr>
        <w:t>para</w:t>
      </w:r>
      <w:r w:rsidR="0026233D" w:rsidRPr="000E2D2A">
        <w:rPr>
          <w:lang w:val="en-CA"/>
        </w:rPr>
        <w:t>s</w:t>
      </w:r>
      <w:r w:rsidRPr="000E2D2A">
        <w:rPr>
          <w:lang w:val="en-CA"/>
        </w:rPr>
        <w:t>. 38</w:t>
      </w:r>
      <w:r w:rsidR="0026233D" w:rsidRPr="000E2D2A">
        <w:rPr>
          <w:lang w:val="en-CA"/>
        </w:rPr>
        <w:t>–</w:t>
      </w:r>
      <w:r w:rsidRPr="000E2D2A">
        <w:rPr>
          <w:lang w:val="en-CA"/>
        </w:rPr>
        <w:t>39.</w:t>
      </w:r>
    </w:p>
  </w:footnote>
  <w:footnote w:id="74">
    <w:p w14:paraId="5C99D7F8" w14:textId="06A5517F" w:rsidR="007629E2" w:rsidRPr="000E2D2A" w:rsidRDefault="007629E2" w:rsidP="00F569A6">
      <w:pPr>
        <w:pStyle w:val="Notedebasdepage"/>
        <w:rPr>
          <w:lang w:val="en-CA"/>
        </w:rPr>
      </w:pPr>
      <w:r w:rsidRPr="003B53F0"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I</w:t>
      </w:r>
      <w:r w:rsidR="0026233D" w:rsidRPr="000E2D2A">
        <w:rPr>
          <w:i/>
          <w:lang w:val="en-CA"/>
        </w:rPr>
        <w:t>bi</w:t>
      </w:r>
      <w:r w:rsidRPr="000E2D2A">
        <w:rPr>
          <w:i/>
          <w:lang w:val="en-CA"/>
        </w:rPr>
        <w:t>d.</w:t>
      </w:r>
      <w:r w:rsidRPr="000E2D2A">
        <w:rPr>
          <w:lang w:val="en-CA"/>
        </w:rPr>
        <w:t xml:space="preserve"> </w:t>
      </w:r>
      <w:r w:rsidR="0026233D" w:rsidRPr="000E2D2A">
        <w:rPr>
          <w:lang w:val="en-CA"/>
        </w:rPr>
        <w:t xml:space="preserve">at </w:t>
      </w:r>
      <w:r w:rsidRPr="000E2D2A">
        <w:rPr>
          <w:lang w:val="en-CA"/>
        </w:rPr>
        <w:t>para. 34.</w:t>
      </w:r>
    </w:p>
  </w:footnote>
  <w:footnote w:id="75">
    <w:p w14:paraId="3C0613DB" w14:textId="722AB017" w:rsidR="007629E2" w:rsidRPr="003B53F0" w:rsidRDefault="007629E2" w:rsidP="00F569A6">
      <w:pPr>
        <w:pStyle w:val="Notedebasdepage"/>
      </w:pPr>
      <w:r w:rsidRPr="003B53F0"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  <w:t>See</w:t>
      </w:r>
      <w:r w:rsidR="003A33C1" w:rsidRPr="000E2D2A">
        <w:rPr>
          <w:lang w:val="en-CA"/>
        </w:rPr>
        <w:t xml:space="preserve"> e.g.</w:t>
      </w:r>
      <w:r w:rsidRPr="000E2D2A">
        <w:rPr>
          <w:lang w:val="en-CA"/>
        </w:rPr>
        <w:t xml:space="preserve">, </w:t>
      </w:r>
      <w:r w:rsidRPr="000E2D2A">
        <w:rPr>
          <w:i/>
          <w:lang w:val="en-CA"/>
        </w:rPr>
        <w:t xml:space="preserve">Northern Quebec Inuit Association </w:t>
      </w:r>
      <w:r w:rsidR="000A71AD" w:rsidRPr="000E2D2A">
        <w:rPr>
          <w:i/>
          <w:lang w:val="en-CA"/>
        </w:rPr>
        <w:t>c</w:t>
      </w:r>
      <w:r w:rsidRPr="000E2D2A">
        <w:rPr>
          <w:i/>
          <w:lang w:val="en-CA"/>
        </w:rPr>
        <w:t>. Chait</w:t>
      </w:r>
      <w:r w:rsidRPr="000E2D2A">
        <w:rPr>
          <w:lang w:val="en-CA"/>
        </w:rPr>
        <w:t xml:space="preserve">, [1984] R.D.J. 288, 1984 CanLII 2863 (C.A.); </w:t>
      </w:r>
      <w:r w:rsidRPr="000E2D2A">
        <w:rPr>
          <w:i/>
          <w:lang w:val="en-CA"/>
        </w:rPr>
        <w:t xml:space="preserve">Demers </w:t>
      </w:r>
      <w:r w:rsidR="000A71AD" w:rsidRPr="000E2D2A">
        <w:rPr>
          <w:i/>
          <w:lang w:val="en-CA"/>
        </w:rPr>
        <w:t>c</w:t>
      </w:r>
      <w:r w:rsidRPr="000E2D2A">
        <w:rPr>
          <w:i/>
          <w:lang w:val="en-CA"/>
        </w:rPr>
        <w:t>. Garnier</w:t>
      </w:r>
      <w:r w:rsidRPr="000E2D2A">
        <w:rPr>
          <w:lang w:val="en-CA"/>
        </w:rPr>
        <w:t xml:space="preserve">, [1970] J.Q. no 58 (C.A.); </w:t>
      </w:r>
      <w:r w:rsidRPr="000E2D2A">
        <w:rPr>
          <w:i/>
          <w:lang w:val="en-CA"/>
        </w:rPr>
        <w:t xml:space="preserve">Asselin </w:t>
      </w:r>
      <w:r w:rsidR="000A71AD" w:rsidRPr="000E2D2A">
        <w:rPr>
          <w:i/>
          <w:lang w:val="en-CA"/>
        </w:rPr>
        <w:t>c</w:t>
      </w:r>
      <w:r w:rsidRPr="000E2D2A">
        <w:rPr>
          <w:i/>
          <w:lang w:val="en-CA"/>
        </w:rPr>
        <w:t xml:space="preserve">. 9214-2462 Québec inc. </w:t>
      </w:r>
      <w:r w:rsidRPr="003B53F0">
        <w:rPr>
          <w:i/>
        </w:rPr>
        <w:t>(Asi Énergie),</w:t>
      </w:r>
      <w:r>
        <w:t xml:space="preserve"> 2016 QCCS 5289 </w:t>
      </w:r>
      <w:r w:rsidR="000A71AD">
        <w:t xml:space="preserve">at </w:t>
      </w:r>
      <w:r>
        <w:t>para</w:t>
      </w:r>
      <w:r w:rsidR="000A71AD">
        <w:t>s</w:t>
      </w:r>
      <w:r w:rsidRPr="003B53F0">
        <w:t>. 34</w:t>
      </w:r>
      <w:r w:rsidR="000A71AD">
        <w:t>–</w:t>
      </w:r>
      <w:r w:rsidRPr="003B53F0">
        <w:t xml:space="preserve">36; </w:t>
      </w:r>
      <w:r>
        <w:rPr>
          <w:i/>
        </w:rPr>
        <w:t xml:space="preserve">C. Ricci &amp; Fils Construction inc. </w:t>
      </w:r>
      <w:r w:rsidR="000A71AD">
        <w:rPr>
          <w:i/>
        </w:rPr>
        <w:t>c</w:t>
      </w:r>
      <w:r w:rsidRPr="003B53F0">
        <w:rPr>
          <w:i/>
        </w:rPr>
        <w:t>. Sta</w:t>
      </w:r>
      <w:r>
        <w:rPr>
          <w:i/>
        </w:rPr>
        <w:t>tion de services Nick et Frank l</w:t>
      </w:r>
      <w:r w:rsidRPr="003B53F0">
        <w:rPr>
          <w:i/>
        </w:rPr>
        <w:t>tée</w:t>
      </w:r>
      <w:r w:rsidRPr="003B53F0">
        <w:t>, [1996] R</w:t>
      </w:r>
      <w:r>
        <w:t>.L. 1, 1994 CanLII 10618</w:t>
      </w:r>
      <w:r w:rsidR="000A71AD">
        <w:t xml:space="preserve"> (QC CS)</w:t>
      </w:r>
      <w:r>
        <w:t xml:space="preserve"> </w:t>
      </w:r>
      <w:r w:rsidR="000A71AD">
        <w:t xml:space="preserve">at </w:t>
      </w:r>
      <w:r>
        <w:t>para</w:t>
      </w:r>
      <w:r w:rsidR="00844261">
        <w:t>s</w:t>
      </w:r>
      <w:r w:rsidRPr="003B53F0">
        <w:t>. 1</w:t>
      </w:r>
      <w:r w:rsidR="00844261">
        <w:t>–</w:t>
      </w:r>
      <w:r w:rsidRPr="003B53F0">
        <w:t xml:space="preserve">2 </w:t>
      </w:r>
      <w:r w:rsidR="00844261">
        <w:t>and</w:t>
      </w:r>
      <w:r w:rsidRPr="003B53F0">
        <w:t xml:space="preserve"> 14; </w:t>
      </w:r>
      <w:r>
        <w:rPr>
          <w:i/>
        </w:rPr>
        <w:t xml:space="preserve">Trépanier </w:t>
      </w:r>
      <w:r w:rsidR="000A71AD">
        <w:rPr>
          <w:i/>
        </w:rPr>
        <w:t>c</w:t>
      </w:r>
      <w:r w:rsidRPr="003B53F0">
        <w:rPr>
          <w:i/>
        </w:rPr>
        <w:t>. 9205-5862 Québec inc. (MCRB Con</w:t>
      </w:r>
      <w:r w:rsidR="00844261">
        <w:rPr>
          <w:i/>
        </w:rPr>
        <w:t>s</w:t>
      </w:r>
      <w:r w:rsidRPr="003B53F0">
        <w:rPr>
          <w:i/>
        </w:rPr>
        <w:t xml:space="preserve">truction), </w:t>
      </w:r>
      <w:r w:rsidRPr="003B53F0">
        <w:t xml:space="preserve">2016 QCCQ 4612 </w:t>
      </w:r>
      <w:r w:rsidR="000A71AD">
        <w:t xml:space="preserve">at </w:t>
      </w:r>
      <w:r w:rsidRPr="003B53F0">
        <w:t>par</w:t>
      </w:r>
      <w:r>
        <w:t>a</w:t>
      </w:r>
      <w:r w:rsidR="000A71AD">
        <w:t>s</w:t>
      </w:r>
      <w:r w:rsidRPr="003B53F0">
        <w:t>. 49</w:t>
      </w:r>
      <w:r w:rsidR="000A71AD">
        <w:t>–</w:t>
      </w:r>
      <w:r w:rsidRPr="003B53F0">
        <w:t xml:space="preserve">50; </w:t>
      </w:r>
      <w:r>
        <w:rPr>
          <w:i/>
        </w:rPr>
        <w:t xml:space="preserve">9017-2453 Québec inc. </w:t>
      </w:r>
      <w:r w:rsidR="000A71AD">
        <w:rPr>
          <w:i/>
        </w:rPr>
        <w:t>c</w:t>
      </w:r>
      <w:r w:rsidRPr="003B53F0">
        <w:rPr>
          <w:i/>
        </w:rPr>
        <w:t xml:space="preserve">. Gestion du maître inc., </w:t>
      </w:r>
      <w:r>
        <w:t xml:space="preserve">2013 QCCQ 4784 </w:t>
      </w:r>
      <w:r w:rsidR="000A71AD">
        <w:t xml:space="preserve">at </w:t>
      </w:r>
      <w:r>
        <w:t>para</w:t>
      </w:r>
      <w:r w:rsidR="000A71AD">
        <w:t>s</w:t>
      </w:r>
      <w:r>
        <w:t xml:space="preserve">. </w:t>
      </w:r>
      <w:r w:rsidRPr="000E2D2A">
        <w:rPr>
          <w:lang w:val="en-CA"/>
        </w:rPr>
        <w:t>50 and 57</w:t>
      </w:r>
      <w:r w:rsidR="000A71AD" w:rsidRPr="000E2D2A">
        <w:rPr>
          <w:lang w:val="en-CA"/>
        </w:rPr>
        <w:t>–</w:t>
      </w:r>
      <w:r w:rsidRPr="000E2D2A">
        <w:rPr>
          <w:lang w:val="en-CA"/>
        </w:rPr>
        <w:t xml:space="preserve">60; </w:t>
      </w:r>
      <w:r w:rsidRPr="000E2D2A">
        <w:rPr>
          <w:i/>
          <w:lang w:val="en-CA"/>
        </w:rPr>
        <w:t xml:space="preserve">8 PDC inc. </w:t>
      </w:r>
      <w:r w:rsidR="000A71AD">
        <w:rPr>
          <w:i/>
          <w:lang w:val="en-CA"/>
        </w:rPr>
        <w:t>c</w:t>
      </w:r>
      <w:r w:rsidRPr="000E2D2A">
        <w:rPr>
          <w:i/>
          <w:lang w:val="en-CA"/>
        </w:rPr>
        <w:t>. MBCO Nuns Island Inc.,</w:t>
      </w:r>
      <w:r w:rsidRPr="000E2D2A">
        <w:rPr>
          <w:lang w:val="en-CA"/>
        </w:rPr>
        <w:t xml:space="preserve"> 2009 QCCQ 4526 </w:t>
      </w:r>
      <w:r w:rsidR="000A71AD">
        <w:rPr>
          <w:lang w:val="en-CA"/>
        </w:rPr>
        <w:t xml:space="preserve">at </w:t>
      </w:r>
      <w:r w:rsidRPr="000E2D2A">
        <w:rPr>
          <w:lang w:val="en-CA"/>
        </w:rPr>
        <w:t>para</w:t>
      </w:r>
      <w:r w:rsidR="000A71AD">
        <w:rPr>
          <w:lang w:val="en-CA"/>
        </w:rPr>
        <w:t>s</w:t>
      </w:r>
      <w:r w:rsidRPr="000E2D2A">
        <w:rPr>
          <w:lang w:val="en-CA"/>
        </w:rPr>
        <w:t xml:space="preserve">. </w:t>
      </w:r>
      <w:r w:rsidRPr="003B53F0">
        <w:t>5</w:t>
      </w:r>
      <w:r w:rsidR="000A71AD">
        <w:rPr>
          <w:rFonts w:cs="Arial"/>
        </w:rPr>
        <w:t>–</w:t>
      </w:r>
      <w:r w:rsidRPr="003B53F0">
        <w:t>6</w:t>
      </w:r>
      <w:r>
        <w:rPr>
          <w:i/>
        </w:rPr>
        <w:t xml:space="preserve">; Dembri </w:t>
      </w:r>
      <w:r w:rsidR="000A71AD">
        <w:rPr>
          <w:i/>
        </w:rPr>
        <w:t>c</w:t>
      </w:r>
      <w:r w:rsidRPr="003B53F0">
        <w:rPr>
          <w:i/>
        </w:rPr>
        <w:t>. CSSS des Pays d'En-Haut</w:t>
      </w:r>
      <w:r>
        <w:t xml:space="preserve">, 2010 QCCQ 11277 </w:t>
      </w:r>
      <w:r w:rsidR="000A71AD">
        <w:t xml:space="preserve">at </w:t>
      </w:r>
      <w:r>
        <w:t>para</w:t>
      </w:r>
      <w:r w:rsidR="000A71AD">
        <w:t>s</w:t>
      </w:r>
      <w:r w:rsidRPr="003B53F0">
        <w:t>. 9</w:t>
      </w:r>
      <w:r w:rsidR="000A71AD">
        <w:t>–</w:t>
      </w:r>
      <w:r w:rsidRPr="003B53F0">
        <w:t xml:space="preserve">10; </w:t>
      </w:r>
      <w:r>
        <w:rPr>
          <w:i/>
        </w:rPr>
        <w:t>Max Shrier </w:t>
      </w:r>
      <w:r w:rsidRPr="003B53F0">
        <w:rPr>
          <w:i/>
        </w:rPr>
        <w:t>&amp; Associates Lt</w:t>
      </w:r>
      <w:r>
        <w:rPr>
          <w:i/>
        </w:rPr>
        <w:t xml:space="preserve">d. </w:t>
      </w:r>
      <w:r w:rsidR="000A71AD">
        <w:rPr>
          <w:i/>
        </w:rPr>
        <w:t>c</w:t>
      </w:r>
      <w:r w:rsidRPr="003B53F0">
        <w:rPr>
          <w:i/>
        </w:rPr>
        <w:t>. Stern</w:t>
      </w:r>
      <w:r>
        <w:t xml:space="preserve">, 2007 QCCQ 11654 </w:t>
      </w:r>
      <w:r w:rsidR="000A71AD">
        <w:t xml:space="preserve">at </w:t>
      </w:r>
      <w:r>
        <w:t>para</w:t>
      </w:r>
      <w:r w:rsidR="000A71AD">
        <w:t>s</w:t>
      </w:r>
      <w:r w:rsidRPr="003B53F0">
        <w:t>. 31</w:t>
      </w:r>
      <w:r w:rsidR="000A71AD">
        <w:t>–</w:t>
      </w:r>
      <w:r w:rsidRPr="003B53F0">
        <w:t xml:space="preserve">32; </w:t>
      </w:r>
      <w:r>
        <w:rPr>
          <w:i/>
        </w:rPr>
        <w:t xml:space="preserve">Séguin </w:t>
      </w:r>
      <w:r w:rsidR="000A71AD">
        <w:rPr>
          <w:i/>
        </w:rPr>
        <w:t>c</w:t>
      </w:r>
      <w:r>
        <w:rPr>
          <w:i/>
        </w:rPr>
        <w:t>. Alutrec i</w:t>
      </w:r>
      <w:r w:rsidRPr="003B53F0">
        <w:rPr>
          <w:i/>
        </w:rPr>
        <w:t>nc.,</w:t>
      </w:r>
      <w:r>
        <w:t xml:space="preserve"> 2004 CanLII 30419</w:t>
      </w:r>
      <w:r w:rsidR="000A71AD">
        <w:t xml:space="preserve"> (QC CQ)</w:t>
      </w:r>
      <w:r>
        <w:t xml:space="preserve"> </w:t>
      </w:r>
      <w:r w:rsidR="000A71AD">
        <w:t xml:space="preserve"> at </w:t>
      </w:r>
      <w:r>
        <w:t>para</w:t>
      </w:r>
      <w:r w:rsidRPr="003B53F0">
        <w:t>. 7.</w:t>
      </w:r>
    </w:p>
  </w:footnote>
  <w:footnote w:id="76">
    <w:p w14:paraId="536F7BD7" w14:textId="6A4ECFCD" w:rsidR="007629E2" w:rsidRPr="000E2D2A" w:rsidRDefault="007629E2" w:rsidP="00634D8F">
      <w:pPr>
        <w:pStyle w:val="Notedebasdepage"/>
        <w:rPr>
          <w:lang w:val="en-CA"/>
        </w:rPr>
      </w:pPr>
      <w:r w:rsidRPr="003B53F0">
        <w:rPr>
          <w:rStyle w:val="Appelnotedebasdep"/>
        </w:rPr>
        <w:footnoteRef/>
      </w:r>
      <w:r w:rsidRPr="003B53F0">
        <w:t xml:space="preserve"> </w:t>
      </w:r>
      <w:r w:rsidRPr="003B53F0">
        <w:tab/>
      </w:r>
      <w:r>
        <w:rPr>
          <w:i/>
        </w:rPr>
        <w:t>Uniprix inc. v</w:t>
      </w:r>
      <w:r w:rsidRPr="003B53F0">
        <w:rPr>
          <w:i/>
        </w:rPr>
        <w:t>. Gestion Gosselin et Bérubé inc</w:t>
      </w:r>
      <w:r>
        <w:t xml:space="preserve">., </w:t>
      </w:r>
      <w:r w:rsidRPr="004F59F9">
        <w:rPr>
          <w:i/>
        </w:rPr>
        <w:t>supra</w:t>
      </w:r>
      <w:r>
        <w:t xml:space="preserve"> note</w:t>
      </w:r>
      <w:r w:rsidR="000A71AD">
        <w:t xml:space="preserve"> 29</w:t>
      </w:r>
      <w:r>
        <w:t xml:space="preserve"> </w:t>
      </w:r>
      <w:r w:rsidR="000A71AD">
        <w:t xml:space="preserve">at </w:t>
      </w:r>
      <w:r>
        <w:t>para</w:t>
      </w:r>
      <w:r w:rsidRPr="003B53F0">
        <w:t xml:space="preserve">. </w:t>
      </w:r>
      <w:r w:rsidRPr="000E2D2A">
        <w:rPr>
          <w:lang w:val="en-CA"/>
        </w:rPr>
        <w:t>37.</w:t>
      </w:r>
    </w:p>
  </w:footnote>
  <w:footnote w:id="77">
    <w:p w14:paraId="4A36ED73" w14:textId="6C86CE9A" w:rsidR="007629E2" w:rsidRPr="000E2D2A" w:rsidRDefault="007629E2" w:rsidP="00F569A6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I</w:t>
      </w:r>
      <w:r w:rsidR="000A71AD" w:rsidRPr="000E2D2A">
        <w:rPr>
          <w:i/>
          <w:lang w:val="en-CA"/>
        </w:rPr>
        <w:t>bi</w:t>
      </w:r>
      <w:r w:rsidRPr="000E2D2A">
        <w:rPr>
          <w:i/>
          <w:lang w:val="en-CA"/>
        </w:rPr>
        <w:t>d.</w:t>
      </w:r>
      <w:r w:rsidRPr="000E2D2A">
        <w:rPr>
          <w:lang w:val="en-CA"/>
        </w:rPr>
        <w:t xml:space="preserve"> </w:t>
      </w:r>
      <w:r w:rsidR="000A71AD" w:rsidRPr="000E2D2A">
        <w:rPr>
          <w:lang w:val="en-CA"/>
        </w:rPr>
        <w:t xml:space="preserve">at </w:t>
      </w:r>
      <w:r w:rsidRPr="000E2D2A">
        <w:rPr>
          <w:lang w:val="en-CA"/>
        </w:rPr>
        <w:t>para. 38.</w:t>
      </w:r>
    </w:p>
  </w:footnote>
  <w:footnote w:id="78">
    <w:p w14:paraId="41F0FB21" w14:textId="77777777" w:rsidR="007629E2" w:rsidRPr="000E2D2A" w:rsidRDefault="007629E2" w:rsidP="00634D8F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Ibid</w:t>
      </w:r>
      <w:r w:rsidRPr="000E2D2A">
        <w:rPr>
          <w:lang w:val="en-CA"/>
        </w:rPr>
        <w:t>.</w:t>
      </w:r>
    </w:p>
  </w:footnote>
  <w:footnote w:id="79">
    <w:p w14:paraId="43E9FA27" w14:textId="7FCB3FCC" w:rsidR="007629E2" w:rsidRPr="00F569A6" w:rsidRDefault="007629E2" w:rsidP="00F569A6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 xml:space="preserve">Turgeon </w:t>
      </w:r>
      <w:r w:rsidR="000A71AD" w:rsidRPr="000E2D2A">
        <w:rPr>
          <w:i/>
          <w:lang w:val="en-CA"/>
        </w:rPr>
        <w:t>c</w:t>
      </w:r>
      <w:r w:rsidRPr="000E2D2A">
        <w:rPr>
          <w:i/>
          <w:lang w:val="en-CA"/>
        </w:rPr>
        <w:t>. Michaud</w:t>
      </w:r>
      <w:r w:rsidRPr="000E2D2A">
        <w:rPr>
          <w:lang w:val="en-CA"/>
        </w:rPr>
        <w:t>, J.E. 2003-1299, 2003 CanLII 4735</w:t>
      </w:r>
      <w:r w:rsidR="00B103E2" w:rsidRPr="000E2D2A">
        <w:rPr>
          <w:lang w:val="en-CA"/>
        </w:rPr>
        <w:t xml:space="preserve"> (QC CA)</w:t>
      </w:r>
      <w:r w:rsidRPr="000E2D2A">
        <w:rPr>
          <w:lang w:val="en-CA"/>
        </w:rPr>
        <w:t xml:space="preserve"> </w:t>
      </w:r>
      <w:r w:rsidR="00B103E2" w:rsidRPr="000E2D2A">
        <w:rPr>
          <w:lang w:val="en-CA"/>
        </w:rPr>
        <w:t xml:space="preserve">at </w:t>
      </w:r>
      <w:r w:rsidRPr="000E2D2A">
        <w:rPr>
          <w:lang w:val="en-CA"/>
        </w:rPr>
        <w:t xml:space="preserve">para. </w:t>
      </w:r>
      <w:r w:rsidRPr="006E4F60">
        <w:rPr>
          <w:lang w:val="en-US"/>
        </w:rPr>
        <w:t xml:space="preserve">72. </w:t>
      </w:r>
      <w:r>
        <w:rPr>
          <w:lang w:val="en-US"/>
        </w:rPr>
        <w:t>See also</w:t>
      </w:r>
      <w:r w:rsidRPr="006E4F60">
        <w:rPr>
          <w:lang w:val="en-US"/>
        </w:rPr>
        <w:t xml:space="preserve"> </w:t>
      </w:r>
      <w:r w:rsidRPr="006E4F60">
        <w:rPr>
          <w:i/>
          <w:lang w:val="en-US"/>
        </w:rPr>
        <w:t>Electric Fireproofing Co. of Canada v. Electric Fireproofing Co</w:t>
      </w:r>
      <w:r w:rsidRPr="006E4F60">
        <w:rPr>
          <w:lang w:val="en-US"/>
        </w:rPr>
        <w:t xml:space="preserve">., </w:t>
      </w:r>
      <w:r w:rsidRPr="006E4F60">
        <w:rPr>
          <w:i/>
          <w:lang w:val="en-US"/>
        </w:rPr>
        <w:t>supra</w:t>
      </w:r>
      <w:r w:rsidRPr="006E4F60">
        <w:rPr>
          <w:lang w:val="en-US"/>
        </w:rPr>
        <w:t xml:space="preserve"> note</w:t>
      </w:r>
      <w:r w:rsidR="00B103E2">
        <w:rPr>
          <w:lang w:val="en-US"/>
        </w:rPr>
        <w:t xml:space="preserve"> 41</w:t>
      </w:r>
      <w:r w:rsidRPr="006E4F60">
        <w:rPr>
          <w:lang w:val="en-US"/>
        </w:rPr>
        <w:t> </w:t>
      </w:r>
      <w:r w:rsidR="00B103E2">
        <w:rPr>
          <w:lang w:val="en-US"/>
        </w:rPr>
        <w:t xml:space="preserve">at </w:t>
      </w:r>
      <w:r w:rsidRPr="006E4F60">
        <w:rPr>
          <w:lang w:val="en-US"/>
        </w:rPr>
        <w:t>193</w:t>
      </w:r>
      <w:r w:rsidR="00B103E2">
        <w:rPr>
          <w:lang w:val="en-US"/>
        </w:rPr>
        <w:t>–</w:t>
      </w:r>
      <w:r w:rsidRPr="006E4F60">
        <w:rPr>
          <w:lang w:val="en-US"/>
        </w:rPr>
        <w:t xml:space="preserve">194; </w:t>
      </w:r>
      <w:r w:rsidRPr="006E4F60">
        <w:rPr>
          <w:i/>
          <w:lang w:val="en-US"/>
        </w:rPr>
        <w:t xml:space="preserve">Planification-Organisation-Publications Systèmes (POPS) </w:t>
      </w:r>
      <w:r w:rsidR="002B4103">
        <w:rPr>
          <w:i/>
          <w:lang w:val="en-US"/>
        </w:rPr>
        <w:t>L</w:t>
      </w:r>
      <w:r>
        <w:rPr>
          <w:i/>
          <w:lang w:val="en-US"/>
        </w:rPr>
        <w:t>tée v</w:t>
      </w:r>
      <w:r w:rsidRPr="006E4F60">
        <w:rPr>
          <w:i/>
          <w:lang w:val="en-US"/>
        </w:rPr>
        <w:t xml:space="preserve">. 9054-8181 Québec </w:t>
      </w:r>
      <w:r w:rsidR="00B103E2">
        <w:rPr>
          <w:i/>
          <w:lang w:val="en-US"/>
        </w:rPr>
        <w:t>I</w:t>
      </w:r>
      <w:r w:rsidRPr="006E4F60">
        <w:rPr>
          <w:i/>
          <w:lang w:val="en-US"/>
        </w:rPr>
        <w:t>nc</w:t>
      </w:r>
      <w:r w:rsidRPr="006E4F60">
        <w:rPr>
          <w:lang w:val="en-US"/>
        </w:rPr>
        <w:t xml:space="preserve">., </w:t>
      </w:r>
      <w:r w:rsidRPr="006E4F60">
        <w:rPr>
          <w:i/>
          <w:lang w:val="en-US"/>
        </w:rPr>
        <w:t>supra</w:t>
      </w:r>
      <w:r w:rsidRPr="006E4F60">
        <w:rPr>
          <w:lang w:val="en-US"/>
        </w:rPr>
        <w:t xml:space="preserve"> note</w:t>
      </w:r>
      <w:r w:rsidR="00B103E2">
        <w:rPr>
          <w:lang w:val="en-US"/>
        </w:rPr>
        <w:t xml:space="preserve"> 29</w:t>
      </w:r>
      <w:r>
        <w:rPr>
          <w:lang w:val="en-US"/>
        </w:rPr>
        <w:t xml:space="preserve"> </w:t>
      </w:r>
      <w:r w:rsidR="00B103E2">
        <w:rPr>
          <w:lang w:val="en-US"/>
        </w:rPr>
        <w:t xml:space="preserve">at </w:t>
      </w:r>
      <w:r>
        <w:rPr>
          <w:lang w:val="en-US"/>
        </w:rPr>
        <w:t>para</w:t>
      </w:r>
      <w:r w:rsidR="00B103E2">
        <w:rPr>
          <w:lang w:val="en-US"/>
        </w:rPr>
        <w:t>s</w:t>
      </w:r>
      <w:r w:rsidRPr="006E4F60">
        <w:rPr>
          <w:lang w:val="en-US"/>
        </w:rPr>
        <w:t>. </w:t>
      </w:r>
      <w:r w:rsidRPr="00F569A6">
        <w:rPr>
          <w:lang w:val="en-US"/>
        </w:rPr>
        <w:t>39 and 42.</w:t>
      </w:r>
    </w:p>
  </w:footnote>
  <w:footnote w:id="80">
    <w:p w14:paraId="14DC9E64" w14:textId="15092D4A" w:rsidR="007629E2" w:rsidRPr="0028536C" w:rsidRDefault="007629E2" w:rsidP="00F569A6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  <w:t xml:space="preserve">Tamaro,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B103E2" w:rsidRPr="000E2D2A">
        <w:rPr>
          <w:lang w:val="en-CA"/>
        </w:rPr>
        <w:t xml:space="preserve"> 68</w:t>
      </w:r>
      <w:r w:rsidRPr="000E2D2A">
        <w:rPr>
          <w:lang w:val="en-CA"/>
        </w:rPr>
        <w:t> </w:t>
      </w:r>
      <w:r w:rsidR="00B103E2" w:rsidRPr="000E2D2A">
        <w:rPr>
          <w:lang w:val="en-CA"/>
        </w:rPr>
        <w:t xml:space="preserve">at </w:t>
      </w:r>
      <w:r w:rsidRPr="000E2D2A">
        <w:rPr>
          <w:lang w:val="en-CA"/>
        </w:rPr>
        <w:t>530. See</w:t>
      </w:r>
      <w:r w:rsidR="00844261" w:rsidRPr="000E2D2A">
        <w:rPr>
          <w:lang w:val="en-CA"/>
        </w:rPr>
        <w:t xml:space="preserve"> e.g.</w:t>
      </w:r>
      <w:r w:rsidRPr="000E2D2A">
        <w:rPr>
          <w:lang w:val="en-CA"/>
        </w:rPr>
        <w:t xml:space="preserve">, </w:t>
      </w:r>
      <w:r w:rsidRPr="000E2D2A">
        <w:rPr>
          <w:i/>
          <w:lang w:val="en-CA"/>
        </w:rPr>
        <w:t xml:space="preserve">Diffusion YFB inc. </w:t>
      </w:r>
      <w:r w:rsidR="00844261" w:rsidRPr="000E2D2A">
        <w:rPr>
          <w:i/>
          <w:lang w:val="en-CA"/>
        </w:rPr>
        <w:t>c</w:t>
      </w:r>
      <w:r w:rsidRPr="000E2D2A">
        <w:rPr>
          <w:i/>
          <w:lang w:val="en-CA"/>
        </w:rPr>
        <w:t xml:space="preserve">. </w:t>
      </w:r>
      <w:r w:rsidRPr="000E2D2A">
        <w:rPr>
          <w:i/>
          <w:lang w:val="en-US"/>
        </w:rPr>
        <w:t>Disques Gamma (Québec) ltée</w:t>
      </w:r>
      <w:r w:rsidRPr="000E2D2A">
        <w:rPr>
          <w:lang w:val="en-US"/>
        </w:rPr>
        <w:t>, J.E. 99-1139, 1999 CanLII 11215</w:t>
      </w:r>
      <w:r w:rsidR="00844261" w:rsidRPr="000E2D2A">
        <w:rPr>
          <w:lang w:val="en-US"/>
        </w:rPr>
        <w:t xml:space="preserve"> (</w:t>
      </w:r>
      <w:r w:rsidR="00B103E2" w:rsidRPr="000E2D2A">
        <w:rPr>
          <w:lang w:val="en-US"/>
        </w:rPr>
        <w:t>QC CS</w:t>
      </w:r>
      <w:r w:rsidR="00844261" w:rsidRPr="000E2D2A">
        <w:rPr>
          <w:lang w:val="en-US"/>
        </w:rPr>
        <w:t>)</w:t>
      </w:r>
      <w:r w:rsidRPr="000E2D2A">
        <w:rPr>
          <w:lang w:val="en-US"/>
        </w:rPr>
        <w:t xml:space="preserve"> </w:t>
      </w:r>
      <w:r w:rsidR="00844261" w:rsidRPr="000E2D2A">
        <w:rPr>
          <w:lang w:val="en-US"/>
        </w:rPr>
        <w:t xml:space="preserve">at </w:t>
      </w:r>
      <w:r w:rsidRPr="000E2D2A">
        <w:rPr>
          <w:lang w:val="en-US"/>
        </w:rPr>
        <w:t xml:space="preserve">para. </w:t>
      </w:r>
      <w:r w:rsidRPr="0028536C">
        <w:rPr>
          <w:lang w:val="en-US"/>
        </w:rPr>
        <w:t>27:</w:t>
      </w:r>
      <w:r w:rsidR="00B103E2">
        <w:rPr>
          <w:lang w:val="en-US"/>
        </w:rPr>
        <w:t xml:space="preserve"> [</w:t>
      </w:r>
      <w:r w:rsidR="00B103E2">
        <w:rPr>
          <w:smallCaps/>
          <w:lang w:val="en-US"/>
        </w:rPr>
        <w:t>translation</w:t>
      </w:r>
      <w:r w:rsidR="00B103E2">
        <w:rPr>
          <w:lang w:val="en-US"/>
        </w:rPr>
        <w:t>]</w:t>
      </w:r>
      <w:r w:rsidRPr="0028536C">
        <w:rPr>
          <w:lang w:val="en-US"/>
        </w:rPr>
        <w:t xml:space="preserve"> </w:t>
      </w:r>
      <w:r>
        <w:rPr>
          <w:lang w:val="en-US"/>
        </w:rPr>
        <w:t>“</w:t>
      </w:r>
      <w:r w:rsidRPr="0028536C">
        <w:rPr>
          <w:lang w:val="en-CA"/>
        </w:rPr>
        <w:t xml:space="preserve">In the absence of a provision on the subject in the </w:t>
      </w:r>
      <w:r w:rsidRPr="0028536C">
        <w:rPr>
          <w:i/>
          <w:lang w:val="en-CA"/>
        </w:rPr>
        <w:t>Copyright Act</w:t>
      </w:r>
      <w:r w:rsidR="00B103E2">
        <w:rPr>
          <w:iCs/>
          <w:lang w:val="en-CA"/>
        </w:rPr>
        <w:t>,</w:t>
      </w:r>
      <w:r w:rsidRPr="0028536C">
        <w:rPr>
          <w:lang w:val="en-CA"/>
        </w:rPr>
        <w:t xml:space="preserve"> the Court </w:t>
      </w:r>
      <w:r w:rsidR="00B103E2">
        <w:rPr>
          <w:lang w:val="en-CA"/>
        </w:rPr>
        <w:t>has</w:t>
      </w:r>
      <w:r w:rsidRPr="0028536C">
        <w:rPr>
          <w:lang w:val="en-CA"/>
        </w:rPr>
        <w:t xml:space="preserve"> recourse to the principles of civil law, which can supplement federal law where there is a legal void</w:t>
      </w:r>
      <w:r>
        <w:rPr>
          <w:lang w:val="en-CA"/>
        </w:rPr>
        <w:t>”</w:t>
      </w:r>
      <w:r w:rsidR="00C371E1">
        <w:rPr>
          <w:lang w:val="en-CA"/>
        </w:rPr>
        <w:t>.</w:t>
      </w:r>
      <w:r w:rsidRPr="0028536C">
        <w:rPr>
          <w:lang w:val="en-CA"/>
        </w:rPr>
        <w:t xml:space="preserve"> </w:t>
      </w:r>
    </w:p>
  </w:footnote>
  <w:footnote w:id="81">
    <w:p w14:paraId="0376F356" w14:textId="5919F2A8" w:rsidR="007629E2" w:rsidRPr="000E2D2A" w:rsidRDefault="007629E2" w:rsidP="00634D8F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 xml:space="preserve">Union Carbide Canada </w:t>
      </w:r>
      <w:r w:rsidR="00B103E2" w:rsidRPr="000E2D2A">
        <w:rPr>
          <w:i/>
          <w:lang w:val="en-CA"/>
        </w:rPr>
        <w:t>I</w:t>
      </w:r>
      <w:r w:rsidRPr="000E2D2A">
        <w:rPr>
          <w:i/>
          <w:lang w:val="en-CA"/>
        </w:rPr>
        <w:t xml:space="preserve">nc. v. Bombardier </w:t>
      </w:r>
      <w:r w:rsidR="00B103E2" w:rsidRPr="000E2D2A">
        <w:rPr>
          <w:i/>
          <w:lang w:val="en-CA"/>
        </w:rPr>
        <w:t>I</w:t>
      </w:r>
      <w:r w:rsidRPr="000E2D2A">
        <w:rPr>
          <w:i/>
          <w:lang w:val="en-CA"/>
        </w:rPr>
        <w:t>nc</w:t>
      </w:r>
      <w:r w:rsidRPr="000E2D2A">
        <w:rPr>
          <w:lang w:val="en-CA"/>
        </w:rPr>
        <w:t>., 2014 SCC 35</w:t>
      </w:r>
      <w:r w:rsidR="00B103E2" w:rsidRPr="000E2D2A">
        <w:rPr>
          <w:lang w:val="en-CA"/>
        </w:rPr>
        <w:t xml:space="preserve"> at</w:t>
      </w:r>
      <w:r w:rsidRPr="000E2D2A">
        <w:rPr>
          <w:lang w:val="en-CA"/>
        </w:rPr>
        <w:t xml:space="preserve"> para. 59 [</w:t>
      </w:r>
      <w:r w:rsidR="00870A83">
        <w:rPr>
          <w:lang w:val="en-CA"/>
        </w:rPr>
        <w:t>u</w:t>
      </w:r>
      <w:r w:rsidRPr="000E2D2A">
        <w:rPr>
          <w:lang w:val="en-CA"/>
        </w:rPr>
        <w:t>nderlining added</w:t>
      </w:r>
      <w:r w:rsidRPr="000E2D2A">
        <w:rPr>
          <w:rFonts w:cs="Arial"/>
          <w:lang w:val="en-CA"/>
        </w:rPr>
        <w:t>].</w:t>
      </w:r>
    </w:p>
  </w:footnote>
  <w:footnote w:id="82">
    <w:p w14:paraId="43335C9F" w14:textId="0D634293" w:rsidR="007629E2" w:rsidRPr="000E2D2A" w:rsidRDefault="007629E2" w:rsidP="00F569A6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t xml:space="preserve"> </w:t>
      </w:r>
      <w:r w:rsidRPr="000E2D2A">
        <w:tab/>
        <w:t xml:space="preserve">Didier Lluelles </w:t>
      </w:r>
      <w:r w:rsidR="00CB72F3">
        <w:t>&amp;</w:t>
      </w:r>
      <w:r w:rsidRPr="000E2D2A">
        <w:t xml:space="preserve"> Benoît Moore, </w:t>
      </w:r>
      <w:r w:rsidRPr="000E2D2A">
        <w:rPr>
          <w:i/>
        </w:rPr>
        <w:t>Droit des obligations</w:t>
      </w:r>
      <w:r w:rsidRPr="000E2D2A">
        <w:t xml:space="preserve">, 3rd ed. </w:t>
      </w:r>
      <w:r w:rsidR="001B07D9" w:rsidRPr="000E2D2A">
        <w:rPr>
          <w:lang w:val="en-CA"/>
        </w:rPr>
        <w:t>(</w:t>
      </w:r>
      <w:r w:rsidRPr="000E2D2A">
        <w:rPr>
          <w:lang w:val="en-CA"/>
        </w:rPr>
        <w:t>Montr</w:t>
      </w:r>
      <w:r w:rsidR="001B07D9" w:rsidRPr="000E2D2A">
        <w:rPr>
          <w:lang w:val="en-CA"/>
        </w:rPr>
        <w:t>e</w:t>
      </w:r>
      <w:r w:rsidRPr="000E2D2A">
        <w:rPr>
          <w:lang w:val="en-CA"/>
        </w:rPr>
        <w:t>al</w:t>
      </w:r>
      <w:r w:rsidR="00D30815">
        <w:rPr>
          <w:lang w:val="en-CA"/>
        </w:rPr>
        <w:t>:</w:t>
      </w:r>
      <w:r w:rsidRPr="000E2D2A">
        <w:rPr>
          <w:lang w:val="en-CA"/>
        </w:rPr>
        <w:t xml:space="preserve"> Thémis, 2018</w:t>
      </w:r>
      <w:r w:rsidR="001B07D9" w:rsidRPr="000E2D2A">
        <w:rPr>
          <w:lang w:val="en-CA"/>
        </w:rPr>
        <w:t>)</w:t>
      </w:r>
      <w:r w:rsidRPr="000E2D2A">
        <w:rPr>
          <w:lang w:val="en-CA"/>
        </w:rPr>
        <w:t> </w:t>
      </w:r>
      <w:r w:rsidR="001B07D9" w:rsidRPr="000E2D2A">
        <w:rPr>
          <w:lang w:val="en-CA"/>
        </w:rPr>
        <w:t xml:space="preserve">at </w:t>
      </w:r>
      <w:r w:rsidRPr="000E2D2A">
        <w:rPr>
          <w:lang w:val="en-CA"/>
        </w:rPr>
        <w:t xml:space="preserve">1190, </w:t>
      </w:r>
      <w:r w:rsidR="001B07D9" w:rsidRPr="000E2D2A">
        <w:rPr>
          <w:lang w:val="en-CA"/>
        </w:rPr>
        <w:t>No.</w:t>
      </w:r>
      <w:r w:rsidRPr="000E2D2A">
        <w:rPr>
          <w:lang w:val="en-CA"/>
        </w:rPr>
        <w:t> 2043.</w:t>
      </w:r>
    </w:p>
  </w:footnote>
  <w:footnote w:id="83">
    <w:p w14:paraId="2AF3F332" w14:textId="5696842D" w:rsidR="007629E2" w:rsidRPr="000E2D2A" w:rsidRDefault="007629E2" w:rsidP="007F61F6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I</w:t>
      </w:r>
      <w:r w:rsidR="00CB72F3" w:rsidRPr="000E2D2A">
        <w:rPr>
          <w:i/>
          <w:lang w:val="en-CA"/>
        </w:rPr>
        <w:t>bi</w:t>
      </w:r>
      <w:r w:rsidRPr="000E2D2A">
        <w:rPr>
          <w:i/>
          <w:lang w:val="en-CA"/>
        </w:rPr>
        <w:t>d</w:t>
      </w:r>
      <w:r w:rsidRPr="000E2D2A">
        <w:rPr>
          <w:lang w:val="en-CA"/>
        </w:rPr>
        <w:t>. </w:t>
      </w:r>
      <w:r w:rsidR="00CB72F3" w:rsidRPr="000E2D2A">
        <w:rPr>
          <w:lang w:val="en-CA"/>
        </w:rPr>
        <w:t xml:space="preserve">at </w:t>
      </w:r>
      <w:r w:rsidRPr="000E2D2A">
        <w:rPr>
          <w:lang w:val="en-CA"/>
        </w:rPr>
        <w:t xml:space="preserve">1193, </w:t>
      </w:r>
      <w:r w:rsidR="00CB72F3" w:rsidRPr="000E2D2A">
        <w:rPr>
          <w:lang w:val="en-CA"/>
        </w:rPr>
        <w:t>No.</w:t>
      </w:r>
      <w:r w:rsidRPr="000E2D2A">
        <w:rPr>
          <w:lang w:val="en-CA"/>
        </w:rPr>
        <w:t> 2046.</w:t>
      </w:r>
    </w:p>
  </w:footnote>
  <w:footnote w:id="84">
    <w:p w14:paraId="33374F4C" w14:textId="77777777" w:rsidR="007629E2" w:rsidRPr="000E2D2A" w:rsidRDefault="007629E2" w:rsidP="00634D8F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Ibid</w:t>
      </w:r>
      <w:r w:rsidRPr="000E2D2A">
        <w:rPr>
          <w:lang w:val="en-CA"/>
        </w:rPr>
        <w:t>.</w:t>
      </w:r>
    </w:p>
  </w:footnote>
  <w:footnote w:id="85">
    <w:p w14:paraId="55310364" w14:textId="4C87CC35" w:rsidR="007629E2" w:rsidRPr="000E2D2A" w:rsidRDefault="007629E2" w:rsidP="00302BDC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I</w:t>
      </w:r>
      <w:r w:rsidR="00CB72F3" w:rsidRPr="000E2D2A">
        <w:rPr>
          <w:i/>
          <w:lang w:val="en-CA"/>
        </w:rPr>
        <w:t>bi</w:t>
      </w:r>
      <w:r w:rsidRPr="000E2D2A">
        <w:rPr>
          <w:i/>
          <w:lang w:val="en-CA"/>
        </w:rPr>
        <w:t>d</w:t>
      </w:r>
      <w:r w:rsidRPr="000E2D2A">
        <w:rPr>
          <w:lang w:val="en-CA"/>
        </w:rPr>
        <w:t>. </w:t>
      </w:r>
      <w:r w:rsidR="00CB72F3" w:rsidRPr="000E2D2A">
        <w:rPr>
          <w:lang w:val="en-CA"/>
        </w:rPr>
        <w:t xml:space="preserve">at </w:t>
      </w:r>
      <w:r w:rsidRPr="000E2D2A">
        <w:rPr>
          <w:lang w:val="en-CA"/>
        </w:rPr>
        <w:t xml:space="preserve">1255, </w:t>
      </w:r>
      <w:r w:rsidR="00CB72F3" w:rsidRPr="000E2D2A">
        <w:rPr>
          <w:lang w:val="en-CA"/>
        </w:rPr>
        <w:t>No.</w:t>
      </w:r>
      <w:r w:rsidRPr="000E2D2A">
        <w:rPr>
          <w:lang w:val="en-CA"/>
        </w:rPr>
        <w:t> 2143.</w:t>
      </w:r>
    </w:p>
  </w:footnote>
  <w:footnote w:id="86">
    <w:p w14:paraId="366F06AB" w14:textId="752A2ACA" w:rsidR="007629E2" w:rsidRPr="000E2D2A" w:rsidRDefault="007629E2" w:rsidP="00624241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>
        <w:t xml:space="preserve"> </w:t>
      </w:r>
      <w:r>
        <w:tab/>
      </w:r>
      <w:r>
        <w:rPr>
          <w:i/>
        </w:rPr>
        <w:t>Uniprix inc. v</w:t>
      </w:r>
      <w:r w:rsidRPr="00B31339">
        <w:rPr>
          <w:i/>
        </w:rPr>
        <w:t>. Gestion Gosselin et Bérubé inc</w:t>
      </w:r>
      <w:r>
        <w:t xml:space="preserve">., </w:t>
      </w:r>
      <w:r w:rsidRPr="004F59F9">
        <w:rPr>
          <w:i/>
        </w:rPr>
        <w:t>supra</w:t>
      </w:r>
      <w:r>
        <w:t xml:space="preserve"> note</w:t>
      </w:r>
      <w:r w:rsidR="00CB72F3">
        <w:t xml:space="preserve"> 29</w:t>
      </w:r>
      <w:r>
        <w:t xml:space="preserve"> </w:t>
      </w:r>
      <w:r w:rsidR="00CB72F3">
        <w:t xml:space="preserve">at </w:t>
      </w:r>
      <w:r>
        <w:t xml:space="preserve">para. </w:t>
      </w:r>
      <w:r w:rsidRPr="000E2D2A">
        <w:rPr>
          <w:lang w:val="en-CA"/>
        </w:rPr>
        <w:t>70.</w:t>
      </w:r>
    </w:p>
  </w:footnote>
  <w:footnote w:id="87">
    <w:p w14:paraId="0D41FD9A" w14:textId="6DB88064" w:rsidR="007629E2" w:rsidRPr="000E2D2A" w:rsidRDefault="007629E2" w:rsidP="00624241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I</w:t>
      </w:r>
      <w:r w:rsidR="00CB72F3" w:rsidRPr="000E2D2A">
        <w:rPr>
          <w:i/>
          <w:lang w:val="en-CA"/>
        </w:rPr>
        <w:t>bi</w:t>
      </w:r>
      <w:r w:rsidRPr="000E2D2A">
        <w:rPr>
          <w:i/>
          <w:lang w:val="en-CA"/>
        </w:rPr>
        <w:t>d.</w:t>
      </w:r>
      <w:r w:rsidRPr="000E2D2A">
        <w:rPr>
          <w:lang w:val="en-CA"/>
        </w:rPr>
        <w:t xml:space="preserve"> </w:t>
      </w:r>
      <w:r w:rsidR="00CB72F3" w:rsidRPr="000E2D2A">
        <w:rPr>
          <w:lang w:val="en-CA"/>
        </w:rPr>
        <w:t xml:space="preserve">at </w:t>
      </w:r>
      <w:r w:rsidRPr="000E2D2A">
        <w:rPr>
          <w:lang w:val="en-CA"/>
        </w:rPr>
        <w:t>para. 71.</w:t>
      </w:r>
    </w:p>
  </w:footnote>
  <w:footnote w:id="88">
    <w:p w14:paraId="092CE23F" w14:textId="1D212EE7" w:rsidR="007629E2" w:rsidRPr="000E2D2A" w:rsidRDefault="007629E2" w:rsidP="00624241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>I</w:t>
      </w:r>
      <w:r w:rsidR="00CB72F3" w:rsidRPr="000E2D2A">
        <w:rPr>
          <w:i/>
          <w:lang w:val="en-CA"/>
        </w:rPr>
        <w:t>bi</w:t>
      </w:r>
      <w:r w:rsidRPr="000E2D2A">
        <w:rPr>
          <w:i/>
          <w:lang w:val="en-CA"/>
        </w:rPr>
        <w:t>d.</w:t>
      </w:r>
      <w:r w:rsidRPr="000E2D2A">
        <w:rPr>
          <w:lang w:val="en-CA"/>
        </w:rPr>
        <w:t xml:space="preserve"> </w:t>
      </w:r>
      <w:r w:rsidR="00CB72F3" w:rsidRPr="000E2D2A">
        <w:rPr>
          <w:lang w:val="en-CA"/>
        </w:rPr>
        <w:t xml:space="preserve">at </w:t>
      </w:r>
      <w:r w:rsidRPr="000E2D2A">
        <w:rPr>
          <w:lang w:val="en-CA"/>
        </w:rPr>
        <w:t xml:space="preserve">para. 58. See also Lluelles </w:t>
      </w:r>
      <w:r w:rsidR="00CB72F3" w:rsidRPr="000E2D2A">
        <w:rPr>
          <w:lang w:val="en-CA"/>
        </w:rPr>
        <w:t>&amp;</w:t>
      </w:r>
      <w:r w:rsidRPr="000E2D2A">
        <w:rPr>
          <w:lang w:val="en-CA"/>
        </w:rPr>
        <w:t xml:space="preserve"> Moore,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CB72F3" w:rsidRPr="000E2D2A">
        <w:rPr>
          <w:lang w:val="en-CA"/>
        </w:rPr>
        <w:t xml:space="preserve"> 82</w:t>
      </w:r>
      <w:r w:rsidRPr="000E2D2A">
        <w:rPr>
          <w:lang w:val="en-CA"/>
        </w:rPr>
        <w:t> </w:t>
      </w:r>
      <w:r w:rsidR="00CB72F3" w:rsidRPr="000E2D2A">
        <w:rPr>
          <w:lang w:val="en-CA"/>
        </w:rPr>
        <w:t xml:space="preserve">at </w:t>
      </w:r>
      <w:r w:rsidRPr="000E2D2A">
        <w:rPr>
          <w:lang w:val="en-CA"/>
        </w:rPr>
        <w:t xml:space="preserve">1240, </w:t>
      </w:r>
      <w:r w:rsidR="00CB72F3" w:rsidRPr="000E2D2A">
        <w:rPr>
          <w:lang w:val="en-CA"/>
        </w:rPr>
        <w:t>No.</w:t>
      </w:r>
      <w:r w:rsidRPr="000E2D2A">
        <w:rPr>
          <w:lang w:val="en-CA"/>
        </w:rPr>
        <w:t xml:space="preserve"> 2122.</w:t>
      </w:r>
    </w:p>
  </w:footnote>
  <w:footnote w:id="89">
    <w:p w14:paraId="6B34FF93" w14:textId="76253424" w:rsidR="007629E2" w:rsidRPr="00316642" w:rsidRDefault="007629E2" w:rsidP="00624241">
      <w:pPr>
        <w:pStyle w:val="Notedebasdepage"/>
      </w:pPr>
      <w:r w:rsidRPr="0074414F">
        <w:rPr>
          <w:rStyle w:val="Appelnotedebasdep"/>
        </w:rPr>
        <w:footnoteRef/>
      </w:r>
      <w:r w:rsidRPr="000E2D2A">
        <w:t xml:space="preserve"> </w:t>
      </w:r>
      <w:r w:rsidRPr="000E2D2A">
        <w:tab/>
        <w:t xml:space="preserve">Lluelles </w:t>
      </w:r>
      <w:r w:rsidR="00604008" w:rsidRPr="000E2D2A">
        <w:t>&amp;</w:t>
      </w:r>
      <w:r w:rsidRPr="000E2D2A">
        <w:t xml:space="preserve"> Moore, </w:t>
      </w:r>
      <w:r w:rsidRPr="000E2D2A">
        <w:rPr>
          <w:i/>
        </w:rPr>
        <w:t>supra</w:t>
      </w:r>
      <w:r w:rsidRPr="000E2D2A">
        <w:t xml:space="preserve"> note</w:t>
      </w:r>
      <w:r w:rsidR="00604008" w:rsidRPr="000E2D2A">
        <w:t xml:space="preserve"> 82</w:t>
      </w:r>
      <w:r w:rsidR="00870A83">
        <w:t xml:space="preserve"> </w:t>
      </w:r>
      <w:r w:rsidR="00604008" w:rsidRPr="000E2D2A">
        <w:t>at</w:t>
      </w:r>
      <w:r w:rsidRPr="000E2D2A">
        <w:t xml:space="preserve"> 1189, </w:t>
      </w:r>
      <w:r w:rsidR="00604008" w:rsidRPr="000E2D2A">
        <w:t>No.</w:t>
      </w:r>
      <w:r w:rsidRPr="000E2D2A">
        <w:t> </w:t>
      </w:r>
      <w:r w:rsidRPr="00316642">
        <w:t xml:space="preserve">2040; Jean-Louis Baudouin, Pierre-Gabriel Jobin </w:t>
      </w:r>
      <w:r w:rsidR="00604008">
        <w:t>&amp;</w:t>
      </w:r>
      <w:r w:rsidRPr="00316642">
        <w:t xml:space="preserve"> Nathalie Vézina, </w:t>
      </w:r>
      <w:r w:rsidRPr="00316642">
        <w:rPr>
          <w:i/>
        </w:rPr>
        <w:t>Les obligations</w:t>
      </w:r>
      <w:r w:rsidRPr="00316642">
        <w:t>, 7</w:t>
      </w:r>
      <w:r w:rsidRPr="000E2D2A">
        <w:t>th</w:t>
      </w:r>
      <w:r w:rsidRPr="00316642">
        <w:t xml:space="preserve"> ed. </w:t>
      </w:r>
      <w:r w:rsidR="006E68CB">
        <w:t>(</w:t>
      </w:r>
      <w:r w:rsidRPr="00316642">
        <w:t xml:space="preserve">Cowansville, </w:t>
      </w:r>
      <w:r w:rsidR="006E68CB">
        <w:t xml:space="preserve">QC: </w:t>
      </w:r>
      <w:r w:rsidRPr="00316642">
        <w:t>Yvon Blais</w:t>
      </w:r>
      <w:r w:rsidR="006E68CB">
        <w:t>)</w:t>
      </w:r>
      <w:r w:rsidRPr="00316642">
        <w:t xml:space="preserve"> </w:t>
      </w:r>
      <w:r w:rsidR="006E68CB">
        <w:t xml:space="preserve">at </w:t>
      </w:r>
      <w:r w:rsidRPr="00316642">
        <w:t xml:space="preserve">532, </w:t>
      </w:r>
      <w:r w:rsidR="006E68CB">
        <w:t>No.</w:t>
      </w:r>
      <w:r w:rsidRPr="00316642">
        <w:t xml:space="preserve"> 440.</w:t>
      </w:r>
    </w:p>
  </w:footnote>
  <w:footnote w:id="90">
    <w:p w14:paraId="339CCBDA" w14:textId="091A8C4F" w:rsidR="007629E2" w:rsidRPr="000E2D2A" w:rsidRDefault="007629E2" w:rsidP="00624241">
      <w:pPr>
        <w:pStyle w:val="Notedebasdepage"/>
        <w:rPr>
          <w:lang w:val="en-CA"/>
        </w:rPr>
      </w:pPr>
      <w:r w:rsidRPr="0074414F">
        <w:rPr>
          <w:rStyle w:val="Appelnotedebasdep"/>
        </w:rPr>
        <w:footnoteRef/>
      </w:r>
      <w:r w:rsidRPr="0074414F">
        <w:t xml:space="preserve"> </w:t>
      </w:r>
      <w:r w:rsidRPr="0074414F">
        <w:tab/>
      </w:r>
      <w:r w:rsidRPr="0074414F">
        <w:rPr>
          <w:i/>
        </w:rPr>
        <w:t>Québec (Com</w:t>
      </w:r>
      <w:r>
        <w:rPr>
          <w:i/>
        </w:rPr>
        <w:t>mission des normes du travail) v</w:t>
      </w:r>
      <w:r w:rsidRPr="0074414F">
        <w:rPr>
          <w:i/>
        </w:rPr>
        <w:t>. Asphalte Desjardins inc</w:t>
      </w:r>
      <w:r>
        <w:t xml:space="preserve">., 2014 SCC 51 </w:t>
      </w:r>
      <w:r w:rsidR="0041007E">
        <w:t xml:space="preserve">at </w:t>
      </w:r>
      <w:r>
        <w:t>para. </w:t>
      </w:r>
      <w:r w:rsidRPr="003110DF">
        <w:rPr>
          <w:lang w:val="en-US"/>
        </w:rPr>
        <w:t>29. See also</w:t>
      </w:r>
      <w:r w:rsidRPr="003110DF">
        <w:rPr>
          <w:i/>
          <w:lang w:val="en-US"/>
        </w:rPr>
        <w:t xml:space="preserve"> E. &amp; S. Salsberg inc. </w:t>
      </w:r>
      <w:r w:rsidR="00FA0CB6">
        <w:rPr>
          <w:i/>
          <w:lang w:val="en-US"/>
        </w:rPr>
        <w:t>c</w:t>
      </w:r>
      <w:r w:rsidRPr="003110DF">
        <w:rPr>
          <w:i/>
          <w:lang w:val="en-US"/>
        </w:rPr>
        <w:t>. Dylex Ltd</w:t>
      </w:r>
      <w:r w:rsidRPr="003110DF">
        <w:rPr>
          <w:lang w:val="en-US"/>
        </w:rPr>
        <w:t>., 1992 CanLII 3409</w:t>
      </w:r>
      <w:r w:rsidR="0041007E">
        <w:rPr>
          <w:lang w:val="en-US"/>
        </w:rPr>
        <w:t xml:space="preserve"> (QC CA),</w:t>
      </w:r>
      <w:r w:rsidRPr="003110DF">
        <w:rPr>
          <w:lang w:val="en-US"/>
        </w:rPr>
        <w:t xml:space="preserve"> </w:t>
      </w:r>
      <w:r w:rsidR="0041007E" w:rsidRPr="003110DF">
        <w:rPr>
          <w:lang w:val="en-US"/>
        </w:rPr>
        <w:t>[1992] R.J.Q. 2445</w:t>
      </w:r>
      <w:r w:rsidR="0041007E">
        <w:rPr>
          <w:lang w:val="en-US"/>
        </w:rPr>
        <w:t xml:space="preserve"> at </w:t>
      </w:r>
      <w:r w:rsidRPr="003110DF">
        <w:rPr>
          <w:lang w:val="en-US"/>
        </w:rPr>
        <w:t xml:space="preserve">2451; Lluelles </w:t>
      </w:r>
      <w:r w:rsidR="0041007E">
        <w:rPr>
          <w:lang w:val="en-US"/>
        </w:rPr>
        <w:t>&amp;</w:t>
      </w:r>
      <w:r w:rsidRPr="003110DF">
        <w:rPr>
          <w:lang w:val="en-US"/>
        </w:rPr>
        <w:t xml:space="preserve"> Moore, </w:t>
      </w:r>
      <w:r w:rsidRPr="003110DF">
        <w:rPr>
          <w:i/>
          <w:lang w:val="en-US"/>
        </w:rPr>
        <w:t>supra</w:t>
      </w:r>
      <w:r w:rsidRPr="003110DF">
        <w:rPr>
          <w:lang w:val="en-US"/>
        </w:rPr>
        <w:t xml:space="preserve"> note</w:t>
      </w:r>
      <w:r w:rsidR="0041007E">
        <w:rPr>
          <w:lang w:val="en-US"/>
        </w:rPr>
        <w:t xml:space="preserve"> 82</w:t>
      </w:r>
      <w:r w:rsidRPr="003110DF">
        <w:rPr>
          <w:lang w:val="en-US"/>
        </w:rPr>
        <w:t> </w:t>
      </w:r>
      <w:r w:rsidR="0041007E">
        <w:rPr>
          <w:lang w:val="en-US"/>
        </w:rPr>
        <w:t xml:space="preserve">at </w:t>
      </w:r>
      <w:r w:rsidRPr="003110DF">
        <w:rPr>
          <w:lang w:val="en-US"/>
        </w:rPr>
        <w:t xml:space="preserve">1189, </w:t>
      </w:r>
      <w:r w:rsidR="0041007E">
        <w:rPr>
          <w:lang w:val="en-US"/>
        </w:rPr>
        <w:t>No.</w:t>
      </w:r>
      <w:r w:rsidRPr="003110DF">
        <w:rPr>
          <w:lang w:val="en-US"/>
        </w:rPr>
        <w:t> </w:t>
      </w:r>
      <w:r w:rsidRPr="000E2D2A">
        <w:rPr>
          <w:lang w:val="en-CA"/>
        </w:rPr>
        <w:t xml:space="preserve">2041 </w:t>
      </w:r>
      <w:r w:rsidR="0041007E" w:rsidRPr="000E2D2A">
        <w:rPr>
          <w:lang w:val="en-CA"/>
        </w:rPr>
        <w:t>and at</w:t>
      </w:r>
      <w:r w:rsidRPr="000E2D2A">
        <w:rPr>
          <w:lang w:val="en-CA"/>
        </w:rPr>
        <w:t xml:space="preserve"> 1240, </w:t>
      </w:r>
      <w:r w:rsidR="0041007E" w:rsidRPr="000E2D2A">
        <w:rPr>
          <w:lang w:val="en-CA"/>
        </w:rPr>
        <w:t>No.</w:t>
      </w:r>
      <w:r w:rsidRPr="000E2D2A">
        <w:rPr>
          <w:lang w:val="en-CA"/>
        </w:rPr>
        <w:t> 2120.</w:t>
      </w:r>
    </w:p>
  </w:footnote>
  <w:footnote w:id="91">
    <w:p w14:paraId="6D522718" w14:textId="64356CE1" w:rsidR="007629E2" w:rsidRPr="000E2D2A" w:rsidRDefault="007629E2" w:rsidP="00634D8F">
      <w:pPr>
        <w:pStyle w:val="Notedebasdepage"/>
        <w:rPr>
          <w:lang w:val="en-CA"/>
        </w:rPr>
      </w:pPr>
      <w:r w:rsidRPr="0074414F">
        <w:rPr>
          <w:rStyle w:val="Appelnotedebasdep"/>
        </w:rPr>
        <w:footnoteRef/>
      </w:r>
      <w:r w:rsidRPr="0074414F">
        <w:t xml:space="preserve"> </w:t>
      </w:r>
      <w:r w:rsidRPr="0074414F">
        <w:tab/>
      </w:r>
      <w:r w:rsidRPr="0074414F">
        <w:rPr>
          <w:i/>
        </w:rPr>
        <w:t>Planification-Organisatio</w:t>
      </w:r>
      <w:r>
        <w:rPr>
          <w:i/>
        </w:rPr>
        <w:t xml:space="preserve">n-Publications Systèmes (POPS) </w:t>
      </w:r>
      <w:r w:rsidR="0041007E">
        <w:rPr>
          <w:i/>
        </w:rPr>
        <w:t>L</w:t>
      </w:r>
      <w:r>
        <w:rPr>
          <w:i/>
        </w:rPr>
        <w:t xml:space="preserve">tée v. 9054-8181 Québec </w:t>
      </w:r>
      <w:r w:rsidR="0041007E">
        <w:rPr>
          <w:i/>
        </w:rPr>
        <w:t>I</w:t>
      </w:r>
      <w:r w:rsidRPr="0074414F">
        <w:rPr>
          <w:i/>
        </w:rPr>
        <w:t>nc</w:t>
      </w:r>
      <w:r>
        <w:t xml:space="preserve">, 2013 FC 427 </w:t>
      </w:r>
      <w:r w:rsidR="0041007E">
        <w:t xml:space="preserve">at </w:t>
      </w:r>
      <w:r>
        <w:t xml:space="preserve">para. 128, </w:t>
      </w:r>
      <w:r w:rsidR="0041007E">
        <w:t>aff’d</w:t>
      </w:r>
      <w:r>
        <w:t xml:space="preserve"> </w:t>
      </w:r>
      <w:r w:rsidRPr="0074414F">
        <w:rPr>
          <w:i/>
        </w:rPr>
        <w:t>Planification-Organisation-Pub</w:t>
      </w:r>
      <w:r>
        <w:rPr>
          <w:i/>
        </w:rPr>
        <w:t xml:space="preserve">lications Systèmes (POPS) </w:t>
      </w:r>
      <w:r w:rsidR="002B4103">
        <w:rPr>
          <w:i/>
        </w:rPr>
        <w:t>L</w:t>
      </w:r>
      <w:r>
        <w:rPr>
          <w:i/>
        </w:rPr>
        <w:t>tée v</w:t>
      </w:r>
      <w:r w:rsidRPr="0074414F">
        <w:rPr>
          <w:i/>
        </w:rPr>
        <w:t xml:space="preserve">. 9054-8181 Québec </w:t>
      </w:r>
      <w:r w:rsidR="002B4103">
        <w:rPr>
          <w:i/>
        </w:rPr>
        <w:t>I</w:t>
      </w:r>
      <w:r w:rsidRPr="0074414F">
        <w:rPr>
          <w:i/>
        </w:rPr>
        <w:t>nc.,</w:t>
      </w:r>
      <w:r>
        <w:t xml:space="preserve"> </w:t>
      </w:r>
      <w:r w:rsidRPr="00C40ACF">
        <w:rPr>
          <w:i/>
        </w:rPr>
        <w:t>supra</w:t>
      </w:r>
      <w:r>
        <w:t xml:space="preserve"> note</w:t>
      </w:r>
      <w:r w:rsidR="002B4103">
        <w:t xml:space="preserve"> 29</w:t>
      </w:r>
      <w:r>
        <w:t xml:space="preserve"> </w:t>
      </w:r>
      <w:r w:rsidR="002B4103">
        <w:t xml:space="preserve">at </w:t>
      </w:r>
      <w:r>
        <w:t>para</w:t>
      </w:r>
      <w:r w:rsidRPr="0074414F">
        <w:t xml:space="preserve">. 45; </w:t>
      </w:r>
      <w:r>
        <w:rPr>
          <w:i/>
        </w:rPr>
        <w:t xml:space="preserve">Pinto v. </w:t>
      </w:r>
      <w:r w:rsidR="002B4103" w:rsidRPr="002B4103">
        <w:rPr>
          <w:i/>
        </w:rPr>
        <w:t>Bronfman Jewish Education Centre</w:t>
      </w:r>
      <w:r>
        <w:t xml:space="preserve">, 2013 FC 945 </w:t>
      </w:r>
      <w:r w:rsidR="002B4103">
        <w:t xml:space="preserve">at </w:t>
      </w:r>
      <w:r>
        <w:t>para</w:t>
      </w:r>
      <w:r w:rsidRPr="0074414F">
        <w:t xml:space="preserve">. 179; </w:t>
      </w:r>
      <w:r w:rsidRPr="0074414F">
        <w:rPr>
          <w:i/>
        </w:rPr>
        <w:t>Katz (c.o.b. Michael Katz Associates) v. Cytrynbaum</w:t>
      </w:r>
      <w:r w:rsidRPr="0074414F">
        <w:t>, [1983] B.C.J. N</w:t>
      </w:r>
      <w:r>
        <w:t>o. 2421, 1983 CanLII 557</w:t>
      </w:r>
      <w:r w:rsidR="002B4103">
        <w:t xml:space="preserve"> (BC CA)</w:t>
      </w:r>
      <w:r>
        <w:t xml:space="preserve"> </w:t>
      </w:r>
      <w:r w:rsidR="002B4103">
        <w:t xml:space="preserve">at </w:t>
      </w:r>
      <w:r>
        <w:t>para</w:t>
      </w:r>
      <w:r w:rsidRPr="0074414F">
        <w:t xml:space="preserve">. </w:t>
      </w:r>
      <w:r w:rsidRPr="000E2D2A">
        <w:rPr>
          <w:lang w:val="en-CA"/>
        </w:rPr>
        <w:t>19</w:t>
      </w:r>
      <w:r w:rsidR="002B4103" w:rsidRPr="000E2D2A">
        <w:rPr>
          <w:lang w:val="en-CA"/>
        </w:rPr>
        <w:t>–</w:t>
      </w:r>
      <w:r w:rsidRPr="000E2D2A">
        <w:rPr>
          <w:lang w:val="en-CA"/>
        </w:rPr>
        <w:t xml:space="preserve">21; Vaver, </w:t>
      </w:r>
      <w:r w:rsidR="002B4103" w:rsidRPr="00E469B0">
        <w:rPr>
          <w:i/>
          <w:lang w:val="en-CA"/>
        </w:rPr>
        <w:t xml:space="preserve">Intellectual </w:t>
      </w:r>
      <w:r w:rsidR="00AE7360">
        <w:rPr>
          <w:i/>
          <w:lang w:val="en-CA"/>
        </w:rPr>
        <w:t>P</w:t>
      </w:r>
      <w:r w:rsidR="002B4103" w:rsidRPr="00E469B0">
        <w:rPr>
          <w:i/>
          <w:lang w:val="en-CA"/>
        </w:rPr>
        <w:t xml:space="preserve">roperty </w:t>
      </w:r>
      <w:r w:rsidR="00AE7360">
        <w:rPr>
          <w:i/>
          <w:lang w:val="en-CA"/>
        </w:rPr>
        <w:t>L</w:t>
      </w:r>
      <w:r w:rsidR="002B4103" w:rsidRPr="00E469B0">
        <w:rPr>
          <w:i/>
          <w:lang w:val="en-CA"/>
        </w:rPr>
        <w:t>aw</w:t>
      </w:r>
      <w:r w:rsidR="002B4103">
        <w:rPr>
          <w:iCs/>
          <w:lang w:val="en-CA"/>
        </w:rPr>
        <w:t>,</w:t>
      </w:r>
      <w:r w:rsidR="002B4103" w:rsidRPr="000E2D2A">
        <w:rPr>
          <w:i/>
          <w:lang w:val="en-CA"/>
        </w:rPr>
        <w:t xml:space="preserve">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2B4103">
        <w:rPr>
          <w:lang w:val="en-CA"/>
        </w:rPr>
        <w:t xml:space="preserve"> 41</w:t>
      </w:r>
      <w:r w:rsidRPr="000E2D2A">
        <w:rPr>
          <w:lang w:val="en-CA"/>
        </w:rPr>
        <w:t> </w:t>
      </w:r>
      <w:r w:rsidR="002B4103">
        <w:rPr>
          <w:lang w:val="en-CA"/>
        </w:rPr>
        <w:t xml:space="preserve">at </w:t>
      </w:r>
      <w:r w:rsidRPr="000E2D2A">
        <w:rPr>
          <w:lang w:val="en-CA"/>
        </w:rPr>
        <w:t>582</w:t>
      </w:r>
      <w:r w:rsidR="002B4103">
        <w:rPr>
          <w:lang w:val="en-CA"/>
        </w:rPr>
        <w:t>–</w:t>
      </w:r>
      <w:r w:rsidRPr="000E2D2A">
        <w:rPr>
          <w:lang w:val="en-CA"/>
        </w:rPr>
        <w:t xml:space="preserve">583; McKeown,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2B4103">
        <w:rPr>
          <w:lang w:val="en-CA"/>
        </w:rPr>
        <w:t xml:space="preserve"> 41</w:t>
      </w:r>
      <w:r w:rsidRPr="000E2D2A">
        <w:rPr>
          <w:lang w:val="en-CA"/>
        </w:rPr>
        <w:t xml:space="preserve"> </w:t>
      </w:r>
      <w:r w:rsidR="002B4103">
        <w:rPr>
          <w:lang w:val="en-CA"/>
        </w:rPr>
        <w:t xml:space="preserve">at </w:t>
      </w:r>
      <w:r w:rsidRPr="000E2D2A">
        <w:rPr>
          <w:lang w:val="en-CA"/>
        </w:rPr>
        <w:t>19</w:t>
      </w:r>
      <w:r w:rsidR="002B4103">
        <w:rPr>
          <w:lang w:val="en-CA"/>
        </w:rPr>
        <w:t>–</w:t>
      </w:r>
      <w:r w:rsidRPr="000E2D2A">
        <w:rPr>
          <w:lang w:val="en-CA"/>
        </w:rPr>
        <w:t>30.</w:t>
      </w:r>
    </w:p>
  </w:footnote>
  <w:footnote w:id="92">
    <w:p w14:paraId="060DFED5" w14:textId="26FE997D" w:rsidR="007629E2" w:rsidRPr="000E2D2A" w:rsidRDefault="007629E2" w:rsidP="00624241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>
        <w:t xml:space="preserve"> </w:t>
      </w:r>
      <w:r>
        <w:tab/>
      </w:r>
      <w:r>
        <w:rPr>
          <w:i/>
        </w:rPr>
        <w:t xml:space="preserve">9077-0801 Québec inc. </w:t>
      </w:r>
      <w:r w:rsidR="001E63EB">
        <w:rPr>
          <w:i/>
        </w:rPr>
        <w:t>c</w:t>
      </w:r>
      <w:r w:rsidRPr="0074414F">
        <w:rPr>
          <w:i/>
        </w:rPr>
        <w:t>. Société des loteries vidéo du Québec inc</w:t>
      </w:r>
      <w:r>
        <w:t xml:space="preserve">., 2012 QCCA 885 </w:t>
      </w:r>
      <w:r w:rsidR="001E63EB">
        <w:t xml:space="preserve">at </w:t>
      </w:r>
      <w:r>
        <w:t>para. </w:t>
      </w:r>
      <w:r w:rsidRPr="0074414F">
        <w:t xml:space="preserve">30; </w:t>
      </w:r>
      <w:r>
        <w:rPr>
          <w:i/>
        </w:rPr>
        <w:t xml:space="preserve">Meubles Canadel inc. </w:t>
      </w:r>
      <w:r w:rsidR="001E63EB">
        <w:rPr>
          <w:i/>
        </w:rPr>
        <w:t>c</w:t>
      </w:r>
      <w:r w:rsidRPr="0074414F">
        <w:rPr>
          <w:i/>
        </w:rPr>
        <w:t>. Ameublement 640 inc.,</w:t>
      </w:r>
      <w:r>
        <w:t xml:space="preserve"> 2006 QCCA 1547 </w:t>
      </w:r>
      <w:r w:rsidR="001E63EB">
        <w:t xml:space="preserve">at </w:t>
      </w:r>
      <w:r>
        <w:t>para</w:t>
      </w:r>
      <w:r w:rsidRPr="0074414F">
        <w:t xml:space="preserve">. 6; </w:t>
      </w:r>
      <w:r>
        <w:rPr>
          <w:i/>
        </w:rPr>
        <w:t>BMW Canada inc. c. </w:t>
      </w:r>
      <w:r w:rsidRPr="0074414F">
        <w:rPr>
          <w:i/>
        </w:rPr>
        <w:t>Automobiles Jalbert inc</w:t>
      </w:r>
      <w:r>
        <w:t xml:space="preserve">., 2006 QCCA 1068 </w:t>
      </w:r>
      <w:r w:rsidR="001E63EB">
        <w:t xml:space="preserve">at </w:t>
      </w:r>
      <w:r>
        <w:t>para</w:t>
      </w:r>
      <w:r w:rsidR="001E63EB">
        <w:t>s</w:t>
      </w:r>
      <w:r w:rsidRPr="0074414F">
        <w:t xml:space="preserve">. </w:t>
      </w:r>
      <w:r w:rsidRPr="000E2D2A">
        <w:rPr>
          <w:lang w:val="en-CA"/>
        </w:rPr>
        <w:t>103</w:t>
      </w:r>
      <w:r w:rsidR="009807BB" w:rsidRPr="000E2D2A">
        <w:rPr>
          <w:lang w:val="en-CA"/>
        </w:rPr>
        <w:t>–</w:t>
      </w:r>
      <w:r w:rsidRPr="000E2D2A">
        <w:rPr>
          <w:lang w:val="en-CA"/>
        </w:rPr>
        <w:t xml:space="preserve">109, leave to appeal to </w:t>
      </w:r>
      <w:r w:rsidR="00844261" w:rsidRPr="000E2D2A">
        <w:rPr>
          <w:lang w:val="en-CA"/>
        </w:rPr>
        <w:t>SC</w:t>
      </w:r>
      <w:r w:rsidR="00844261" w:rsidRPr="009807BB">
        <w:rPr>
          <w:lang w:val="en-CA"/>
        </w:rPr>
        <w:t>C refused</w:t>
      </w:r>
      <w:r w:rsidRPr="000E2D2A">
        <w:rPr>
          <w:lang w:val="en-CA"/>
        </w:rPr>
        <w:t xml:space="preserve">, </w:t>
      </w:r>
      <w:r w:rsidR="009807BB" w:rsidRPr="006E1D4B">
        <w:rPr>
          <w:lang w:val="en-CA"/>
        </w:rPr>
        <w:t>31685</w:t>
      </w:r>
      <w:r w:rsidR="009807BB">
        <w:rPr>
          <w:lang w:val="en-CA"/>
        </w:rPr>
        <w:t xml:space="preserve"> (22 </w:t>
      </w:r>
      <w:r w:rsidRPr="000E2D2A">
        <w:rPr>
          <w:lang w:val="en-CA"/>
        </w:rPr>
        <w:t>February 2007</w:t>
      </w:r>
      <w:r w:rsidR="009807BB">
        <w:rPr>
          <w:lang w:val="en-CA"/>
        </w:rPr>
        <w:t>)</w:t>
      </w:r>
      <w:r w:rsidRPr="000E2D2A">
        <w:rPr>
          <w:lang w:val="en-CA"/>
        </w:rPr>
        <w:t xml:space="preserve">; </w:t>
      </w:r>
      <w:r w:rsidRPr="000E2D2A">
        <w:rPr>
          <w:i/>
          <w:lang w:val="en-CA"/>
        </w:rPr>
        <w:t xml:space="preserve">S.M.C. Pneumatiques (Canada) ltée </w:t>
      </w:r>
      <w:r w:rsidR="009807BB">
        <w:rPr>
          <w:i/>
          <w:lang w:val="en-CA"/>
        </w:rPr>
        <w:t>c</w:t>
      </w:r>
      <w:r w:rsidRPr="000E2D2A">
        <w:rPr>
          <w:i/>
          <w:lang w:val="en-CA"/>
        </w:rPr>
        <w:t xml:space="preserve">. Dicsa inc., </w:t>
      </w:r>
      <w:r w:rsidRPr="000E2D2A">
        <w:rPr>
          <w:lang w:val="en-CA"/>
        </w:rPr>
        <w:t xml:space="preserve">B.E. 2003BE-208, AZ-03019049 (C.A.); </w:t>
      </w:r>
      <w:r w:rsidRPr="000E2D2A">
        <w:rPr>
          <w:i/>
          <w:lang w:val="en-CA"/>
        </w:rPr>
        <w:t xml:space="preserve">E. &amp; S. Salsberg inc. </w:t>
      </w:r>
      <w:r w:rsidR="009807BB">
        <w:rPr>
          <w:i/>
          <w:lang w:val="en-CA"/>
        </w:rPr>
        <w:t>c</w:t>
      </w:r>
      <w:r w:rsidRPr="000E2D2A">
        <w:rPr>
          <w:i/>
          <w:lang w:val="en-CA"/>
        </w:rPr>
        <w:t>. Dylex Ltd</w:t>
      </w:r>
      <w:r w:rsidRPr="000E2D2A">
        <w:rPr>
          <w:lang w:val="en-CA"/>
        </w:rPr>
        <w:t xml:space="preserve">.,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9807BB">
        <w:rPr>
          <w:lang w:val="en-CA"/>
        </w:rPr>
        <w:t xml:space="preserve"> 90</w:t>
      </w:r>
      <w:r w:rsidRPr="000E2D2A">
        <w:rPr>
          <w:lang w:val="en-CA"/>
        </w:rPr>
        <w:t xml:space="preserve">; Lluelles </w:t>
      </w:r>
      <w:r w:rsidR="009807BB">
        <w:rPr>
          <w:lang w:val="en-CA"/>
        </w:rPr>
        <w:t>&amp;</w:t>
      </w:r>
      <w:r w:rsidRPr="000E2D2A">
        <w:rPr>
          <w:lang w:val="en-CA"/>
        </w:rPr>
        <w:t xml:space="preserve"> Moore,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9807BB">
        <w:rPr>
          <w:lang w:val="en-CA"/>
        </w:rPr>
        <w:t xml:space="preserve"> 82</w:t>
      </w:r>
      <w:r w:rsidRPr="000E2D2A">
        <w:rPr>
          <w:lang w:val="en-CA"/>
        </w:rPr>
        <w:t> </w:t>
      </w:r>
      <w:r w:rsidR="009807BB">
        <w:rPr>
          <w:lang w:val="en-CA"/>
        </w:rPr>
        <w:t xml:space="preserve">at </w:t>
      </w:r>
      <w:r w:rsidRPr="000E2D2A">
        <w:rPr>
          <w:lang w:val="en-CA"/>
        </w:rPr>
        <w:t xml:space="preserve">1255, </w:t>
      </w:r>
      <w:r w:rsidR="009807BB">
        <w:rPr>
          <w:lang w:val="en-CA"/>
        </w:rPr>
        <w:t>Nos.</w:t>
      </w:r>
      <w:r w:rsidRPr="000E2D2A">
        <w:rPr>
          <w:lang w:val="en-CA"/>
        </w:rPr>
        <w:t> 2140 and 2143.</w:t>
      </w:r>
    </w:p>
  </w:footnote>
  <w:footnote w:id="93">
    <w:p w14:paraId="4579FB8D" w14:textId="70BDFC71" w:rsidR="007629E2" w:rsidRPr="004A681D" w:rsidRDefault="007629E2" w:rsidP="00624241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0E2D2A">
        <w:rPr>
          <w:lang w:val="en-CA"/>
        </w:rPr>
        <w:t xml:space="preserve"> </w:t>
      </w:r>
      <w:r w:rsidRPr="000E2D2A">
        <w:rPr>
          <w:lang w:val="en-CA"/>
        </w:rPr>
        <w:tab/>
      </w:r>
      <w:r w:rsidRPr="000E2D2A">
        <w:rPr>
          <w:i/>
          <w:lang w:val="en-CA"/>
        </w:rPr>
        <w:t xml:space="preserve">BMW Canada inc. </w:t>
      </w:r>
      <w:r w:rsidR="009807BB" w:rsidRPr="000E2D2A">
        <w:rPr>
          <w:i/>
          <w:lang w:val="en-CA"/>
        </w:rPr>
        <w:t>c</w:t>
      </w:r>
      <w:r w:rsidRPr="000E2D2A">
        <w:rPr>
          <w:i/>
          <w:lang w:val="en-CA"/>
        </w:rPr>
        <w:t>. Automobiles Jalbert inc</w:t>
      </w:r>
      <w:r w:rsidRPr="000E2D2A">
        <w:rPr>
          <w:lang w:val="en-CA"/>
        </w:rPr>
        <w:t xml:space="preserve">.,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9807BB" w:rsidRPr="000E2D2A">
        <w:rPr>
          <w:lang w:val="en-CA"/>
        </w:rPr>
        <w:t xml:space="preserve"> 92</w:t>
      </w:r>
      <w:r w:rsidRPr="000E2D2A">
        <w:rPr>
          <w:lang w:val="en-CA"/>
        </w:rPr>
        <w:t xml:space="preserve"> </w:t>
      </w:r>
      <w:r w:rsidR="009807BB" w:rsidRPr="000E2D2A">
        <w:rPr>
          <w:lang w:val="en-CA"/>
        </w:rPr>
        <w:t xml:space="preserve">at </w:t>
      </w:r>
      <w:r w:rsidRPr="000E2D2A">
        <w:rPr>
          <w:lang w:val="en-CA"/>
        </w:rPr>
        <w:t xml:space="preserve">para. </w:t>
      </w:r>
      <w:r w:rsidRPr="004A681D">
        <w:rPr>
          <w:lang w:val="en-US"/>
        </w:rPr>
        <w:t xml:space="preserve">108, leave to appeal to </w:t>
      </w:r>
      <w:r w:rsidR="009807BB">
        <w:rPr>
          <w:lang w:val="en-US"/>
        </w:rPr>
        <w:t xml:space="preserve">SCC refused, </w:t>
      </w:r>
      <w:r w:rsidR="009807BB" w:rsidRPr="004A681D">
        <w:rPr>
          <w:lang w:val="en-US"/>
        </w:rPr>
        <w:t>31685</w:t>
      </w:r>
      <w:r w:rsidRPr="004A681D">
        <w:rPr>
          <w:lang w:val="en-US"/>
        </w:rPr>
        <w:t xml:space="preserve"> </w:t>
      </w:r>
      <w:r w:rsidR="009807BB">
        <w:rPr>
          <w:lang w:val="en-US"/>
        </w:rPr>
        <w:t xml:space="preserve">(22 </w:t>
      </w:r>
      <w:r>
        <w:rPr>
          <w:lang w:val="en-US"/>
        </w:rPr>
        <w:t>February</w:t>
      </w:r>
      <w:r w:rsidRPr="004A681D">
        <w:rPr>
          <w:lang w:val="en-US"/>
        </w:rPr>
        <w:t xml:space="preserve"> 2007</w:t>
      </w:r>
      <w:r w:rsidR="009807BB">
        <w:rPr>
          <w:lang w:val="en-US"/>
        </w:rPr>
        <w:t>)</w:t>
      </w:r>
      <w:r w:rsidRPr="004A681D">
        <w:rPr>
          <w:lang w:val="en-US"/>
        </w:rPr>
        <w:t>.</w:t>
      </w:r>
    </w:p>
  </w:footnote>
  <w:footnote w:id="94">
    <w:p w14:paraId="24554971" w14:textId="7CA3B9DC" w:rsidR="007629E2" w:rsidRPr="00FA0CB6" w:rsidRDefault="007629E2" w:rsidP="00624241">
      <w:pPr>
        <w:pStyle w:val="Notedebasdepage"/>
      </w:pPr>
      <w:r>
        <w:rPr>
          <w:rStyle w:val="Appelnotedebasdep"/>
        </w:rPr>
        <w:footnoteRef/>
      </w:r>
      <w:r w:rsidRPr="00FA0CB6">
        <w:t xml:space="preserve"> </w:t>
      </w:r>
      <w:r w:rsidRPr="00FA0CB6">
        <w:tab/>
        <w:t xml:space="preserve">Lluelles </w:t>
      </w:r>
      <w:r w:rsidR="009807BB" w:rsidRPr="00FA0CB6">
        <w:t>&amp;</w:t>
      </w:r>
      <w:r w:rsidRPr="00FA0CB6">
        <w:t xml:space="preserve"> Moore, </w:t>
      </w:r>
      <w:r w:rsidRPr="00FA0CB6">
        <w:rPr>
          <w:i/>
        </w:rPr>
        <w:t>supra</w:t>
      </w:r>
      <w:r w:rsidRPr="00FA0CB6">
        <w:t xml:space="preserve"> note</w:t>
      </w:r>
      <w:r w:rsidR="00FA0CB6" w:rsidRPr="000E2D2A">
        <w:t xml:space="preserve"> 82</w:t>
      </w:r>
      <w:r w:rsidRPr="00FA0CB6">
        <w:t xml:space="preserve"> </w:t>
      </w:r>
      <w:r w:rsidR="00FA0CB6" w:rsidRPr="000E2D2A">
        <w:t xml:space="preserve">at </w:t>
      </w:r>
      <w:r w:rsidRPr="00FA0CB6">
        <w:t xml:space="preserve">1240, </w:t>
      </w:r>
      <w:r w:rsidR="00FA0CB6" w:rsidRPr="000E2D2A">
        <w:t>No.</w:t>
      </w:r>
      <w:r w:rsidRPr="00FA0CB6">
        <w:t> 2120.</w:t>
      </w:r>
    </w:p>
  </w:footnote>
  <w:footnote w:id="95">
    <w:p w14:paraId="20E49A26" w14:textId="58A81BA8" w:rsidR="007629E2" w:rsidRPr="000E2D2A" w:rsidRDefault="007629E2" w:rsidP="007709E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817536">
        <w:rPr>
          <w:i/>
        </w:rPr>
        <w:t>Québec (Com</w:t>
      </w:r>
      <w:r>
        <w:rPr>
          <w:i/>
        </w:rPr>
        <w:t>mission des normes du travail) v</w:t>
      </w:r>
      <w:r w:rsidRPr="00817536">
        <w:rPr>
          <w:i/>
        </w:rPr>
        <w:t>. Asphalte Desjardins inc</w:t>
      </w:r>
      <w:r>
        <w:t xml:space="preserve">., </w:t>
      </w:r>
      <w:r>
        <w:rPr>
          <w:i/>
        </w:rPr>
        <w:t>supra</w:t>
      </w:r>
      <w:r>
        <w:t xml:space="preserve"> note</w:t>
      </w:r>
      <w:r w:rsidR="00FA0CB6">
        <w:t xml:space="preserve"> 90</w:t>
      </w:r>
      <w:r>
        <w:t xml:space="preserve"> </w:t>
      </w:r>
      <w:r w:rsidR="00FA0CB6">
        <w:t xml:space="preserve">at </w:t>
      </w:r>
      <w:r>
        <w:t>para. </w:t>
      </w:r>
      <w:r w:rsidRPr="000E2D2A">
        <w:t xml:space="preserve">29. See also Lluelles </w:t>
      </w:r>
      <w:r w:rsidR="00FA0CB6" w:rsidRPr="000E2D2A">
        <w:t>&amp;</w:t>
      </w:r>
      <w:r w:rsidRPr="000E2D2A">
        <w:t xml:space="preserve"> Moore, </w:t>
      </w:r>
      <w:r w:rsidRPr="000E2D2A">
        <w:rPr>
          <w:i/>
        </w:rPr>
        <w:t>supra</w:t>
      </w:r>
      <w:r w:rsidRPr="000E2D2A">
        <w:t xml:space="preserve"> note</w:t>
      </w:r>
      <w:r w:rsidR="00FA0CB6" w:rsidRPr="000E2D2A">
        <w:t xml:space="preserve"> 82</w:t>
      </w:r>
      <w:r w:rsidRPr="000E2D2A">
        <w:t> </w:t>
      </w:r>
      <w:r w:rsidR="00FA0CB6" w:rsidRPr="000E2D2A">
        <w:t xml:space="preserve">at </w:t>
      </w:r>
      <w:r w:rsidRPr="000E2D2A">
        <w:t xml:space="preserve">1240, </w:t>
      </w:r>
      <w:r w:rsidR="00FA0CB6" w:rsidRPr="000E2D2A">
        <w:t>No.</w:t>
      </w:r>
      <w:r w:rsidRPr="000E2D2A">
        <w:t xml:space="preserve"> 2120.</w:t>
      </w:r>
    </w:p>
  </w:footnote>
  <w:footnote w:id="96">
    <w:p w14:paraId="2D75FE3E" w14:textId="2F817756" w:rsidR="007629E2" w:rsidRPr="006A0A74" w:rsidRDefault="007629E2" w:rsidP="007709EE">
      <w:pPr>
        <w:pStyle w:val="Notedebasdepage"/>
      </w:pPr>
      <w:r>
        <w:rPr>
          <w:rStyle w:val="Appelnotedebasdep"/>
        </w:rPr>
        <w:footnoteRef/>
      </w:r>
      <w:r w:rsidRPr="000E2D2A">
        <w:t xml:space="preserve"> </w:t>
      </w:r>
      <w:r w:rsidRPr="000E2D2A">
        <w:tab/>
      </w:r>
      <w:r w:rsidRPr="000E2D2A">
        <w:rPr>
          <w:i/>
        </w:rPr>
        <w:t xml:space="preserve">9077-0801 Québec inc. </w:t>
      </w:r>
      <w:r w:rsidR="00FA0CB6" w:rsidRPr="000E2D2A">
        <w:rPr>
          <w:i/>
        </w:rPr>
        <w:t>c</w:t>
      </w:r>
      <w:r w:rsidRPr="000E2D2A">
        <w:rPr>
          <w:i/>
        </w:rPr>
        <w:t xml:space="preserve">. </w:t>
      </w:r>
      <w:r w:rsidRPr="00F75495">
        <w:rPr>
          <w:i/>
        </w:rPr>
        <w:t>Société des loteries vidéo du Québec inc</w:t>
      </w:r>
      <w:r>
        <w:t xml:space="preserve">., </w:t>
      </w:r>
      <w:r>
        <w:rPr>
          <w:i/>
        </w:rPr>
        <w:t>supra</w:t>
      </w:r>
      <w:r>
        <w:t xml:space="preserve"> note</w:t>
      </w:r>
      <w:r w:rsidR="00FA0CB6">
        <w:t xml:space="preserve"> 92</w:t>
      </w:r>
      <w:r>
        <w:t xml:space="preserve"> </w:t>
      </w:r>
      <w:r w:rsidR="00FA0CB6">
        <w:t xml:space="preserve">at </w:t>
      </w:r>
      <w:r>
        <w:t xml:space="preserve">para. 30; </w:t>
      </w:r>
      <w:r w:rsidRPr="006A0A74">
        <w:rPr>
          <w:i/>
        </w:rPr>
        <w:t>Cen</w:t>
      </w:r>
      <w:r>
        <w:rPr>
          <w:i/>
        </w:rPr>
        <w:t xml:space="preserve">tre commercial Innovation inc. </w:t>
      </w:r>
      <w:r w:rsidR="00FA0CB6">
        <w:rPr>
          <w:i/>
        </w:rPr>
        <w:t>c</w:t>
      </w:r>
      <w:r w:rsidRPr="006A0A74">
        <w:rPr>
          <w:i/>
        </w:rPr>
        <w:t>. Lafleur</w:t>
      </w:r>
      <w:r w:rsidRPr="006A0A74">
        <w:t>, 2009 QCCA 845</w:t>
      </w:r>
      <w:r>
        <w:t xml:space="preserve"> </w:t>
      </w:r>
      <w:r w:rsidR="00FA0CB6">
        <w:t xml:space="preserve">at </w:t>
      </w:r>
      <w:r>
        <w:t>para. 14.</w:t>
      </w:r>
    </w:p>
  </w:footnote>
  <w:footnote w:id="97">
    <w:p w14:paraId="051A8114" w14:textId="03C13AF4" w:rsidR="007629E2" w:rsidRPr="000E2D2A" w:rsidRDefault="007629E2" w:rsidP="00634D8F">
      <w:pPr>
        <w:pStyle w:val="Notedebasdepage"/>
      </w:pPr>
      <w:r>
        <w:rPr>
          <w:rStyle w:val="Appelnotedebasdep"/>
        </w:rPr>
        <w:footnoteRef/>
      </w:r>
      <w:r w:rsidRPr="000E2D2A">
        <w:t xml:space="preserve"> </w:t>
      </w:r>
      <w:r w:rsidRPr="000E2D2A">
        <w:tab/>
        <w:t xml:space="preserve">Lluelles </w:t>
      </w:r>
      <w:r w:rsidR="00FA0CB6" w:rsidRPr="000E2D2A">
        <w:t>&amp;</w:t>
      </w:r>
      <w:r w:rsidRPr="000E2D2A">
        <w:t xml:space="preserve"> Moore, </w:t>
      </w:r>
      <w:r w:rsidRPr="000E2D2A">
        <w:rPr>
          <w:i/>
        </w:rPr>
        <w:t>supra</w:t>
      </w:r>
      <w:r w:rsidRPr="000E2D2A">
        <w:t xml:space="preserve"> note</w:t>
      </w:r>
      <w:r w:rsidR="00FA0CB6" w:rsidRPr="000E2D2A">
        <w:t xml:space="preserve"> 82</w:t>
      </w:r>
      <w:r w:rsidRPr="000E2D2A">
        <w:t> </w:t>
      </w:r>
      <w:r w:rsidR="00FA0CB6" w:rsidRPr="000E2D2A">
        <w:t xml:space="preserve">at </w:t>
      </w:r>
      <w:r w:rsidRPr="000E2D2A">
        <w:t xml:space="preserve">1147, </w:t>
      </w:r>
      <w:r w:rsidR="00FA0CB6" w:rsidRPr="000E2D2A">
        <w:t>No.</w:t>
      </w:r>
      <w:r w:rsidRPr="000E2D2A">
        <w:t> 1996.</w:t>
      </w:r>
    </w:p>
  </w:footnote>
  <w:footnote w:id="98">
    <w:p w14:paraId="64D699C8" w14:textId="2ED394D6" w:rsidR="007629E2" w:rsidRPr="007146E0" w:rsidRDefault="007629E2" w:rsidP="00634D8F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7146E0">
        <w:rPr>
          <w:lang w:val="en-CA"/>
        </w:rPr>
        <w:t xml:space="preserve"> </w:t>
      </w:r>
      <w:r>
        <w:rPr>
          <w:lang w:val="en-CA"/>
        </w:rPr>
        <w:tab/>
      </w:r>
      <w:r w:rsidRPr="00580371">
        <w:rPr>
          <w:i/>
          <w:lang w:val="en-CA"/>
        </w:rPr>
        <w:t>Toshiba Business Equipment, Divi</w:t>
      </w:r>
      <w:r>
        <w:rPr>
          <w:i/>
          <w:lang w:val="en-CA"/>
        </w:rPr>
        <w:t xml:space="preserve">sion of Toshiba of Canada Ltd. </w:t>
      </w:r>
      <w:r w:rsidR="00FA0CB6">
        <w:rPr>
          <w:i/>
          <w:lang w:val="en-CA"/>
        </w:rPr>
        <w:t>c</w:t>
      </w:r>
      <w:r w:rsidRPr="00580371">
        <w:rPr>
          <w:i/>
          <w:lang w:val="en-CA"/>
        </w:rPr>
        <w:t>. Admaco Business Machines Ltd</w:t>
      </w:r>
      <w:r w:rsidRPr="00580371">
        <w:rPr>
          <w:lang w:val="en-CA"/>
        </w:rPr>
        <w:t>., 2007 QCCA 125</w:t>
      </w:r>
      <w:r>
        <w:rPr>
          <w:lang w:val="en-CA"/>
        </w:rPr>
        <w:t xml:space="preserve"> </w:t>
      </w:r>
      <w:r w:rsidR="00FA0CB6">
        <w:rPr>
          <w:lang w:val="en-CA"/>
        </w:rPr>
        <w:t xml:space="preserve">at </w:t>
      </w:r>
      <w:r>
        <w:rPr>
          <w:lang w:val="en-CA"/>
        </w:rPr>
        <w:t>para</w:t>
      </w:r>
      <w:r w:rsidRPr="0041535F">
        <w:rPr>
          <w:lang w:val="en-CA"/>
        </w:rPr>
        <w:t>. 38.</w:t>
      </w:r>
    </w:p>
  </w:footnote>
  <w:footnote w:id="99">
    <w:p w14:paraId="34521986" w14:textId="43722FFD" w:rsidR="007629E2" w:rsidRPr="00CD5C93" w:rsidRDefault="007629E2" w:rsidP="007709EE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CD5C93">
        <w:rPr>
          <w:lang w:val="en-CA"/>
        </w:rPr>
        <w:t xml:space="preserve"> </w:t>
      </w:r>
      <w:r w:rsidRPr="00CD5C93">
        <w:rPr>
          <w:lang w:val="en-CA"/>
        </w:rPr>
        <w:tab/>
      </w:r>
      <w:r>
        <w:rPr>
          <w:i/>
          <w:lang w:val="en-CA"/>
        </w:rPr>
        <w:t xml:space="preserve">Richman </w:t>
      </w:r>
      <w:r w:rsidR="00FA0CB6">
        <w:rPr>
          <w:i/>
          <w:lang w:val="en-CA"/>
        </w:rPr>
        <w:t>c</w:t>
      </w:r>
      <w:r w:rsidRPr="00CD5C93">
        <w:rPr>
          <w:i/>
          <w:lang w:val="en-CA"/>
        </w:rPr>
        <w:t>. Adidas Sportchuhfabriken</w:t>
      </w:r>
      <w:r w:rsidRPr="00CD5C93">
        <w:rPr>
          <w:lang w:val="en-CA"/>
        </w:rPr>
        <w:t xml:space="preserve">, J.E. 97-480, 1997 CanLII 10405 (C.A.); </w:t>
      </w:r>
      <w:r w:rsidRPr="00CD5C93">
        <w:rPr>
          <w:i/>
          <w:lang w:val="en-CA"/>
        </w:rPr>
        <w:t xml:space="preserve">E. </w:t>
      </w:r>
      <w:r>
        <w:rPr>
          <w:i/>
          <w:lang w:val="en-CA"/>
        </w:rPr>
        <w:t xml:space="preserve">&amp; S. Salsberg inc. </w:t>
      </w:r>
      <w:r w:rsidR="00FA0CB6">
        <w:rPr>
          <w:i/>
          <w:lang w:val="en-CA"/>
        </w:rPr>
        <w:t>c</w:t>
      </w:r>
      <w:r>
        <w:rPr>
          <w:i/>
          <w:lang w:val="en-CA"/>
        </w:rPr>
        <w:t>. </w:t>
      </w:r>
      <w:r w:rsidRPr="00CD5C93">
        <w:rPr>
          <w:i/>
          <w:lang w:val="en-CA"/>
        </w:rPr>
        <w:t>Dylex Ltd</w:t>
      </w:r>
      <w:r>
        <w:rPr>
          <w:lang w:val="en-CA"/>
        </w:rPr>
        <w:t xml:space="preserve">., </w:t>
      </w:r>
      <w:r>
        <w:rPr>
          <w:i/>
          <w:lang w:val="en-CA"/>
        </w:rPr>
        <w:t>supra</w:t>
      </w:r>
      <w:r>
        <w:rPr>
          <w:lang w:val="en-CA"/>
        </w:rPr>
        <w:t xml:space="preserve"> note</w:t>
      </w:r>
      <w:r w:rsidR="00FA0CB6">
        <w:rPr>
          <w:lang w:val="en-CA"/>
        </w:rPr>
        <w:t xml:space="preserve"> 90</w:t>
      </w:r>
      <w:r>
        <w:rPr>
          <w:lang w:val="en-CA"/>
        </w:rPr>
        <w:t>.</w:t>
      </w:r>
    </w:p>
  </w:footnote>
  <w:footnote w:id="100">
    <w:p w14:paraId="36435E7E" w14:textId="4D771EBB" w:rsidR="007629E2" w:rsidRPr="000E2D2A" w:rsidRDefault="007629E2" w:rsidP="007709EE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CD5C93">
        <w:rPr>
          <w:lang w:val="en-CA"/>
        </w:rPr>
        <w:t xml:space="preserve"> </w:t>
      </w:r>
      <w:r w:rsidRPr="00CD5C93">
        <w:rPr>
          <w:lang w:val="en-CA"/>
        </w:rPr>
        <w:tab/>
      </w:r>
      <w:r>
        <w:rPr>
          <w:i/>
          <w:lang w:val="en-CA"/>
        </w:rPr>
        <w:t xml:space="preserve">E. &amp; S. Salsberg inc. </w:t>
      </w:r>
      <w:r w:rsidR="00FA0CB6">
        <w:rPr>
          <w:i/>
          <w:lang w:val="en-CA"/>
        </w:rPr>
        <w:t>c</w:t>
      </w:r>
      <w:r w:rsidRPr="00CD5C93">
        <w:rPr>
          <w:i/>
          <w:lang w:val="en-CA"/>
        </w:rPr>
        <w:t xml:space="preserve">. </w:t>
      </w:r>
      <w:r w:rsidRPr="000E2D2A">
        <w:rPr>
          <w:i/>
          <w:lang w:val="en-CA"/>
        </w:rPr>
        <w:t>Dylex Ltd</w:t>
      </w:r>
      <w:r w:rsidRPr="000E2D2A">
        <w:rPr>
          <w:lang w:val="en-CA"/>
        </w:rPr>
        <w:t xml:space="preserve">.,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3D6801" w:rsidRPr="000E2D2A">
        <w:rPr>
          <w:lang w:val="en-CA"/>
        </w:rPr>
        <w:t xml:space="preserve"> 90</w:t>
      </w:r>
      <w:r w:rsidRPr="000E2D2A">
        <w:rPr>
          <w:lang w:val="en-CA"/>
        </w:rPr>
        <w:t>.</w:t>
      </w:r>
    </w:p>
  </w:footnote>
  <w:footnote w:id="101">
    <w:p w14:paraId="38D3A3DE" w14:textId="32BDEBA4" w:rsidR="007629E2" w:rsidRPr="00C554B2" w:rsidRDefault="007629E2" w:rsidP="007709EE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C554B2">
        <w:rPr>
          <w:lang w:val="en-CA"/>
        </w:rPr>
        <w:t xml:space="preserve"> </w:t>
      </w:r>
      <w:r w:rsidRPr="00C554B2">
        <w:rPr>
          <w:lang w:val="en-CA"/>
        </w:rPr>
        <w:tab/>
      </w:r>
      <w:r w:rsidRPr="00C554B2">
        <w:rPr>
          <w:i/>
          <w:lang w:val="en-CA"/>
        </w:rPr>
        <w:t xml:space="preserve">BMW Canada inc. </w:t>
      </w:r>
      <w:r w:rsidR="003D6801" w:rsidRPr="00C554B2">
        <w:rPr>
          <w:i/>
          <w:lang w:val="en-CA"/>
        </w:rPr>
        <w:t>c</w:t>
      </w:r>
      <w:r w:rsidRPr="00C554B2">
        <w:rPr>
          <w:i/>
          <w:lang w:val="en-CA"/>
        </w:rPr>
        <w:t>. Automobiles Jalbert inc.,</w:t>
      </w:r>
      <w:r w:rsidRPr="00C554B2">
        <w:rPr>
          <w:lang w:val="en-CA"/>
        </w:rPr>
        <w:t xml:space="preserve"> </w:t>
      </w:r>
      <w:r w:rsidRPr="00C554B2">
        <w:rPr>
          <w:i/>
          <w:lang w:val="en-CA"/>
        </w:rPr>
        <w:t>supra</w:t>
      </w:r>
      <w:r w:rsidRPr="00C554B2">
        <w:rPr>
          <w:lang w:val="en-CA"/>
        </w:rPr>
        <w:t xml:space="preserve"> note</w:t>
      </w:r>
      <w:r w:rsidR="003D6801" w:rsidRPr="00C554B2">
        <w:rPr>
          <w:lang w:val="en-CA"/>
        </w:rPr>
        <w:t xml:space="preserve"> 92</w:t>
      </w:r>
      <w:r w:rsidRPr="00C554B2">
        <w:rPr>
          <w:lang w:val="en-CA"/>
        </w:rPr>
        <w:t>.</w:t>
      </w:r>
    </w:p>
  </w:footnote>
  <w:footnote w:id="102">
    <w:p w14:paraId="194E53C5" w14:textId="75382A60" w:rsidR="007629E2" w:rsidRPr="00C554B2" w:rsidRDefault="007629E2" w:rsidP="007709EE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C554B2">
        <w:rPr>
          <w:lang w:val="en-CA"/>
        </w:rPr>
        <w:t xml:space="preserve"> </w:t>
      </w:r>
      <w:r w:rsidRPr="00C554B2">
        <w:rPr>
          <w:lang w:val="en-CA"/>
        </w:rPr>
        <w:tab/>
      </w:r>
      <w:r w:rsidRPr="00C554B2">
        <w:rPr>
          <w:i/>
          <w:lang w:val="en-CA"/>
        </w:rPr>
        <w:t>I</w:t>
      </w:r>
      <w:r w:rsidR="00066074" w:rsidRPr="00C554B2">
        <w:rPr>
          <w:i/>
          <w:lang w:val="en-CA"/>
        </w:rPr>
        <w:t>bi</w:t>
      </w:r>
      <w:r w:rsidRPr="00C554B2">
        <w:rPr>
          <w:i/>
          <w:lang w:val="en-CA"/>
        </w:rPr>
        <w:t>d.</w:t>
      </w:r>
      <w:r w:rsidR="00066074" w:rsidRPr="00C554B2">
        <w:rPr>
          <w:i/>
          <w:lang w:val="en-CA"/>
        </w:rPr>
        <w:t xml:space="preserve"> </w:t>
      </w:r>
      <w:r w:rsidR="00066074" w:rsidRPr="00C554B2">
        <w:rPr>
          <w:iCs/>
          <w:lang w:val="en-CA"/>
        </w:rPr>
        <w:t>at</w:t>
      </w:r>
      <w:r w:rsidRPr="00C554B2">
        <w:rPr>
          <w:lang w:val="en-CA"/>
        </w:rPr>
        <w:t xml:space="preserve"> para. 116.</w:t>
      </w:r>
    </w:p>
  </w:footnote>
  <w:footnote w:id="103">
    <w:p w14:paraId="2039955E" w14:textId="7E7EE151" w:rsidR="007629E2" w:rsidRPr="004A681D" w:rsidRDefault="007629E2" w:rsidP="00634D8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C554B2">
        <w:rPr>
          <w:lang w:val="en-CA"/>
        </w:rPr>
        <w:t xml:space="preserve"> </w:t>
      </w:r>
      <w:r w:rsidRPr="00C554B2">
        <w:rPr>
          <w:lang w:val="en-CA"/>
        </w:rPr>
        <w:tab/>
        <w:t>See</w:t>
      </w:r>
      <w:r w:rsidR="00844261" w:rsidRPr="00C554B2">
        <w:rPr>
          <w:lang w:val="en-CA"/>
        </w:rPr>
        <w:t xml:space="preserve"> e.g.</w:t>
      </w:r>
      <w:r w:rsidRPr="00C554B2">
        <w:rPr>
          <w:lang w:val="en-CA"/>
        </w:rPr>
        <w:t xml:space="preserve">, </w:t>
      </w:r>
      <w:r w:rsidRPr="00C554B2">
        <w:rPr>
          <w:i/>
          <w:lang w:val="en-CA"/>
        </w:rPr>
        <w:t xml:space="preserve">9077-0801 Québec inc. </w:t>
      </w:r>
      <w:r w:rsidR="00FC2EB2" w:rsidRPr="00C554B2">
        <w:rPr>
          <w:i/>
          <w:lang w:val="en-CA"/>
        </w:rPr>
        <w:t>c</w:t>
      </w:r>
      <w:r w:rsidRPr="00C554B2">
        <w:rPr>
          <w:i/>
          <w:lang w:val="en-CA"/>
        </w:rPr>
        <w:t>. Société des loteries vidéo du Québec inc</w:t>
      </w:r>
      <w:r w:rsidRPr="00C554B2">
        <w:rPr>
          <w:lang w:val="en-CA"/>
        </w:rPr>
        <w:t xml:space="preserve">., </w:t>
      </w:r>
      <w:r w:rsidRPr="00C554B2">
        <w:rPr>
          <w:i/>
          <w:lang w:val="en-CA"/>
        </w:rPr>
        <w:t>supra</w:t>
      </w:r>
      <w:r w:rsidRPr="00C554B2">
        <w:rPr>
          <w:lang w:val="en-CA"/>
        </w:rPr>
        <w:t xml:space="preserve"> note</w:t>
      </w:r>
      <w:r w:rsidR="00FC2EB2" w:rsidRPr="00C554B2">
        <w:rPr>
          <w:lang w:val="en-CA"/>
        </w:rPr>
        <w:t xml:space="preserve"> 92</w:t>
      </w:r>
      <w:r w:rsidRPr="00C554B2">
        <w:rPr>
          <w:lang w:val="en-CA"/>
        </w:rPr>
        <w:t xml:space="preserve"> </w:t>
      </w:r>
      <w:r w:rsidR="00FC2EB2" w:rsidRPr="00C554B2">
        <w:rPr>
          <w:lang w:val="en-CA"/>
        </w:rPr>
        <w:t xml:space="preserve">at </w:t>
      </w:r>
      <w:r w:rsidRPr="00C554B2">
        <w:rPr>
          <w:lang w:val="en-CA"/>
        </w:rPr>
        <w:t xml:space="preserve">para. </w:t>
      </w:r>
      <w:r w:rsidRPr="00CD5C93">
        <w:rPr>
          <w:lang w:val="en-CA"/>
        </w:rPr>
        <w:t xml:space="preserve">53; </w:t>
      </w:r>
      <w:r w:rsidRPr="00CD5C93">
        <w:rPr>
          <w:i/>
          <w:lang w:val="en-CA"/>
        </w:rPr>
        <w:t>Toshiba Business Equipment, Div</w:t>
      </w:r>
      <w:r>
        <w:rPr>
          <w:i/>
          <w:lang w:val="en-CA"/>
        </w:rPr>
        <w:t>ision of Toshiba of Canada Ltd. </w:t>
      </w:r>
      <w:r w:rsidR="00FC2EB2">
        <w:rPr>
          <w:i/>
          <w:lang w:val="en-CA"/>
        </w:rPr>
        <w:t>c</w:t>
      </w:r>
      <w:r w:rsidRPr="00CD5C93">
        <w:rPr>
          <w:i/>
          <w:lang w:val="en-CA"/>
        </w:rPr>
        <w:t>. Admaco Business Machines Ltd.,</w:t>
      </w:r>
      <w:r>
        <w:rPr>
          <w:lang w:val="en-CA"/>
        </w:rPr>
        <w:t xml:space="preserve"> </w:t>
      </w:r>
      <w:r>
        <w:rPr>
          <w:i/>
          <w:lang w:val="en-CA"/>
        </w:rPr>
        <w:t>supra</w:t>
      </w:r>
      <w:r>
        <w:rPr>
          <w:lang w:val="en-CA"/>
        </w:rPr>
        <w:t xml:space="preserve"> note</w:t>
      </w:r>
      <w:r w:rsidR="00FC2EB2">
        <w:rPr>
          <w:lang w:val="en-CA"/>
        </w:rPr>
        <w:t xml:space="preserve"> 98</w:t>
      </w:r>
      <w:r>
        <w:rPr>
          <w:lang w:val="en-CA"/>
        </w:rPr>
        <w:t xml:space="preserve"> </w:t>
      </w:r>
      <w:r w:rsidR="00FC2EB2">
        <w:rPr>
          <w:lang w:val="en-CA"/>
        </w:rPr>
        <w:t xml:space="preserve">at </w:t>
      </w:r>
      <w:r>
        <w:rPr>
          <w:lang w:val="en-CA"/>
        </w:rPr>
        <w:t>para</w:t>
      </w:r>
      <w:r w:rsidRPr="0041535F">
        <w:rPr>
          <w:lang w:val="en-CA"/>
        </w:rPr>
        <w:t xml:space="preserve">. </w:t>
      </w:r>
      <w:r w:rsidRPr="00EE73F8">
        <w:rPr>
          <w:lang w:val="en-CA"/>
        </w:rPr>
        <w:t xml:space="preserve">35; </w:t>
      </w:r>
      <w:r w:rsidRPr="00EE73F8">
        <w:rPr>
          <w:i/>
          <w:lang w:val="en-CA"/>
        </w:rPr>
        <w:t xml:space="preserve">BMW Canada inc. </w:t>
      </w:r>
      <w:r w:rsidR="00FC2EB2">
        <w:rPr>
          <w:i/>
          <w:lang w:val="en-CA"/>
        </w:rPr>
        <w:t>c</w:t>
      </w:r>
      <w:r w:rsidRPr="00EE73F8">
        <w:rPr>
          <w:i/>
          <w:lang w:val="en-CA"/>
        </w:rPr>
        <w:t xml:space="preserve">. </w:t>
      </w:r>
      <w:r w:rsidRPr="000E2D2A">
        <w:rPr>
          <w:i/>
          <w:lang w:val="en-CA"/>
        </w:rPr>
        <w:t>Automobiles Jalbert inc.,</w:t>
      </w:r>
      <w:r w:rsidRPr="000E2D2A">
        <w:rPr>
          <w:lang w:val="en-CA"/>
        </w:rPr>
        <w:t xml:space="preserve">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FC2EB2" w:rsidRPr="000E2D2A">
        <w:rPr>
          <w:lang w:val="en-CA"/>
        </w:rPr>
        <w:t xml:space="preserve"> 92</w:t>
      </w:r>
      <w:r w:rsidRPr="000E2D2A">
        <w:rPr>
          <w:lang w:val="en-CA"/>
        </w:rPr>
        <w:t xml:space="preserve">; </w:t>
      </w:r>
      <w:r w:rsidRPr="000E2D2A">
        <w:rPr>
          <w:i/>
          <w:lang w:val="en-CA"/>
        </w:rPr>
        <w:t xml:space="preserve">Meubles Canadel inc. </w:t>
      </w:r>
      <w:r w:rsidR="00FC2EB2" w:rsidRPr="000E2D2A">
        <w:rPr>
          <w:i/>
          <w:lang w:val="en-CA"/>
        </w:rPr>
        <w:t>c</w:t>
      </w:r>
      <w:r w:rsidRPr="000E2D2A">
        <w:rPr>
          <w:i/>
          <w:lang w:val="en-CA"/>
        </w:rPr>
        <w:t>. Ameublement 640 inc</w:t>
      </w:r>
      <w:r w:rsidRPr="000E2D2A">
        <w:rPr>
          <w:lang w:val="en-CA"/>
        </w:rPr>
        <w:t xml:space="preserve">.,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FC2EB2" w:rsidRPr="000E2D2A">
        <w:rPr>
          <w:lang w:val="en-CA"/>
        </w:rPr>
        <w:t xml:space="preserve"> 92</w:t>
      </w:r>
      <w:r w:rsidRPr="000E2D2A">
        <w:rPr>
          <w:lang w:val="en-CA"/>
        </w:rPr>
        <w:t xml:space="preserve"> </w:t>
      </w:r>
      <w:r w:rsidR="00FC2EB2" w:rsidRPr="000E2D2A">
        <w:rPr>
          <w:lang w:val="en-CA"/>
        </w:rPr>
        <w:t xml:space="preserve">at </w:t>
      </w:r>
      <w:r w:rsidRPr="000E2D2A">
        <w:rPr>
          <w:lang w:val="en-CA"/>
        </w:rPr>
        <w:t>para. </w:t>
      </w:r>
      <w:r w:rsidRPr="00EE73F8">
        <w:rPr>
          <w:lang w:val="en-CA"/>
        </w:rPr>
        <w:t xml:space="preserve">8; </w:t>
      </w:r>
      <w:r w:rsidRPr="00EE73F8">
        <w:rPr>
          <w:i/>
          <w:lang w:val="en-CA"/>
        </w:rPr>
        <w:t xml:space="preserve">Bonavista Fabrics Ltd. </w:t>
      </w:r>
      <w:r w:rsidR="00FC2EB2">
        <w:rPr>
          <w:i/>
          <w:lang w:val="en-CA"/>
        </w:rPr>
        <w:t>c</w:t>
      </w:r>
      <w:r w:rsidRPr="00EE73F8">
        <w:rPr>
          <w:i/>
          <w:lang w:val="en-CA"/>
        </w:rPr>
        <w:t>. Zellers Ltd</w:t>
      </w:r>
      <w:r w:rsidRPr="00EE73F8">
        <w:rPr>
          <w:lang w:val="en-CA"/>
        </w:rPr>
        <w:t>., J.E. 2003-1312, REJB 2003-43087</w:t>
      </w:r>
      <w:r w:rsidR="00844261">
        <w:rPr>
          <w:lang w:val="en-CA"/>
        </w:rPr>
        <w:t xml:space="preserve"> (Sup. Ct.)</w:t>
      </w:r>
      <w:r w:rsidRPr="00EE73F8">
        <w:rPr>
          <w:lang w:val="en-CA"/>
        </w:rPr>
        <w:t xml:space="preserve"> </w:t>
      </w:r>
      <w:r w:rsidR="00844261">
        <w:rPr>
          <w:lang w:val="en-CA"/>
        </w:rPr>
        <w:t xml:space="preserve">at </w:t>
      </w:r>
      <w:r w:rsidRPr="00EE73F8">
        <w:rPr>
          <w:lang w:val="en-CA"/>
        </w:rPr>
        <w:t xml:space="preserve">para. 33, </w:t>
      </w:r>
      <w:r w:rsidR="00844261">
        <w:rPr>
          <w:lang w:val="en-CA"/>
        </w:rPr>
        <w:t>aff’d</w:t>
      </w:r>
      <w:r w:rsidRPr="00EE73F8">
        <w:rPr>
          <w:lang w:val="en-CA"/>
        </w:rPr>
        <w:t xml:space="preserve"> </w:t>
      </w:r>
      <w:r w:rsidRPr="00EE73F8">
        <w:rPr>
          <w:i/>
          <w:lang w:val="en-CA"/>
        </w:rPr>
        <w:t xml:space="preserve">Zellers Ltd. </w:t>
      </w:r>
      <w:r w:rsidR="00FC2EB2">
        <w:rPr>
          <w:i/>
          <w:lang w:val="en-CA"/>
        </w:rPr>
        <w:t>c</w:t>
      </w:r>
      <w:r w:rsidRPr="00EE73F8">
        <w:rPr>
          <w:i/>
          <w:lang w:val="en-CA"/>
        </w:rPr>
        <w:t>. Bonavista Fabrics Ltd</w:t>
      </w:r>
      <w:r w:rsidRPr="00EE73F8">
        <w:rPr>
          <w:lang w:val="en-CA"/>
        </w:rPr>
        <w:t xml:space="preserve">., 2005 QCCA 130; </w:t>
      </w:r>
      <w:r w:rsidRPr="00EE73F8">
        <w:rPr>
          <w:i/>
          <w:lang w:val="en-CA"/>
        </w:rPr>
        <w:t xml:space="preserve">S.M.C. Pneumatiques (Canada) ltée </w:t>
      </w:r>
      <w:r w:rsidR="00FC2EB2">
        <w:rPr>
          <w:i/>
          <w:lang w:val="en-CA"/>
        </w:rPr>
        <w:t>c</w:t>
      </w:r>
      <w:r w:rsidRPr="00EE73F8">
        <w:rPr>
          <w:i/>
          <w:lang w:val="en-CA"/>
        </w:rPr>
        <w:t>. Dicsa inc.</w:t>
      </w:r>
      <w:r w:rsidRPr="00EE73F8">
        <w:rPr>
          <w:lang w:val="en-CA"/>
        </w:rPr>
        <w:t>, J.E. 2000</w:t>
      </w:r>
      <w:r w:rsidRPr="00EE73F8">
        <w:rPr>
          <w:lang w:val="en-CA"/>
        </w:rPr>
        <w:noBreakHyphen/>
        <w:t>1448, AZ-50076603</w:t>
      </w:r>
      <w:r w:rsidR="00844261">
        <w:rPr>
          <w:lang w:val="en-CA"/>
        </w:rPr>
        <w:t xml:space="preserve"> (Sup. Ct.)</w:t>
      </w:r>
      <w:r w:rsidRPr="00EE73F8">
        <w:rPr>
          <w:lang w:val="en-CA"/>
        </w:rPr>
        <w:t xml:space="preserve"> </w:t>
      </w:r>
      <w:r w:rsidR="00844261">
        <w:rPr>
          <w:lang w:val="en-CA"/>
        </w:rPr>
        <w:t xml:space="preserve">at </w:t>
      </w:r>
      <w:r w:rsidRPr="00EE73F8">
        <w:rPr>
          <w:lang w:val="en-CA"/>
        </w:rPr>
        <w:t xml:space="preserve">para. </w:t>
      </w:r>
      <w:r w:rsidRPr="004A681D">
        <w:rPr>
          <w:lang w:val="en-US"/>
        </w:rPr>
        <w:t xml:space="preserve">79, </w:t>
      </w:r>
      <w:r w:rsidR="00844261">
        <w:rPr>
          <w:lang w:val="en-US"/>
        </w:rPr>
        <w:t>aff’d</w:t>
      </w:r>
      <w:r w:rsidRPr="004A681D">
        <w:rPr>
          <w:lang w:val="en-US"/>
        </w:rPr>
        <w:t xml:space="preserve"> </w:t>
      </w:r>
      <w:r w:rsidRPr="004A681D">
        <w:rPr>
          <w:i/>
          <w:lang w:val="en-US"/>
        </w:rPr>
        <w:t xml:space="preserve">S.M.C. Pneumatiques (Canada) ltée </w:t>
      </w:r>
      <w:r w:rsidR="00FC2EB2">
        <w:rPr>
          <w:i/>
          <w:lang w:val="en-US"/>
        </w:rPr>
        <w:t>c</w:t>
      </w:r>
      <w:r w:rsidRPr="004A681D">
        <w:rPr>
          <w:i/>
          <w:lang w:val="en-US"/>
        </w:rPr>
        <w:t>. Dicsa inc</w:t>
      </w:r>
      <w:r w:rsidRPr="004A681D">
        <w:rPr>
          <w:lang w:val="en-US"/>
        </w:rPr>
        <w:t xml:space="preserve">., </w:t>
      </w:r>
      <w:r w:rsidRPr="004A681D">
        <w:rPr>
          <w:i/>
          <w:lang w:val="en-US"/>
        </w:rPr>
        <w:t>supra</w:t>
      </w:r>
      <w:r w:rsidRPr="004A681D">
        <w:rPr>
          <w:lang w:val="en-US"/>
        </w:rPr>
        <w:t xml:space="preserve"> note</w:t>
      </w:r>
      <w:r w:rsidR="00FC2EB2">
        <w:rPr>
          <w:lang w:val="en-US"/>
        </w:rPr>
        <w:t xml:space="preserve"> 92</w:t>
      </w:r>
      <w:r w:rsidRPr="004A681D">
        <w:rPr>
          <w:lang w:val="en-US"/>
        </w:rPr>
        <w:t xml:space="preserve">; </w:t>
      </w:r>
      <w:r>
        <w:rPr>
          <w:i/>
          <w:lang w:val="en-US"/>
        </w:rPr>
        <w:t xml:space="preserve">Richman </w:t>
      </w:r>
      <w:r w:rsidR="00FC2EB2">
        <w:rPr>
          <w:i/>
          <w:lang w:val="en-US"/>
        </w:rPr>
        <w:t>c</w:t>
      </w:r>
      <w:r w:rsidRPr="004A681D">
        <w:rPr>
          <w:i/>
          <w:lang w:val="en-US"/>
        </w:rPr>
        <w:t>. Adidas Sportchuhfabriken</w:t>
      </w:r>
      <w:r w:rsidRPr="004A681D">
        <w:rPr>
          <w:lang w:val="en-US"/>
        </w:rPr>
        <w:t xml:space="preserve">, </w:t>
      </w:r>
      <w:r w:rsidRPr="004A681D">
        <w:rPr>
          <w:i/>
          <w:lang w:val="en-US"/>
        </w:rPr>
        <w:t>supra</w:t>
      </w:r>
      <w:r w:rsidRPr="004A681D">
        <w:rPr>
          <w:lang w:val="en-US"/>
        </w:rPr>
        <w:t xml:space="preserve"> note</w:t>
      </w:r>
      <w:r w:rsidR="00FC2EB2">
        <w:rPr>
          <w:lang w:val="en-US"/>
        </w:rPr>
        <w:t xml:space="preserve"> 99</w:t>
      </w:r>
      <w:r w:rsidRPr="004A681D">
        <w:rPr>
          <w:lang w:val="en-US"/>
        </w:rPr>
        <w:t xml:space="preserve">; </w:t>
      </w:r>
      <w:r>
        <w:rPr>
          <w:i/>
          <w:lang w:val="en-US"/>
        </w:rPr>
        <w:t xml:space="preserve">E. &amp; S. Salsberg inc. </w:t>
      </w:r>
      <w:r w:rsidR="00FC2EB2">
        <w:rPr>
          <w:i/>
          <w:lang w:val="en-US"/>
        </w:rPr>
        <w:t>c</w:t>
      </w:r>
      <w:r w:rsidRPr="004A681D">
        <w:rPr>
          <w:i/>
          <w:lang w:val="en-US"/>
        </w:rPr>
        <w:t>. Dylex Ltd</w:t>
      </w:r>
      <w:r w:rsidRPr="004A681D">
        <w:rPr>
          <w:lang w:val="en-US"/>
        </w:rPr>
        <w:t xml:space="preserve">., </w:t>
      </w:r>
      <w:r w:rsidRPr="004A681D">
        <w:rPr>
          <w:i/>
          <w:lang w:val="en-US"/>
        </w:rPr>
        <w:t>supra</w:t>
      </w:r>
      <w:r w:rsidRPr="004A681D">
        <w:rPr>
          <w:lang w:val="en-US"/>
        </w:rPr>
        <w:t xml:space="preserve"> note</w:t>
      </w:r>
      <w:r w:rsidR="00FC2EB2">
        <w:rPr>
          <w:lang w:val="en-US"/>
        </w:rPr>
        <w:t xml:space="preserve"> 90</w:t>
      </w:r>
      <w:r w:rsidRPr="004A681D">
        <w:rPr>
          <w:lang w:val="en-US"/>
        </w:rPr>
        <w:t>.</w:t>
      </w:r>
    </w:p>
  </w:footnote>
  <w:footnote w:id="104">
    <w:p w14:paraId="5C24067F" w14:textId="22C76D09" w:rsidR="007629E2" w:rsidRPr="000E2D2A" w:rsidRDefault="007629E2" w:rsidP="00634D8F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4A681D">
        <w:rPr>
          <w:lang w:val="en-US"/>
        </w:rPr>
        <w:t xml:space="preserve"> </w:t>
      </w:r>
      <w:r w:rsidRPr="004A681D">
        <w:rPr>
          <w:lang w:val="en-US"/>
        </w:rPr>
        <w:tab/>
      </w:r>
      <w:r w:rsidRPr="004A681D">
        <w:rPr>
          <w:i/>
          <w:lang w:val="en-US"/>
        </w:rPr>
        <w:t xml:space="preserve">Bonavista Fabrics Ltd. </w:t>
      </w:r>
      <w:r w:rsidR="00FC2EB2">
        <w:rPr>
          <w:i/>
          <w:lang w:val="en-US"/>
        </w:rPr>
        <w:t>c</w:t>
      </w:r>
      <w:r w:rsidRPr="004A681D">
        <w:rPr>
          <w:i/>
          <w:lang w:val="en-US"/>
        </w:rPr>
        <w:t>. Zellers Ltd.,</w:t>
      </w:r>
      <w:r w:rsidRPr="004A681D">
        <w:rPr>
          <w:lang w:val="en-US"/>
        </w:rPr>
        <w:t xml:space="preserve"> </w:t>
      </w:r>
      <w:r w:rsidRPr="004A681D">
        <w:rPr>
          <w:i/>
          <w:lang w:val="en-US"/>
        </w:rPr>
        <w:t>supra</w:t>
      </w:r>
      <w:r w:rsidRPr="004A681D">
        <w:rPr>
          <w:lang w:val="en-US"/>
        </w:rPr>
        <w:t xml:space="preserve"> note</w:t>
      </w:r>
      <w:r w:rsidR="00FC2EB2">
        <w:rPr>
          <w:lang w:val="en-US"/>
        </w:rPr>
        <w:t xml:space="preserve"> 103</w:t>
      </w:r>
      <w:r w:rsidRPr="004A681D">
        <w:rPr>
          <w:lang w:val="en-US"/>
        </w:rPr>
        <w:t xml:space="preserve">, </w:t>
      </w:r>
      <w:r w:rsidR="00FC2EB2">
        <w:rPr>
          <w:lang w:val="en-US"/>
        </w:rPr>
        <w:t>aff’d</w:t>
      </w:r>
      <w:r w:rsidRPr="004A681D">
        <w:rPr>
          <w:lang w:val="en-US"/>
        </w:rPr>
        <w:t xml:space="preserve"> </w:t>
      </w:r>
      <w:r>
        <w:rPr>
          <w:i/>
          <w:lang w:val="en-US"/>
        </w:rPr>
        <w:t xml:space="preserve">Zellers Ltd. </w:t>
      </w:r>
      <w:r w:rsidR="00FC2EB2">
        <w:rPr>
          <w:i/>
          <w:lang w:val="en-US"/>
        </w:rPr>
        <w:t>c</w:t>
      </w:r>
      <w:r w:rsidRPr="004A681D">
        <w:rPr>
          <w:i/>
          <w:lang w:val="en-US"/>
        </w:rPr>
        <w:t xml:space="preserve">. </w:t>
      </w:r>
      <w:r w:rsidRPr="000E2D2A">
        <w:rPr>
          <w:i/>
          <w:lang w:val="en-CA"/>
        </w:rPr>
        <w:t>Bonavista Fabrics Ltd.,</w:t>
      </w:r>
      <w:r w:rsidRPr="000E2D2A">
        <w:rPr>
          <w:lang w:val="en-CA"/>
        </w:rPr>
        <w:t xml:space="preserve">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FC2EB2" w:rsidRPr="000E2D2A">
        <w:rPr>
          <w:lang w:val="en-CA"/>
        </w:rPr>
        <w:t xml:space="preserve"> 103</w:t>
      </w:r>
      <w:r w:rsidRPr="000E2D2A">
        <w:rPr>
          <w:lang w:val="en-CA"/>
        </w:rPr>
        <w:t xml:space="preserve">; Lluelles </w:t>
      </w:r>
      <w:r w:rsidR="00FC2EB2" w:rsidRPr="000E2D2A">
        <w:rPr>
          <w:lang w:val="en-CA"/>
        </w:rPr>
        <w:t>&amp;</w:t>
      </w:r>
      <w:r w:rsidRPr="000E2D2A">
        <w:rPr>
          <w:lang w:val="en-CA"/>
        </w:rPr>
        <w:t xml:space="preserve"> Moore, </w:t>
      </w:r>
      <w:r w:rsidRPr="000E2D2A">
        <w:rPr>
          <w:i/>
          <w:lang w:val="en-CA"/>
        </w:rPr>
        <w:t>supra</w:t>
      </w:r>
      <w:r w:rsidRPr="000E2D2A">
        <w:rPr>
          <w:lang w:val="en-CA"/>
        </w:rPr>
        <w:t xml:space="preserve"> note</w:t>
      </w:r>
      <w:r w:rsidR="00FC2EB2" w:rsidRPr="000E2D2A">
        <w:rPr>
          <w:lang w:val="en-CA"/>
        </w:rPr>
        <w:t xml:space="preserve"> 82</w:t>
      </w:r>
      <w:r w:rsidRPr="000E2D2A">
        <w:rPr>
          <w:lang w:val="en-CA"/>
        </w:rPr>
        <w:t> </w:t>
      </w:r>
      <w:r w:rsidR="00FC2EB2" w:rsidRPr="000E2D2A">
        <w:rPr>
          <w:lang w:val="en-CA"/>
        </w:rPr>
        <w:t xml:space="preserve">at </w:t>
      </w:r>
      <w:r w:rsidRPr="000E2D2A">
        <w:rPr>
          <w:lang w:val="en-CA"/>
        </w:rPr>
        <w:t xml:space="preserve">1253, </w:t>
      </w:r>
      <w:r w:rsidR="00FC2EB2" w:rsidRPr="000E2D2A">
        <w:rPr>
          <w:lang w:val="en-CA"/>
        </w:rPr>
        <w:t>No.</w:t>
      </w:r>
      <w:r w:rsidRPr="000E2D2A">
        <w:rPr>
          <w:lang w:val="en-CA"/>
        </w:rPr>
        <w:t> 2141.</w:t>
      </w:r>
    </w:p>
  </w:footnote>
  <w:footnote w:id="105">
    <w:p w14:paraId="6D1A1DAF" w14:textId="60544D7E" w:rsidR="007629E2" w:rsidRPr="000E2D2A" w:rsidRDefault="007629E2" w:rsidP="00634D8F">
      <w:pPr>
        <w:pStyle w:val="Notedebasdepage"/>
      </w:pPr>
      <w:r>
        <w:rPr>
          <w:rStyle w:val="Appelnotedebasdep"/>
        </w:rPr>
        <w:footnoteRef/>
      </w:r>
      <w:r w:rsidRPr="00EE73F8">
        <w:rPr>
          <w:lang w:val="en-CA"/>
        </w:rPr>
        <w:t xml:space="preserve"> </w:t>
      </w:r>
      <w:r w:rsidRPr="00EE73F8">
        <w:rPr>
          <w:lang w:val="en-CA"/>
        </w:rPr>
        <w:tab/>
        <w:t xml:space="preserve">Exhibit P-24N, Email </w:t>
      </w:r>
      <w:r w:rsidR="00AF089D">
        <w:rPr>
          <w:lang w:val="en-CA"/>
        </w:rPr>
        <w:t>exchange</w:t>
      </w:r>
      <w:r w:rsidRPr="00EE73F8">
        <w:rPr>
          <w:lang w:val="en-CA"/>
        </w:rPr>
        <w:t xml:space="preserve"> between Marie-Claude Germain and André d’Orsonnens </w:t>
      </w:r>
      <w:r w:rsidR="00D01B3F">
        <w:rPr>
          <w:lang w:val="en-CA"/>
        </w:rPr>
        <w:t xml:space="preserve">(14 and 15 </w:t>
      </w:r>
      <w:r w:rsidRPr="00EE73F8">
        <w:rPr>
          <w:lang w:val="en-CA"/>
        </w:rPr>
        <w:t>October  2009</w:t>
      </w:r>
      <w:r w:rsidR="00D01B3F">
        <w:rPr>
          <w:lang w:val="en-CA"/>
        </w:rPr>
        <w:t>)</w:t>
      </w:r>
      <w:r w:rsidRPr="00EE73F8">
        <w:rPr>
          <w:lang w:val="en-CA"/>
        </w:rPr>
        <w:t xml:space="preserve">; </w:t>
      </w:r>
      <w:r w:rsidR="003A33C1" w:rsidRPr="000E2D2A">
        <w:rPr>
          <w:lang w:val="en-CA"/>
        </w:rPr>
        <w:t>Judgment under appeal</w:t>
      </w:r>
      <w:r w:rsidRPr="00EE73F8">
        <w:rPr>
          <w:lang w:val="en-CA"/>
        </w:rPr>
        <w:t xml:space="preserve"> </w:t>
      </w:r>
      <w:r w:rsidR="003A33C1">
        <w:rPr>
          <w:lang w:val="en-CA"/>
        </w:rPr>
        <w:t xml:space="preserve">at </w:t>
      </w:r>
      <w:r w:rsidRPr="00EE73F8">
        <w:rPr>
          <w:lang w:val="en-CA"/>
        </w:rPr>
        <w:t xml:space="preserve">para. </w:t>
      </w:r>
      <w:r w:rsidRPr="000E2D2A">
        <w:t>189.</w:t>
      </w:r>
    </w:p>
  </w:footnote>
  <w:footnote w:id="106">
    <w:p w14:paraId="5A611724" w14:textId="3ABC2770" w:rsidR="007629E2" w:rsidRPr="00C554B2" w:rsidRDefault="007629E2" w:rsidP="00EB4F3C">
      <w:pPr>
        <w:pStyle w:val="Notedebasdepage"/>
      </w:pPr>
      <w:r>
        <w:rPr>
          <w:rStyle w:val="Appelnotedebasdep"/>
        </w:rPr>
        <w:footnoteRef/>
      </w:r>
      <w:r w:rsidRPr="000E2D2A">
        <w:t xml:space="preserve"> </w:t>
      </w:r>
      <w:r w:rsidRPr="000E2D2A">
        <w:tab/>
        <w:t>S</w:t>
      </w:r>
      <w:r w:rsidR="00D01B3F" w:rsidRPr="000E2D2A">
        <w:t>ection</w:t>
      </w:r>
      <w:r w:rsidRPr="000E2D2A">
        <w:t xml:space="preserve"> 2 </w:t>
      </w:r>
      <w:r w:rsidRPr="000E2D2A">
        <w:rPr>
          <w:i/>
        </w:rPr>
        <w:t>CA</w:t>
      </w:r>
      <w:r w:rsidRPr="000E2D2A">
        <w:t xml:space="preserve">. </w:t>
      </w:r>
      <w:r w:rsidRPr="00C554B2">
        <w:t xml:space="preserve">See also Tamaro, </w:t>
      </w:r>
      <w:r w:rsidRPr="00C554B2">
        <w:rPr>
          <w:i/>
        </w:rPr>
        <w:t>supra</w:t>
      </w:r>
      <w:r w:rsidRPr="00C554B2">
        <w:t xml:space="preserve"> note</w:t>
      </w:r>
      <w:r w:rsidR="00D01B3F" w:rsidRPr="00C554B2">
        <w:t xml:space="preserve"> 68</w:t>
      </w:r>
      <w:r w:rsidRPr="00C554B2">
        <w:t> </w:t>
      </w:r>
      <w:r w:rsidR="00D01B3F" w:rsidRPr="00C554B2">
        <w:t xml:space="preserve">at </w:t>
      </w:r>
      <w:r w:rsidRPr="00C554B2">
        <w:t>124.</w:t>
      </w:r>
    </w:p>
  </w:footnote>
  <w:footnote w:id="107">
    <w:p w14:paraId="05A5FB9F" w14:textId="4F5A17A4" w:rsidR="007629E2" w:rsidRPr="00774700" w:rsidRDefault="007629E2" w:rsidP="00EB4F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251327">
        <w:t xml:space="preserve">Marc Baribeau, </w:t>
      </w:r>
      <w:r w:rsidRPr="00251327">
        <w:rPr>
          <w:i/>
        </w:rPr>
        <w:t>Principes généraux de la Loi sur le droit d'auteur</w:t>
      </w:r>
      <w:r>
        <w:t xml:space="preserve">, </w:t>
      </w:r>
      <w:r w:rsidRPr="00251327">
        <w:t>2013</w:t>
      </w:r>
      <w:r w:rsidR="00D01B3F">
        <w:t xml:space="preserve"> ed.</w:t>
      </w:r>
      <w:r w:rsidRPr="00251327">
        <w:t xml:space="preserve"> </w:t>
      </w:r>
      <w:r w:rsidR="00D01B3F" w:rsidRPr="000E2D2A">
        <w:rPr>
          <w:lang w:val="en-CA"/>
        </w:rPr>
        <w:t xml:space="preserve">(Québec, </w:t>
      </w:r>
      <w:r w:rsidRPr="000E2D2A">
        <w:rPr>
          <w:lang w:val="en-CA"/>
        </w:rPr>
        <w:t>Les publications du Québec</w:t>
      </w:r>
      <w:r w:rsidR="00D01B3F" w:rsidRPr="000E2D2A">
        <w:rPr>
          <w:lang w:val="en-CA"/>
        </w:rPr>
        <w:t>:</w:t>
      </w:r>
      <w:r w:rsidRPr="000E2D2A">
        <w:rPr>
          <w:lang w:val="en-CA"/>
        </w:rPr>
        <w:t xml:space="preserve"> 2013</w:t>
      </w:r>
      <w:r w:rsidR="00D01B3F" w:rsidRPr="000E2D2A">
        <w:rPr>
          <w:lang w:val="en-CA"/>
        </w:rPr>
        <w:t>)</w:t>
      </w:r>
      <w:r w:rsidRPr="000E2D2A">
        <w:rPr>
          <w:lang w:val="en-CA"/>
        </w:rPr>
        <w:t xml:space="preserve"> </w:t>
      </w:r>
      <w:r w:rsidR="00D01B3F" w:rsidRPr="000E2D2A">
        <w:rPr>
          <w:lang w:val="en-CA"/>
        </w:rPr>
        <w:t xml:space="preserve">at </w:t>
      </w:r>
      <w:r w:rsidRPr="000E2D2A">
        <w:rPr>
          <w:lang w:val="en-CA"/>
        </w:rPr>
        <w:t xml:space="preserve">34. </w:t>
      </w:r>
      <w:r w:rsidRPr="00774700">
        <w:rPr>
          <w:lang w:val="en-US"/>
        </w:rPr>
        <w:t xml:space="preserve">See also Tamaro, </w:t>
      </w:r>
      <w:r w:rsidRPr="00774700">
        <w:rPr>
          <w:i/>
          <w:lang w:val="en-US"/>
        </w:rPr>
        <w:t>supra</w:t>
      </w:r>
      <w:r w:rsidRPr="00774700">
        <w:rPr>
          <w:lang w:val="en-US"/>
        </w:rPr>
        <w:t xml:space="preserve"> note</w:t>
      </w:r>
      <w:r w:rsidR="00D01B3F">
        <w:rPr>
          <w:lang w:val="en-US"/>
        </w:rPr>
        <w:t xml:space="preserve"> 68</w:t>
      </w:r>
      <w:r w:rsidRPr="00774700">
        <w:rPr>
          <w:lang w:val="en-US"/>
        </w:rPr>
        <w:t> </w:t>
      </w:r>
      <w:r w:rsidR="00D01B3F">
        <w:rPr>
          <w:lang w:val="en-US"/>
        </w:rPr>
        <w:t xml:space="preserve">at </w:t>
      </w:r>
      <w:r w:rsidRPr="00774700">
        <w:rPr>
          <w:lang w:val="en-US"/>
        </w:rPr>
        <w:t>130.</w:t>
      </w:r>
    </w:p>
  </w:footnote>
  <w:footnote w:id="108">
    <w:p w14:paraId="135EDB68" w14:textId="4E49CC03" w:rsidR="007629E2" w:rsidRPr="000E2D2A" w:rsidRDefault="007629E2" w:rsidP="00EB4F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774700">
        <w:rPr>
          <w:lang w:val="en-US"/>
        </w:rPr>
        <w:t xml:space="preserve"> </w:t>
      </w:r>
      <w:r w:rsidRPr="00774700">
        <w:rPr>
          <w:lang w:val="en-US"/>
        </w:rPr>
        <w:tab/>
      </w:r>
      <w:r w:rsidR="003A33C1" w:rsidRPr="000E2D2A">
        <w:rPr>
          <w:lang w:val="en-CA"/>
        </w:rPr>
        <w:t>Judgment under appeal</w:t>
      </w:r>
      <w:r w:rsidRPr="00774700">
        <w:rPr>
          <w:lang w:val="en-US"/>
        </w:rPr>
        <w:t xml:space="preserve"> </w:t>
      </w:r>
      <w:r w:rsidR="003A33C1">
        <w:rPr>
          <w:lang w:val="en-US"/>
        </w:rPr>
        <w:t xml:space="preserve">at </w:t>
      </w:r>
      <w:r w:rsidRPr="00774700">
        <w:rPr>
          <w:lang w:val="en-US"/>
        </w:rPr>
        <w:t xml:space="preserve">para. </w:t>
      </w:r>
      <w:r w:rsidRPr="000E2D2A">
        <w:rPr>
          <w:lang w:val="en-US"/>
        </w:rPr>
        <w:t>189.</w:t>
      </w:r>
    </w:p>
  </w:footnote>
  <w:footnote w:id="109">
    <w:p w14:paraId="5DE40320" w14:textId="09E579E8" w:rsidR="007629E2" w:rsidRPr="000E2D2A" w:rsidRDefault="007629E2" w:rsidP="00EB4F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0E2D2A">
        <w:rPr>
          <w:lang w:val="en-US"/>
        </w:rPr>
        <w:t xml:space="preserve"> </w:t>
      </w:r>
      <w:r w:rsidRPr="000E2D2A">
        <w:rPr>
          <w:lang w:val="en-US"/>
        </w:rPr>
        <w:tab/>
      </w:r>
      <w:r w:rsidRPr="000E2D2A">
        <w:rPr>
          <w:i/>
          <w:lang w:val="en-US"/>
        </w:rPr>
        <w:t xml:space="preserve">Stoyanova </w:t>
      </w:r>
      <w:r w:rsidR="00D01B3F" w:rsidRPr="000E2D2A">
        <w:rPr>
          <w:i/>
          <w:lang w:val="en-US"/>
        </w:rPr>
        <w:t>c</w:t>
      </w:r>
      <w:r w:rsidRPr="000E2D2A">
        <w:rPr>
          <w:i/>
          <w:lang w:val="en-US"/>
        </w:rPr>
        <w:t>. Syndic de Disques Mile End inc.</w:t>
      </w:r>
      <w:r w:rsidRPr="000E2D2A">
        <w:rPr>
          <w:lang w:val="en-US"/>
        </w:rPr>
        <w:t>, 2018 QCCA 1788</w:t>
      </w:r>
      <w:r w:rsidR="00D40611" w:rsidRPr="000E2D2A">
        <w:rPr>
          <w:lang w:val="en-US"/>
        </w:rPr>
        <w:t>, aff’g</w:t>
      </w:r>
      <w:r w:rsidRPr="000E2D2A">
        <w:rPr>
          <w:lang w:val="en-US"/>
        </w:rPr>
        <w:t xml:space="preserve"> </w:t>
      </w:r>
      <w:r w:rsidRPr="000E2D2A">
        <w:rPr>
          <w:i/>
          <w:lang w:val="en-US"/>
        </w:rPr>
        <w:t xml:space="preserve">Stoyanova </w:t>
      </w:r>
      <w:r w:rsidR="00D40611" w:rsidRPr="000E2D2A">
        <w:rPr>
          <w:i/>
          <w:lang w:val="en-US"/>
        </w:rPr>
        <w:t>c</w:t>
      </w:r>
      <w:r w:rsidRPr="000E2D2A">
        <w:rPr>
          <w:i/>
          <w:lang w:val="en-US"/>
        </w:rPr>
        <w:t>. Disques Mile-End</w:t>
      </w:r>
      <w:r w:rsidRPr="000E2D2A">
        <w:rPr>
          <w:lang w:val="en-US"/>
        </w:rPr>
        <w:t xml:space="preserve"> </w:t>
      </w:r>
      <w:r w:rsidRPr="000E2D2A">
        <w:rPr>
          <w:i/>
          <w:lang w:val="en-US"/>
        </w:rPr>
        <w:t>inc</w:t>
      </w:r>
      <w:r w:rsidRPr="000E2D2A">
        <w:rPr>
          <w:lang w:val="en-US"/>
        </w:rPr>
        <w:t>., 2016 QCCS 5093.</w:t>
      </w:r>
    </w:p>
  </w:footnote>
  <w:footnote w:id="110">
    <w:p w14:paraId="5F72D2D7" w14:textId="4901B6AD" w:rsidR="007629E2" w:rsidRPr="00774700" w:rsidRDefault="007629E2" w:rsidP="00EB4F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0E2D2A">
        <w:rPr>
          <w:lang w:val="en-US"/>
        </w:rPr>
        <w:t xml:space="preserve"> </w:t>
      </w:r>
      <w:r w:rsidRPr="000E2D2A">
        <w:rPr>
          <w:lang w:val="en-US"/>
        </w:rPr>
        <w:tab/>
      </w:r>
      <w:r w:rsidRPr="000E2D2A">
        <w:rPr>
          <w:i/>
          <w:lang w:val="en-US"/>
        </w:rPr>
        <w:t>Euro-Excellence Inc. v. Kraft Canada Inc</w:t>
      </w:r>
      <w:r w:rsidRPr="000E2D2A">
        <w:rPr>
          <w:lang w:val="en-US"/>
        </w:rPr>
        <w:t xml:space="preserve">., </w:t>
      </w:r>
      <w:r w:rsidRPr="000E2D2A">
        <w:rPr>
          <w:i/>
          <w:lang w:val="en-US"/>
        </w:rPr>
        <w:t>supra</w:t>
      </w:r>
      <w:r w:rsidRPr="000E2D2A">
        <w:rPr>
          <w:lang w:val="en-US"/>
        </w:rPr>
        <w:t xml:space="preserve"> note</w:t>
      </w:r>
      <w:r w:rsidR="00D40611" w:rsidRPr="000E2D2A">
        <w:rPr>
          <w:lang w:val="en-US"/>
        </w:rPr>
        <w:t xml:space="preserve"> 42</w:t>
      </w:r>
      <w:r w:rsidRPr="000E2D2A">
        <w:rPr>
          <w:lang w:val="en-US"/>
        </w:rPr>
        <w:t xml:space="preserve"> </w:t>
      </w:r>
      <w:r w:rsidR="00D40611" w:rsidRPr="000E2D2A">
        <w:rPr>
          <w:lang w:val="en-US"/>
        </w:rPr>
        <w:t xml:space="preserve">at </w:t>
      </w:r>
      <w:r w:rsidRPr="000E2D2A">
        <w:rPr>
          <w:lang w:val="en-US"/>
        </w:rPr>
        <w:t>para</w:t>
      </w:r>
      <w:r w:rsidR="00D40611" w:rsidRPr="000E2D2A">
        <w:rPr>
          <w:lang w:val="en-US"/>
        </w:rPr>
        <w:t>s</w:t>
      </w:r>
      <w:r w:rsidRPr="000E2D2A">
        <w:rPr>
          <w:lang w:val="en-US"/>
        </w:rPr>
        <w:t xml:space="preserve">. </w:t>
      </w:r>
      <w:r w:rsidRPr="00774700">
        <w:rPr>
          <w:lang w:val="en-US"/>
        </w:rPr>
        <w:t>26 and 40.</w:t>
      </w:r>
    </w:p>
  </w:footnote>
  <w:footnote w:id="111">
    <w:p w14:paraId="07B1EB4C" w14:textId="61C9DED7" w:rsidR="007629E2" w:rsidRPr="00133929" w:rsidRDefault="007629E2" w:rsidP="00634D8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B4F3C">
        <w:rPr>
          <w:lang w:val="en-US"/>
        </w:rPr>
        <w:t xml:space="preserve"> </w:t>
      </w:r>
      <w:r w:rsidRPr="00EB4F3C">
        <w:rPr>
          <w:lang w:val="en-US"/>
        </w:rPr>
        <w:tab/>
      </w:r>
      <w:r w:rsidR="003A33C1" w:rsidRPr="000E2D2A">
        <w:rPr>
          <w:lang w:val="en-CA"/>
        </w:rPr>
        <w:t>Judgment under appeal</w:t>
      </w:r>
      <w:r w:rsidRPr="00EB4F3C">
        <w:rPr>
          <w:lang w:val="en-US"/>
        </w:rPr>
        <w:t xml:space="preserve"> </w:t>
      </w:r>
      <w:r w:rsidR="003A33C1">
        <w:rPr>
          <w:lang w:val="en-US"/>
        </w:rPr>
        <w:t xml:space="preserve">at </w:t>
      </w:r>
      <w:r w:rsidRPr="00EB4F3C">
        <w:rPr>
          <w:lang w:val="en-US"/>
        </w:rPr>
        <w:t xml:space="preserve">para. </w:t>
      </w:r>
      <w:r w:rsidRPr="00133929">
        <w:rPr>
          <w:lang w:val="en-US"/>
        </w:rPr>
        <w:t>299.</w:t>
      </w:r>
    </w:p>
  </w:footnote>
  <w:footnote w:id="112">
    <w:p w14:paraId="49C6D917" w14:textId="1876CFB3" w:rsidR="007629E2" w:rsidRPr="00774700" w:rsidRDefault="007629E2" w:rsidP="00A81A93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774700">
        <w:rPr>
          <w:lang w:val="en-US"/>
        </w:rPr>
        <w:t xml:space="preserve"> </w:t>
      </w:r>
      <w:r w:rsidRPr="00774700">
        <w:rPr>
          <w:lang w:val="en-US"/>
        </w:rPr>
        <w:tab/>
      </w:r>
      <w:r w:rsidRPr="00774700">
        <w:rPr>
          <w:i/>
          <w:lang w:val="en-US"/>
        </w:rPr>
        <w:t>I</w:t>
      </w:r>
      <w:r w:rsidR="002D7522">
        <w:rPr>
          <w:i/>
          <w:lang w:val="en-US"/>
        </w:rPr>
        <w:t>bi</w:t>
      </w:r>
      <w:r w:rsidRPr="00774700">
        <w:rPr>
          <w:i/>
          <w:lang w:val="en-US"/>
        </w:rPr>
        <w:t>d</w:t>
      </w:r>
      <w:r w:rsidRPr="00774700">
        <w:rPr>
          <w:lang w:val="en-US"/>
        </w:rPr>
        <w:t xml:space="preserve">. </w:t>
      </w:r>
      <w:r w:rsidR="002D7522">
        <w:rPr>
          <w:lang w:val="en-US"/>
        </w:rPr>
        <w:t xml:space="preserve">at </w:t>
      </w:r>
      <w:r w:rsidRPr="00774700">
        <w:rPr>
          <w:lang w:val="en-US"/>
        </w:rPr>
        <w:t>para. 65 and 234; Exhibit P-16, Unsigned letter of agreement, 2004.</w:t>
      </w:r>
    </w:p>
  </w:footnote>
  <w:footnote w:id="113">
    <w:p w14:paraId="4250C5CF" w14:textId="39AD893E" w:rsidR="007629E2" w:rsidRPr="00355942" w:rsidRDefault="007629E2" w:rsidP="00634D8F">
      <w:pPr>
        <w:pStyle w:val="Notedebasdepage"/>
        <w:rPr>
          <w:lang w:val="en-US"/>
        </w:rPr>
      </w:pPr>
      <w:r w:rsidRPr="00894738">
        <w:rPr>
          <w:rStyle w:val="Appelnotedebasdep"/>
        </w:rPr>
        <w:footnoteRef/>
      </w:r>
      <w:r w:rsidRPr="00355942">
        <w:rPr>
          <w:lang w:val="en-US"/>
        </w:rPr>
        <w:t xml:space="preserve"> </w:t>
      </w:r>
      <w:r w:rsidRPr="00355942">
        <w:rPr>
          <w:lang w:val="en-US"/>
        </w:rPr>
        <w:tab/>
        <w:t xml:space="preserve">Testimony of Luc Roberge </w:t>
      </w:r>
      <w:r w:rsidR="002D7522">
        <w:rPr>
          <w:lang w:val="en-US"/>
        </w:rPr>
        <w:t xml:space="preserve">(16 </w:t>
      </w:r>
      <w:r w:rsidRPr="00355942">
        <w:rPr>
          <w:lang w:val="en-US"/>
        </w:rPr>
        <w:t>January 2017</w:t>
      </w:r>
      <w:r w:rsidR="002D7522">
        <w:rPr>
          <w:lang w:val="en-US"/>
        </w:rPr>
        <w:t>)</w:t>
      </w:r>
      <w:r w:rsidRPr="00355942">
        <w:rPr>
          <w:lang w:val="en-US"/>
        </w:rPr>
        <w:t xml:space="preserve"> </w:t>
      </w:r>
      <w:r w:rsidR="002D7522">
        <w:rPr>
          <w:lang w:val="en-US"/>
        </w:rPr>
        <w:t xml:space="preserve">at </w:t>
      </w:r>
      <w:r w:rsidRPr="00355942">
        <w:rPr>
          <w:lang w:val="en-US"/>
        </w:rPr>
        <w:t>256</w:t>
      </w:r>
      <w:r w:rsidR="002D7522">
        <w:rPr>
          <w:lang w:val="en-US"/>
        </w:rPr>
        <w:t>–</w:t>
      </w:r>
      <w:r w:rsidRPr="00355942">
        <w:rPr>
          <w:lang w:val="en-US"/>
        </w:rPr>
        <w:t>257.</w:t>
      </w:r>
    </w:p>
  </w:footnote>
  <w:footnote w:id="114">
    <w:p w14:paraId="060B7F48" w14:textId="564B8FD7" w:rsidR="007629E2" w:rsidRPr="00355942" w:rsidRDefault="007629E2" w:rsidP="00A81A93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355942">
        <w:rPr>
          <w:lang w:val="en-US"/>
        </w:rPr>
        <w:t xml:space="preserve"> </w:t>
      </w:r>
      <w:r w:rsidRPr="00355942">
        <w:rPr>
          <w:lang w:val="en-US"/>
        </w:rPr>
        <w:tab/>
        <w:t xml:space="preserve">Exhibit P-19, Email from Caroline Fortin to André d’Orsonnens </w:t>
      </w:r>
      <w:r w:rsidR="002D7522">
        <w:rPr>
          <w:lang w:val="en-US"/>
        </w:rPr>
        <w:t xml:space="preserve">(9 </w:t>
      </w:r>
      <w:r w:rsidRPr="00355942">
        <w:rPr>
          <w:lang w:val="en-US"/>
        </w:rPr>
        <w:t>December 2008</w:t>
      </w:r>
      <w:r w:rsidR="002D7522">
        <w:rPr>
          <w:lang w:val="en-US"/>
        </w:rPr>
        <w:t>)</w:t>
      </w:r>
      <w:r w:rsidRPr="00355942">
        <w:rPr>
          <w:lang w:val="en-US"/>
        </w:rPr>
        <w:t>.</w:t>
      </w:r>
    </w:p>
  </w:footnote>
  <w:footnote w:id="115">
    <w:p w14:paraId="0485AF6E" w14:textId="68133187" w:rsidR="007629E2" w:rsidRPr="00355942" w:rsidRDefault="007629E2" w:rsidP="00A81A93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="008449B7">
        <w:rPr>
          <w:lang w:val="en-US"/>
        </w:rPr>
        <w:t xml:space="preserve"> </w:t>
      </w:r>
      <w:r w:rsidR="008449B7">
        <w:rPr>
          <w:lang w:val="en-US"/>
        </w:rPr>
        <w:tab/>
        <w:t>Exhibit</w:t>
      </w:r>
      <w:r w:rsidRPr="00355942">
        <w:rPr>
          <w:lang w:val="en-US"/>
        </w:rPr>
        <w:t xml:space="preserve"> P-24B, Email from André d’Orsonnens to Caroline Fortin </w:t>
      </w:r>
      <w:r w:rsidR="002D7522">
        <w:rPr>
          <w:lang w:val="en-US"/>
        </w:rPr>
        <w:t xml:space="preserve">(18 </w:t>
      </w:r>
      <w:r w:rsidRPr="00355942">
        <w:rPr>
          <w:lang w:val="en-US"/>
        </w:rPr>
        <w:t>December 2008</w:t>
      </w:r>
      <w:r w:rsidR="002D7522">
        <w:rPr>
          <w:lang w:val="en-US"/>
        </w:rPr>
        <w:t>)</w:t>
      </w:r>
      <w:r w:rsidRPr="00355942">
        <w:rPr>
          <w:lang w:val="en-US"/>
        </w:rPr>
        <w:t>.</w:t>
      </w:r>
    </w:p>
  </w:footnote>
  <w:footnote w:id="116">
    <w:p w14:paraId="681B923A" w14:textId="5464491A" w:rsidR="007629E2" w:rsidRPr="00355942" w:rsidRDefault="007629E2" w:rsidP="00A81A93">
      <w:pPr>
        <w:pStyle w:val="Notedebasdepage"/>
        <w:rPr>
          <w:lang w:val="en-US"/>
        </w:rPr>
      </w:pPr>
      <w:r w:rsidRPr="00A0029C">
        <w:rPr>
          <w:rStyle w:val="Appelnotedebasdep"/>
        </w:rPr>
        <w:footnoteRef/>
      </w:r>
      <w:r w:rsidRPr="00355942">
        <w:rPr>
          <w:lang w:val="en-US"/>
        </w:rPr>
        <w:t xml:space="preserve"> </w:t>
      </w:r>
      <w:r w:rsidRPr="00355942">
        <w:rPr>
          <w:lang w:val="en-US"/>
        </w:rPr>
        <w:tab/>
        <w:t xml:space="preserve">Testimony of André d’Orsonnens </w:t>
      </w:r>
      <w:r w:rsidR="002D7522">
        <w:rPr>
          <w:lang w:val="en-US"/>
        </w:rPr>
        <w:t xml:space="preserve">(17 </w:t>
      </w:r>
      <w:r w:rsidRPr="00355942">
        <w:rPr>
          <w:lang w:val="en-US"/>
        </w:rPr>
        <w:t xml:space="preserve">January </w:t>
      </w:r>
      <w:r>
        <w:rPr>
          <w:lang w:val="en-US"/>
        </w:rPr>
        <w:t>2017</w:t>
      </w:r>
      <w:r w:rsidR="002D7522">
        <w:rPr>
          <w:lang w:val="en-US"/>
        </w:rPr>
        <w:t>)</w:t>
      </w:r>
      <w:r>
        <w:rPr>
          <w:lang w:val="en-US"/>
        </w:rPr>
        <w:t xml:space="preserve"> </w:t>
      </w:r>
      <w:r w:rsidR="002D7522">
        <w:rPr>
          <w:lang w:val="en-US"/>
        </w:rPr>
        <w:t xml:space="preserve">at </w:t>
      </w:r>
      <w:r>
        <w:rPr>
          <w:lang w:val="en-US"/>
        </w:rPr>
        <w:t>147</w:t>
      </w:r>
      <w:r w:rsidR="002D7522">
        <w:rPr>
          <w:lang w:val="en-US"/>
        </w:rPr>
        <w:t>–</w:t>
      </w:r>
      <w:r>
        <w:rPr>
          <w:lang w:val="en-US"/>
        </w:rPr>
        <w:t xml:space="preserve">152; Testimony of Marie-Claude Germain </w:t>
      </w:r>
      <w:r w:rsidR="002D7522">
        <w:rPr>
          <w:lang w:val="en-US"/>
        </w:rPr>
        <w:t xml:space="preserve">(5 </w:t>
      </w:r>
      <w:r>
        <w:rPr>
          <w:lang w:val="en-US"/>
        </w:rPr>
        <w:t>January</w:t>
      </w:r>
      <w:r w:rsidRPr="00355942">
        <w:rPr>
          <w:lang w:val="en-US"/>
        </w:rPr>
        <w:t xml:space="preserve"> 2017</w:t>
      </w:r>
      <w:r w:rsidR="002D7522">
        <w:rPr>
          <w:lang w:val="en-US"/>
        </w:rPr>
        <w:t>)</w:t>
      </w:r>
      <w:r w:rsidRPr="00355942">
        <w:rPr>
          <w:lang w:val="en-US"/>
        </w:rPr>
        <w:t xml:space="preserve"> </w:t>
      </w:r>
      <w:r w:rsidR="002D7522">
        <w:rPr>
          <w:lang w:val="en-US"/>
        </w:rPr>
        <w:t xml:space="preserve">at </w:t>
      </w:r>
      <w:r w:rsidRPr="00355942">
        <w:rPr>
          <w:lang w:val="en-US"/>
        </w:rPr>
        <w:t>221</w:t>
      </w:r>
      <w:r w:rsidR="002D7522">
        <w:rPr>
          <w:lang w:val="en-US"/>
        </w:rPr>
        <w:t>–</w:t>
      </w:r>
      <w:r w:rsidRPr="00355942">
        <w:rPr>
          <w:lang w:val="en-US"/>
        </w:rPr>
        <w:t>222.</w:t>
      </w:r>
    </w:p>
  </w:footnote>
  <w:footnote w:id="117">
    <w:p w14:paraId="101C0099" w14:textId="6FD4E127" w:rsidR="007629E2" w:rsidRPr="00355942" w:rsidRDefault="007629E2" w:rsidP="00A81A93">
      <w:pPr>
        <w:pStyle w:val="Notedebasdepage"/>
        <w:rPr>
          <w:lang w:val="en-US"/>
        </w:rPr>
      </w:pPr>
      <w:r w:rsidRPr="00A0029C">
        <w:rPr>
          <w:rStyle w:val="Appelnotedebasdep"/>
        </w:rPr>
        <w:footnoteRef/>
      </w:r>
      <w:r w:rsidRPr="00355942">
        <w:rPr>
          <w:lang w:val="en-US"/>
        </w:rPr>
        <w:t xml:space="preserve"> </w:t>
      </w:r>
      <w:r w:rsidRPr="00355942">
        <w:rPr>
          <w:lang w:val="en-US"/>
        </w:rPr>
        <w:tab/>
        <w:t xml:space="preserve">Testimony of Caroline Fortin </w:t>
      </w:r>
      <w:r w:rsidR="002D7522">
        <w:rPr>
          <w:lang w:val="en-US"/>
        </w:rPr>
        <w:t xml:space="preserve">(6 </w:t>
      </w:r>
      <w:r w:rsidRPr="00355942">
        <w:rPr>
          <w:lang w:val="en-US"/>
        </w:rPr>
        <w:t xml:space="preserve">January </w:t>
      </w:r>
      <w:r>
        <w:rPr>
          <w:lang w:val="en-US"/>
        </w:rPr>
        <w:t>2017</w:t>
      </w:r>
      <w:r w:rsidR="002D7522">
        <w:rPr>
          <w:lang w:val="en-US"/>
        </w:rPr>
        <w:t>)</w:t>
      </w:r>
      <w:r>
        <w:rPr>
          <w:lang w:val="en-US"/>
        </w:rPr>
        <w:t xml:space="preserve"> </w:t>
      </w:r>
      <w:r w:rsidR="002D7522">
        <w:rPr>
          <w:lang w:val="en-US"/>
        </w:rPr>
        <w:t xml:space="preserve">at </w:t>
      </w:r>
      <w:r>
        <w:rPr>
          <w:lang w:val="en-US"/>
        </w:rPr>
        <w:t>207, lines</w:t>
      </w:r>
      <w:r w:rsidRPr="00355942">
        <w:rPr>
          <w:lang w:val="en-US"/>
        </w:rPr>
        <w:t xml:space="preserve"> 7</w:t>
      </w:r>
      <w:r w:rsidR="002D7522">
        <w:rPr>
          <w:lang w:val="en-US"/>
        </w:rPr>
        <w:t>–</w:t>
      </w:r>
      <w:r w:rsidRPr="00355942">
        <w:rPr>
          <w:lang w:val="en-US"/>
        </w:rPr>
        <w:t>8.</w:t>
      </w:r>
    </w:p>
  </w:footnote>
  <w:footnote w:id="118">
    <w:p w14:paraId="342D4A80" w14:textId="1298E29B" w:rsidR="007629E2" w:rsidRPr="00D20D69" w:rsidRDefault="007629E2" w:rsidP="00634D8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887AD9">
        <w:rPr>
          <w:lang w:val="en-US"/>
        </w:rPr>
        <w:t xml:space="preserve"> </w:t>
      </w:r>
      <w:r w:rsidRPr="00887AD9">
        <w:rPr>
          <w:lang w:val="en-US"/>
        </w:rPr>
        <w:tab/>
        <w:t>Exhibit P-81, Joint chronological table of the parties’ books and software fi</w:t>
      </w:r>
      <w:r>
        <w:rPr>
          <w:lang w:val="en-US"/>
        </w:rPr>
        <w:t xml:space="preserve">led by consent in the Court record </w:t>
      </w:r>
      <w:r w:rsidR="0083441A">
        <w:rPr>
          <w:lang w:val="en-US"/>
        </w:rPr>
        <w:t xml:space="preserve">(10 </w:t>
      </w:r>
      <w:r>
        <w:rPr>
          <w:lang w:val="en-US"/>
        </w:rPr>
        <w:t>January 2017</w:t>
      </w:r>
      <w:r w:rsidR="0083441A">
        <w:rPr>
          <w:lang w:val="en-US"/>
        </w:rPr>
        <w:t>)</w:t>
      </w:r>
      <w:r>
        <w:rPr>
          <w:lang w:val="en-US"/>
        </w:rPr>
        <w:t>.</w:t>
      </w:r>
    </w:p>
  </w:footnote>
  <w:footnote w:id="119">
    <w:p w14:paraId="488FCF37" w14:textId="259CBFA2" w:rsidR="007629E2" w:rsidRPr="00355942" w:rsidRDefault="007629E2" w:rsidP="00634D8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355942">
        <w:rPr>
          <w:lang w:val="en-US"/>
        </w:rPr>
        <w:t xml:space="preserve"> </w:t>
      </w:r>
      <w:r w:rsidRPr="00355942">
        <w:rPr>
          <w:lang w:val="en-US"/>
        </w:rPr>
        <w:tab/>
        <w:t xml:space="preserve">Testimony of André d’Orsonnens </w:t>
      </w:r>
      <w:r w:rsidR="0083441A">
        <w:rPr>
          <w:lang w:val="en-US"/>
        </w:rPr>
        <w:t xml:space="preserve">(17 </w:t>
      </w:r>
      <w:r w:rsidRPr="00355942">
        <w:rPr>
          <w:lang w:val="en-US"/>
        </w:rPr>
        <w:t>January 2017</w:t>
      </w:r>
      <w:r w:rsidR="0083441A">
        <w:rPr>
          <w:lang w:val="en-US"/>
        </w:rPr>
        <w:t>)</w:t>
      </w:r>
      <w:r w:rsidRPr="00355942">
        <w:rPr>
          <w:lang w:val="en-US"/>
        </w:rPr>
        <w:t xml:space="preserve"> </w:t>
      </w:r>
      <w:r w:rsidR="0083441A">
        <w:rPr>
          <w:lang w:val="en-US"/>
        </w:rPr>
        <w:t xml:space="preserve">at </w:t>
      </w:r>
      <w:r w:rsidRPr="00355942">
        <w:rPr>
          <w:lang w:val="en-US"/>
        </w:rPr>
        <w:t>232</w:t>
      </w:r>
      <w:r w:rsidR="0083441A">
        <w:rPr>
          <w:lang w:val="en-US"/>
        </w:rPr>
        <w:t>–</w:t>
      </w:r>
      <w:r w:rsidRPr="00355942">
        <w:rPr>
          <w:lang w:val="en-US"/>
        </w:rPr>
        <w:t>234.</w:t>
      </w:r>
    </w:p>
  </w:footnote>
  <w:footnote w:id="120">
    <w:p w14:paraId="3A3E4E19" w14:textId="77777777" w:rsidR="007629E2" w:rsidRPr="00355942" w:rsidRDefault="007629E2" w:rsidP="00361DEE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355942">
        <w:rPr>
          <w:lang w:val="en-US"/>
        </w:rPr>
        <w:t xml:space="preserve"> </w:t>
      </w:r>
      <w:r w:rsidRPr="00355942">
        <w:rPr>
          <w:lang w:val="en-US"/>
        </w:rPr>
        <w:tab/>
        <w:t>Exhibit P-16, Draft distribution agreement, 2004.</w:t>
      </w:r>
    </w:p>
  </w:footnote>
  <w:footnote w:id="121">
    <w:p w14:paraId="5590D8C4" w14:textId="3B8499F7" w:rsidR="007629E2" w:rsidRPr="00540DD9" w:rsidRDefault="007629E2" w:rsidP="00361DEE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540DD9">
        <w:rPr>
          <w:lang w:val="en-US"/>
        </w:rPr>
        <w:t xml:space="preserve"> </w:t>
      </w:r>
      <w:r w:rsidRPr="00540DD9">
        <w:rPr>
          <w:lang w:val="en-US"/>
        </w:rPr>
        <w:tab/>
        <w:t xml:space="preserve">Exhibit D-6, Email from Luc Roberge to André d’Orsonnens </w:t>
      </w:r>
      <w:r w:rsidR="0006766A">
        <w:rPr>
          <w:lang w:val="en-US"/>
        </w:rPr>
        <w:t xml:space="preserve">(9 </w:t>
      </w:r>
      <w:r w:rsidRPr="00540DD9">
        <w:rPr>
          <w:lang w:val="en-US"/>
        </w:rPr>
        <w:t>May 2008</w:t>
      </w:r>
      <w:r w:rsidR="0006766A">
        <w:rPr>
          <w:lang w:val="en-US"/>
        </w:rPr>
        <w:t>)</w:t>
      </w:r>
      <w:r w:rsidRPr="00540DD9">
        <w:rPr>
          <w:lang w:val="en-US"/>
        </w:rPr>
        <w:t>.</w:t>
      </w:r>
    </w:p>
  </w:footnote>
  <w:footnote w:id="122">
    <w:p w14:paraId="61980D0D" w14:textId="2ACE74D3" w:rsidR="007629E2" w:rsidRPr="00540DD9" w:rsidRDefault="007629E2" w:rsidP="0065007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540DD9">
        <w:rPr>
          <w:lang w:val="en-US"/>
        </w:rPr>
        <w:t xml:space="preserve"> </w:t>
      </w:r>
      <w:r w:rsidRPr="00540DD9">
        <w:rPr>
          <w:lang w:val="en-US"/>
        </w:rPr>
        <w:tab/>
        <w:t xml:space="preserve">Exhibit P-24B, Email from André d’Orsonnens to Caroline Fortin </w:t>
      </w:r>
      <w:r w:rsidR="0006766A">
        <w:rPr>
          <w:lang w:val="en-US"/>
        </w:rPr>
        <w:t xml:space="preserve">(27 </w:t>
      </w:r>
      <w:r w:rsidRPr="00540DD9">
        <w:rPr>
          <w:lang w:val="en-US"/>
        </w:rPr>
        <w:t>January 2009</w:t>
      </w:r>
      <w:r w:rsidR="0006766A">
        <w:rPr>
          <w:lang w:val="en-US"/>
        </w:rPr>
        <w:t>)</w:t>
      </w:r>
      <w:r w:rsidRPr="00540DD9">
        <w:rPr>
          <w:lang w:val="en-US"/>
        </w:rPr>
        <w:t>.</w:t>
      </w:r>
    </w:p>
  </w:footnote>
  <w:footnote w:id="123">
    <w:p w14:paraId="64AE562E" w14:textId="069FD5B2" w:rsidR="007629E2" w:rsidRPr="00540DD9" w:rsidRDefault="007629E2" w:rsidP="0065007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540DD9">
        <w:rPr>
          <w:lang w:val="en-US"/>
        </w:rPr>
        <w:t xml:space="preserve"> </w:t>
      </w:r>
      <w:r w:rsidRPr="00540DD9">
        <w:rPr>
          <w:lang w:val="en-US"/>
        </w:rPr>
        <w:tab/>
        <w:t xml:space="preserve">Exhibit P-27, Draft contract </w:t>
      </w:r>
      <w:r w:rsidR="0006766A">
        <w:rPr>
          <w:lang w:val="en-US"/>
        </w:rPr>
        <w:t xml:space="preserve">(17 </w:t>
      </w:r>
      <w:r w:rsidRPr="00540DD9">
        <w:rPr>
          <w:lang w:val="en-US"/>
        </w:rPr>
        <w:t>November 2011</w:t>
      </w:r>
      <w:r w:rsidR="0006766A">
        <w:rPr>
          <w:lang w:val="en-US"/>
        </w:rPr>
        <w:t>)</w:t>
      </w:r>
      <w:r w:rsidRPr="00540DD9">
        <w:rPr>
          <w:lang w:val="en-US"/>
        </w:rPr>
        <w:t xml:space="preserve">; Exhibit P-28, Draft contracts exchanged between Félix Moreau and André d’Orsonnens </w:t>
      </w:r>
      <w:r w:rsidR="0006766A">
        <w:rPr>
          <w:lang w:val="en-US"/>
        </w:rPr>
        <w:t xml:space="preserve">(11 </w:t>
      </w:r>
      <w:r w:rsidRPr="00540DD9">
        <w:rPr>
          <w:lang w:val="en-US"/>
        </w:rPr>
        <w:t xml:space="preserve">May to </w:t>
      </w:r>
      <w:r w:rsidR="0006766A">
        <w:rPr>
          <w:lang w:val="en-US"/>
        </w:rPr>
        <w:t xml:space="preserve">22 </w:t>
      </w:r>
      <w:r>
        <w:rPr>
          <w:lang w:val="en-US"/>
        </w:rPr>
        <w:t xml:space="preserve">June </w:t>
      </w:r>
      <w:r w:rsidRPr="00540DD9">
        <w:rPr>
          <w:lang w:val="en-US"/>
        </w:rPr>
        <w:t>2012</w:t>
      </w:r>
      <w:r w:rsidR="0006766A">
        <w:rPr>
          <w:lang w:val="en-US"/>
        </w:rPr>
        <w:t>)</w:t>
      </w:r>
      <w:r w:rsidRPr="00540DD9">
        <w:rPr>
          <w:lang w:val="en-US"/>
        </w:rPr>
        <w:t>.</w:t>
      </w:r>
    </w:p>
  </w:footnote>
  <w:footnote w:id="124">
    <w:p w14:paraId="38372F6B" w14:textId="6FCC8ED5" w:rsidR="007629E2" w:rsidRPr="00540DD9" w:rsidRDefault="007629E2" w:rsidP="00634D8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540DD9">
        <w:rPr>
          <w:lang w:val="en-US"/>
        </w:rPr>
        <w:t xml:space="preserve"> </w:t>
      </w:r>
      <w:r w:rsidRPr="00540DD9">
        <w:rPr>
          <w:lang w:val="en-US"/>
        </w:rPr>
        <w:tab/>
        <w:t xml:space="preserve">Exhibit P-70, emails from Luc Roberge, </w:t>
      </w:r>
      <w:r w:rsidR="0006766A">
        <w:rPr>
          <w:i/>
          <w:iCs/>
          <w:lang w:val="en-US"/>
        </w:rPr>
        <w:t>en liasse</w:t>
      </w:r>
      <w:r w:rsidR="0006766A">
        <w:rPr>
          <w:lang w:val="en-US"/>
        </w:rPr>
        <w:t xml:space="preserve"> (7 </w:t>
      </w:r>
      <w:r w:rsidRPr="00540DD9">
        <w:rPr>
          <w:lang w:val="en-US"/>
        </w:rPr>
        <w:t>April 2008</w:t>
      </w:r>
      <w:r w:rsidR="0006766A">
        <w:rPr>
          <w:lang w:val="en-US"/>
        </w:rPr>
        <w:t>)</w:t>
      </w:r>
      <w:r w:rsidRPr="00540DD9">
        <w:rPr>
          <w:lang w:val="en-US"/>
        </w:rPr>
        <w:t>.</w:t>
      </w:r>
    </w:p>
  </w:footnote>
  <w:footnote w:id="125">
    <w:p w14:paraId="4AB481DE" w14:textId="466C1D79" w:rsidR="007629E2" w:rsidRPr="00887AD9" w:rsidRDefault="007629E2" w:rsidP="0065007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0E2D2A">
        <w:rPr>
          <w:lang w:val="en-US"/>
        </w:rPr>
        <w:t xml:space="preserve"> </w:t>
      </w:r>
      <w:r w:rsidRPr="000E2D2A">
        <w:rPr>
          <w:lang w:val="en-US"/>
        </w:rPr>
        <w:tab/>
        <w:t xml:space="preserve">In </w:t>
      </w:r>
      <w:r w:rsidRPr="000E2D2A">
        <w:rPr>
          <w:i/>
          <w:lang w:val="en-US"/>
        </w:rPr>
        <w:t>Uniprix inc. v. Gestion Gosselin et Bérubé inc</w:t>
      </w:r>
      <w:r w:rsidRPr="000E2D2A">
        <w:rPr>
          <w:lang w:val="en-US"/>
        </w:rPr>
        <w:t xml:space="preserve">., </w:t>
      </w:r>
      <w:r w:rsidRPr="000E2D2A">
        <w:rPr>
          <w:i/>
          <w:lang w:val="en-US"/>
        </w:rPr>
        <w:t>supra</w:t>
      </w:r>
      <w:r w:rsidRPr="000E2D2A">
        <w:rPr>
          <w:lang w:val="en-US"/>
        </w:rPr>
        <w:t xml:space="preserve"> note</w:t>
      </w:r>
      <w:r w:rsidR="0006766A" w:rsidRPr="000E2D2A">
        <w:rPr>
          <w:lang w:val="en-US"/>
        </w:rPr>
        <w:t xml:space="preserve"> 29</w:t>
      </w:r>
      <w:r w:rsidRPr="000E2D2A">
        <w:rPr>
          <w:lang w:val="en-US"/>
        </w:rPr>
        <w:t xml:space="preserve"> </w:t>
      </w:r>
      <w:r w:rsidR="0006766A" w:rsidRPr="000E2D2A">
        <w:rPr>
          <w:lang w:val="en-US"/>
        </w:rPr>
        <w:t xml:space="preserve">at </w:t>
      </w:r>
      <w:r w:rsidRPr="000E2D2A">
        <w:rPr>
          <w:lang w:val="en-US"/>
        </w:rPr>
        <w:t xml:space="preserve">para. </w:t>
      </w:r>
      <w:r w:rsidRPr="00650070">
        <w:rPr>
          <w:lang w:val="en-US"/>
        </w:rPr>
        <w:t xml:space="preserve">71, the Supreme Court emphasized that the will of the parties to bind themselves potentially in perpetuity must be inferred from the terms of the contract in question. </w:t>
      </w:r>
      <w:r w:rsidRPr="00887AD9">
        <w:rPr>
          <w:lang w:val="en-US"/>
        </w:rPr>
        <w:t xml:space="preserve">Here, only </w:t>
      </w:r>
      <w:r w:rsidR="00397428">
        <w:rPr>
          <w:lang w:val="en-US"/>
        </w:rPr>
        <w:t>one</w:t>
      </w:r>
      <w:r w:rsidRPr="00887AD9">
        <w:rPr>
          <w:lang w:val="en-US"/>
        </w:rPr>
        <w:t xml:space="preserve"> email from Druide to QA (Exhibit P-24B, Email from André d’Orsonnens to Caroline Fortin </w:t>
      </w:r>
      <w:r w:rsidR="00397428">
        <w:rPr>
          <w:lang w:val="en-US"/>
        </w:rPr>
        <w:t xml:space="preserve">(27 </w:t>
      </w:r>
      <w:r w:rsidRPr="00887AD9">
        <w:rPr>
          <w:lang w:val="en-US"/>
        </w:rPr>
        <w:t>January 2009)</w:t>
      </w:r>
      <w:r w:rsidR="00397428">
        <w:rPr>
          <w:lang w:val="en-US"/>
        </w:rPr>
        <w:t>)</w:t>
      </w:r>
      <w:r w:rsidRPr="00887AD9">
        <w:rPr>
          <w:lang w:val="en-US"/>
        </w:rPr>
        <w:t xml:space="preserve"> mentions an unlimited duration of their agreement, which is insufficient in itself to infer </w:t>
      </w:r>
      <w:r w:rsidR="00397428">
        <w:rPr>
          <w:lang w:val="en-US"/>
        </w:rPr>
        <w:t>an intention</w:t>
      </w:r>
      <w:r w:rsidRPr="00887AD9">
        <w:rPr>
          <w:lang w:val="en-US"/>
        </w:rPr>
        <w:t xml:space="preserve"> shared by both parties to enter into a contract of such duration. </w:t>
      </w:r>
    </w:p>
  </w:footnote>
  <w:footnote w:id="126">
    <w:p w14:paraId="2D64B961" w14:textId="0A242F74" w:rsidR="007629E2" w:rsidRPr="00133929" w:rsidRDefault="007629E2" w:rsidP="00634D8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084C8F">
        <w:rPr>
          <w:lang w:val="en-CA"/>
        </w:rPr>
        <w:t xml:space="preserve"> </w:t>
      </w:r>
      <w:r w:rsidRPr="00084C8F">
        <w:rPr>
          <w:lang w:val="en-CA"/>
        </w:rPr>
        <w:tab/>
      </w:r>
      <w:r w:rsidRPr="00580371">
        <w:rPr>
          <w:i/>
          <w:lang w:val="en-CA"/>
        </w:rPr>
        <w:t>Toshiba Business Equipment, Divi</w:t>
      </w:r>
      <w:r>
        <w:rPr>
          <w:i/>
          <w:lang w:val="en-CA"/>
        </w:rPr>
        <w:t xml:space="preserve">sion of Toshiba of Canada Ltd. </w:t>
      </w:r>
      <w:r w:rsidR="00531FB1">
        <w:rPr>
          <w:i/>
          <w:lang w:val="en-CA"/>
        </w:rPr>
        <w:t>c</w:t>
      </w:r>
      <w:r w:rsidRPr="00580371">
        <w:rPr>
          <w:i/>
          <w:lang w:val="en-CA"/>
        </w:rPr>
        <w:t>. Admaco Business Machines Ltd</w:t>
      </w:r>
      <w:r>
        <w:rPr>
          <w:lang w:val="en-CA"/>
        </w:rPr>
        <w:t xml:space="preserve">., </w:t>
      </w:r>
      <w:r>
        <w:rPr>
          <w:i/>
          <w:lang w:val="en-CA"/>
        </w:rPr>
        <w:t>supra</w:t>
      </w:r>
      <w:r>
        <w:rPr>
          <w:lang w:val="en-CA"/>
        </w:rPr>
        <w:t xml:space="preserve"> note</w:t>
      </w:r>
      <w:r w:rsidR="00531FB1">
        <w:rPr>
          <w:lang w:val="en-CA"/>
        </w:rPr>
        <w:t xml:space="preserve"> 98</w:t>
      </w:r>
      <w:r>
        <w:rPr>
          <w:lang w:val="en-CA"/>
        </w:rPr>
        <w:t xml:space="preserve"> </w:t>
      </w:r>
      <w:r w:rsidR="00531FB1">
        <w:rPr>
          <w:lang w:val="en-CA"/>
        </w:rPr>
        <w:t xml:space="preserve">at </w:t>
      </w:r>
      <w:r>
        <w:rPr>
          <w:lang w:val="en-CA"/>
        </w:rPr>
        <w:t>para</w:t>
      </w:r>
      <w:r w:rsidRPr="0041535F">
        <w:rPr>
          <w:lang w:val="en-CA"/>
        </w:rPr>
        <w:t xml:space="preserve">. </w:t>
      </w:r>
      <w:r w:rsidRPr="00133929">
        <w:rPr>
          <w:lang w:val="en-US"/>
        </w:rPr>
        <w:t>38.</w:t>
      </w:r>
    </w:p>
  </w:footnote>
  <w:footnote w:id="127">
    <w:p w14:paraId="0C289A54" w14:textId="2B575B0B" w:rsidR="007629E2" w:rsidRPr="00133929" w:rsidRDefault="007629E2" w:rsidP="00634D8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133929">
        <w:rPr>
          <w:lang w:val="en-US"/>
        </w:rPr>
        <w:t xml:space="preserve"> </w:t>
      </w:r>
      <w:r w:rsidRPr="00133929">
        <w:rPr>
          <w:lang w:val="en-US"/>
        </w:rPr>
        <w:tab/>
      </w:r>
      <w:r w:rsidR="003A33C1" w:rsidRPr="000E2D2A">
        <w:rPr>
          <w:lang w:val="en-CA"/>
        </w:rPr>
        <w:t>Judgment under appeal</w:t>
      </w:r>
      <w:r w:rsidRPr="00133929">
        <w:rPr>
          <w:lang w:val="en-US"/>
        </w:rPr>
        <w:t xml:space="preserve"> </w:t>
      </w:r>
      <w:r w:rsidR="003A33C1">
        <w:rPr>
          <w:lang w:val="en-US"/>
        </w:rPr>
        <w:t xml:space="preserve">at </w:t>
      </w:r>
      <w:r w:rsidRPr="00133929">
        <w:rPr>
          <w:lang w:val="en-US"/>
        </w:rPr>
        <w:t>para</w:t>
      </w:r>
      <w:r w:rsidR="003A33C1">
        <w:rPr>
          <w:lang w:val="en-US"/>
        </w:rPr>
        <w:t>s</w:t>
      </w:r>
      <w:r w:rsidRPr="00133929">
        <w:rPr>
          <w:lang w:val="en-US"/>
        </w:rPr>
        <w:t>. 354</w:t>
      </w:r>
      <w:r w:rsidR="003A33C1">
        <w:rPr>
          <w:lang w:val="en-US"/>
        </w:rPr>
        <w:t>–</w:t>
      </w:r>
      <w:r w:rsidRPr="00133929">
        <w:rPr>
          <w:lang w:val="en-US"/>
        </w:rPr>
        <w:t>356.</w:t>
      </w:r>
    </w:p>
  </w:footnote>
  <w:footnote w:id="128">
    <w:p w14:paraId="42A5ECFA" w14:textId="7B58E593" w:rsidR="007629E2" w:rsidRPr="00540DD9" w:rsidRDefault="007629E2" w:rsidP="0065007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540DD9">
        <w:rPr>
          <w:lang w:val="en-US"/>
        </w:rPr>
        <w:t xml:space="preserve"> </w:t>
      </w:r>
      <w:r w:rsidRPr="00540DD9">
        <w:rPr>
          <w:lang w:val="en-US"/>
        </w:rPr>
        <w:tab/>
        <w:t xml:space="preserve">Testimony of Bertrand Pelletier </w:t>
      </w:r>
      <w:r w:rsidR="009A2471">
        <w:rPr>
          <w:lang w:val="en-US"/>
        </w:rPr>
        <w:t xml:space="preserve">(13 </w:t>
      </w:r>
      <w:r w:rsidRPr="00540DD9">
        <w:rPr>
          <w:lang w:val="en-US"/>
        </w:rPr>
        <w:t>January 2017</w:t>
      </w:r>
      <w:r w:rsidR="009A2471">
        <w:rPr>
          <w:lang w:val="en-US"/>
        </w:rPr>
        <w:t>)</w:t>
      </w:r>
      <w:r w:rsidRPr="00540DD9">
        <w:rPr>
          <w:lang w:val="en-US"/>
        </w:rPr>
        <w:t xml:space="preserve"> </w:t>
      </w:r>
      <w:r w:rsidR="009A2471">
        <w:rPr>
          <w:lang w:val="en-US"/>
        </w:rPr>
        <w:t xml:space="preserve">at </w:t>
      </w:r>
      <w:r w:rsidRPr="00540DD9">
        <w:rPr>
          <w:lang w:val="en-US"/>
        </w:rPr>
        <w:t>133</w:t>
      </w:r>
      <w:r w:rsidR="009A2471">
        <w:rPr>
          <w:lang w:val="en-US"/>
        </w:rPr>
        <w:t>–</w:t>
      </w:r>
      <w:r w:rsidRPr="00540DD9">
        <w:rPr>
          <w:lang w:val="en-US"/>
        </w:rPr>
        <w:t>136.</w:t>
      </w:r>
    </w:p>
  </w:footnote>
  <w:footnote w:id="129">
    <w:p w14:paraId="69EEE866" w14:textId="7EE83B78" w:rsidR="007629E2" w:rsidRPr="00540DD9" w:rsidRDefault="007629E2" w:rsidP="008C0D4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540DD9">
        <w:rPr>
          <w:lang w:val="en-US"/>
        </w:rPr>
        <w:t xml:space="preserve"> </w:t>
      </w:r>
      <w:r w:rsidRPr="00540DD9">
        <w:rPr>
          <w:lang w:val="en-US"/>
        </w:rPr>
        <w:tab/>
      </w:r>
      <w:r w:rsidR="003A33C1" w:rsidRPr="000E2D2A">
        <w:rPr>
          <w:lang w:val="en-CA"/>
        </w:rPr>
        <w:t>Judgment under appeal</w:t>
      </w:r>
      <w:r w:rsidRPr="00540DD9">
        <w:rPr>
          <w:lang w:val="en-US"/>
        </w:rPr>
        <w:t xml:space="preserve"> </w:t>
      </w:r>
      <w:r w:rsidR="003A33C1">
        <w:rPr>
          <w:lang w:val="en-US"/>
        </w:rPr>
        <w:t xml:space="preserve">at </w:t>
      </w:r>
      <w:r w:rsidRPr="00540DD9">
        <w:rPr>
          <w:lang w:val="en-US"/>
        </w:rPr>
        <w:t xml:space="preserve">para. 352 </w:t>
      </w:r>
      <w:r w:rsidRPr="00540DD9">
        <w:rPr>
          <w:rFonts w:cs="Arial"/>
          <w:lang w:val="en-US"/>
        </w:rPr>
        <w:t>[</w:t>
      </w:r>
      <w:r w:rsidR="00964290">
        <w:rPr>
          <w:lang w:val="en-US"/>
        </w:rPr>
        <w:t>emphasis</w:t>
      </w:r>
      <w:r w:rsidRPr="00540DD9">
        <w:rPr>
          <w:lang w:val="en-US"/>
        </w:rPr>
        <w:t xml:space="preserve"> added</w:t>
      </w:r>
      <w:r w:rsidRPr="00540DD9">
        <w:rPr>
          <w:rFonts w:cs="Arial"/>
          <w:lang w:val="en-US"/>
        </w:rPr>
        <w:t>].</w:t>
      </w:r>
    </w:p>
  </w:footnote>
  <w:footnote w:id="130">
    <w:p w14:paraId="75353A12" w14:textId="2E3E70B8" w:rsidR="007629E2" w:rsidRPr="002809C8" w:rsidRDefault="007629E2" w:rsidP="00634D8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2809C8">
        <w:rPr>
          <w:lang w:val="en-US"/>
        </w:rPr>
        <w:t xml:space="preserve"> </w:t>
      </w:r>
      <w:r w:rsidRPr="002809C8">
        <w:rPr>
          <w:lang w:val="en-US"/>
        </w:rPr>
        <w:tab/>
      </w:r>
      <w:r w:rsidRPr="002809C8">
        <w:rPr>
          <w:i/>
          <w:lang w:val="en-US"/>
        </w:rPr>
        <w:t>I</w:t>
      </w:r>
      <w:r w:rsidR="009A2471">
        <w:rPr>
          <w:i/>
          <w:lang w:val="en-US"/>
        </w:rPr>
        <w:t>bi</w:t>
      </w:r>
      <w:r w:rsidRPr="002809C8">
        <w:rPr>
          <w:i/>
          <w:lang w:val="en-US"/>
        </w:rPr>
        <w:t>d</w:t>
      </w:r>
      <w:r w:rsidRPr="002809C8">
        <w:rPr>
          <w:lang w:val="en-US"/>
        </w:rPr>
        <w:t xml:space="preserve">. </w:t>
      </w:r>
      <w:r w:rsidR="009A2471">
        <w:rPr>
          <w:lang w:val="en-US"/>
        </w:rPr>
        <w:t xml:space="preserve">at </w:t>
      </w:r>
      <w:r w:rsidRPr="002809C8">
        <w:rPr>
          <w:lang w:val="en-US"/>
        </w:rPr>
        <w:t xml:space="preserve">para. 353 </w:t>
      </w:r>
      <w:r w:rsidRPr="002809C8">
        <w:rPr>
          <w:rFonts w:cs="Arial"/>
          <w:lang w:val="en-US"/>
        </w:rPr>
        <w:t>[</w:t>
      </w:r>
      <w:r w:rsidR="00964290">
        <w:rPr>
          <w:lang w:val="en-US"/>
        </w:rPr>
        <w:t xml:space="preserve">emphasis </w:t>
      </w:r>
      <w:r w:rsidRPr="002809C8">
        <w:rPr>
          <w:lang w:val="en-US"/>
        </w:rPr>
        <w:t>added</w:t>
      </w:r>
      <w:r w:rsidRPr="002809C8">
        <w:rPr>
          <w:rFonts w:cs="Arial"/>
          <w:lang w:val="en-US"/>
        </w:rPr>
        <w:t>]</w:t>
      </w:r>
      <w:r w:rsidRPr="002809C8">
        <w:rPr>
          <w:lang w:val="en-US"/>
        </w:rPr>
        <w:t>.</w:t>
      </w:r>
    </w:p>
  </w:footnote>
  <w:footnote w:id="131">
    <w:p w14:paraId="19A73475" w14:textId="6FFCA9E0" w:rsidR="007629E2" w:rsidRPr="002809C8" w:rsidRDefault="007629E2" w:rsidP="008C0D4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2809C8">
        <w:rPr>
          <w:lang w:val="en-US"/>
        </w:rPr>
        <w:t xml:space="preserve"> </w:t>
      </w:r>
      <w:r w:rsidRPr="002809C8">
        <w:rPr>
          <w:lang w:val="en-US"/>
        </w:rPr>
        <w:tab/>
        <w:t xml:space="preserve">Testimony of Éric Brunelle </w:t>
      </w:r>
      <w:r w:rsidR="009A2471">
        <w:rPr>
          <w:lang w:val="en-US"/>
        </w:rPr>
        <w:t xml:space="preserve">(16 </w:t>
      </w:r>
      <w:r w:rsidRPr="002809C8">
        <w:rPr>
          <w:lang w:val="en-US"/>
        </w:rPr>
        <w:t>January 2017</w:t>
      </w:r>
      <w:r w:rsidR="009A2471">
        <w:rPr>
          <w:lang w:val="en-US"/>
        </w:rPr>
        <w:t>)</w:t>
      </w:r>
      <w:r w:rsidRPr="002809C8">
        <w:rPr>
          <w:lang w:val="en-US"/>
        </w:rPr>
        <w:t xml:space="preserve"> </w:t>
      </w:r>
      <w:r w:rsidR="009A2471">
        <w:rPr>
          <w:lang w:val="en-US"/>
        </w:rPr>
        <w:t xml:space="preserve">at </w:t>
      </w:r>
      <w:r w:rsidRPr="002809C8">
        <w:rPr>
          <w:lang w:val="en-US"/>
        </w:rPr>
        <w:t>66</w:t>
      </w:r>
      <w:r w:rsidR="009A2471">
        <w:rPr>
          <w:lang w:val="en-US"/>
        </w:rPr>
        <w:t>–</w:t>
      </w:r>
      <w:r w:rsidRPr="002809C8">
        <w:rPr>
          <w:lang w:val="en-US"/>
        </w:rPr>
        <w:t>69.</w:t>
      </w:r>
    </w:p>
  </w:footnote>
  <w:footnote w:id="132">
    <w:p w14:paraId="2450C9D4" w14:textId="78E9E0E5" w:rsidR="007629E2" w:rsidRDefault="007629E2" w:rsidP="008C0D4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="009A2471" w:rsidRPr="009A2471">
        <w:rPr>
          <w:i/>
        </w:rPr>
        <w:t>Quebec (Public Curator)</w:t>
      </w:r>
      <w:r>
        <w:rPr>
          <w:i/>
        </w:rPr>
        <w:t xml:space="preserve"> v</w:t>
      </w:r>
      <w:r w:rsidRPr="00564D57">
        <w:rPr>
          <w:i/>
        </w:rPr>
        <w:t>. Syndicat national des employés de l'hôpital St-Ferdinand</w:t>
      </w:r>
      <w:r w:rsidRPr="00564D57">
        <w:t xml:space="preserve">, </w:t>
      </w:r>
      <w:r>
        <w:t>[1996] 3 SCR </w:t>
      </w:r>
      <w:r w:rsidRPr="00564D57">
        <w:t>211</w:t>
      </w:r>
      <w:r>
        <w:t xml:space="preserve"> </w:t>
      </w:r>
      <w:r w:rsidR="009A2471">
        <w:t xml:space="preserve">at </w:t>
      </w:r>
      <w:r>
        <w:t xml:space="preserve">para. 121. See also </w:t>
      </w:r>
      <w:r>
        <w:rPr>
          <w:i/>
        </w:rPr>
        <w:t>Cinar Corporation v</w:t>
      </w:r>
      <w:r w:rsidRPr="00564D57">
        <w:rPr>
          <w:i/>
        </w:rPr>
        <w:t>. Robinson</w:t>
      </w:r>
      <w:r>
        <w:t>, 2013 SCC</w:t>
      </w:r>
      <w:r w:rsidRPr="00564D57">
        <w:t xml:space="preserve"> 73</w:t>
      </w:r>
      <w:r>
        <w:t xml:space="preserve"> </w:t>
      </w:r>
      <w:r w:rsidR="009A2471">
        <w:t xml:space="preserve">at </w:t>
      </w:r>
      <w:r>
        <w:t>para. 118.</w:t>
      </w:r>
    </w:p>
  </w:footnote>
  <w:footnote w:id="133">
    <w:p w14:paraId="362F86B4" w14:textId="29D8CAC2" w:rsidR="007629E2" w:rsidRDefault="007629E2" w:rsidP="00634D8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217A83">
        <w:rPr>
          <w:i/>
        </w:rPr>
        <w:t>Mag</w:t>
      </w:r>
      <w:r>
        <w:rPr>
          <w:i/>
        </w:rPr>
        <w:t xml:space="preserve">asins Greenberg ltée </w:t>
      </w:r>
      <w:r w:rsidR="009A2471">
        <w:rPr>
          <w:i/>
        </w:rPr>
        <w:t>c</w:t>
      </w:r>
      <w:r w:rsidRPr="00217A83">
        <w:rPr>
          <w:i/>
        </w:rPr>
        <w:t>. Import-Export René Derhy (Canada) inc</w:t>
      </w:r>
      <w:r w:rsidRPr="00217A83">
        <w:t>., J.E. 2004-749</w:t>
      </w:r>
      <w:r>
        <w:t xml:space="preserve">, </w:t>
      </w:r>
      <w:r w:rsidRPr="00217A83">
        <w:t>AZ-50226747</w:t>
      </w:r>
      <w:r w:rsidR="001421A4">
        <w:t xml:space="preserve"> (C.A.) at</w:t>
      </w:r>
      <w:r>
        <w:t xml:space="preserve"> para. 68.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B884" w14:textId="54F8882D" w:rsidR="007629E2" w:rsidRDefault="007629E2" w:rsidP="0088623A">
    <w:pPr>
      <w:tabs>
        <w:tab w:val="center" w:pos="4709"/>
        <w:tab w:val="right" w:pos="9360"/>
      </w:tabs>
      <w:spacing w:after="360" w:line="240" w:lineRule="auto"/>
      <w:ind w:right="518"/>
    </w:pPr>
    <w:r>
      <w:t>500-09-027119-171</w:t>
    </w:r>
    <w:r w:rsidRPr="007462D6">
      <w:t xml:space="preserve"> </w:t>
    </w:r>
    <w:r>
      <w:tab/>
    </w:r>
    <w:r>
      <w:tab/>
      <w:t xml:space="preserve">PAGE: </w:t>
    </w:r>
    <w:r>
      <w:fldChar w:fldCharType="begin"/>
    </w:r>
    <w:r>
      <w:instrText xml:space="preserve"> PAGE </w:instrText>
    </w:r>
    <w:r>
      <w:fldChar w:fldCharType="separate"/>
    </w:r>
    <w:r w:rsidR="00F41C9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9CF1" w14:textId="5D8D0A13" w:rsidR="007629E2" w:rsidRDefault="007629E2" w:rsidP="00A64879">
    <w:pPr>
      <w:tabs>
        <w:tab w:val="center" w:pos="4709"/>
        <w:tab w:val="right" w:pos="9360"/>
      </w:tabs>
      <w:spacing w:after="360" w:line="240" w:lineRule="auto"/>
      <w:ind w:right="518"/>
    </w:pPr>
    <w:r>
      <w:rPr>
        <w:rFonts w:cs="Arial"/>
      </w:rPr>
      <w:t>500-09-027119-171</w:t>
    </w:r>
    <w:r>
      <w:tab/>
    </w:r>
    <w:r>
      <w:tab/>
      <w:t xml:space="preserve">PAGE: </w:t>
    </w:r>
    <w:r>
      <w:fldChar w:fldCharType="begin"/>
    </w:r>
    <w:r>
      <w:instrText xml:space="preserve"> PAGE </w:instrText>
    </w:r>
    <w:r>
      <w:fldChar w:fldCharType="separate"/>
    </w:r>
    <w:r w:rsidR="00713741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0E1E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12E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2647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1C3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EAB8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1219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07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643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E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34A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34862"/>
    <w:multiLevelType w:val="hybridMultilevel"/>
    <w:tmpl w:val="DE06366A"/>
    <w:lvl w:ilvl="0" w:tplc="F812871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44304FD"/>
    <w:multiLevelType w:val="hybridMultilevel"/>
    <w:tmpl w:val="976805A6"/>
    <w:lvl w:ilvl="0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78549F3"/>
    <w:multiLevelType w:val="hybridMultilevel"/>
    <w:tmpl w:val="2B5E1686"/>
    <w:lvl w:ilvl="0" w:tplc="4AF87AC0">
      <w:start w:val="1"/>
      <w:numFmt w:val="bullet"/>
      <w:lvlText w:val="-"/>
      <w:lvlJc w:val="left"/>
      <w:pPr>
        <w:ind w:left="1094" w:hanging="360"/>
      </w:pPr>
      <w:rPr>
        <w:rFonts w:ascii="Arial" w:eastAsia="Times New Roman" w:hAnsi="Arial" w:cs="Arial" w:hint="default"/>
      </w:rPr>
    </w:lvl>
    <w:lvl w:ilvl="1" w:tplc="7BAC0020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1E620328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88349DD6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940E54F4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990AA4B6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5FE67FDA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2CF63866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1192823A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28BB52DE"/>
    <w:multiLevelType w:val="multilevel"/>
    <w:tmpl w:val="79E601F0"/>
    <w:lvl w:ilvl="0">
      <w:start w:val="1"/>
      <w:numFmt w:val="decimal"/>
      <w:pStyle w:val="Paragraphe"/>
      <w:lvlText w:val="[%1]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AD25761"/>
    <w:multiLevelType w:val="hybridMultilevel"/>
    <w:tmpl w:val="DB389F0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F0964"/>
    <w:multiLevelType w:val="hybridMultilevel"/>
    <w:tmpl w:val="FB801736"/>
    <w:lvl w:ilvl="0" w:tplc="782E1B56">
      <w:start w:val="3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D1B84"/>
    <w:multiLevelType w:val="multilevel"/>
    <w:tmpl w:val="2766DEE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7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5616417D"/>
    <w:multiLevelType w:val="hybridMultilevel"/>
    <w:tmpl w:val="8862BF22"/>
    <w:lvl w:ilvl="0" w:tplc="62F243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05DE7"/>
    <w:multiLevelType w:val="hybridMultilevel"/>
    <w:tmpl w:val="F4E6A0F8"/>
    <w:lvl w:ilvl="0" w:tplc="0C36E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C0DCC"/>
    <w:multiLevelType w:val="multilevel"/>
    <w:tmpl w:val="F11C8164"/>
    <w:lvl w:ilvl="0">
      <w:start w:val="1"/>
      <w:numFmt w:val="decimal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6A87E27"/>
    <w:multiLevelType w:val="hybridMultilevel"/>
    <w:tmpl w:val="52F6277C"/>
    <w:lvl w:ilvl="0" w:tplc="B46AF4AA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AD36721C">
      <w:start w:val="1"/>
      <w:numFmt w:val="lowerLetter"/>
      <w:lvlText w:val="%2."/>
      <w:lvlJc w:val="left"/>
      <w:pPr>
        <w:ind w:left="1814" w:hanging="360"/>
      </w:pPr>
    </w:lvl>
    <w:lvl w:ilvl="2" w:tplc="2564C136">
      <w:start w:val="1"/>
      <w:numFmt w:val="lowerLetter"/>
      <w:lvlText w:val="%3)"/>
      <w:lvlJc w:val="left"/>
      <w:pPr>
        <w:ind w:left="644" w:hanging="360"/>
      </w:pPr>
      <w:rPr>
        <w:rFonts w:hint="default"/>
        <w:sz w:val="22"/>
        <w:szCs w:val="22"/>
      </w:rPr>
    </w:lvl>
    <w:lvl w:ilvl="3" w:tplc="C70EFD42">
      <w:start w:val="1"/>
      <w:numFmt w:val="decimal"/>
      <w:lvlText w:val="%4."/>
      <w:lvlJc w:val="left"/>
      <w:pPr>
        <w:ind w:left="3254" w:hanging="360"/>
      </w:pPr>
    </w:lvl>
    <w:lvl w:ilvl="4" w:tplc="87100A6C" w:tentative="1">
      <w:start w:val="1"/>
      <w:numFmt w:val="lowerLetter"/>
      <w:lvlText w:val="%5."/>
      <w:lvlJc w:val="left"/>
      <w:pPr>
        <w:ind w:left="3974" w:hanging="360"/>
      </w:pPr>
    </w:lvl>
    <w:lvl w:ilvl="5" w:tplc="56BC0600" w:tentative="1">
      <w:start w:val="1"/>
      <w:numFmt w:val="lowerRoman"/>
      <w:lvlText w:val="%6."/>
      <w:lvlJc w:val="right"/>
      <w:pPr>
        <w:ind w:left="4694" w:hanging="180"/>
      </w:pPr>
    </w:lvl>
    <w:lvl w:ilvl="6" w:tplc="7084FBE0" w:tentative="1">
      <w:start w:val="1"/>
      <w:numFmt w:val="decimal"/>
      <w:lvlText w:val="%7."/>
      <w:lvlJc w:val="left"/>
      <w:pPr>
        <w:ind w:left="5414" w:hanging="360"/>
      </w:pPr>
    </w:lvl>
    <w:lvl w:ilvl="7" w:tplc="4D369C0A" w:tentative="1">
      <w:start w:val="1"/>
      <w:numFmt w:val="lowerLetter"/>
      <w:lvlText w:val="%8."/>
      <w:lvlJc w:val="left"/>
      <w:pPr>
        <w:ind w:left="6134" w:hanging="360"/>
      </w:pPr>
    </w:lvl>
    <w:lvl w:ilvl="8" w:tplc="AA2267DA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1" w15:restartNumberingAfterBreak="0">
    <w:nsid w:val="756F7B7F"/>
    <w:multiLevelType w:val="hybridMultilevel"/>
    <w:tmpl w:val="88C80C7A"/>
    <w:lvl w:ilvl="0" w:tplc="1284B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578BA"/>
    <w:multiLevelType w:val="hybridMultilevel"/>
    <w:tmpl w:val="6162582C"/>
    <w:lvl w:ilvl="0" w:tplc="E2240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8726C"/>
    <w:multiLevelType w:val="hybridMultilevel"/>
    <w:tmpl w:val="C9D6980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1888021">
    <w:abstractNumId w:val="19"/>
  </w:num>
  <w:num w:numId="2" w16cid:durableId="466246760">
    <w:abstractNumId w:val="19"/>
  </w:num>
  <w:num w:numId="3" w16cid:durableId="2093432194">
    <w:abstractNumId w:val="19"/>
  </w:num>
  <w:num w:numId="4" w16cid:durableId="757603952">
    <w:abstractNumId w:val="8"/>
  </w:num>
  <w:num w:numId="5" w16cid:durableId="2142647478">
    <w:abstractNumId w:val="3"/>
  </w:num>
  <w:num w:numId="6" w16cid:durableId="510417202">
    <w:abstractNumId w:val="2"/>
  </w:num>
  <w:num w:numId="7" w16cid:durableId="326597189">
    <w:abstractNumId w:val="1"/>
  </w:num>
  <w:num w:numId="8" w16cid:durableId="1129665702">
    <w:abstractNumId w:val="0"/>
  </w:num>
  <w:num w:numId="9" w16cid:durableId="616330847">
    <w:abstractNumId w:val="9"/>
  </w:num>
  <w:num w:numId="10" w16cid:durableId="1382482746">
    <w:abstractNumId w:val="7"/>
  </w:num>
  <w:num w:numId="11" w16cid:durableId="1538733921">
    <w:abstractNumId w:val="6"/>
  </w:num>
  <w:num w:numId="12" w16cid:durableId="504512628">
    <w:abstractNumId w:val="5"/>
  </w:num>
  <w:num w:numId="13" w16cid:durableId="1248030907">
    <w:abstractNumId w:val="4"/>
  </w:num>
  <w:num w:numId="14" w16cid:durableId="1263538438">
    <w:abstractNumId w:val="19"/>
  </w:num>
  <w:num w:numId="15" w16cid:durableId="26411659">
    <w:abstractNumId w:val="19"/>
  </w:num>
  <w:num w:numId="16" w16cid:durableId="1531870239">
    <w:abstractNumId w:val="19"/>
  </w:num>
  <w:num w:numId="17" w16cid:durableId="1612473566">
    <w:abstractNumId w:val="16"/>
  </w:num>
  <w:num w:numId="18" w16cid:durableId="947542113">
    <w:abstractNumId w:val="13"/>
  </w:num>
  <w:num w:numId="19" w16cid:durableId="622882916">
    <w:abstractNumId w:val="21"/>
  </w:num>
  <w:num w:numId="20" w16cid:durableId="800809874">
    <w:abstractNumId w:val="13"/>
  </w:num>
  <w:num w:numId="21" w16cid:durableId="583489612">
    <w:abstractNumId w:val="23"/>
  </w:num>
  <w:num w:numId="22" w16cid:durableId="1392382550">
    <w:abstractNumId w:val="22"/>
  </w:num>
  <w:num w:numId="23" w16cid:durableId="1184586505">
    <w:abstractNumId w:val="10"/>
  </w:num>
  <w:num w:numId="24" w16cid:durableId="12321554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711964">
    <w:abstractNumId w:val="13"/>
  </w:num>
  <w:num w:numId="26" w16cid:durableId="2082021713">
    <w:abstractNumId w:val="13"/>
  </w:num>
  <w:num w:numId="27" w16cid:durableId="1337610214">
    <w:abstractNumId w:val="20"/>
  </w:num>
  <w:num w:numId="28" w16cid:durableId="1628514209">
    <w:abstractNumId w:val="17"/>
  </w:num>
  <w:num w:numId="29" w16cid:durableId="1643922410">
    <w:abstractNumId w:val="18"/>
  </w:num>
  <w:num w:numId="30" w16cid:durableId="1455321462">
    <w:abstractNumId w:val="12"/>
  </w:num>
  <w:num w:numId="31" w16cid:durableId="680354996">
    <w:abstractNumId w:val="15"/>
  </w:num>
  <w:num w:numId="32" w16cid:durableId="1838761711">
    <w:abstractNumId w:val="14"/>
  </w:num>
  <w:num w:numId="33" w16cid:durableId="331235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nNBChoix" w:val="3"/>
    <w:docVar w:name="MotifJuge1" w:val="MOTIFS DU JUGE"/>
    <w:docVar w:name="MotifJuge2" w:val="MOTIFS DE LA JUGE"/>
    <w:docVar w:name="MotifJuge3" w:val="MOTIFS DU JUGE"/>
    <w:docVar w:name="NomFamJuge1" w:val="DOYON"/>
    <w:docVar w:name="NomFamJuge2" w:val="SAVARD"/>
    <w:docVar w:name="NomFamJuge3" w:val="RANCOURT"/>
    <w:docVar w:name="NomFamJuge4" w:val="MAILHOT"/>
    <w:docVar w:name="NomFamJuge5" w:val="BAUDOUIN"/>
    <w:docVar w:name="QteJuge1" w:val=", J.C.A."/>
    <w:docVar w:name="QteJuge2" w:val=", J.C.A."/>
    <w:docVar w:name="QteJuge3" w:val=", J.C.A."/>
    <w:docVar w:name="stPremiereFois" w:val="Non"/>
  </w:docVars>
  <w:rsids>
    <w:rsidRoot w:val="00104660"/>
    <w:rsid w:val="00000649"/>
    <w:rsid w:val="000044CA"/>
    <w:rsid w:val="00006B76"/>
    <w:rsid w:val="00010AAA"/>
    <w:rsid w:val="000114CC"/>
    <w:rsid w:val="00011AB5"/>
    <w:rsid w:val="00012385"/>
    <w:rsid w:val="000131A7"/>
    <w:rsid w:val="00015CC0"/>
    <w:rsid w:val="00016752"/>
    <w:rsid w:val="00016923"/>
    <w:rsid w:val="00020D2B"/>
    <w:rsid w:val="000218E9"/>
    <w:rsid w:val="00023604"/>
    <w:rsid w:val="00024C1B"/>
    <w:rsid w:val="0002521C"/>
    <w:rsid w:val="00025351"/>
    <w:rsid w:val="000271C6"/>
    <w:rsid w:val="00027BC1"/>
    <w:rsid w:val="0003334E"/>
    <w:rsid w:val="00033B95"/>
    <w:rsid w:val="00033EB8"/>
    <w:rsid w:val="00036708"/>
    <w:rsid w:val="00040DA3"/>
    <w:rsid w:val="000415DD"/>
    <w:rsid w:val="00042E5B"/>
    <w:rsid w:val="0004450D"/>
    <w:rsid w:val="00045E2C"/>
    <w:rsid w:val="00050FDE"/>
    <w:rsid w:val="000512EE"/>
    <w:rsid w:val="000529DC"/>
    <w:rsid w:val="00053B60"/>
    <w:rsid w:val="00054278"/>
    <w:rsid w:val="0005517C"/>
    <w:rsid w:val="000565A1"/>
    <w:rsid w:val="00057115"/>
    <w:rsid w:val="00057352"/>
    <w:rsid w:val="0005744A"/>
    <w:rsid w:val="00062C9B"/>
    <w:rsid w:val="00064BDB"/>
    <w:rsid w:val="00066074"/>
    <w:rsid w:val="00067397"/>
    <w:rsid w:val="0006766A"/>
    <w:rsid w:val="00070594"/>
    <w:rsid w:val="000709BB"/>
    <w:rsid w:val="0007106B"/>
    <w:rsid w:val="0007123D"/>
    <w:rsid w:val="00072720"/>
    <w:rsid w:val="000727A4"/>
    <w:rsid w:val="00073FEF"/>
    <w:rsid w:val="000741B6"/>
    <w:rsid w:val="0007451F"/>
    <w:rsid w:val="000750FD"/>
    <w:rsid w:val="00083215"/>
    <w:rsid w:val="0008676F"/>
    <w:rsid w:val="00087268"/>
    <w:rsid w:val="000901A1"/>
    <w:rsid w:val="0009159F"/>
    <w:rsid w:val="000918F1"/>
    <w:rsid w:val="00091BEC"/>
    <w:rsid w:val="00092360"/>
    <w:rsid w:val="00095F90"/>
    <w:rsid w:val="00096F61"/>
    <w:rsid w:val="000A08B8"/>
    <w:rsid w:val="000A0DF8"/>
    <w:rsid w:val="000A3216"/>
    <w:rsid w:val="000A323A"/>
    <w:rsid w:val="000A33B2"/>
    <w:rsid w:val="000A3547"/>
    <w:rsid w:val="000A6D04"/>
    <w:rsid w:val="000A71AD"/>
    <w:rsid w:val="000A78C5"/>
    <w:rsid w:val="000B0179"/>
    <w:rsid w:val="000B2050"/>
    <w:rsid w:val="000B243F"/>
    <w:rsid w:val="000B4844"/>
    <w:rsid w:val="000B4874"/>
    <w:rsid w:val="000B4B26"/>
    <w:rsid w:val="000C080E"/>
    <w:rsid w:val="000C1E6E"/>
    <w:rsid w:val="000C256D"/>
    <w:rsid w:val="000C2FD8"/>
    <w:rsid w:val="000C48A0"/>
    <w:rsid w:val="000C795B"/>
    <w:rsid w:val="000D2FDA"/>
    <w:rsid w:val="000D4462"/>
    <w:rsid w:val="000D5DFB"/>
    <w:rsid w:val="000E2614"/>
    <w:rsid w:val="000E2D2A"/>
    <w:rsid w:val="000E3A3C"/>
    <w:rsid w:val="000E41F0"/>
    <w:rsid w:val="000E42C4"/>
    <w:rsid w:val="000E4713"/>
    <w:rsid w:val="000E4A64"/>
    <w:rsid w:val="000E58B8"/>
    <w:rsid w:val="000E5C22"/>
    <w:rsid w:val="000E5DF9"/>
    <w:rsid w:val="000E6A4D"/>
    <w:rsid w:val="000E7DC6"/>
    <w:rsid w:val="000F0D32"/>
    <w:rsid w:val="000F19B7"/>
    <w:rsid w:val="000F4260"/>
    <w:rsid w:val="000F4C03"/>
    <w:rsid w:val="000F4FCC"/>
    <w:rsid w:val="00100181"/>
    <w:rsid w:val="001017FB"/>
    <w:rsid w:val="00102576"/>
    <w:rsid w:val="001039F0"/>
    <w:rsid w:val="0010414A"/>
    <w:rsid w:val="00104660"/>
    <w:rsid w:val="00104A9F"/>
    <w:rsid w:val="00105D41"/>
    <w:rsid w:val="00106B96"/>
    <w:rsid w:val="001074D0"/>
    <w:rsid w:val="00107833"/>
    <w:rsid w:val="00110284"/>
    <w:rsid w:val="00113D01"/>
    <w:rsid w:val="00114DF5"/>
    <w:rsid w:val="00115DB7"/>
    <w:rsid w:val="00120D42"/>
    <w:rsid w:val="0012121E"/>
    <w:rsid w:val="00123E15"/>
    <w:rsid w:val="00124E90"/>
    <w:rsid w:val="00125D94"/>
    <w:rsid w:val="00126EE9"/>
    <w:rsid w:val="0013089A"/>
    <w:rsid w:val="00132ABD"/>
    <w:rsid w:val="00133929"/>
    <w:rsid w:val="0013698D"/>
    <w:rsid w:val="00136AB6"/>
    <w:rsid w:val="00136E9D"/>
    <w:rsid w:val="00136EE4"/>
    <w:rsid w:val="00140A92"/>
    <w:rsid w:val="00140DEE"/>
    <w:rsid w:val="0014189B"/>
    <w:rsid w:val="001421A4"/>
    <w:rsid w:val="00142C8D"/>
    <w:rsid w:val="00142FC6"/>
    <w:rsid w:val="00143063"/>
    <w:rsid w:val="0014553D"/>
    <w:rsid w:val="001469E8"/>
    <w:rsid w:val="00147CC3"/>
    <w:rsid w:val="001504CD"/>
    <w:rsid w:val="001515B1"/>
    <w:rsid w:val="00151B26"/>
    <w:rsid w:val="00152495"/>
    <w:rsid w:val="001524F0"/>
    <w:rsid w:val="0015343E"/>
    <w:rsid w:val="00154458"/>
    <w:rsid w:val="00160A9E"/>
    <w:rsid w:val="00161074"/>
    <w:rsid w:val="00162F24"/>
    <w:rsid w:val="001674EA"/>
    <w:rsid w:val="00167C92"/>
    <w:rsid w:val="00171015"/>
    <w:rsid w:val="0017210D"/>
    <w:rsid w:val="0017238A"/>
    <w:rsid w:val="001725E4"/>
    <w:rsid w:val="00173B91"/>
    <w:rsid w:val="00176801"/>
    <w:rsid w:val="00176924"/>
    <w:rsid w:val="00177C27"/>
    <w:rsid w:val="00180347"/>
    <w:rsid w:val="00183943"/>
    <w:rsid w:val="00183B75"/>
    <w:rsid w:val="0018480F"/>
    <w:rsid w:val="001868F5"/>
    <w:rsid w:val="00187B01"/>
    <w:rsid w:val="0019088D"/>
    <w:rsid w:val="00191A46"/>
    <w:rsid w:val="00194280"/>
    <w:rsid w:val="00194708"/>
    <w:rsid w:val="001A14D7"/>
    <w:rsid w:val="001A35CB"/>
    <w:rsid w:val="001A4CB2"/>
    <w:rsid w:val="001A5C40"/>
    <w:rsid w:val="001A63B8"/>
    <w:rsid w:val="001A6771"/>
    <w:rsid w:val="001A6CA9"/>
    <w:rsid w:val="001A7DBE"/>
    <w:rsid w:val="001B07D9"/>
    <w:rsid w:val="001B2D2A"/>
    <w:rsid w:val="001B3830"/>
    <w:rsid w:val="001B75F9"/>
    <w:rsid w:val="001C0077"/>
    <w:rsid w:val="001C4443"/>
    <w:rsid w:val="001C4D48"/>
    <w:rsid w:val="001C57AC"/>
    <w:rsid w:val="001C6A92"/>
    <w:rsid w:val="001C6ACF"/>
    <w:rsid w:val="001C72CB"/>
    <w:rsid w:val="001C77AF"/>
    <w:rsid w:val="001C7DBD"/>
    <w:rsid w:val="001D1ABD"/>
    <w:rsid w:val="001D253E"/>
    <w:rsid w:val="001D69AA"/>
    <w:rsid w:val="001D6E0C"/>
    <w:rsid w:val="001D76DE"/>
    <w:rsid w:val="001E16E5"/>
    <w:rsid w:val="001E2296"/>
    <w:rsid w:val="001E45B3"/>
    <w:rsid w:val="001E4AE5"/>
    <w:rsid w:val="001E567C"/>
    <w:rsid w:val="001E63EB"/>
    <w:rsid w:val="001F1DBA"/>
    <w:rsid w:val="001F74A0"/>
    <w:rsid w:val="00201585"/>
    <w:rsid w:val="00204329"/>
    <w:rsid w:val="002049E9"/>
    <w:rsid w:val="00206265"/>
    <w:rsid w:val="002065BC"/>
    <w:rsid w:val="002078BE"/>
    <w:rsid w:val="00213999"/>
    <w:rsid w:val="0021414E"/>
    <w:rsid w:val="00216A11"/>
    <w:rsid w:val="00216CB0"/>
    <w:rsid w:val="00216D1B"/>
    <w:rsid w:val="002177CC"/>
    <w:rsid w:val="002207A4"/>
    <w:rsid w:val="00223102"/>
    <w:rsid w:val="00223E60"/>
    <w:rsid w:val="00225878"/>
    <w:rsid w:val="0022687D"/>
    <w:rsid w:val="002305BF"/>
    <w:rsid w:val="002335B4"/>
    <w:rsid w:val="0023515C"/>
    <w:rsid w:val="002364DD"/>
    <w:rsid w:val="00240C38"/>
    <w:rsid w:val="00242188"/>
    <w:rsid w:val="0024324E"/>
    <w:rsid w:val="00243E50"/>
    <w:rsid w:val="00244568"/>
    <w:rsid w:val="00244A26"/>
    <w:rsid w:val="00244A59"/>
    <w:rsid w:val="0024520A"/>
    <w:rsid w:val="00245C72"/>
    <w:rsid w:val="002462AB"/>
    <w:rsid w:val="002470E0"/>
    <w:rsid w:val="00247A3C"/>
    <w:rsid w:val="00251327"/>
    <w:rsid w:val="00252041"/>
    <w:rsid w:val="00252348"/>
    <w:rsid w:val="0025312D"/>
    <w:rsid w:val="00254957"/>
    <w:rsid w:val="002560F9"/>
    <w:rsid w:val="002562DB"/>
    <w:rsid w:val="002568A5"/>
    <w:rsid w:val="002570AF"/>
    <w:rsid w:val="002570C8"/>
    <w:rsid w:val="0026233D"/>
    <w:rsid w:val="0026262D"/>
    <w:rsid w:val="002637B7"/>
    <w:rsid w:val="00263841"/>
    <w:rsid w:val="00263CDE"/>
    <w:rsid w:val="00264730"/>
    <w:rsid w:val="002651C0"/>
    <w:rsid w:val="00265B67"/>
    <w:rsid w:val="00266B73"/>
    <w:rsid w:val="002706E8"/>
    <w:rsid w:val="00271A5A"/>
    <w:rsid w:val="00272CE2"/>
    <w:rsid w:val="002732BE"/>
    <w:rsid w:val="00275193"/>
    <w:rsid w:val="00277620"/>
    <w:rsid w:val="00277751"/>
    <w:rsid w:val="0027796B"/>
    <w:rsid w:val="002809C8"/>
    <w:rsid w:val="00283A6F"/>
    <w:rsid w:val="002849AC"/>
    <w:rsid w:val="0028536C"/>
    <w:rsid w:val="00287438"/>
    <w:rsid w:val="0028795A"/>
    <w:rsid w:val="0029181E"/>
    <w:rsid w:val="00291C90"/>
    <w:rsid w:val="0029456E"/>
    <w:rsid w:val="00296526"/>
    <w:rsid w:val="002965F2"/>
    <w:rsid w:val="002A0D65"/>
    <w:rsid w:val="002A14AF"/>
    <w:rsid w:val="002A1E3C"/>
    <w:rsid w:val="002A1FAC"/>
    <w:rsid w:val="002A3A69"/>
    <w:rsid w:val="002A4BB7"/>
    <w:rsid w:val="002A6314"/>
    <w:rsid w:val="002B00B5"/>
    <w:rsid w:val="002B20F4"/>
    <w:rsid w:val="002B4103"/>
    <w:rsid w:val="002B5D6A"/>
    <w:rsid w:val="002B65C3"/>
    <w:rsid w:val="002B758E"/>
    <w:rsid w:val="002C1396"/>
    <w:rsid w:val="002C4107"/>
    <w:rsid w:val="002C4609"/>
    <w:rsid w:val="002C465D"/>
    <w:rsid w:val="002C7264"/>
    <w:rsid w:val="002C74A9"/>
    <w:rsid w:val="002D0A7C"/>
    <w:rsid w:val="002D0CD9"/>
    <w:rsid w:val="002D2177"/>
    <w:rsid w:val="002D2373"/>
    <w:rsid w:val="002D5410"/>
    <w:rsid w:val="002D59AC"/>
    <w:rsid w:val="002D6868"/>
    <w:rsid w:val="002D6B08"/>
    <w:rsid w:val="002D7472"/>
    <w:rsid w:val="002D7522"/>
    <w:rsid w:val="002D75DE"/>
    <w:rsid w:val="002D76CE"/>
    <w:rsid w:val="002E00B2"/>
    <w:rsid w:val="002E048E"/>
    <w:rsid w:val="002E2F79"/>
    <w:rsid w:val="002E6256"/>
    <w:rsid w:val="002E6DBC"/>
    <w:rsid w:val="002E7904"/>
    <w:rsid w:val="002F134C"/>
    <w:rsid w:val="002F2ADB"/>
    <w:rsid w:val="002F45F0"/>
    <w:rsid w:val="002F5472"/>
    <w:rsid w:val="002F7238"/>
    <w:rsid w:val="002F7E1B"/>
    <w:rsid w:val="00300ED3"/>
    <w:rsid w:val="00302BDC"/>
    <w:rsid w:val="00303623"/>
    <w:rsid w:val="003052F3"/>
    <w:rsid w:val="003065DE"/>
    <w:rsid w:val="003076F4"/>
    <w:rsid w:val="003110DF"/>
    <w:rsid w:val="00311452"/>
    <w:rsid w:val="0031151A"/>
    <w:rsid w:val="003119AA"/>
    <w:rsid w:val="00313AD3"/>
    <w:rsid w:val="00313DF1"/>
    <w:rsid w:val="0031433E"/>
    <w:rsid w:val="00315196"/>
    <w:rsid w:val="00316642"/>
    <w:rsid w:val="00316D94"/>
    <w:rsid w:val="00316F5C"/>
    <w:rsid w:val="003174AC"/>
    <w:rsid w:val="00320B3A"/>
    <w:rsid w:val="0032465C"/>
    <w:rsid w:val="00330DDE"/>
    <w:rsid w:val="003312E2"/>
    <w:rsid w:val="003335FF"/>
    <w:rsid w:val="00334BEF"/>
    <w:rsid w:val="003367CD"/>
    <w:rsid w:val="0034023B"/>
    <w:rsid w:val="00340967"/>
    <w:rsid w:val="003411FC"/>
    <w:rsid w:val="003427C0"/>
    <w:rsid w:val="00343546"/>
    <w:rsid w:val="00345F8D"/>
    <w:rsid w:val="00346FBF"/>
    <w:rsid w:val="003470D4"/>
    <w:rsid w:val="00351446"/>
    <w:rsid w:val="00352699"/>
    <w:rsid w:val="00355942"/>
    <w:rsid w:val="0035648E"/>
    <w:rsid w:val="00360E34"/>
    <w:rsid w:val="00361DEE"/>
    <w:rsid w:val="00361FD1"/>
    <w:rsid w:val="0036561C"/>
    <w:rsid w:val="0036576E"/>
    <w:rsid w:val="00370919"/>
    <w:rsid w:val="00370C5D"/>
    <w:rsid w:val="0037134E"/>
    <w:rsid w:val="00373E80"/>
    <w:rsid w:val="003752EB"/>
    <w:rsid w:val="003806CD"/>
    <w:rsid w:val="003826B6"/>
    <w:rsid w:val="0038343C"/>
    <w:rsid w:val="00383451"/>
    <w:rsid w:val="00384A7A"/>
    <w:rsid w:val="00387EA5"/>
    <w:rsid w:val="00390D05"/>
    <w:rsid w:val="0039326E"/>
    <w:rsid w:val="003938AF"/>
    <w:rsid w:val="00393BBB"/>
    <w:rsid w:val="00394AE3"/>
    <w:rsid w:val="00394F16"/>
    <w:rsid w:val="00396142"/>
    <w:rsid w:val="00396BD9"/>
    <w:rsid w:val="00396D34"/>
    <w:rsid w:val="0039726C"/>
    <w:rsid w:val="00397428"/>
    <w:rsid w:val="00397A81"/>
    <w:rsid w:val="003A0E98"/>
    <w:rsid w:val="003A33C1"/>
    <w:rsid w:val="003A36D1"/>
    <w:rsid w:val="003A3C03"/>
    <w:rsid w:val="003A6380"/>
    <w:rsid w:val="003A688F"/>
    <w:rsid w:val="003B012F"/>
    <w:rsid w:val="003B0DB9"/>
    <w:rsid w:val="003B2860"/>
    <w:rsid w:val="003B2E10"/>
    <w:rsid w:val="003B4C13"/>
    <w:rsid w:val="003B53F0"/>
    <w:rsid w:val="003B5A2D"/>
    <w:rsid w:val="003B5E41"/>
    <w:rsid w:val="003B5F42"/>
    <w:rsid w:val="003C0048"/>
    <w:rsid w:val="003C2082"/>
    <w:rsid w:val="003C241A"/>
    <w:rsid w:val="003C29C8"/>
    <w:rsid w:val="003C4E67"/>
    <w:rsid w:val="003C5AC9"/>
    <w:rsid w:val="003D251F"/>
    <w:rsid w:val="003D2612"/>
    <w:rsid w:val="003D2F38"/>
    <w:rsid w:val="003D3781"/>
    <w:rsid w:val="003D421B"/>
    <w:rsid w:val="003D4E2D"/>
    <w:rsid w:val="003D5513"/>
    <w:rsid w:val="003D6801"/>
    <w:rsid w:val="003D7366"/>
    <w:rsid w:val="003E03AA"/>
    <w:rsid w:val="003E56A7"/>
    <w:rsid w:val="003F09A3"/>
    <w:rsid w:val="003F19C4"/>
    <w:rsid w:val="003F1BAD"/>
    <w:rsid w:val="003F20EA"/>
    <w:rsid w:val="003F3C7C"/>
    <w:rsid w:val="003F644E"/>
    <w:rsid w:val="003F712C"/>
    <w:rsid w:val="003F771F"/>
    <w:rsid w:val="003F7CC9"/>
    <w:rsid w:val="0040391E"/>
    <w:rsid w:val="00405886"/>
    <w:rsid w:val="00406243"/>
    <w:rsid w:val="00406A9A"/>
    <w:rsid w:val="004071C9"/>
    <w:rsid w:val="00407726"/>
    <w:rsid w:val="0041007E"/>
    <w:rsid w:val="0041038A"/>
    <w:rsid w:val="0041107E"/>
    <w:rsid w:val="00411A3F"/>
    <w:rsid w:val="0041229A"/>
    <w:rsid w:val="00412FEA"/>
    <w:rsid w:val="00413616"/>
    <w:rsid w:val="0041535F"/>
    <w:rsid w:val="004155C3"/>
    <w:rsid w:val="00416AB2"/>
    <w:rsid w:val="004178BA"/>
    <w:rsid w:val="00417BB1"/>
    <w:rsid w:val="004205AB"/>
    <w:rsid w:val="00420AAF"/>
    <w:rsid w:val="00426931"/>
    <w:rsid w:val="004273D4"/>
    <w:rsid w:val="0042779A"/>
    <w:rsid w:val="00427DC5"/>
    <w:rsid w:val="00431771"/>
    <w:rsid w:val="004325BC"/>
    <w:rsid w:val="004331B8"/>
    <w:rsid w:val="004331C4"/>
    <w:rsid w:val="00433429"/>
    <w:rsid w:val="00433709"/>
    <w:rsid w:val="00434213"/>
    <w:rsid w:val="0043479F"/>
    <w:rsid w:val="0043502A"/>
    <w:rsid w:val="004357E9"/>
    <w:rsid w:val="00435F80"/>
    <w:rsid w:val="00436C6E"/>
    <w:rsid w:val="00436D4A"/>
    <w:rsid w:val="0043726A"/>
    <w:rsid w:val="00440CAC"/>
    <w:rsid w:val="004446EE"/>
    <w:rsid w:val="00444BD7"/>
    <w:rsid w:val="004469F2"/>
    <w:rsid w:val="00446E4E"/>
    <w:rsid w:val="00450565"/>
    <w:rsid w:val="00450AD8"/>
    <w:rsid w:val="00453DE7"/>
    <w:rsid w:val="00454D21"/>
    <w:rsid w:val="00455B03"/>
    <w:rsid w:val="00456BB3"/>
    <w:rsid w:val="00457561"/>
    <w:rsid w:val="00460C15"/>
    <w:rsid w:val="004611E9"/>
    <w:rsid w:val="00462AFE"/>
    <w:rsid w:val="00463B93"/>
    <w:rsid w:val="00465D8F"/>
    <w:rsid w:val="004667A5"/>
    <w:rsid w:val="00467A6B"/>
    <w:rsid w:val="00467E71"/>
    <w:rsid w:val="00472E7F"/>
    <w:rsid w:val="00473404"/>
    <w:rsid w:val="00473CFA"/>
    <w:rsid w:val="00474292"/>
    <w:rsid w:val="00474A80"/>
    <w:rsid w:val="00475079"/>
    <w:rsid w:val="004770F4"/>
    <w:rsid w:val="00480E13"/>
    <w:rsid w:val="00480F68"/>
    <w:rsid w:val="00484AC9"/>
    <w:rsid w:val="004858F9"/>
    <w:rsid w:val="00485FD9"/>
    <w:rsid w:val="00487AD2"/>
    <w:rsid w:val="0049050B"/>
    <w:rsid w:val="0049595F"/>
    <w:rsid w:val="00495C34"/>
    <w:rsid w:val="00496B90"/>
    <w:rsid w:val="004A2B5A"/>
    <w:rsid w:val="004A5A56"/>
    <w:rsid w:val="004A6143"/>
    <w:rsid w:val="004A681D"/>
    <w:rsid w:val="004B0135"/>
    <w:rsid w:val="004B21E3"/>
    <w:rsid w:val="004B27C1"/>
    <w:rsid w:val="004B4CAE"/>
    <w:rsid w:val="004C0B9D"/>
    <w:rsid w:val="004C0EBE"/>
    <w:rsid w:val="004C27E0"/>
    <w:rsid w:val="004C2E60"/>
    <w:rsid w:val="004C3911"/>
    <w:rsid w:val="004C6344"/>
    <w:rsid w:val="004C6AE4"/>
    <w:rsid w:val="004C7888"/>
    <w:rsid w:val="004D1BFF"/>
    <w:rsid w:val="004D237B"/>
    <w:rsid w:val="004D373E"/>
    <w:rsid w:val="004D6567"/>
    <w:rsid w:val="004E0ECE"/>
    <w:rsid w:val="004E14FB"/>
    <w:rsid w:val="004E68CC"/>
    <w:rsid w:val="004E6D6B"/>
    <w:rsid w:val="004E7698"/>
    <w:rsid w:val="004F01CF"/>
    <w:rsid w:val="004F09A9"/>
    <w:rsid w:val="004F1F40"/>
    <w:rsid w:val="0050016C"/>
    <w:rsid w:val="00500BE8"/>
    <w:rsid w:val="0050107D"/>
    <w:rsid w:val="00501FEA"/>
    <w:rsid w:val="00506037"/>
    <w:rsid w:val="005069C3"/>
    <w:rsid w:val="005071F7"/>
    <w:rsid w:val="00511914"/>
    <w:rsid w:val="00511EFD"/>
    <w:rsid w:val="00512804"/>
    <w:rsid w:val="005135AF"/>
    <w:rsid w:val="00514E5E"/>
    <w:rsid w:val="0051712D"/>
    <w:rsid w:val="005173A2"/>
    <w:rsid w:val="0051747F"/>
    <w:rsid w:val="00517C47"/>
    <w:rsid w:val="00517DDF"/>
    <w:rsid w:val="00522E98"/>
    <w:rsid w:val="005238A3"/>
    <w:rsid w:val="00524A95"/>
    <w:rsid w:val="00526E44"/>
    <w:rsid w:val="00531FB1"/>
    <w:rsid w:val="00532AB9"/>
    <w:rsid w:val="00535667"/>
    <w:rsid w:val="005357C5"/>
    <w:rsid w:val="00537857"/>
    <w:rsid w:val="00540DD9"/>
    <w:rsid w:val="00541683"/>
    <w:rsid w:val="00541765"/>
    <w:rsid w:val="0054210D"/>
    <w:rsid w:val="005426CC"/>
    <w:rsid w:val="00544171"/>
    <w:rsid w:val="005458C8"/>
    <w:rsid w:val="0054605F"/>
    <w:rsid w:val="00551EC9"/>
    <w:rsid w:val="00552494"/>
    <w:rsid w:val="005539D6"/>
    <w:rsid w:val="00554A74"/>
    <w:rsid w:val="005573D6"/>
    <w:rsid w:val="00561F55"/>
    <w:rsid w:val="005660E9"/>
    <w:rsid w:val="0056654B"/>
    <w:rsid w:val="00566BF6"/>
    <w:rsid w:val="005677B2"/>
    <w:rsid w:val="00572CEB"/>
    <w:rsid w:val="0057578B"/>
    <w:rsid w:val="00577B1A"/>
    <w:rsid w:val="00577DB6"/>
    <w:rsid w:val="005807DD"/>
    <w:rsid w:val="00585483"/>
    <w:rsid w:val="005863A4"/>
    <w:rsid w:val="005875BE"/>
    <w:rsid w:val="00590637"/>
    <w:rsid w:val="005914ED"/>
    <w:rsid w:val="005917D1"/>
    <w:rsid w:val="005918EC"/>
    <w:rsid w:val="00591EC7"/>
    <w:rsid w:val="00593769"/>
    <w:rsid w:val="005945D3"/>
    <w:rsid w:val="005948BA"/>
    <w:rsid w:val="00597442"/>
    <w:rsid w:val="00597F02"/>
    <w:rsid w:val="005A20AA"/>
    <w:rsid w:val="005A3E11"/>
    <w:rsid w:val="005A4118"/>
    <w:rsid w:val="005A446B"/>
    <w:rsid w:val="005A562F"/>
    <w:rsid w:val="005B064F"/>
    <w:rsid w:val="005B12CB"/>
    <w:rsid w:val="005B2CEE"/>
    <w:rsid w:val="005B3E6F"/>
    <w:rsid w:val="005C141D"/>
    <w:rsid w:val="005C318A"/>
    <w:rsid w:val="005C6F62"/>
    <w:rsid w:val="005D0291"/>
    <w:rsid w:val="005D1522"/>
    <w:rsid w:val="005D17B7"/>
    <w:rsid w:val="005D3395"/>
    <w:rsid w:val="005D34A7"/>
    <w:rsid w:val="005D77C2"/>
    <w:rsid w:val="005E25BB"/>
    <w:rsid w:val="005E3DF9"/>
    <w:rsid w:val="005E3E8F"/>
    <w:rsid w:val="005E45F0"/>
    <w:rsid w:val="005E5B96"/>
    <w:rsid w:val="005E66B0"/>
    <w:rsid w:val="005E78C1"/>
    <w:rsid w:val="005F072C"/>
    <w:rsid w:val="005F2052"/>
    <w:rsid w:val="005F68BE"/>
    <w:rsid w:val="00601D30"/>
    <w:rsid w:val="00602E71"/>
    <w:rsid w:val="00603631"/>
    <w:rsid w:val="00604008"/>
    <w:rsid w:val="0060784D"/>
    <w:rsid w:val="00610453"/>
    <w:rsid w:val="006120A7"/>
    <w:rsid w:val="0061346F"/>
    <w:rsid w:val="00613557"/>
    <w:rsid w:val="0061606D"/>
    <w:rsid w:val="00621510"/>
    <w:rsid w:val="00621765"/>
    <w:rsid w:val="006237DF"/>
    <w:rsid w:val="00624241"/>
    <w:rsid w:val="00625DA9"/>
    <w:rsid w:val="006263E9"/>
    <w:rsid w:val="00626EEB"/>
    <w:rsid w:val="00631924"/>
    <w:rsid w:val="00632064"/>
    <w:rsid w:val="00632556"/>
    <w:rsid w:val="00632E17"/>
    <w:rsid w:val="00634159"/>
    <w:rsid w:val="00634667"/>
    <w:rsid w:val="00634D8F"/>
    <w:rsid w:val="006365B3"/>
    <w:rsid w:val="0064097A"/>
    <w:rsid w:val="00641036"/>
    <w:rsid w:val="0064112F"/>
    <w:rsid w:val="0064174E"/>
    <w:rsid w:val="0064266E"/>
    <w:rsid w:val="00643ABB"/>
    <w:rsid w:val="00645C46"/>
    <w:rsid w:val="00646400"/>
    <w:rsid w:val="00650070"/>
    <w:rsid w:val="00650F5D"/>
    <w:rsid w:val="00651DE9"/>
    <w:rsid w:val="00653C61"/>
    <w:rsid w:val="00654F73"/>
    <w:rsid w:val="006606F4"/>
    <w:rsid w:val="00660D94"/>
    <w:rsid w:val="0066611C"/>
    <w:rsid w:val="00666EEA"/>
    <w:rsid w:val="00670318"/>
    <w:rsid w:val="00671D1A"/>
    <w:rsid w:val="00672E80"/>
    <w:rsid w:val="00674B39"/>
    <w:rsid w:val="00675D9F"/>
    <w:rsid w:val="006775AB"/>
    <w:rsid w:val="006812DA"/>
    <w:rsid w:val="006816F4"/>
    <w:rsid w:val="006828DD"/>
    <w:rsid w:val="006830A5"/>
    <w:rsid w:val="006848BC"/>
    <w:rsid w:val="00685EBF"/>
    <w:rsid w:val="00690038"/>
    <w:rsid w:val="0069031A"/>
    <w:rsid w:val="006919A1"/>
    <w:rsid w:val="00692C97"/>
    <w:rsid w:val="0069357C"/>
    <w:rsid w:val="006939E8"/>
    <w:rsid w:val="0069412F"/>
    <w:rsid w:val="006A08C4"/>
    <w:rsid w:val="006A31AC"/>
    <w:rsid w:val="006A638B"/>
    <w:rsid w:val="006A71F9"/>
    <w:rsid w:val="006B0171"/>
    <w:rsid w:val="006B09F6"/>
    <w:rsid w:val="006B0F9B"/>
    <w:rsid w:val="006B2FD2"/>
    <w:rsid w:val="006B3F45"/>
    <w:rsid w:val="006B4ED3"/>
    <w:rsid w:val="006B61F8"/>
    <w:rsid w:val="006C113B"/>
    <w:rsid w:val="006C4083"/>
    <w:rsid w:val="006C40FA"/>
    <w:rsid w:val="006C5119"/>
    <w:rsid w:val="006C5587"/>
    <w:rsid w:val="006D4384"/>
    <w:rsid w:val="006E090C"/>
    <w:rsid w:val="006E097F"/>
    <w:rsid w:val="006E30CC"/>
    <w:rsid w:val="006E3CAD"/>
    <w:rsid w:val="006E47B9"/>
    <w:rsid w:val="006E4CCA"/>
    <w:rsid w:val="006E4F60"/>
    <w:rsid w:val="006E68CB"/>
    <w:rsid w:val="006E73D1"/>
    <w:rsid w:val="006F289C"/>
    <w:rsid w:val="006F30DB"/>
    <w:rsid w:val="006F322D"/>
    <w:rsid w:val="006F5579"/>
    <w:rsid w:val="006F6263"/>
    <w:rsid w:val="006F65D7"/>
    <w:rsid w:val="006F70C4"/>
    <w:rsid w:val="0070061C"/>
    <w:rsid w:val="007020FF"/>
    <w:rsid w:val="007056DF"/>
    <w:rsid w:val="00705FBC"/>
    <w:rsid w:val="0071051D"/>
    <w:rsid w:val="00711D3A"/>
    <w:rsid w:val="007124E2"/>
    <w:rsid w:val="00713741"/>
    <w:rsid w:val="007146E0"/>
    <w:rsid w:val="0071714C"/>
    <w:rsid w:val="00717F0B"/>
    <w:rsid w:val="00721242"/>
    <w:rsid w:val="007216B3"/>
    <w:rsid w:val="00721B59"/>
    <w:rsid w:val="0072226E"/>
    <w:rsid w:val="00723E7F"/>
    <w:rsid w:val="00724EF5"/>
    <w:rsid w:val="007256B3"/>
    <w:rsid w:val="007260A6"/>
    <w:rsid w:val="00726858"/>
    <w:rsid w:val="007311AF"/>
    <w:rsid w:val="0073325B"/>
    <w:rsid w:val="007344EB"/>
    <w:rsid w:val="00734D12"/>
    <w:rsid w:val="00740A17"/>
    <w:rsid w:val="0074181B"/>
    <w:rsid w:val="00741EE5"/>
    <w:rsid w:val="007427BA"/>
    <w:rsid w:val="007434D1"/>
    <w:rsid w:val="0074414F"/>
    <w:rsid w:val="00746B48"/>
    <w:rsid w:val="00747C14"/>
    <w:rsid w:val="00751D6A"/>
    <w:rsid w:val="0075277B"/>
    <w:rsid w:val="007540BC"/>
    <w:rsid w:val="00755070"/>
    <w:rsid w:val="00757812"/>
    <w:rsid w:val="0076140C"/>
    <w:rsid w:val="007629E2"/>
    <w:rsid w:val="00762A88"/>
    <w:rsid w:val="00762BA5"/>
    <w:rsid w:val="00762BE8"/>
    <w:rsid w:val="00763C43"/>
    <w:rsid w:val="00766D35"/>
    <w:rsid w:val="00767155"/>
    <w:rsid w:val="00767734"/>
    <w:rsid w:val="007709EE"/>
    <w:rsid w:val="00772915"/>
    <w:rsid w:val="007734E7"/>
    <w:rsid w:val="00773871"/>
    <w:rsid w:val="0077439B"/>
    <w:rsid w:val="00774415"/>
    <w:rsid w:val="00774700"/>
    <w:rsid w:val="0078327B"/>
    <w:rsid w:val="00785432"/>
    <w:rsid w:val="00787076"/>
    <w:rsid w:val="00787FEB"/>
    <w:rsid w:val="00792E09"/>
    <w:rsid w:val="00793EB3"/>
    <w:rsid w:val="00794E13"/>
    <w:rsid w:val="007953F3"/>
    <w:rsid w:val="007A0A3D"/>
    <w:rsid w:val="007A5764"/>
    <w:rsid w:val="007A7728"/>
    <w:rsid w:val="007B015B"/>
    <w:rsid w:val="007B089C"/>
    <w:rsid w:val="007B0B98"/>
    <w:rsid w:val="007B14BE"/>
    <w:rsid w:val="007B297B"/>
    <w:rsid w:val="007B38D9"/>
    <w:rsid w:val="007B5A7E"/>
    <w:rsid w:val="007C054E"/>
    <w:rsid w:val="007C2B7C"/>
    <w:rsid w:val="007C3DB4"/>
    <w:rsid w:val="007C3FEB"/>
    <w:rsid w:val="007C7550"/>
    <w:rsid w:val="007C759D"/>
    <w:rsid w:val="007D1427"/>
    <w:rsid w:val="007D1805"/>
    <w:rsid w:val="007D56DC"/>
    <w:rsid w:val="007D672F"/>
    <w:rsid w:val="007D6F7C"/>
    <w:rsid w:val="007E0DCB"/>
    <w:rsid w:val="007E1493"/>
    <w:rsid w:val="007E1712"/>
    <w:rsid w:val="007E19D7"/>
    <w:rsid w:val="007E1F6A"/>
    <w:rsid w:val="007E428F"/>
    <w:rsid w:val="007E488D"/>
    <w:rsid w:val="007E5C63"/>
    <w:rsid w:val="007E5F48"/>
    <w:rsid w:val="007F0190"/>
    <w:rsid w:val="007F1EC0"/>
    <w:rsid w:val="007F37BD"/>
    <w:rsid w:val="007F50B1"/>
    <w:rsid w:val="007F5FD4"/>
    <w:rsid w:val="007F61F6"/>
    <w:rsid w:val="007F659A"/>
    <w:rsid w:val="008002A2"/>
    <w:rsid w:val="00800785"/>
    <w:rsid w:val="00800F89"/>
    <w:rsid w:val="00802736"/>
    <w:rsid w:val="0080385C"/>
    <w:rsid w:val="00804736"/>
    <w:rsid w:val="00804E06"/>
    <w:rsid w:val="00804E56"/>
    <w:rsid w:val="00810A8C"/>
    <w:rsid w:val="00811291"/>
    <w:rsid w:val="0081171B"/>
    <w:rsid w:val="00812A0A"/>
    <w:rsid w:val="00813129"/>
    <w:rsid w:val="008132F2"/>
    <w:rsid w:val="00816373"/>
    <w:rsid w:val="008176BE"/>
    <w:rsid w:val="008219A8"/>
    <w:rsid w:val="00821F5E"/>
    <w:rsid w:val="0082266F"/>
    <w:rsid w:val="00823D8D"/>
    <w:rsid w:val="0082428B"/>
    <w:rsid w:val="00824461"/>
    <w:rsid w:val="00827720"/>
    <w:rsid w:val="00827B04"/>
    <w:rsid w:val="00831821"/>
    <w:rsid w:val="0083441A"/>
    <w:rsid w:val="00834B50"/>
    <w:rsid w:val="0083604C"/>
    <w:rsid w:val="00840A67"/>
    <w:rsid w:val="008416EB"/>
    <w:rsid w:val="00841B54"/>
    <w:rsid w:val="00841B9B"/>
    <w:rsid w:val="00844261"/>
    <w:rsid w:val="008449B7"/>
    <w:rsid w:val="00845CEB"/>
    <w:rsid w:val="0085144F"/>
    <w:rsid w:val="00853C28"/>
    <w:rsid w:val="00853F8A"/>
    <w:rsid w:val="00854272"/>
    <w:rsid w:val="008542CE"/>
    <w:rsid w:val="008545E2"/>
    <w:rsid w:val="00855414"/>
    <w:rsid w:val="00855959"/>
    <w:rsid w:val="00856F59"/>
    <w:rsid w:val="008601D2"/>
    <w:rsid w:val="008613F5"/>
    <w:rsid w:val="00861C92"/>
    <w:rsid w:val="00866683"/>
    <w:rsid w:val="008666A1"/>
    <w:rsid w:val="00867C5A"/>
    <w:rsid w:val="00870A83"/>
    <w:rsid w:val="00871143"/>
    <w:rsid w:val="0087137F"/>
    <w:rsid w:val="008724FB"/>
    <w:rsid w:val="00872514"/>
    <w:rsid w:val="008736D2"/>
    <w:rsid w:val="00873702"/>
    <w:rsid w:val="00877F5E"/>
    <w:rsid w:val="00880D8F"/>
    <w:rsid w:val="00882180"/>
    <w:rsid w:val="00882210"/>
    <w:rsid w:val="00884723"/>
    <w:rsid w:val="00884A0D"/>
    <w:rsid w:val="00885877"/>
    <w:rsid w:val="0088623A"/>
    <w:rsid w:val="00887AD9"/>
    <w:rsid w:val="008906D7"/>
    <w:rsid w:val="00890C0E"/>
    <w:rsid w:val="00891902"/>
    <w:rsid w:val="00891AEF"/>
    <w:rsid w:val="00891C61"/>
    <w:rsid w:val="008928BD"/>
    <w:rsid w:val="008954D0"/>
    <w:rsid w:val="00897A10"/>
    <w:rsid w:val="008A0D40"/>
    <w:rsid w:val="008A17C5"/>
    <w:rsid w:val="008A17F1"/>
    <w:rsid w:val="008A3095"/>
    <w:rsid w:val="008A3A80"/>
    <w:rsid w:val="008A6298"/>
    <w:rsid w:val="008A709E"/>
    <w:rsid w:val="008A7431"/>
    <w:rsid w:val="008B0D65"/>
    <w:rsid w:val="008B32C5"/>
    <w:rsid w:val="008B5040"/>
    <w:rsid w:val="008B5EFA"/>
    <w:rsid w:val="008C0D4A"/>
    <w:rsid w:val="008C2BFB"/>
    <w:rsid w:val="008C2EF5"/>
    <w:rsid w:val="008D0352"/>
    <w:rsid w:val="008D07B8"/>
    <w:rsid w:val="008D1D21"/>
    <w:rsid w:val="008D2A6D"/>
    <w:rsid w:val="008D6F51"/>
    <w:rsid w:val="008E12C5"/>
    <w:rsid w:val="008E31F9"/>
    <w:rsid w:val="008E3CBF"/>
    <w:rsid w:val="008E4838"/>
    <w:rsid w:val="008E54B7"/>
    <w:rsid w:val="008E6149"/>
    <w:rsid w:val="008E6A4B"/>
    <w:rsid w:val="008E6CBE"/>
    <w:rsid w:val="008F0DFF"/>
    <w:rsid w:val="008F2027"/>
    <w:rsid w:val="008F2441"/>
    <w:rsid w:val="008F2B95"/>
    <w:rsid w:val="008F364A"/>
    <w:rsid w:val="008F4193"/>
    <w:rsid w:val="008F5351"/>
    <w:rsid w:val="008F579A"/>
    <w:rsid w:val="008F6C4A"/>
    <w:rsid w:val="00900B85"/>
    <w:rsid w:val="009010D4"/>
    <w:rsid w:val="00904ACC"/>
    <w:rsid w:val="00905287"/>
    <w:rsid w:val="0090623E"/>
    <w:rsid w:val="009076D6"/>
    <w:rsid w:val="00910B1F"/>
    <w:rsid w:val="00910C01"/>
    <w:rsid w:val="009122F7"/>
    <w:rsid w:val="0091494F"/>
    <w:rsid w:val="009152B2"/>
    <w:rsid w:val="009166D2"/>
    <w:rsid w:val="0091788A"/>
    <w:rsid w:val="00921D9C"/>
    <w:rsid w:val="00923971"/>
    <w:rsid w:val="00926180"/>
    <w:rsid w:val="00926463"/>
    <w:rsid w:val="009274C3"/>
    <w:rsid w:val="009276BB"/>
    <w:rsid w:val="00927DEA"/>
    <w:rsid w:val="009323AF"/>
    <w:rsid w:val="0093669F"/>
    <w:rsid w:val="00937DEB"/>
    <w:rsid w:val="00941199"/>
    <w:rsid w:val="00941991"/>
    <w:rsid w:val="00942E97"/>
    <w:rsid w:val="00945957"/>
    <w:rsid w:val="00945DC4"/>
    <w:rsid w:val="00946CE6"/>
    <w:rsid w:val="00947F79"/>
    <w:rsid w:val="00950759"/>
    <w:rsid w:val="00952FA7"/>
    <w:rsid w:val="00953AEC"/>
    <w:rsid w:val="00954DC2"/>
    <w:rsid w:val="00955767"/>
    <w:rsid w:val="009568A1"/>
    <w:rsid w:val="00957CEA"/>
    <w:rsid w:val="00960A43"/>
    <w:rsid w:val="009614D7"/>
    <w:rsid w:val="00964290"/>
    <w:rsid w:val="0096446C"/>
    <w:rsid w:val="009656D8"/>
    <w:rsid w:val="00965B67"/>
    <w:rsid w:val="00972D66"/>
    <w:rsid w:val="0097430D"/>
    <w:rsid w:val="00974813"/>
    <w:rsid w:val="00975535"/>
    <w:rsid w:val="009775C7"/>
    <w:rsid w:val="0098050F"/>
    <w:rsid w:val="00980710"/>
    <w:rsid w:val="009807BB"/>
    <w:rsid w:val="00981566"/>
    <w:rsid w:val="0098241A"/>
    <w:rsid w:val="0098273D"/>
    <w:rsid w:val="009835FA"/>
    <w:rsid w:val="0098421C"/>
    <w:rsid w:val="00984961"/>
    <w:rsid w:val="00985BBF"/>
    <w:rsid w:val="00985E0A"/>
    <w:rsid w:val="0098602A"/>
    <w:rsid w:val="009869C8"/>
    <w:rsid w:val="00986FDF"/>
    <w:rsid w:val="009872AE"/>
    <w:rsid w:val="00990761"/>
    <w:rsid w:val="0099407E"/>
    <w:rsid w:val="0099621C"/>
    <w:rsid w:val="00997472"/>
    <w:rsid w:val="00997B9D"/>
    <w:rsid w:val="009A074B"/>
    <w:rsid w:val="009A08CB"/>
    <w:rsid w:val="009A2471"/>
    <w:rsid w:val="009A2EEE"/>
    <w:rsid w:val="009A3C86"/>
    <w:rsid w:val="009A432F"/>
    <w:rsid w:val="009A5C41"/>
    <w:rsid w:val="009A6B84"/>
    <w:rsid w:val="009B137E"/>
    <w:rsid w:val="009B1888"/>
    <w:rsid w:val="009B1D9A"/>
    <w:rsid w:val="009B367A"/>
    <w:rsid w:val="009B3EC3"/>
    <w:rsid w:val="009B5C72"/>
    <w:rsid w:val="009B6507"/>
    <w:rsid w:val="009B6884"/>
    <w:rsid w:val="009C0E52"/>
    <w:rsid w:val="009C1B2B"/>
    <w:rsid w:val="009C4B8B"/>
    <w:rsid w:val="009C5C0D"/>
    <w:rsid w:val="009C5DE0"/>
    <w:rsid w:val="009C7878"/>
    <w:rsid w:val="009C79B7"/>
    <w:rsid w:val="009D11B8"/>
    <w:rsid w:val="009D1429"/>
    <w:rsid w:val="009D35D1"/>
    <w:rsid w:val="009D3908"/>
    <w:rsid w:val="009D3B11"/>
    <w:rsid w:val="009D3DE1"/>
    <w:rsid w:val="009E0AE3"/>
    <w:rsid w:val="009E1996"/>
    <w:rsid w:val="009E203F"/>
    <w:rsid w:val="009E33F0"/>
    <w:rsid w:val="009E4049"/>
    <w:rsid w:val="009E6C79"/>
    <w:rsid w:val="009F0EE7"/>
    <w:rsid w:val="009F1EDA"/>
    <w:rsid w:val="009F29FB"/>
    <w:rsid w:val="009F3D6A"/>
    <w:rsid w:val="009F4921"/>
    <w:rsid w:val="009F503E"/>
    <w:rsid w:val="009F584E"/>
    <w:rsid w:val="009F76A7"/>
    <w:rsid w:val="00A0613A"/>
    <w:rsid w:val="00A077AC"/>
    <w:rsid w:val="00A108A0"/>
    <w:rsid w:val="00A205D1"/>
    <w:rsid w:val="00A20B48"/>
    <w:rsid w:val="00A254F1"/>
    <w:rsid w:val="00A2570E"/>
    <w:rsid w:val="00A2579C"/>
    <w:rsid w:val="00A279B7"/>
    <w:rsid w:val="00A31A0D"/>
    <w:rsid w:val="00A32CE9"/>
    <w:rsid w:val="00A32D21"/>
    <w:rsid w:val="00A36297"/>
    <w:rsid w:val="00A37205"/>
    <w:rsid w:val="00A3775C"/>
    <w:rsid w:val="00A404A2"/>
    <w:rsid w:val="00A4060F"/>
    <w:rsid w:val="00A46964"/>
    <w:rsid w:val="00A47F32"/>
    <w:rsid w:val="00A50D45"/>
    <w:rsid w:val="00A529CF"/>
    <w:rsid w:val="00A53D1B"/>
    <w:rsid w:val="00A54671"/>
    <w:rsid w:val="00A55272"/>
    <w:rsid w:val="00A56B7B"/>
    <w:rsid w:val="00A61963"/>
    <w:rsid w:val="00A62619"/>
    <w:rsid w:val="00A642FF"/>
    <w:rsid w:val="00A64879"/>
    <w:rsid w:val="00A652DC"/>
    <w:rsid w:val="00A6571D"/>
    <w:rsid w:val="00A665FE"/>
    <w:rsid w:val="00A670D5"/>
    <w:rsid w:val="00A677A9"/>
    <w:rsid w:val="00A70819"/>
    <w:rsid w:val="00A722B1"/>
    <w:rsid w:val="00A7260C"/>
    <w:rsid w:val="00A734BD"/>
    <w:rsid w:val="00A75BFE"/>
    <w:rsid w:val="00A80D36"/>
    <w:rsid w:val="00A81A93"/>
    <w:rsid w:val="00A829D2"/>
    <w:rsid w:val="00A8397E"/>
    <w:rsid w:val="00A8733C"/>
    <w:rsid w:val="00A906B6"/>
    <w:rsid w:val="00A9075D"/>
    <w:rsid w:val="00A9312D"/>
    <w:rsid w:val="00A946D9"/>
    <w:rsid w:val="00A947E2"/>
    <w:rsid w:val="00A958E2"/>
    <w:rsid w:val="00A96AE8"/>
    <w:rsid w:val="00A97C85"/>
    <w:rsid w:val="00AA10E6"/>
    <w:rsid w:val="00AA3895"/>
    <w:rsid w:val="00AA3B68"/>
    <w:rsid w:val="00AA5451"/>
    <w:rsid w:val="00AB1254"/>
    <w:rsid w:val="00AB1702"/>
    <w:rsid w:val="00AB302E"/>
    <w:rsid w:val="00AB43EB"/>
    <w:rsid w:val="00AC106F"/>
    <w:rsid w:val="00AC17C7"/>
    <w:rsid w:val="00AC3449"/>
    <w:rsid w:val="00AC5D42"/>
    <w:rsid w:val="00AD3A8E"/>
    <w:rsid w:val="00AD4420"/>
    <w:rsid w:val="00AD6174"/>
    <w:rsid w:val="00AD7596"/>
    <w:rsid w:val="00AE0602"/>
    <w:rsid w:val="00AE10FA"/>
    <w:rsid w:val="00AE1252"/>
    <w:rsid w:val="00AE4DCA"/>
    <w:rsid w:val="00AE563E"/>
    <w:rsid w:val="00AE5837"/>
    <w:rsid w:val="00AE5D15"/>
    <w:rsid w:val="00AE7360"/>
    <w:rsid w:val="00AF089D"/>
    <w:rsid w:val="00AF154E"/>
    <w:rsid w:val="00AF166E"/>
    <w:rsid w:val="00AF2152"/>
    <w:rsid w:val="00AF397F"/>
    <w:rsid w:val="00AF4418"/>
    <w:rsid w:val="00AF4892"/>
    <w:rsid w:val="00AF6F40"/>
    <w:rsid w:val="00AF721D"/>
    <w:rsid w:val="00B00BE3"/>
    <w:rsid w:val="00B02061"/>
    <w:rsid w:val="00B027A1"/>
    <w:rsid w:val="00B04FF9"/>
    <w:rsid w:val="00B060B1"/>
    <w:rsid w:val="00B103E2"/>
    <w:rsid w:val="00B10FD5"/>
    <w:rsid w:val="00B12456"/>
    <w:rsid w:val="00B12D37"/>
    <w:rsid w:val="00B1602D"/>
    <w:rsid w:val="00B265E1"/>
    <w:rsid w:val="00B35FB3"/>
    <w:rsid w:val="00B40A59"/>
    <w:rsid w:val="00B41265"/>
    <w:rsid w:val="00B4158B"/>
    <w:rsid w:val="00B436EF"/>
    <w:rsid w:val="00B43E71"/>
    <w:rsid w:val="00B46A66"/>
    <w:rsid w:val="00B46BC4"/>
    <w:rsid w:val="00B46E80"/>
    <w:rsid w:val="00B50622"/>
    <w:rsid w:val="00B50681"/>
    <w:rsid w:val="00B5111A"/>
    <w:rsid w:val="00B53531"/>
    <w:rsid w:val="00B56E9A"/>
    <w:rsid w:val="00B576EF"/>
    <w:rsid w:val="00B613AB"/>
    <w:rsid w:val="00B61B65"/>
    <w:rsid w:val="00B62752"/>
    <w:rsid w:val="00B654DD"/>
    <w:rsid w:val="00B7478D"/>
    <w:rsid w:val="00B813E5"/>
    <w:rsid w:val="00B82A13"/>
    <w:rsid w:val="00B83CAD"/>
    <w:rsid w:val="00B8438E"/>
    <w:rsid w:val="00B861C8"/>
    <w:rsid w:val="00B86911"/>
    <w:rsid w:val="00B877D1"/>
    <w:rsid w:val="00B87C7F"/>
    <w:rsid w:val="00B928FB"/>
    <w:rsid w:val="00B92944"/>
    <w:rsid w:val="00B937E9"/>
    <w:rsid w:val="00B93B61"/>
    <w:rsid w:val="00B94330"/>
    <w:rsid w:val="00B94655"/>
    <w:rsid w:val="00B968BF"/>
    <w:rsid w:val="00B96BF8"/>
    <w:rsid w:val="00BA418B"/>
    <w:rsid w:val="00BA4200"/>
    <w:rsid w:val="00BA57B9"/>
    <w:rsid w:val="00BA7301"/>
    <w:rsid w:val="00BB01F9"/>
    <w:rsid w:val="00BB12AC"/>
    <w:rsid w:val="00BB181C"/>
    <w:rsid w:val="00BB3348"/>
    <w:rsid w:val="00BB572E"/>
    <w:rsid w:val="00BB5920"/>
    <w:rsid w:val="00BB699E"/>
    <w:rsid w:val="00BC00F5"/>
    <w:rsid w:val="00BC32A3"/>
    <w:rsid w:val="00BC68DF"/>
    <w:rsid w:val="00BC7B8B"/>
    <w:rsid w:val="00BD05A7"/>
    <w:rsid w:val="00BD361B"/>
    <w:rsid w:val="00BD412B"/>
    <w:rsid w:val="00BD5C8B"/>
    <w:rsid w:val="00BD6EFF"/>
    <w:rsid w:val="00BD74FF"/>
    <w:rsid w:val="00BE39EE"/>
    <w:rsid w:val="00BE4906"/>
    <w:rsid w:val="00BE65DC"/>
    <w:rsid w:val="00BE708D"/>
    <w:rsid w:val="00BF0945"/>
    <w:rsid w:val="00BF0961"/>
    <w:rsid w:val="00BF30D4"/>
    <w:rsid w:val="00BF54C3"/>
    <w:rsid w:val="00BF5BAD"/>
    <w:rsid w:val="00BF5F09"/>
    <w:rsid w:val="00BF7A5C"/>
    <w:rsid w:val="00C013E8"/>
    <w:rsid w:val="00C054C6"/>
    <w:rsid w:val="00C07046"/>
    <w:rsid w:val="00C07EC3"/>
    <w:rsid w:val="00C107AF"/>
    <w:rsid w:val="00C11224"/>
    <w:rsid w:val="00C11B7F"/>
    <w:rsid w:val="00C143EC"/>
    <w:rsid w:val="00C15718"/>
    <w:rsid w:val="00C17879"/>
    <w:rsid w:val="00C215E5"/>
    <w:rsid w:val="00C22C37"/>
    <w:rsid w:val="00C22F03"/>
    <w:rsid w:val="00C26281"/>
    <w:rsid w:val="00C31E83"/>
    <w:rsid w:val="00C3386B"/>
    <w:rsid w:val="00C34B13"/>
    <w:rsid w:val="00C371E1"/>
    <w:rsid w:val="00C37DD2"/>
    <w:rsid w:val="00C37EFF"/>
    <w:rsid w:val="00C37FF9"/>
    <w:rsid w:val="00C43F51"/>
    <w:rsid w:val="00C50204"/>
    <w:rsid w:val="00C502F6"/>
    <w:rsid w:val="00C51CB4"/>
    <w:rsid w:val="00C5281C"/>
    <w:rsid w:val="00C554B2"/>
    <w:rsid w:val="00C56478"/>
    <w:rsid w:val="00C60A36"/>
    <w:rsid w:val="00C65974"/>
    <w:rsid w:val="00C67BE9"/>
    <w:rsid w:val="00C70622"/>
    <w:rsid w:val="00C71AA2"/>
    <w:rsid w:val="00C732D1"/>
    <w:rsid w:val="00C73747"/>
    <w:rsid w:val="00C74276"/>
    <w:rsid w:val="00C7661A"/>
    <w:rsid w:val="00C76BD9"/>
    <w:rsid w:val="00C77BCF"/>
    <w:rsid w:val="00C83048"/>
    <w:rsid w:val="00C83CB9"/>
    <w:rsid w:val="00C83DD6"/>
    <w:rsid w:val="00C860FF"/>
    <w:rsid w:val="00C90BB2"/>
    <w:rsid w:val="00C91ADC"/>
    <w:rsid w:val="00C933AD"/>
    <w:rsid w:val="00C96573"/>
    <w:rsid w:val="00C96647"/>
    <w:rsid w:val="00CA03F4"/>
    <w:rsid w:val="00CA057B"/>
    <w:rsid w:val="00CA53B2"/>
    <w:rsid w:val="00CA6064"/>
    <w:rsid w:val="00CA62D4"/>
    <w:rsid w:val="00CA6A71"/>
    <w:rsid w:val="00CA7488"/>
    <w:rsid w:val="00CB0DED"/>
    <w:rsid w:val="00CB17B4"/>
    <w:rsid w:val="00CB6DD6"/>
    <w:rsid w:val="00CB6F49"/>
    <w:rsid w:val="00CB72F3"/>
    <w:rsid w:val="00CB789B"/>
    <w:rsid w:val="00CB7EAD"/>
    <w:rsid w:val="00CC3698"/>
    <w:rsid w:val="00CC3E5F"/>
    <w:rsid w:val="00CC40D1"/>
    <w:rsid w:val="00CC4F38"/>
    <w:rsid w:val="00CC5393"/>
    <w:rsid w:val="00CC63BC"/>
    <w:rsid w:val="00CC6E95"/>
    <w:rsid w:val="00CC7844"/>
    <w:rsid w:val="00CD2190"/>
    <w:rsid w:val="00CD2610"/>
    <w:rsid w:val="00CD38AF"/>
    <w:rsid w:val="00CD4170"/>
    <w:rsid w:val="00CD5049"/>
    <w:rsid w:val="00CD58BD"/>
    <w:rsid w:val="00CD5C93"/>
    <w:rsid w:val="00CD5D2F"/>
    <w:rsid w:val="00CE2E6E"/>
    <w:rsid w:val="00CE332E"/>
    <w:rsid w:val="00CE61A0"/>
    <w:rsid w:val="00CE6368"/>
    <w:rsid w:val="00CF269A"/>
    <w:rsid w:val="00CF5141"/>
    <w:rsid w:val="00CF51F5"/>
    <w:rsid w:val="00CF63A2"/>
    <w:rsid w:val="00CF6592"/>
    <w:rsid w:val="00CF68E9"/>
    <w:rsid w:val="00CF6949"/>
    <w:rsid w:val="00D003E4"/>
    <w:rsid w:val="00D01B3F"/>
    <w:rsid w:val="00D04DB1"/>
    <w:rsid w:val="00D0622C"/>
    <w:rsid w:val="00D06F99"/>
    <w:rsid w:val="00D07664"/>
    <w:rsid w:val="00D10A33"/>
    <w:rsid w:val="00D1239B"/>
    <w:rsid w:val="00D12730"/>
    <w:rsid w:val="00D13088"/>
    <w:rsid w:val="00D173DE"/>
    <w:rsid w:val="00D2052C"/>
    <w:rsid w:val="00D20D69"/>
    <w:rsid w:val="00D2100B"/>
    <w:rsid w:val="00D21217"/>
    <w:rsid w:val="00D215DF"/>
    <w:rsid w:val="00D23451"/>
    <w:rsid w:val="00D30815"/>
    <w:rsid w:val="00D322FF"/>
    <w:rsid w:val="00D3577E"/>
    <w:rsid w:val="00D35A5B"/>
    <w:rsid w:val="00D36DCF"/>
    <w:rsid w:val="00D378F7"/>
    <w:rsid w:val="00D37E2A"/>
    <w:rsid w:val="00D40611"/>
    <w:rsid w:val="00D40E16"/>
    <w:rsid w:val="00D414AF"/>
    <w:rsid w:val="00D4227D"/>
    <w:rsid w:val="00D42B2E"/>
    <w:rsid w:val="00D43A3E"/>
    <w:rsid w:val="00D4522E"/>
    <w:rsid w:val="00D4650C"/>
    <w:rsid w:val="00D50F9F"/>
    <w:rsid w:val="00D51566"/>
    <w:rsid w:val="00D51E76"/>
    <w:rsid w:val="00D53E0C"/>
    <w:rsid w:val="00D5510C"/>
    <w:rsid w:val="00D5553C"/>
    <w:rsid w:val="00D55A71"/>
    <w:rsid w:val="00D57238"/>
    <w:rsid w:val="00D57402"/>
    <w:rsid w:val="00D635D0"/>
    <w:rsid w:val="00D6446B"/>
    <w:rsid w:val="00D64702"/>
    <w:rsid w:val="00D64AC9"/>
    <w:rsid w:val="00D6521B"/>
    <w:rsid w:val="00D6554A"/>
    <w:rsid w:val="00D65D9D"/>
    <w:rsid w:val="00D6666B"/>
    <w:rsid w:val="00D702B1"/>
    <w:rsid w:val="00D709B5"/>
    <w:rsid w:val="00D710A5"/>
    <w:rsid w:val="00D73B3D"/>
    <w:rsid w:val="00D76331"/>
    <w:rsid w:val="00D76BBB"/>
    <w:rsid w:val="00D774C7"/>
    <w:rsid w:val="00D806B8"/>
    <w:rsid w:val="00D8167D"/>
    <w:rsid w:val="00D82F46"/>
    <w:rsid w:val="00D83D1C"/>
    <w:rsid w:val="00D8472E"/>
    <w:rsid w:val="00D85CB1"/>
    <w:rsid w:val="00D868A6"/>
    <w:rsid w:val="00D87908"/>
    <w:rsid w:val="00D91280"/>
    <w:rsid w:val="00D938EE"/>
    <w:rsid w:val="00D949B7"/>
    <w:rsid w:val="00D96EAE"/>
    <w:rsid w:val="00D9756D"/>
    <w:rsid w:val="00D97E89"/>
    <w:rsid w:val="00DA08D6"/>
    <w:rsid w:val="00DA287A"/>
    <w:rsid w:val="00DA3328"/>
    <w:rsid w:val="00DA4163"/>
    <w:rsid w:val="00DA5940"/>
    <w:rsid w:val="00DA5E62"/>
    <w:rsid w:val="00DA6A05"/>
    <w:rsid w:val="00DA7E02"/>
    <w:rsid w:val="00DB2075"/>
    <w:rsid w:val="00DB23CD"/>
    <w:rsid w:val="00DB2F79"/>
    <w:rsid w:val="00DB4076"/>
    <w:rsid w:val="00DB454D"/>
    <w:rsid w:val="00DB604C"/>
    <w:rsid w:val="00DB7BCF"/>
    <w:rsid w:val="00DC0CCC"/>
    <w:rsid w:val="00DC1DB4"/>
    <w:rsid w:val="00DC1F7F"/>
    <w:rsid w:val="00DC23DD"/>
    <w:rsid w:val="00DC3C92"/>
    <w:rsid w:val="00DC4722"/>
    <w:rsid w:val="00DC4EB4"/>
    <w:rsid w:val="00DC5970"/>
    <w:rsid w:val="00DC5C72"/>
    <w:rsid w:val="00DC6F2F"/>
    <w:rsid w:val="00DD1A55"/>
    <w:rsid w:val="00DD398A"/>
    <w:rsid w:val="00DD3A24"/>
    <w:rsid w:val="00DD6177"/>
    <w:rsid w:val="00DD6B04"/>
    <w:rsid w:val="00DD790B"/>
    <w:rsid w:val="00DD7BEE"/>
    <w:rsid w:val="00DE2E53"/>
    <w:rsid w:val="00DE30F2"/>
    <w:rsid w:val="00DE348C"/>
    <w:rsid w:val="00DE3CCE"/>
    <w:rsid w:val="00DE3F4A"/>
    <w:rsid w:val="00DE3FD9"/>
    <w:rsid w:val="00DE430B"/>
    <w:rsid w:val="00DE565E"/>
    <w:rsid w:val="00DE5CAF"/>
    <w:rsid w:val="00DE68DB"/>
    <w:rsid w:val="00DE6975"/>
    <w:rsid w:val="00DF02CE"/>
    <w:rsid w:val="00DF1257"/>
    <w:rsid w:val="00DF12CE"/>
    <w:rsid w:val="00DF152A"/>
    <w:rsid w:val="00DF15B8"/>
    <w:rsid w:val="00DF515C"/>
    <w:rsid w:val="00E0074A"/>
    <w:rsid w:val="00E00D5F"/>
    <w:rsid w:val="00E01313"/>
    <w:rsid w:val="00E01B1F"/>
    <w:rsid w:val="00E01F83"/>
    <w:rsid w:val="00E05948"/>
    <w:rsid w:val="00E06B86"/>
    <w:rsid w:val="00E06F47"/>
    <w:rsid w:val="00E13844"/>
    <w:rsid w:val="00E14CAA"/>
    <w:rsid w:val="00E17ACA"/>
    <w:rsid w:val="00E22C39"/>
    <w:rsid w:val="00E23329"/>
    <w:rsid w:val="00E2484A"/>
    <w:rsid w:val="00E25417"/>
    <w:rsid w:val="00E2614F"/>
    <w:rsid w:val="00E26CA6"/>
    <w:rsid w:val="00E315F8"/>
    <w:rsid w:val="00E318F1"/>
    <w:rsid w:val="00E32F80"/>
    <w:rsid w:val="00E40350"/>
    <w:rsid w:val="00E42379"/>
    <w:rsid w:val="00E4304E"/>
    <w:rsid w:val="00E43EF0"/>
    <w:rsid w:val="00E44557"/>
    <w:rsid w:val="00E45F91"/>
    <w:rsid w:val="00E467C7"/>
    <w:rsid w:val="00E469B0"/>
    <w:rsid w:val="00E4776F"/>
    <w:rsid w:val="00E50515"/>
    <w:rsid w:val="00E509FC"/>
    <w:rsid w:val="00E5172F"/>
    <w:rsid w:val="00E51B2D"/>
    <w:rsid w:val="00E51DEF"/>
    <w:rsid w:val="00E52A7C"/>
    <w:rsid w:val="00E542F4"/>
    <w:rsid w:val="00E54F5B"/>
    <w:rsid w:val="00E5504B"/>
    <w:rsid w:val="00E55115"/>
    <w:rsid w:val="00E5593B"/>
    <w:rsid w:val="00E55AAD"/>
    <w:rsid w:val="00E56796"/>
    <w:rsid w:val="00E5702A"/>
    <w:rsid w:val="00E603EC"/>
    <w:rsid w:val="00E6052A"/>
    <w:rsid w:val="00E605FE"/>
    <w:rsid w:val="00E61C1C"/>
    <w:rsid w:val="00E62AB4"/>
    <w:rsid w:val="00E64A44"/>
    <w:rsid w:val="00E651CE"/>
    <w:rsid w:val="00E70C38"/>
    <w:rsid w:val="00E70D4A"/>
    <w:rsid w:val="00E712BF"/>
    <w:rsid w:val="00E7267C"/>
    <w:rsid w:val="00E74D5C"/>
    <w:rsid w:val="00E757BD"/>
    <w:rsid w:val="00E75821"/>
    <w:rsid w:val="00E77B62"/>
    <w:rsid w:val="00E805CA"/>
    <w:rsid w:val="00E809AF"/>
    <w:rsid w:val="00E80D30"/>
    <w:rsid w:val="00E8101B"/>
    <w:rsid w:val="00E826A6"/>
    <w:rsid w:val="00E830DA"/>
    <w:rsid w:val="00E8394E"/>
    <w:rsid w:val="00E83B82"/>
    <w:rsid w:val="00E83F5F"/>
    <w:rsid w:val="00E84127"/>
    <w:rsid w:val="00E844A5"/>
    <w:rsid w:val="00E84F15"/>
    <w:rsid w:val="00E859BB"/>
    <w:rsid w:val="00E860A5"/>
    <w:rsid w:val="00E872F2"/>
    <w:rsid w:val="00E90D1A"/>
    <w:rsid w:val="00E90D99"/>
    <w:rsid w:val="00E92AFD"/>
    <w:rsid w:val="00E92F25"/>
    <w:rsid w:val="00E93851"/>
    <w:rsid w:val="00E955BC"/>
    <w:rsid w:val="00E95607"/>
    <w:rsid w:val="00E96743"/>
    <w:rsid w:val="00E974D5"/>
    <w:rsid w:val="00EA216A"/>
    <w:rsid w:val="00EA5EFD"/>
    <w:rsid w:val="00EA6982"/>
    <w:rsid w:val="00EB2AAB"/>
    <w:rsid w:val="00EB34C6"/>
    <w:rsid w:val="00EB4F3C"/>
    <w:rsid w:val="00EB5BDB"/>
    <w:rsid w:val="00EB7B9E"/>
    <w:rsid w:val="00EC3702"/>
    <w:rsid w:val="00EC47B2"/>
    <w:rsid w:val="00EC4C86"/>
    <w:rsid w:val="00ED2382"/>
    <w:rsid w:val="00ED6058"/>
    <w:rsid w:val="00ED60AA"/>
    <w:rsid w:val="00ED6231"/>
    <w:rsid w:val="00ED63BB"/>
    <w:rsid w:val="00EE1572"/>
    <w:rsid w:val="00EE25FB"/>
    <w:rsid w:val="00EE5DFC"/>
    <w:rsid w:val="00EE73F8"/>
    <w:rsid w:val="00EF0C55"/>
    <w:rsid w:val="00EF3251"/>
    <w:rsid w:val="00EF5233"/>
    <w:rsid w:val="00EF75B9"/>
    <w:rsid w:val="00EF7D28"/>
    <w:rsid w:val="00F00030"/>
    <w:rsid w:val="00F016D4"/>
    <w:rsid w:val="00F0296A"/>
    <w:rsid w:val="00F02A92"/>
    <w:rsid w:val="00F0330F"/>
    <w:rsid w:val="00F11241"/>
    <w:rsid w:val="00F1767F"/>
    <w:rsid w:val="00F17D6C"/>
    <w:rsid w:val="00F20CB6"/>
    <w:rsid w:val="00F21CB2"/>
    <w:rsid w:val="00F21DDC"/>
    <w:rsid w:val="00F223F6"/>
    <w:rsid w:val="00F2568C"/>
    <w:rsid w:val="00F26464"/>
    <w:rsid w:val="00F27FB9"/>
    <w:rsid w:val="00F31DA7"/>
    <w:rsid w:val="00F3403B"/>
    <w:rsid w:val="00F35928"/>
    <w:rsid w:val="00F35B65"/>
    <w:rsid w:val="00F366E0"/>
    <w:rsid w:val="00F377B3"/>
    <w:rsid w:val="00F41B51"/>
    <w:rsid w:val="00F41C96"/>
    <w:rsid w:val="00F4494A"/>
    <w:rsid w:val="00F47137"/>
    <w:rsid w:val="00F47F55"/>
    <w:rsid w:val="00F50264"/>
    <w:rsid w:val="00F503AA"/>
    <w:rsid w:val="00F51AC1"/>
    <w:rsid w:val="00F53C66"/>
    <w:rsid w:val="00F54C5B"/>
    <w:rsid w:val="00F55EC5"/>
    <w:rsid w:val="00F569A6"/>
    <w:rsid w:val="00F56AC2"/>
    <w:rsid w:val="00F56FC7"/>
    <w:rsid w:val="00F628C4"/>
    <w:rsid w:val="00F62E6C"/>
    <w:rsid w:val="00F63673"/>
    <w:rsid w:val="00F64B72"/>
    <w:rsid w:val="00F66F84"/>
    <w:rsid w:val="00F67D07"/>
    <w:rsid w:val="00F722B1"/>
    <w:rsid w:val="00F744CE"/>
    <w:rsid w:val="00F74BE4"/>
    <w:rsid w:val="00F74DF6"/>
    <w:rsid w:val="00F75495"/>
    <w:rsid w:val="00F8134A"/>
    <w:rsid w:val="00F81BC0"/>
    <w:rsid w:val="00F824F9"/>
    <w:rsid w:val="00F82B6F"/>
    <w:rsid w:val="00F832ED"/>
    <w:rsid w:val="00F835EF"/>
    <w:rsid w:val="00F83BF9"/>
    <w:rsid w:val="00F84EFB"/>
    <w:rsid w:val="00F855FD"/>
    <w:rsid w:val="00F8673A"/>
    <w:rsid w:val="00F9239B"/>
    <w:rsid w:val="00F96051"/>
    <w:rsid w:val="00FA0CB6"/>
    <w:rsid w:val="00FA196D"/>
    <w:rsid w:val="00FA281C"/>
    <w:rsid w:val="00FA29EA"/>
    <w:rsid w:val="00FA34B7"/>
    <w:rsid w:val="00FA5817"/>
    <w:rsid w:val="00FA61CE"/>
    <w:rsid w:val="00FB2585"/>
    <w:rsid w:val="00FB2BC6"/>
    <w:rsid w:val="00FB2C22"/>
    <w:rsid w:val="00FB3450"/>
    <w:rsid w:val="00FB3B01"/>
    <w:rsid w:val="00FB3B2A"/>
    <w:rsid w:val="00FB49F3"/>
    <w:rsid w:val="00FB537C"/>
    <w:rsid w:val="00FB54F4"/>
    <w:rsid w:val="00FB6008"/>
    <w:rsid w:val="00FC1BCF"/>
    <w:rsid w:val="00FC2EB2"/>
    <w:rsid w:val="00FC5817"/>
    <w:rsid w:val="00FC5E57"/>
    <w:rsid w:val="00FC6D56"/>
    <w:rsid w:val="00FC6F4B"/>
    <w:rsid w:val="00FC7948"/>
    <w:rsid w:val="00FD00AF"/>
    <w:rsid w:val="00FD087B"/>
    <w:rsid w:val="00FD09F0"/>
    <w:rsid w:val="00FD19D8"/>
    <w:rsid w:val="00FD3961"/>
    <w:rsid w:val="00FD4289"/>
    <w:rsid w:val="00FE06D8"/>
    <w:rsid w:val="00FE1BC8"/>
    <w:rsid w:val="00FE2EDA"/>
    <w:rsid w:val="00FE37EC"/>
    <w:rsid w:val="00FE40FE"/>
    <w:rsid w:val="00FE4B8A"/>
    <w:rsid w:val="00FE4D16"/>
    <w:rsid w:val="00FE5C2F"/>
    <w:rsid w:val="00FE6002"/>
    <w:rsid w:val="00FF0E6E"/>
    <w:rsid w:val="00FF0EEB"/>
    <w:rsid w:val="00FF0FDB"/>
    <w:rsid w:val="00FF322E"/>
    <w:rsid w:val="00FF43D9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7B4412"/>
  <w15:chartTrackingRefBased/>
  <w15:docId w15:val="{4613D533-9AD7-449C-92F1-34BF02DB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line="280" w:lineRule="exact"/>
    </w:pPr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 w:line="500" w:lineRule="exact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b/>
      <w:i/>
    </w:rPr>
  </w:style>
  <w:style w:type="paragraph" w:styleId="Titre3">
    <w:name w:val="heading 3"/>
    <w:basedOn w:val="Normal"/>
    <w:next w:val="Normal"/>
    <w:link w:val="Titre3Car"/>
    <w:qFormat/>
    <w:pPr>
      <w:keepNext/>
      <w:spacing w:before="240" w:after="60"/>
      <w:outlineLvl w:val="2"/>
    </w:pPr>
  </w:style>
  <w:style w:type="paragraph" w:styleId="Titre4">
    <w:name w:val="heading 4"/>
    <w:basedOn w:val="Normal"/>
    <w:next w:val="Normal"/>
    <w:link w:val="Titre4Car"/>
    <w:qFormat/>
    <w:pPr>
      <w:keepNext/>
      <w:spacing w:before="240" w:after="6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link w:val="Titre6Car"/>
    <w:qFormat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link w:val="Titre7Car"/>
    <w:qFormat/>
    <w:p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link w:val="Titre8Car"/>
    <w:qFormat/>
    <w:p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link w:val="Titre9Car"/>
    <w:qFormat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pPr>
      <w:numPr>
        <w:numId w:val="18"/>
      </w:numPr>
      <w:spacing w:before="120" w:after="120" w:line="500" w:lineRule="exact"/>
      <w:jc w:val="both"/>
    </w:pPr>
    <w:rPr>
      <w:kern w:val="28"/>
    </w:rPr>
  </w:style>
  <w:style w:type="paragraph" w:customStyle="1" w:styleId="Citationenretrait">
    <w:name w:val="Citation en retrait"/>
    <w:basedOn w:val="Normal"/>
    <w:pPr>
      <w:spacing w:before="120" w:after="120"/>
      <w:ind w:left="720" w:right="720"/>
      <w:jc w:val="both"/>
    </w:pPr>
    <w:rPr>
      <w:kern w:val="24"/>
      <w:sz w:val="22"/>
    </w:rPr>
  </w:style>
  <w:style w:type="character" w:customStyle="1" w:styleId="Citationintgre">
    <w:name w:val="Citation intégrée"/>
    <w:rPr>
      <w:rFonts w:ascii="Arial" w:hAnsi="Arial"/>
      <w:i/>
      <w:noProof w:val="0"/>
      <w:sz w:val="22"/>
      <w:lang w:val="fr-CA"/>
    </w:rPr>
  </w:style>
  <w:style w:type="paragraph" w:styleId="Corpsdetexte">
    <w:name w:val="Body Text"/>
    <w:basedOn w:val="Normal"/>
    <w:link w:val="CorpsdetexteCar"/>
    <w:semiHidden/>
    <w:pPr>
      <w:spacing w:after="120"/>
    </w:pPr>
  </w:style>
  <w:style w:type="paragraph" w:styleId="Notedebasdepage">
    <w:name w:val="footnote text"/>
    <w:basedOn w:val="Normal"/>
    <w:link w:val="NotedebasdepageCar"/>
    <w:semiHidden/>
    <w:pPr>
      <w:spacing w:line="240" w:lineRule="auto"/>
      <w:ind w:left="360" w:hanging="360"/>
      <w:jc w:val="both"/>
    </w:pPr>
    <w:rPr>
      <w:sz w:val="20"/>
    </w:rPr>
  </w:style>
  <w:style w:type="paragraph" w:styleId="Notedefin">
    <w:name w:val="endnote text"/>
    <w:basedOn w:val="Normal"/>
    <w:link w:val="NotedefinCar"/>
    <w:semiHidden/>
    <w:pPr>
      <w:ind w:left="-360"/>
      <w:jc w:val="both"/>
    </w:pPr>
    <w:rPr>
      <w:sz w:val="20"/>
    </w:rPr>
  </w:style>
  <w:style w:type="paragraph" w:customStyle="1" w:styleId="zSoquijlblCour">
    <w:name w:val="zSoquij_lblCour"/>
    <w:basedOn w:val="Normal"/>
    <w:pPr>
      <w:spacing w:line="500" w:lineRule="exact"/>
      <w:jc w:val="center"/>
    </w:pPr>
    <w:rPr>
      <w:b/>
      <w:sz w:val="36"/>
    </w:rPr>
  </w:style>
  <w:style w:type="paragraph" w:customStyle="1" w:styleId="zSoquijlblPays">
    <w:name w:val="zSoquij_lblPays"/>
    <w:basedOn w:val="Normal"/>
  </w:style>
  <w:style w:type="paragraph" w:customStyle="1" w:styleId="zSoquijlblProvince">
    <w:name w:val="zSoquij_lblProvince"/>
    <w:basedOn w:val="Normal"/>
  </w:style>
  <w:style w:type="paragraph" w:customStyle="1" w:styleId="zSoquijlblGreffe">
    <w:name w:val="zSoquij_lblGreffe"/>
    <w:basedOn w:val="Normal"/>
  </w:style>
  <w:style w:type="paragraph" w:customStyle="1" w:styleId="zSoquijdatGreffe">
    <w:name w:val="zSoquij_datGreffe"/>
    <w:basedOn w:val="Normal"/>
  </w:style>
  <w:style w:type="paragraph" w:customStyle="1" w:styleId="zSoquijdatDivision">
    <w:name w:val="zSoquij_datDivision"/>
    <w:basedOn w:val="Normal"/>
    <w:pPr>
      <w:jc w:val="center"/>
    </w:pPr>
    <w:rPr>
      <w:sz w:val="22"/>
    </w:rPr>
  </w:style>
  <w:style w:type="paragraph" w:customStyle="1" w:styleId="zSoquijlblNoDossier">
    <w:name w:val="zSoquij_lblNoDossier"/>
    <w:basedOn w:val="Normal"/>
  </w:style>
  <w:style w:type="paragraph" w:customStyle="1" w:styleId="zSoquijdatNoDossier">
    <w:name w:val="zSoquij_datNoDossier"/>
    <w:basedOn w:val="Normal"/>
  </w:style>
  <w:style w:type="paragraph" w:customStyle="1" w:styleId="zSoquijdatNoDossierAnt">
    <w:name w:val="zSoquij_datNoDossierAnt"/>
    <w:basedOn w:val="Normal"/>
    <w:pPr>
      <w:ind w:left="950"/>
    </w:pPr>
  </w:style>
  <w:style w:type="paragraph" w:customStyle="1" w:styleId="zSoquijdatDateJugement">
    <w:name w:val="zSoquij_datDateJugement"/>
    <w:basedOn w:val="Normal"/>
  </w:style>
  <w:style w:type="paragraph" w:customStyle="1" w:styleId="zSoquijlblDateJugement">
    <w:name w:val="zSoquij_lblDateJugement"/>
    <w:basedOn w:val="Normal"/>
  </w:style>
  <w:style w:type="paragraph" w:customStyle="1" w:styleId="zSoquijlblJuge">
    <w:name w:val="zSoquij_lblJuge"/>
    <w:basedOn w:val="Normal"/>
    <w:rPr>
      <w:b/>
    </w:rPr>
  </w:style>
  <w:style w:type="paragraph" w:customStyle="1" w:styleId="zSoquijdatQteJuge">
    <w:name w:val="zSoquij_datQteJuge"/>
    <w:basedOn w:val="Normal"/>
    <w:rPr>
      <w:b/>
    </w:rPr>
  </w:style>
  <w:style w:type="paragraph" w:customStyle="1" w:styleId="zSoquijdatJuge">
    <w:name w:val="zSoquij_datJuge"/>
    <w:basedOn w:val="Normal"/>
    <w:rPr>
      <w:b/>
    </w:rPr>
  </w:style>
  <w:style w:type="paragraph" w:customStyle="1" w:styleId="zSoquijdatNomPartieDem">
    <w:name w:val="zSoquij_datNomPartieDem"/>
    <w:basedOn w:val="Normal"/>
    <w:rPr>
      <w:b/>
      <w:bCs/>
    </w:rPr>
  </w:style>
  <w:style w:type="paragraph" w:customStyle="1" w:styleId="zSoquijdatQtePartieDem">
    <w:name w:val="zSoquij_datQtePartieDem"/>
    <w:basedOn w:val="Normal"/>
    <w:pPr>
      <w:ind w:left="708"/>
    </w:pPr>
  </w:style>
  <w:style w:type="paragraph" w:customStyle="1" w:styleId="zSoquijlblLienParties">
    <w:name w:val="zSoquij_lblLienParties"/>
    <w:basedOn w:val="Normal"/>
  </w:style>
  <w:style w:type="paragraph" w:customStyle="1" w:styleId="zSoquijdatNomPartieDef">
    <w:name w:val="zSoquij_datNomPartieDef"/>
    <w:basedOn w:val="Normal"/>
    <w:rPr>
      <w:b/>
      <w:bCs/>
    </w:rPr>
  </w:style>
  <w:style w:type="paragraph" w:customStyle="1" w:styleId="zSoquijdatQtePartieDef">
    <w:name w:val="zSoquij_datQtePartieDef"/>
    <w:basedOn w:val="Normal"/>
    <w:pPr>
      <w:ind w:left="708"/>
    </w:pPr>
  </w:style>
  <w:style w:type="paragraph" w:customStyle="1" w:styleId="zSoquijlblTypeDocument">
    <w:name w:val="zSoquij_lblTypeDocument"/>
    <w:basedOn w:val="Normal"/>
    <w:pPr>
      <w:jc w:val="center"/>
    </w:pPr>
  </w:style>
  <w:style w:type="paragraph" w:customStyle="1" w:styleId="zSoquijlblProcureurDem">
    <w:name w:val="zSoquij_lblProcureurDem"/>
    <w:basedOn w:val="Normal"/>
  </w:style>
  <w:style w:type="paragraph" w:customStyle="1" w:styleId="zSoquijlblProcureurDef">
    <w:name w:val="zSoquij_lblProcureurDef"/>
    <w:basedOn w:val="Normal"/>
  </w:style>
  <w:style w:type="paragraph" w:customStyle="1" w:styleId="zSoquijlblDateAudience">
    <w:name w:val="zSoquij_lblDateAudience"/>
    <w:basedOn w:val="Normal"/>
  </w:style>
  <w:style w:type="paragraph" w:customStyle="1" w:styleId="zSoquijdatDateAudience">
    <w:name w:val="zSoquij_datDateAudience"/>
    <w:basedOn w:val="Normal"/>
  </w:style>
  <w:style w:type="paragraph" w:customStyle="1" w:styleId="zSoquijlblNomChambre">
    <w:name w:val="zSoquij_lblNomChambre"/>
    <w:basedOn w:val="Normal"/>
  </w:style>
  <w:style w:type="paragraph" w:customStyle="1" w:styleId="zSoquijlblOpinionJuge">
    <w:name w:val="zSoquij_lblOpinionJuge"/>
    <w:basedOn w:val="Normal"/>
    <w:pPr>
      <w:jc w:val="center"/>
    </w:pPr>
  </w:style>
  <w:style w:type="character" w:customStyle="1" w:styleId="zSoquijlblEntNoDossier">
    <w:name w:val="zSoquij_lblEntNoDossier"/>
    <w:basedOn w:val="Policepardfaut"/>
    <w:rPr>
      <w:noProof w:val="0"/>
      <w:lang w:val="fr-CA"/>
    </w:rPr>
  </w:style>
  <w:style w:type="paragraph" w:customStyle="1" w:styleId="zSoquijlblTitrePartie">
    <w:name w:val="zSoquij_lblTitrePartie"/>
    <w:basedOn w:val="Normal"/>
  </w:style>
  <w:style w:type="paragraph" w:customStyle="1" w:styleId="zSoquijdatIdJuge">
    <w:name w:val="zSoquij_datIdJuge"/>
    <w:basedOn w:val="Normal"/>
    <w:pPr>
      <w:jc w:val="right"/>
    </w:pPr>
  </w:style>
  <w:style w:type="paragraph" w:customStyle="1" w:styleId="Sous-paragraphe">
    <w:name w:val="Sous-paragraphe"/>
    <w:basedOn w:val="Normal"/>
    <w:pPr>
      <w:widowControl w:val="0"/>
      <w:numPr>
        <w:ilvl w:val="1"/>
        <w:numId w:val="18"/>
      </w:numPr>
      <w:spacing w:after="120"/>
      <w:jc w:val="both"/>
    </w:pPr>
    <w:rPr>
      <w:kern w:val="28"/>
    </w:rPr>
  </w:style>
  <w:style w:type="paragraph" w:customStyle="1" w:styleId="zSoquijdatNomProcureurDem">
    <w:name w:val="zSoquij_datNomProcureurDem"/>
    <w:basedOn w:val="zSoquijlblProcureurDem"/>
    <w:pPr>
      <w:keepNext/>
    </w:pPr>
  </w:style>
  <w:style w:type="paragraph" w:customStyle="1" w:styleId="zSoquijdatNomProcureurDef">
    <w:name w:val="zSoquij_datNomProcureurDef"/>
    <w:basedOn w:val="zSoquijlblProcureurDef"/>
    <w:pPr>
      <w:keepNext/>
    </w:pPr>
  </w:style>
  <w:style w:type="paragraph" w:customStyle="1" w:styleId="zSoquijdatCabinetProcureurDem">
    <w:name w:val="zSoquij_datCabinetProcureurDem"/>
    <w:basedOn w:val="Normal"/>
    <w:pPr>
      <w:keepNext/>
    </w:pPr>
  </w:style>
  <w:style w:type="paragraph" w:customStyle="1" w:styleId="zSoquijdatCabinetProcureurDef">
    <w:name w:val="zSoquij_datCabinetProcureurDef"/>
    <w:basedOn w:val="zSoquijlblProcureurDef"/>
    <w:pPr>
      <w:keepNext/>
    </w:pPr>
  </w:style>
  <w:style w:type="paragraph" w:styleId="En-tte">
    <w:name w:val="header"/>
    <w:basedOn w:val="Normal"/>
    <w:link w:val="En-tteCar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320"/>
        <w:tab w:val="right" w:pos="8640"/>
      </w:tabs>
    </w:pPr>
  </w:style>
  <w:style w:type="paragraph" w:customStyle="1" w:styleId="Tableaudroiteanglais">
    <w:name w:val="Tableau droite anglais"/>
    <w:basedOn w:val="Tableaugauchefranais"/>
    <w:pPr>
      <w:ind w:left="144" w:right="720"/>
      <w:jc w:val="both"/>
    </w:pPr>
    <w:rPr>
      <w:lang w:val="en-CA"/>
    </w:rPr>
  </w:style>
  <w:style w:type="paragraph" w:customStyle="1" w:styleId="Tableaugauchefranais">
    <w:name w:val="Tableau gauche français"/>
    <w:basedOn w:val="Normal"/>
    <w:pPr>
      <w:ind w:left="720" w:right="144"/>
    </w:pPr>
    <w:rPr>
      <w:sz w:val="22"/>
    </w:rPr>
  </w:style>
  <w:style w:type="character" w:styleId="Appelnotedebasdep">
    <w:name w:val="footnote reference"/>
    <w:semiHidden/>
    <w:rPr>
      <w:noProof w:val="0"/>
      <w:vertAlign w:val="superscript"/>
      <w:lang w:val="fr-CA"/>
    </w:rPr>
  </w:style>
  <w:style w:type="paragraph" w:styleId="Corpsdetexte3">
    <w:name w:val="Body Text 3"/>
    <w:basedOn w:val="Normal"/>
    <w:link w:val="Corpsdetexte3Car"/>
    <w:semiHidden/>
    <w:pPr>
      <w:spacing w:after="120"/>
    </w:pPr>
    <w:rPr>
      <w:sz w:val="16"/>
    </w:rPr>
  </w:style>
  <w:style w:type="paragraph" w:customStyle="1" w:styleId="zSoquijdatRepertorie">
    <w:name w:val="zSoquij_datRepertorie"/>
    <w:basedOn w:val="zSoquijlblCour"/>
    <w:pPr>
      <w:spacing w:line="240" w:lineRule="auto"/>
      <w:jc w:val="left"/>
    </w:pPr>
    <w:rPr>
      <w:sz w:val="22"/>
    </w:rPr>
  </w:style>
  <w:style w:type="paragraph" w:customStyle="1" w:styleId="zSoquijdatRefNeutre">
    <w:name w:val="zSoquij_datRefNeutre"/>
    <w:basedOn w:val="zSoquijlblCour"/>
    <w:pPr>
      <w:spacing w:line="240" w:lineRule="auto"/>
      <w:jc w:val="left"/>
    </w:pPr>
    <w:rPr>
      <w:sz w:val="22"/>
    </w:rPr>
  </w:style>
  <w:style w:type="character" w:customStyle="1" w:styleId="NotedebasdepageCar">
    <w:name w:val="Note de bas de page Car"/>
    <w:link w:val="Notedebasdepage"/>
    <w:semiHidden/>
    <w:rsid w:val="000C080E"/>
    <w:rPr>
      <w:rFonts w:ascii="Arial" w:hAnsi="Arial"/>
      <w:lang w:eastAsia="fr-FR"/>
    </w:rPr>
  </w:style>
  <w:style w:type="character" w:styleId="Accentuation">
    <w:name w:val="Emphasis"/>
    <w:uiPriority w:val="20"/>
    <w:qFormat/>
    <w:rsid w:val="00011AB5"/>
    <w:rPr>
      <w:i/>
      <w:iCs/>
    </w:rPr>
  </w:style>
  <w:style w:type="character" w:customStyle="1" w:styleId="reflex3-block">
    <w:name w:val="reflex3-block"/>
    <w:rsid w:val="00BF0961"/>
  </w:style>
  <w:style w:type="character" w:customStyle="1" w:styleId="reflex3-alt">
    <w:name w:val="reflex3-alt"/>
    <w:rsid w:val="00BF0961"/>
  </w:style>
  <w:style w:type="character" w:customStyle="1" w:styleId="decisia-reflex2-icon">
    <w:name w:val="decisia-reflex2-icon"/>
    <w:basedOn w:val="Policepardfaut"/>
    <w:rsid w:val="006812DA"/>
    <w:rPr>
      <w:sz w:val="19"/>
      <w:szCs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1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11A"/>
    <w:rPr>
      <w:rFonts w:ascii="Segoe UI" w:hAnsi="Segoe UI" w:cs="Segoe UI"/>
      <w:sz w:val="18"/>
      <w:szCs w:val="18"/>
      <w:lang w:eastAsia="fr-FR"/>
    </w:rPr>
  </w:style>
  <w:style w:type="character" w:customStyle="1" w:styleId="solexhl">
    <w:name w:val="solexhl"/>
    <w:basedOn w:val="Policepardfaut"/>
    <w:rsid w:val="00287438"/>
  </w:style>
  <w:style w:type="table" w:styleId="Grilledutableau">
    <w:name w:val="Table Grid"/>
    <w:basedOn w:val="TableauNormal"/>
    <w:uiPriority w:val="39"/>
    <w:rsid w:val="0046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45E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34D8F"/>
    <w:rPr>
      <w:rFonts w:ascii="Arial" w:hAnsi="Arial"/>
      <w:b/>
      <w:kern w:val="28"/>
      <w:sz w:val="28"/>
      <w:lang w:eastAsia="fr-FR"/>
    </w:rPr>
  </w:style>
  <w:style w:type="character" w:customStyle="1" w:styleId="Titre2Car">
    <w:name w:val="Titre 2 Car"/>
    <w:basedOn w:val="Policepardfaut"/>
    <w:link w:val="Titre2"/>
    <w:rsid w:val="00634D8F"/>
    <w:rPr>
      <w:rFonts w:ascii="Arial" w:hAnsi="Arial"/>
      <w:b/>
      <w:i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634D8F"/>
    <w:rPr>
      <w:rFonts w:ascii="Arial" w:hAnsi="Arial"/>
      <w:sz w:val="24"/>
      <w:lang w:eastAsia="fr-FR"/>
    </w:rPr>
  </w:style>
  <w:style w:type="character" w:customStyle="1" w:styleId="Titre4Car">
    <w:name w:val="Titre 4 Car"/>
    <w:basedOn w:val="Policepardfaut"/>
    <w:link w:val="Titre4"/>
    <w:rsid w:val="00634D8F"/>
    <w:rPr>
      <w:rFonts w:ascii="Arial" w:hAnsi="Arial"/>
      <w:b/>
      <w:sz w:val="24"/>
      <w:lang w:eastAsia="fr-FR"/>
    </w:rPr>
  </w:style>
  <w:style w:type="character" w:customStyle="1" w:styleId="Titre5Car">
    <w:name w:val="Titre 5 Car"/>
    <w:basedOn w:val="Policepardfaut"/>
    <w:link w:val="Titre5"/>
    <w:rsid w:val="00634D8F"/>
    <w:rPr>
      <w:rFonts w:ascii="Arial" w:hAnsi="Arial"/>
      <w:sz w:val="22"/>
      <w:lang w:eastAsia="fr-FR"/>
    </w:rPr>
  </w:style>
  <w:style w:type="character" w:customStyle="1" w:styleId="Titre6Car">
    <w:name w:val="Titre 6 Car"/>
    <w:basedOn w:val="Policepardfaut"/>
    <w:link w:val="Titre6"/>
    <w:rsid w:val="00634D8F"/>
    <w:rPr>
      <w:rFonts w:ascii="Arial" w:hAnsi="Arial"/>
      <w:i/>
      <w:sz w:val="22"/>
      <w:lang w:eastAsia="fr-FR"/>
    </w:rPr>
  </w:style>
  <w:style w:type="character" w:customStyle="1" w:styleId="Titre7Car">
    <w:name w:val="Titre 7 Car"/>
    <w:basedOn w:val="Policepardfaut"/>
    <w:link w:val="Titre7"/>
    <w:rsid w:val="00634D8F"/>
    <w:rPr>
      <w:rFonts w:ascii="Arial" w:hAnsi="Arial"/>
      <w:lang w:eastAsia="fr-FR"/>
    </w:rPr>
  </w:style>
  <w:style w:type="character" w:customStyle="1" w:styleId="Titre8Car">
    <w:name w:val="Titre 8 Car"/>
    <w:basedOn w:val="Policepardfaut"/>
    <w:link w:val="Titre8"/>
    <w:rsid w:val="00634D8F"/>
    <w:rPr>
      <w:rFonts w:ascii="Arial" w:hAnsi="Arial"/>
      <w:i/>
      <w:lang w:eastAsia="fr-FR"/>
    </w:rPr>
  </w:style>
  <w:style w:type="character" w:customStyle="1" w:styleId="Titre9Car">
    <w:name w:val="Titre 9 Car"/>
    <w:basedOn w:val="Policepardfaut"/>
    <w:link w:val="Titre9"/>
    <w:rsid w:val="00634D8F"/>
    <w:rPr>
      <w:rFonts w:ascii="Arial" w:hAnsi="Arial"/>
      <w:b/>
      <w:i/>
      <w:sz w:val="1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634D8F"/>
    <w:rPr>
      <w:rFonts w:ascii="Arial" w:hAnsi="Arial"/>
      <w:sz w:val="24"/>
      <w:lang w:eastAsia="fr-FR"/>
    </w:rPr>
  </w:style>
  <w:style w:type="character" w:customStyle="1" w:styleId="NotedefinCar">
    <w:name w:val="Note de fin Car"/>
    <w:basedOn w:val="Policepardfaut"/>
    <w:link w:val="Notedefin"/>
    <w:semiHidden/>
    <w:rsid w:val="00634D8F"/>
    <w:rPr>
      <w:rFonts w:ascii="Arial" w:hAnsi="Arial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634D8F"/>
    <w:rPr>
      <w:rFonts w:ascii="Arial" w:hAnsi="Arial"/>
      <w:sz w:val="24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634D8F"/>
    <w:rPr>
      <w:rFonts w:ascii="Arial" w:hAnsi="Arial"/>
      <w:sz w:val="24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634D8F"/>
    <w:rPr>
      <w:rFonts w:ascii="Arial" w:hAnsi="Arial"/>
      <w:sz w:val="16"/>
      <w:lang w:eastAsia="fr-FR"/>
    </w:rPr>
  </w:style>
  <w:style w:type="character" w:styleId="Hyperlien">
    <w:name w:val="Hyperlink"/>
    <w:basedOn w:val="Policepardfaut"/>
    <w:uiPriority w:val="99"/>
    <w:semiHidden/>
    <w:unhideWhenUsed/>
    <w:rsid w:val="002C7264"/>
    <w:rPr>
      <w:color w:val="0000FF"/>
      <w:u w:val="single"/>
    </w:rPr>
  </w:style>
  <w:style w:type="paragraph" w:styleId="Rvision">
    <w:name w:val="Revision"/>
    <w:hidden/>
    <w:uiPriority w:val="99"/>
    <w:semiHidden/>
    <w:rsid w:val="00EE73F8"/>
    <w:rPr>
      <w:rFonts w:ascii="Arial" w:hAnsi="Arial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canlii.org/en/ca/laws/stat/rsc-1985-c-c-42/latest/rsc-1985-c-c-4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lii.org/en/ca/laws/stat/rsc-1985-c-c-42/latest/rsc-1985-c-c-4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239D5-D711-6148-8955-EAFF13CE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7780</Words>
  <Characters>42793</Characters>
  <Application>Microsoft Office Word</Application>
  <DocSecurity>0</DocSecurity>
  <Lines>356</Lines>
  <Paragraphs>100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Gabarit de jugement pour la cour d'appel</vt:lpstr>
      <vt:lpstr>Gabarit de jugement pour la cour d'appel</vt:lpstr>
    </vt:vector>
  </TitlesOfParts>
  <Manager>Patrice Tardif</Manager>
  <Company>MJQ</Company>
  <LinksUpToDate>false</LinksUpToDate>
  <CharactersWithSpaces>50473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de jugement pour la cour d'appel</dc:title>
  <dc:subject/>
  <dc:creator>Paule Gagné</dc:creator>
  <cp:keywords/>
  <dc:description/>
  <cp:lastModifiedBy>trad-rev</cp:lastModifiedBy>
  <cp:revision>2</cp:revision>
  <cp:lastPrinted>2023-09-03T22:30:00Z</cp:lastPrinted>
  <dcterms:created xsi:type="dcterms:W3CDTF">2023-11-14T17:39:00Z</dcterms:created>
  <dcterms:modified xsi:type="dcterms:W3CDTF">2023-11-14T17:39:00Z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quij_DateModification">
    <vt:lpwstr>04-26-2001</vt:lpwstr>
  </property>
  <property fmtid="{D5CDD505-2E9C-101B-9397-08002B2CF9AE}" pid="3" name="Soquij_Version">
    <vt:lpwstr>1.6</vt:lpwstr>
  </property>
  <property fmtid="{D5CDD505-2E9C-101B-9397-08002B2CF9AE}" pid="4" name="Soquij_ModifiePar">
    <vt:lpwstr>renste</vt:lpwstr>
  </property>
  <property fmtid="{D5CDD505-2E9C-101B-9397-08002B2CF9AE}" pid="5" name="Soquij_Modele">
    <vt:lpwstr>Edj</vt:lpwstr>
  </property>
  <property fmtid="{D5CDD505-2E9C-101B-9397-08002B2CF9AE}" pid="6" name="Soquij_Cour">
    <vt:lpwstr>CA</vt:lpwstr>
  </property>
  <property fmtid="{D5CDD505-2E9C-101B-9397-08002B2CF9AE}" pid="7" name="Soquij_Langue">
    <vt:lpwstr>Fra</vt:lpwstr>
  </property>
</Properties>
</file>