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E4BC" w14:textId="77777777" w:rsidR="00B93837" w:rsidRPr="004E1DE3" w:rsidRDefault="00573CA9">
      <w:pPr>
        <w:rPr>
          <w:lang w:val="en-CA"/>
        </w:rPr>
      </w:pPr>
      <w:r w:rsidRPr="004E1DE3">
        <w:rPr>
          <w:lang w:val="en-CA"/>
        </w:rPr>
        <w:t>Translated from the original French</w:t>
      </w:r>
    </w:p>
    <w:tbl>
      <w:tblPr>
        <w:tblW w:w="9356" w:type="dxa"/>
        <w:tblLayout w:type="fixed"/>
        <w:tblCellMar>
          <w:left w:w="70" w:type="dxa"/>
          <w:right w:w="70" w:type="dxa"/>
        </w:tblCellMar>
        <w:tblLook w:val="0000" w:firstRow="0" w:lastRow="0" w:firstColumn="0" w:lastColumn="0" w:noHBand="0" w:noVBand="0"/>
      </w:tblPr>
      <w:tblGrid>
        <w:gridCol w:w="1036"/>
        <w:gridCol w:w="69"/>
        <w:gridCol w:w="455"/>
        <w:gridCol w:w="2196"/>
        <w:gridCol w:w="213"/>
        <w:gridCol w:w="3121"/>
        <w:gridCol w:w="2266"/>
      </w:tblGrid>
      <w:tr w:rsidR="002B0207" w14:paraId="40E8BBDF" w14:textId="77777777" w:rsidTr="007D1A3F">
        <w:trPr>
          <w:trHeight w:val="360"/>
        </w:trPr>
        <w:tc>
          <w:tcPr>
            <w:tcW w:w="7090" w:type="dxa"/>
            <w:gridSpan w:val="6"/>
          </w:tcPr>
          <w:p w14:paraId="4334F94E" w14:textId="77777777" w:rsidR="002B0207" w:rsidRPr="004E1DE3" w:rsidRDefault="002B0207" w:rsidP="002B0207">
            <w:pPr>
              <w:pStyle w:val="zSoquijdatRepertorie"/>
              <w:rPr>
                <w:lang w:val="en-CA"/>
              </w:rPr>
            </w:pPr>
            <w:r w:rsidRPr="00CE2A8E">
              <w:rPr>
                <w:rFonts w:cs="Arial"/>
                <w:lang w:val="en-CA"/>
              </w:rPr>
              <w:t>Royer c. Capital One Bank (Canada Branch)</w:t>
            </w:r>
          </w:p>
        </w:tc>
        <w:tc>
          <w:tcPr>
            <w:tcW w:w="2266" w:type="dxa"/>
          </w:tcPr>
          <w:p w14:paraId="624D0C96" w14:textId="77777777" w:rsidR="002B0207" w:rsidRPr="004E1DE3" w:rsidRDefault="002B0207" w:rsidP="002B0207">
            <w:pPr>
              <w:pStyle w:val="zSoquijdatRefNeutre"/>
              <w:jc w:val="right"/>
              <w:rPr>
                <w:lang w:val="en-CA"/>
              </w:rPr>
            </w:pPr>
            <w:r w:rsidRPr="00B83E8A">
              <w:rPr>
                <w:rFonts w:cs="Arial"/>
              </w:rPr>
              <w:t>2023 QCCS 2993</w:t>
            </w:r>
          </w:p>
        </w:tc>
      </w:tr>
      <w:tr w:rsidR="00B0137B" w14:paraId="3272547D" w14:textId="77777777" w:rsidTr="007D1A3F">
        <w:trPr>
          <w:trHeight w:val="900"/>
        </w:trPr>
        <w:tc>
          <w:tcPr>
            <w:tcW w:w="9356" w:type="dxa"/>
            <w:gridSpan w:val="7"/>
            <w:vAlign w:val="bottom"/>
          </w:tcPr>
          <w:p w14:paraId="3B7C2AA3" w14:textId="77777777" w:rsidR="00121A72" w:rsidRPr="004E1DE3" w:rsidRDefault="00573CA9" w:rsidP="00D26929">
            <w:pPr>
              <w:pStyle w:val="zSoquijlblCour"/>
              <w:rPr>
                <w:lang w:val="en-CA"/>
              </w:rPr>
            </w:pPr>
            <w:r w:rsidRPr="004E1DE3">
              <w:rPr>
                <w:lang w:val="en-CA"/>
              </w:rPr>
              <w:t>SUPERIOR COURT</w:t>
            </w:r>
          </w:p>
          <w:p w14:paraId="257C73C7" w14:textId="77777777" w:rsidR="007D1A3F" w:rsidRPr="004E1DE3" w:rsidRDefault="007D1A3F" w:rsidP="00D26929">
            <w:pPr>
              <w:pStyle w:val="zSoquijlblCour"/>
              <w:rPr>
                <w:lang w:val="en-CA"/>
              </w:rPr>
            </w:pPr>
          </w:p>
        </w:tc>
      </w:tr>
      <w:tr w:rsidR="00B0137B" w14:paraId="528FDF49" w14:textId="77777777" w:rsidTr="007D1A3F">
        <w:trPr>
          <w:trHeight w:val="540"/>
        </w:trPr>
        <w:tc>
          <w:tcPr>
            <w:tcW w:w="9356" w:type="dxa"/>
            <w:gridSpan w:val="7"/>
          </w:tcPr>
          <w:p w14:paraId="672005EA" w14:textId="77777777" w:rsidR="00121A72" w:rsidRPr="004E1DE3" w:rsidRDefault="00121A72" w:rsidP="00D26929">
            <w:pPr>
              <w:pStyle w:val="zSoquijdatDivision"/>
              <w:rPr>
                <w:lang w:val="en-CA"/>
              </w:rPr>
            </w:pPr>
          </w:p>
        </w:tc>
      </w:tr>
      <w:tr w:rsidR="00B0137B" w14:paraId="6A5EE589" w14:textId="77777777" w:rsidTr="007D1A3F">
        <w:tc>
          <w:tcPr>
            <w:tcW w:w="9356" w:type="dxa"/>
            <w:gridSpan w:val="7"/>
          </w:tcPr>
          <w:p w14:paraId="7475E854" w14:textId="77777777" w:rsidR="00121A72" w:rsidRPr="004E1DE3" w:rsidRDefault="00573CA9" w:rsidP="00D26929">
            <w:pPr>
              <w:pStyle w:val="zSoquijlblPays"/>
              <w:rPr>
                <w:lang w:val="en-CA"/>
              </w:rPr>
            </w:pPr>
            <w:r w:rsidRPr="004E1DE3">
              <w:rPr>
                <w:lang w:val="en-CA"/>
              </w:rPr>
              <w:t>CANADA</w:t>
            </w:r>
          </w:p>
        </w:tc>
      </w:tr>
      <w:tr w:rsidR="00B0137B" w14:paraId="5B14A722" w14:textId="77777777" w:rsidTr="007D1A3F">
        <w:tc>
          <w:tcPr>
            <w:tcW w:w="9356" w:type="dxa"/>
            <w:gridSpan w:val="7"/>
          </w:tcPr>
          <w:p w14:paraId="55989EE5" w14:textId="77777777" w:rsidR="00121A72" w:rsidRPr="004E1DE3" w:rsidRDefault="00573CA9" w:rsidP="00D26929">
            <w:pPr>
              <w:pStyle w:val="zSoquijlblProvince"/>
              <w:rPr>
                <w:lang w:val="en-CA"/>
              </w:rPr>
            </w:pPr>
            <w:r w:rsidRPr="004E1DE3">
              <w:rPr>
                <w:lang w:val="en-CA"/>
              </w:rPr>
              <w:t>PROVINCE OF QUEBEC</w:t>
            </w:r>
          </w:p>
        </w:tc>
      </w:tr>
      <w:tr w:rsidR="00B0137B" w14:paraId="656ABC92" w14:textId="77777777" w:rsidTr="007D1A3F">
        <w:tblPrEx>
          <w:tblCellMar>
            <w:left w:w="0" w:type="dxa"/>
            <w:right w:w="0" w:type="dxa"/>
          </w:tblCellMar>
        </w:tblPrEx>
        <w:trPr>
          <w:cantSplit/>
        </w:trPr>
        <w:tc>
          <w:tcPr>
            <w:tcW w:w="3756" w:type="dxa"/>
            <w:gridSpan w:val="4"/>
          </w:tcPr>
          <w:p w14:paraId="425CAB6D" w14:textId="77777777" w:rsidR="00121A72" w:rsidRPr="004E1DE3" w:rsidRDefault="00573CA9" w:rsidP="007F6FA9">
            <w:pPr>
              <w:pStyle w:val="zSoquijlblGreffe"/>
              <w:rPr>
                <w:lang w:val="en-CA"/>
              </w:rPr>
            </w:pPr>
            <w:r w:rsidRPr="004E1DE3">
              <w:rPr>
                <w:lang w:val="en-CA"/>
              </w:rPr>
              <w:t>DISTRICT OF MONTREAL</w:t>
            </w:r>
          </w:p>
        </w:tc>
        <w:tc>
          <w:tcPr>
            <w:tcW w:w="5600" w:type="dxa"/>
            <w:gridSpan w:val="3"/>
          </w:tcPr>
          <w:p w14:paraId="782959E6" w14:textId="77777777" w:rsidR="00121A72" w:rsidRPr="004E1DE3" w:rsidRDefault="00121A72" w:rsidP="00C21D29">
            <w:pPr>
              <w:pStyle w:val="zSoquijdatGreffe"/>
              <w:rPr>
                <w:lang w:val="en-CA"/>
              </w:rPr>
            </w:pPr>
          </w:p>
        </w:tc>
      </w:tr>
      <w:tr w:rsidR="00B0137B" w14:paraId="533212AE" w14:textId="77777777" w:rsidTr="007D1A3F">
        <w:trPr>
          <w:trHeight w:val="540"/>
        </w:trPr>
        <w:tc>
          <w:tcPr>
            <w:tcW w:w="9356" w:type="dxa"/>
            <w:gridSpan w:val="7"/>
          </w:tcPr>
          <w:p w14:paraId="4AD11C28" w14:textId="77777777" w:rsidR="00121A72" w:rsidRPr="004E1DE3" w:rsidRDefault="00121A72" w:rsidP="00D26929">
            <w:pPr>
              <w:pStyle w:val="zSoquijlblNomChambre"/>
              <w:rPr>
                <w:lang w:val="en-CA"/>
              </w:rPr>
            </w:pPr>
          </w:p>
        </w:tc>
      </w:tr>
      <w:tr w:rsidR="00B0137B" w14:paraId="0DCE6030" w14:textId="77777777" w:rsidTr="007D1A3F">
        <w:tc>
          <w:tcPr>
            <w:tcW w:w="1105" w:type="dxa"/>
            <w:gridSpan w:val="2"/>
          </w:tcPr>
          <w:p w14:paraId="4303897C" w14:textId="77777777" w:rsidR="00121A72" w:rsidRPr="004E1DE3" w:rsidRDefault="00573CA9" w:rsidP="00D26929">
            <w:pPr>
              <w:pStyle w:val="zSoquijlblNoDossier"/>
              <w:rPr>
                <w:lang w:val="en-CA"/>
              </w:rPr>
            </w:pPr>
            <w:r w:rsidRPr="004E1DE3">
              <w:rPr>
                <w:lang w:val="en-CA"/>
              </w:rPr>
              <w:t>No.:</w:t>
            </w:r>
          </w:p>
        </w:tc>
        <w:tc>
          <w:tcPr>
            <w:tcW w:w="8251" w:type="dxa"/>
            <w:gridSpan w:val="5"/>
          </w:tcPr>
          <w:p w14:paraId="79BE1F94" w14:textId="77777777" w:rsidR="00121A72" w:rsidRPr="004E1DE3" w:rsidRDefault="00573CA9" w:rsidP="009E7E11">
            <w:pPr>
              <w:pStyle w:val="zSoquijdatNoDossier"/>
              <w:ind w:left="-69"/>
              <w:rPr>
                <w:lang w:val="en-CA"/>
              </w:rPr>
            </w:pPr>
            <w:bookmarkStart w:id="0" w:name="No_dossier"/>
            <w:r w:rsidRPr="004E1DE3">
              <w:rPr>
                <w:szCs w:val="22"/>
                <w:lang w:val="en-CA"/>
              </w:rPr>
              <w:t>500-06-001010-194</w:t>
            </w:r>
            <w:bookmarkEnd w:id="0"/>
          </w:p>
        </w:tc>
      </w:tr>
      <w:tr w:rsidR="00B0137B" w14:paraId="2B5F6CEB" w14:textId="77777777" w:rsidTr="007D1A3F">
        <w:tblPrEx>
          <w:tblCellMar>
            <w:left w:w="0" w:type="dxa"/>
            <w:right w:w="0" w:type="dxa"/>
          </w:tblCellMar>
        </w:tblPrEx>
        <w:trPr>
          <w:cantSplit/>
        </w:trPr>
        <w:tc>
          <w:tcPr>
            <w:tcW w:w="1105" w:type="dxa"/>
            <w:gridSpan w:val="2"/>
          </w:tcPr>
          <w:p w14:paraId="414CC8CF" w14:textId="77777777" w:rsidR="00121A72" w:rsidRPr="004E1DE3" w:rsidRDefault="00121A72" w:rsidP="00D26929">
            <w:pPr>
              <w:pStyle w:val="zSoquijlblGreffe"/>
              <w:rPr>
                <w:lang w:val="en-CA"/>
              </w:rPr>
            </w:pPr>
          </w:p>
        </w:tc>
        <w:tc>
          <w:tcPr>
            <w:tcW w:w="8251" w:type="dxa"/>
            <w:gridSpan w:val="5"/>
          </w:tcPr>
          <w:p w14:paraId="39C08FF5" w14:textId="77777777" w:rsidR="00121A72" w:rsidRPr="004E1DE3" w:rsidRDefault="00121A72" w:rsidP="00D26929">
            <w:pPr>
              <w:pStyle w:val="zSoquijdatNoDossierAnt"/>
              <w:rPr>
                <w:lang w:val="en-CA"/>
              </w:rPr>
            </w:pPr>
          </w:p>
        </w:tc>
      </w:tr>
      <w:tr w:rsidR="00B0137B" w14:paraId="27DBB0C6" w14:textId="77777777" w:rsidTr="007D1A3F">
        <w:tc>
          <w:tcPr>
            <w:tcW w:w="1036" w:type="dxa"/>
          </w:tcPr>
          <w:p w14:paraId="06E22EB8" w14:textId="77777777" w:rsidR="00121A72" w:rsidRPr="004E1DE3" w:rsidRDefault="00573CA9" w:rsidP="00D26929">
            <w:pPr>
              <w:pStyle w:val="zSoquijlblDateJugement"/>
              <w:rPr>
                <w:lang w:val="en-CA"/>
              </w:rPr>
            </w:pPr>
            <w:r w:rsidRPr="004E1DE3">
              <w:rPr>
                <w:lang w:val="en-CA"/>
              </w:rPr>
              <w:t>DATE:</w:t>
            </w:r>
          </w:p>
        </w:tc>
        <w:tc>
          <w:tcPr>
            <w:tcW w:w="8320" w:type="dxa"/>
            <w:gridSpan w:val="6"/>
          </w:tcPr>
          <w:p w14:paraId="2E26F6ED" w14:textId="77777777" w:rsidR="00121A72" w:rsidRPr="004E1DE3" w:rsidRDefault="00573CA9" w:rsidP="00D26929">
            <w:pPr>
              <w:pStyle w:val="zSoquijdatDateJugement"/>
              <w:rPr>
                <w:lang w:val="en-CA"/>
              </w:rPr>
            </w:pPr>
            <w:r w:rsidRPr="004E1DE3">
              <w:rPr>
                <w:lang w:val="en-CA"/>
              </w:rPr>
              <w:t xml:space="preserve">August </w:t>
            </w:r>
            <w:r w:rsidRPr="004E1DE3">
              <w:rPr>
                <w:u w:val="single"/>
                <w:lang w:val="en-CA"/>
              </w:rPr>
              <w:t>10</w:t>
            </w:r>
            <w:r w:rsidRPr="004E1DE3">
              <w:rPr>
                <w:lang w:val="en-CA"/>
              </w:rPr>
              <w:t>, 2023</w:t>
            </w:r>
          </w:p>
        </w:tc>
      </w:tr>
      <w:tr w:rsidR="00B0137B" w14:paraId="03B0B914" w14:textId="77777777" w:rsidTr="00077E41">
        <w:tc>
          <w:tcPr>
            <w:tcW w:w="1036" w:type="dxa"/>
            <w:tcBorders>
              <w:bottom w:val="single" w:sz="4" w:space="0" w:color="auto"/>
            </w:tcBorders>
          </w:tcPr>
          <w:p w14:paraId="32196B21" w14:textId="77777777" w:rsidR="00783FB2" w:rsidRPr="004E1DE3" w:rsidRDefault="00783FB2" w:rsidP="00D26929">
            <w:pPr>
              <w:pStyle w:val="zSoquijlblDateJugement"/>
              <w:rPr>
                <w:lang w:val="en-CA"/>
              </w:rPr>
            </w:pPr>
          </w:p>
        </w:tc>
        <w:tc>
          <w:tcPr>
            <w:tcW w:w="8320" w:type="dxa"/>
            <w:gridSpan w:val="6"/>
            <w:tcBorders>
              <w:bottom w:val="single" w:sz="4" w:space="0" w:color="auto"/>
            </w:tcBorders>
          </w:tcPr>
          <w:p w14:paraId="142FAA9B" w14:textId="77777777" w:rsidR="00783FB2" w:rsidRPr="004E1DE3" w:rsidRDefault="00783FB2" w:rsidP="00D26929">
            <w:pPr>
              <w:pStyle w:val="zSoquijdatDateJugement"/>
              <w:rPr>
                <w:lang w:val="en-CA"/>
              </w:rPr>
            </w:pPr>
          </w:p>
        </w:tc>
      </w:tr>
      <w:tr w:rsidR="00B0137B" w14:paraId="2B684122" w14:textId="77777777" w:rsidTr="00077E41">
        <w:tc>
          <w:tcPr>
            <w:tcW w:w="9356" w:type="dxa"/>
            <w:gridSpan w:val="7"/>
            <w:tcBorders>
              <w:top w:val="single" w:sz="4" w:space="0" w:color="auto"/>
            </w:tcBorders>
          </w:tcPr>
          <w:p w14:paraId="2DB8F3A8" w14:textId="77777777" w:rsidR="00077E41" w:rsidRPr="004E1DE3" w:rsidRDefault="00077E41" w:rsidP="009F120C">
            <w:pPr>
              <w:pStyle w:val="zSoquijlblTitrePartie"/>
              <w:rPr>
                <w:lang w:val="en-CA"/>
              </w:rPr>
            </w:pPr>
          </w:p>
        </w:tc>
      </w:tr>
      <w:tr w:rsidR="00B0137B" w:rsidRPr="00CE2A8E" w14:paraId="34619607" w14:textId="77777777" w:rsidTr="00B93837">
        <w:tblPrEx>
          <w:tblCellMar>
            <w:left w:w="0" w:type="dxa"/>
            <w:right w:w="0" w:type="dxa"/>
          </w:tblCellMar>
        </w:tblPrEx>
        <w:tc>
          <w:tcPr>
            <w:tcW w:w="1560" w:type="dxa"/>
            <w:gridSpan w:val="3"/>
          </w:tcPr>
          <w:p w14:paraId="59978BAB" w14:textId="77777777" w:rsidR="00121A72" w:rsidRPr="004E1DE3" w:rsidRDefault="00573CA9" w:rsidP="00D26929">
            <w:pPr>
              <w:pStyle w:val="zSoquijlblJuge"/>
              <w:rPr>
                <w:lang w:val="en-CA"/>
              </w:rPr>
            </w:pPr>
            <w:r w:rsidRPr="004E1DE3">
              <w:rPr>
                <w:lang w:val="en-CA"/>
              </w:rPr>
              <w:t>PRESIDING:</w:t>
            </w:r>
          </w:p>
        </w:tc>
        <w:tc>
          <w:tcPr>
            <w:tcW w:w="2409" w:type="dxa"/>
            <w:gridSpan w:val="2"/>
          </w:tcPr>
          <w:p w14:paraId="25D6028E" w14:textId="77777777" w:rsidR="00121A72" w:rsidRPr="004E1DE3" w:rsidRDefault="00573CA9" w:rsidP="00D26929">
            <w:pPr>
              <w:pStyle w:val="zSoquijdatQteJuge"/>
              <w:rPr>
                <w:lang w:val="en-CA"/>
              </w:rPr>
            </w:pPr>
            <w:r w:rsidRPr="004E1DE3">
              <w:rPr>
                <w:lang w:val="en-CA"/>
              </w:rPr>
              <w:t>THE HONOURABLE</w:t>
            </w:r>
          </w:p>
        </w:tc>
        <w:tc>
          <w:tcPr>
            <w:tcW w:w="5387" w:type="dxa"/>
            <w:gridSpan w:val="2"/>
          </w:tcPr>
          <w:p w14:paraId="1E2CB67D" w14:textId="77777777" w:rsidR="00121A72" w:rsidRPr="004E1DE3" w:rsidRDefault="00573CA9" w:rsidP="00D26929">
            <w:pPr>
              <w:pStyle w:val="zSoquijdatJuge"/>
              <w:rPr>
                <w:lang w:val="en-CA"/>
              </w:rPr>
            </w:pPr>
            <w:r w:rsidRPr="004E1DE3">
              <w:rPr>
                <w:lang w:val="en-CA"/>
              </w:rPr>
              <w:t xml:space="preserve">BERNard tremblay, </w:t>
            </w:r>
            <w:r w:rsidRPr="004E1DE3">
              <w:rPr>
                <w:caps w:val="0"/>
                <w:lang w:val="en-CA"/>
              </w:rPr>
              <w:t>J.S.C.</w:t>
            </w:r>
          </w:p>
        </w:tc>
      </w:tr>
      <w:tr w:rsidR="00B0137B" w:rsidRPr="00CE2A8E" w14:paraId="155B38C5" w14:textId="77777777" w:rsidTr="00077E41">
        <w:tc>
          <w:tcPr>
            <w:tcW w:w="9356" w:type="dxa"/>
            <w:gridSpan w:val="7"/>
            <w:tcBorders>
              <w:bottom w:val="single" w:sz="4" w:space="0" w:color="auto"/>
            </w:tcBorders>
          </w:tcPr>
          <w:p w14:paraId="1EC5625C" w14:textId="77777777" w:rsidR="00077E41" w:rsidRPr="004E1DE3" w:rsidRDefault="00077E41" w:rsidP="009F120C">
            <w:pPr>
              <w:pStyle w:val="zSoquijlblTitrePartie"/>
              <w:rPr>
                <w:lang w:val="en-CA"/>
              </w:rPr>
            </w:pPr>
          </w:p>
        </w:tc>
      </w:tr>
      <w:tr w:rsidR="00B0137B" w:rsidRPr="00CE2A8E" w14:paraId="222E4C0B" w14:textId="77777777" w:rsidTr="00077E41">
        <w:tc>
          <w:tcPr>
            <w:tcW w:w="9356" w:type="dxa"/>
            <w:gridSpan w:val="7"/>
            <w:tcBorders>
              <w:top w:val="single" w:sz="4" w:space="0" w:color="auto"/>
            </w:tcBorders>
          </w:tcPr>
          <w:p w14:paraId="679D8CC5" w14:textId="77777777" w:rsidR="00121A72" w:rsidRPr="004E1DE3" w:rsidRDefault="00121A72" w:rsidP="00D26929">
            <w:pPr>
              <w:pStyle w:val="zSoquijlblTitrePartie"/>
              <w:rPr>
                <w:lang w:val="en-CA"/>
              </w:rPr>
            </w:pPr>
          </w:p>
        </w:tc>
      </w:tr>
      <w:tr w:rsidR="00B0137B" w:rsidRPr="00CE2A8E" w14:paraId="49A4CD42" w14:textId="77777777" w:rsidTr="007D1A3F">
        <w:tc>
          <w:tcPr>
            <w:tcW w:w="9356" w:type="dxa"/>
            <w:gridSpan w:val="7"/>
          </w:tcPr>
          <w:p w14:paraId="6527F9BE" w14:textId="77777777" w:rsidR="00783FB2" w:rsidRPr="004E1DE3" w:rsidRDefault="00783FB2" w:rsidP="00D26929">
            <w:pPr>
              <w:pStyle w:val="zSoquijlblTitrePartie"/>
              <w:rPr>
                <w:lang w:val="en-CA"/>
              </w:rPr>
            </w:pPr>
          </w:p>
        </w:tc>
      </w:tr>
      <w:tr w:rsidR="00B0137B" w14:paraId="07275985" w14:textId="77777777" w:rsidTr="007D1A3F">
        <w:tc>
          <w:tcPr>
            <w:tcW w:w="9356" w:type="dxa"/>
            <w:gridSpan w:val="7"/>
          </w:tcPr>
          <w:p w14:paraId="526331A5" w14:textId="77777777" w:rsidR="00E55A7E" w:rsidRPr="004E1DE3" w:rsidRDefault="00573CA9" w:rsidP="00E55A7E">
            <w:pPr>
              <w:rPr>
                <w:b/>
                <w:bCs/>
                <w:lang w:val="en-CA"/>
              </w:rPr>
            </w:pPr>
            <w:r w:rsidRPr="004E1DE3">
              <w:rPr>
                <w:b/>
                <w:bCs/>
                <w:lang w:val="en-CA"/>
              </w:rPr>
              <w:t>MICHAEL ROYER</w:t>
            </w:r>
          </w:p>
          <w:p w14:paraId="42746A85" w14:textId="77777777" w:rsidR="00121A72" w:rsidRPr="004E1DE3" w:rsidRDefault="00573CA9" w:rsidP="00CB1005">
            <w:pPr>
              <w:rPr>
                <w:lang w:val="en-CA"/>
              </w:rPr>
            </w:pPr>
            <w:r w:rsidRPr="004E1DE3">
              <w:rPr>
                <w:b/>
                <w:bCs/>
                <w:lang w:val="en-CA"/>
              </w:rPr>
              <w:t>ALA’A ABOU-KHADRA</w:t>
            </w:r>
          </w:p>
        </w:tc>
      </w:tr>
      <w:tr w:rsidR="00B0137B" w14:paraId="5FA819DD" w14:textId="77777777" w:rsidTr="007D1A3F">
        <w:tc>
          <w:tcPr>
            <w:tcW w:w="9356" w:type="dxa"/>
            <w:gridSpan w:val="7"/>
          </w:tcPr>
          <w:p w14:paraId="0BA1F7B2" w14:textId="77777777" w:rsidR="00121A72" w:rsidRPr="004E1DE3" w:rsidRDefault="00573CA9" w:rsidP="0073163C">
            <w:pPr>
              <w:pStyle w:val="zSoquijdatQtePartieDem"/>
              <w:spacing w:before="120"/>
              <w:rPr>
                <w:lang w:val="en-CA"/>
              </w:rPr>
            </w:pPr>
            <w:r w:rsidRPr="004E1DE3">
              <w:rPr>
                <w:lang w:val="en-CA"/>
              </w:rPr>
              <w:t>Plaintiffs</w:t>
            </w:r>
          </w:p>
        </w:tc>
      </w:tr>
      <w:tr w:rsidR="00B0137B" w14:paraId="2E0A6800" w14:textId="77777777" w:rsidTr="007D1A3F">
        <w:tc>
          <w:tcPr>
            <w:tcW w:w="9356" w:type="dxa"/>
            <w:gridSpan w:val="7"/>
          </w:tcPr>
          <w:p w14:paraId="4EF527F3" w14:textId="77777777" w:rsidR="00121A72" w:rsidRPr="004E1DE3" w:rsidRDefault="00573CA9" w:rsidP="0073163C">
            <w:pPr>
              <w:pStyle w:val="zSoquijlblLienParties"/>
              <w:spacing w:before="120" w:after="120"/>
              <w:rPr>
                <w:lang w:val="en-CA"/>
              </w:rPr>
            </w:pPr>
            <w:r w:rsidRPr="004E1DE3">
              <w:rPr>
                <w:lang w:val="en-CA"/>
              </w:rPr>
              <w:t>v.</w:t>
            </w:r>
          </w:p>
        </w:tc>
      </w:tr>
      <w:tr w:rsidR="00B0137B" w14:paraId="33F658F1" w14:textId="77777777" w:rsidTr="007D1A3F">
        <w:tc>
          <w:tcPr>
            <w:tcW w:w="9356" w:type="dxa"/>
            <w:gridSpan w:val="7"/>
          </w:tcPr>
          <w:p w14:paraId="60448FDB" w14:textId="77777777" w:rsidR="00E55A7E" w:rsidRPr="004E1DE3" w:rsidRDefault="00573CA9" w:rsidP="00E55A7E">
            <w:pPr>
              <w:rPr>
                <w:b/>
                <w:bCs/>
                <w:lang w:val="en-CA"/>
              </w:rPr>
            </w:pPr>
            <w:r w:rsidRPr="004E1DE3">
              <w:rPr>
                <w:b/>
                <w:bCs/>
                <w:lang w:val="en-CA"/>
              </w:rPr>
              <w:t>CAPITAL ONE BANK (CANADA BRANCH)</w:t>
            </w:r>
          </w:p>
          <w:p w14:paraId="414FA5D1" w14:textId="77777777" w:rsidR="00E55A7E" w:rsidRPr="004E1DE3" w:rsidRDefault="00573CA9" w:rsidP="00E55A7E">
            <w:pPr>
              <w:rPr>
                <w:b/>
                <w:bCs/>
                <w:lang w:val="en-CA"/>
              </w:rPr>
            </w:pPr>
            <w:r w:rsidRPr="004E1DE3">
              <w:rPr>
                <w:b/>
                <w:bCs/>
                <w:lang w:val="en-CA"/>
              </w:rPr>
              <w:t>CAPITAL ONE FINANCIAL CORPORATION</w:t>
            </w:r>
          </w:p>
          <w:p w14:paraId="279913ED" w14:textId="77777777" w:rsidR="00E55A7E" w:rsidRPr="004E1DE3" w:rsidRDefault="00573CA9" w:rsidP="00E55A7E">
            <w:pPr>
              <w:rPr>
                <w:b/>
                <w:bCs/>
                <w:lang w:val="en-CA"/>
              </w:rPr>
            </w:pPr>
            <w:r w:rsidRPr="004E1DE3">
              <w:rPr>
                <w:b/>
                <w:bCs/>
                <w:lang w:val="en-CA"/>
              </w:rPr>
              <w:t>CAPITAL ONE BANK (USA) NATIONAL ASSOCIATION</w:t>
            </w:r>
          </w:p>
          <w:p w14:paraId="369E2C23" w14:textId="77777777" w:rsidR="00E55A7E" w:rsidRPr="004E1DE3" w:rsidRDefault="00573CA9" w:rsidP="00E55A7E">
            <w:pPr>
              <w:rPr>
                <w:lang w:val="en-CA"/>
              </w:rPr>
            </w:pPr>
            <w:r w:rsidRPr="004E1DE3">
              <w:rPr>
                <w:b/>
                <w:bCs/>
                <w:lang w:val="en-CA"/>
              </w:rPr>
              <w:t>AMAZON.COM.CA INC.</w:t>
            </w:r>
          </w:p>
          <w:p w14:paraId="6D1007AA" w14:textId="77777777" w:rsidR="00E55A7E" w:rsidRPr="004E1DE3" w:rsidRDefault="00573CA9" w:rsidP="00E55A7E">
            <w:pPr>
              <w:rPr>
                <w:b/>
                <w:bCs/>
                <w:lang w:val="en-CA"/>
              </w:rPr>
            </w:pPr>
            <w:r w:rsidRPr="004E1DE3">
              <w:rPr>
                <w:b/>
                <w:bCs/>
                <w:lang w:val="en-CA"/>
              </w:rPr>
              <w:t>AMAZON.COM INC.</w:t>
            </w:r>
          </w:p>
          <w:p w14:paraId="1B02F381" w14:textId="77777777" w:rsidR="00E55A7E" w:rsidRPr="004E1DE3" w:rsidRDefault="00573CA9" w:rsidP="00E55A7E">
            <w:pPr>
              <w:rPr>
                <w:b/>
                <w:bCs/>
                <w:lang w:val="en-CA"/>
              </w:rPr>
            </w:pPr>
            <w:r w:rsidRPr="004E1DE3">
              <w:rPr>
                <w:b/>
                <w:bCs/>
                <w:lang w:val="en-CA"/>
              </w:rPr>
              <w:t>AMAZON WEB SERVICES CANADA INC.</w:t>
            </w:r>
          </w:p>
          <w:p w14:paraId="5B446152" w14:textId="77777777" w:rsidR="00E55A7E" w:rsidRPr="004E1DE3" w:rsidRDefault="00573CA9" w:rsidP="00E55A7E">
            <w:pPr>
              <w:rPr>
                <w:b/>
                <w:bCs/>
                <w:lang w:val="en-CA"/>
              </w:rPr>
            </w:pPr>
            <w:r w:rsidRPr="004E1DE3">
              <w:rPr>
                <w:b/>
                <w:bCs/>
                <w:lang w:val="en-CA"/>
              </w:rPr>
              <w:t>AMAZON WEB SERVICES INC.</w:t>
            </w:r>
          </w:p>
          <w:p w14:paraId="69566F3D" w14:textId="77777777" w:rsidR="00121A72" w:rsidRPr="004E1DE3" w:rsidRDefault="00573CA9" w:rsidP="00E55A7E">
            <w:pPr>
              <w:pStyle w:val="zSoquijdatNomPartieDef"/>
              <w:rPr>
                <w:b w:val="0"/>
                <w:lang w:val="en-CA"/>
              </w:rPr>
            </w:pPr>
            <w:r w:rsidRPr="004E1DE3">
              <w:rPr>
                <w:lang w:val="en-CA"/>
              </w:rPr>
              <w:t xml:space="preserve">AMAZON TECHNOLOGIES INC. </w:t>
            </w:r>
          </w:p>
        </w:tc>
      </w:tr>
      <w:tr w:rsidR="00B0137B" w14:paraId="142EFE4A" w14:textId="77777777" w:rsidTr="007D1A3F">
        <w:tc>
          <w:tcPr>
            <w:tcW w:w="9356" w:type="dxa"/>
            <w:gridSpan w:val="7"/>
          </w:tcPr>
          <w:p w14:paraId="0CBEF0F7" w14:textId="77777777" w:rsidR="00121A72" w:rsidRPr="004E1DE3" w:rsidRDefault="00573CA9" w:rsidP="0073163C">
            <w:pPr>
              <w:pStyle w:val="zSoquijdatQtePartieDef"/>
              <w:spacing w:before="120"/>
              <w:rPr>
                <w:lang w:val="en-CA"/>
              </w:rPr>
            </w:pPr>
            <w:r w:rsidRPr="004E1DE3">
              <w:rPr>
                <w:lang w:val="en-CA"/>
              </w:rPr>
              <w:t>Defendants</w:t>
            </w:r>
          </w:p>
        </w:tc>
      </w:tr>
      <w:tr w:rsidR="00B0137B" w14:paraId="059C9CD1" w14:textId="77777777" w:rsidTr="007D1A3F">
        <w:tc>
          <w:tcPr>
            <w:tcW w:w="9356" w:type="dxa"/>
            <w:gridSpan w:val="7"/>
          </w:tcPr>
          <w:p w14:paraId="69DE0617" w14:textId="77777777" w:rsidR="00307109" w:rsidRPr="004E1DE3" w:rsidRDefault="00307109" w:rsidP="0073163C">
            <w:pPr>
              <w:pStyle w:val="zSoquijdatQtePartieDef"/>
              <w:spacing w:before="120"/>
              <w:rPr>
                <w:lang w:val="en-CA"/>
              </w:rPr>
            </w:pPr>
          </w:p>
        </w:tc>
      </w:tr>
      <w:tr w:rsidR="00B0137B" w14:paraId="6C48819E" w14:textId="77777777" w:rsidTr="00D13AB8">
        <w:tc>
          <w:tcPr>
            <w:tcW w:w="9356" w:type="dxa"/>
            <w:gridSpan w:val="7"/>
            <w:tcBorders>
              <w:bottom w:val="single" w:sz="4" w:space="0" w:color="auto"/>
            </w:tcBorders>
          </w:tcPr>
          <w:p w14:paraId="6438A616" w14:textId="77777777" w:rsidR="00D13AB8" w:rsidRPr="004E1DE3" w:rsidRDefault="00D13AB8" w:rsidP="00D26929">
            <w:pPr>
              <w:ind w:left="14" w:right="-95"/>
              <w:rPr>
                <w:lang w:val="en-CA"/>
              </w:rPr>
            </w:pPr>
          </w:p>
        </w:tc>
      </w:tr>
      <w:tr w:rsidR="00B0137B" w14:paraId="2FC2DC25" w14:textId="77777777" w:rsidTr="00D13AB8">
        <w:tc>
          <w:tcPr>
            <w:tcW w:w="9356" w:type="dxa"/>
            <w:gridSpan w:val="7"/>
            <w:tcBorders>
              <w:top w:val="single" w:sz="4" w:space="0" w:color="auto"/>
            </w:tcBorders>
          </w:tcPr>
          <w:p w14:paraId="34A16C41" w14:textId="77777777" w:rsidR="00121A72" w:rsidRPr="004E1DE3" w:rsidRDefault="00121A72" w:rsidP="00D26929">
            <w:pPr>
              <w:jc w:val="center"/>
              <w:rPr>
                <w:lang w:val="en-CA"/>
              </w:rPr>
            </w:pPr>
          </w:p>
        </w:tc>
      </w:tr>
      <w:tr w:rsidR="00B0137B" w:rsidRPr="00CE2A8E" w14:paraId="315E5463" w14:textId="77777777" w:rsidTr="00D13AB8">
        <w:tc>
          <w:tcPr>
            <w:tcW w:w="9356" w:type="dxa"/>
            <w:gridSpan w:val="7"/>
          </w:tcPr>
          <w:p w14:paraId="61844BCF" w14:textId="77777777" w:rsidR="00E55A7E" w:rsidRPr="004E1DE3" w:rsidRDefault="00573CA9" w:rsidP="00D26929">
            <w:pPr>
              <w:pStyle w:val="zSoquijlblTypeDocument"/>
              <w:rPr>
                <w:b/>
                <w:bCs/>
                <w:u w:val="single"/>
                <w:lang w:val="en-CA"/>
              </w:rPr>
            </w:pPr>
            <w:r w:rsidRPr="004E1DE3">
              <w:rPr>
                <w:b/>
                <w:bCs/>
                <w:u w:val="single"/>
                <w:lang w:val="en-CA"/>
              </w:rPr>
              <w:t>CORRECTED</w:t>
            </w:r>
            <w:r w:rsidRPr="004E1DE3">
              <w:rPr>
                <w:b/>
                <w:bCs/>
                <w:lang w:val="en-CA"/>
              </w:rPr>
              <w:t xml:space="preserve"> JUDGMENT</w:t>
            </w:r>
          </w:p>
          <w:p w14:paraId="2B5D3245" w14:textId="77777777" w:rsidR="00121A72" w:rsidRPr="004E1DE3" w:rsidRDefault="00573CA9" w:rsidP="00CB1005">
            <w:pPr>
              <w:pStyle w:val="zSoquijlblTypeDocument"/>
              <w:rPr>
                <w:b/>
                <w:lang w:val="en-CA"/>
              </w:rPr>
            </w:pPr>
            <w:r w:rsidRPr="004E1DE3">
              <w:rPr>
                <w:b/>
                <w:caps w:val="0"/>
                <w:lang w:val="en-CA"/>
              </w:rPr>
              <w:t>(on an application for authorization to institute a class action)</w:t>
            </w:r>
          </w:p>
        </w:tc>
      </w:tr>
      <w:tr w:rsidR="00B0137B" w:rsidRPr="00CE2A8E" w14:paraId="2331388B" w14:textId="77777777" w:rsidTr="00D13AB8">
        <w:tc>
          <w:tcPr>
            <w:tcW w:w="9356" w:type="dxa"/>
            <w:gridSpan w:val="7"/>
            <w:tcBorders>
              <w:bottom w:val="single" w:sz="4" w:space="0" w:color="auto"/>
            </w:tcBorders>
          </w:tcPr>
          <w:p w14:paraId="0AD83335" w14:textId="77777777" w:rsidR="00D13AB8" w:rsidRPr="004E1DE3" w:rsidRDefault="00D13AB8" w:rsidP="00D26929">
            <w:pPr>
              <w:pStyle w:val="zSoquijlblTypeDocument"/>
              <w:rPr>
                <w:b/>
                <w:lang w:val="en-CA"/>
              </w:rPr>
            </w:pPr>
          </w:p>
        </w:tc>
      </w:tr>
      <w:tr w:rsidR="00B0137B" w:rsidRPr="00CE2A8E" w14:paraId="3546AD01" w14:textId="77777777" w:rsidTr="00D13AB8">
        <w:tc>
          <w:tcPr>
            <w:tcW w:w="9356" w:type="dxa"/>
            <w:gridSpan w:val="7"/>
            <w:tcBorders>
              <w:top w:val="single" w:sz="4" w:space="0" w:color="auto"/>
            </w:tcBorders>
          </w:tcPr>
          <w:p w14:paraId="3253007E" w14:textId="77777777" w:rsidR="00D13AB8" w:rsidRPr="004E1DE3" w:rsidRDefault="00D13AB8" w:rsidP="00D26929">
            <w:pPr>
              <w:pStyle w:val="zSoquijlblTypeDocument"/>
              <w:rPr>
                <w:b/>
                <w:lang w:val="en-CA"/>
              </w:rPr>
            </w:pPr>
          </w:p>
        </w:tc>
      </w:tr>
      <w:tr w:rsidR="00B0137B" w:rsidRPr="00CE2A8E" w14:paraId="6E611B76" w14:textId="77777777" w:rsidTr="00D13AB8">
        <w:tc>
          <w:tcPr>
            <w:tcW w:w="9356" w:type="dxa"/>
            <w:gridSpan w:val="7"/>
          </w:tcPr>
          <w:p w14:paraId="7367C0EC" w14:textId="77777777" w:rsidR="00D13AB8" w:rsidRPr="004E1DE3" w:rsidRDefault="00D13AB8" w:rsidP="00D26929">
            <w:pPr>
              <w:pStyle w:val="zSoquijlblTypeDocument"/>
              <w:rPr>
                <w:b/>
                <w:lang w:val="en-CA"/>
              </w:rPr>
            </w:pPr>
          </w:p>
        </w:tc>
      </w:tr>
      <w:tr w:rsidR="00B0137B" w:rsidRPr="00CE2A8E" w14:paraId="023157BD" w14:textId="77777777" w:rsidTr="00D13AB8">
        <w:tc>
          <w:tcPr>
            <w:tcW w:w="9356" w:type="dxa"/>
            <w:gridSpan w:val="7"/>
          </w:tcPr>
          <w:p w14:paraId="1E677648" w14:textId="77777777" w:rsidR="00D13AB8" w:rsidRPr="004E1DE3" w:rsidRDefault="00D13AB8" w:rsidP="00D26929">
            <w:pPr>
              <w:pStyle w:val="zSoquijlblTypeDocument"/>
              <w:rPr>
                <w:b/>
                <w:lang w:val="en-CA"/>
              </w:rPr>
            </w:pPr>
          </w:p>
        </w:tc>
      </w:tr>
      <w:tr w:rsidR="00B0137B" w14:paraId="1A316849" w14:textId="77777777" w:rsidTr="00D13AB8">
        <w:tc>
          <w:tcPr>
            <w:tcW w:w="9356" w:type="dxa"/>
            <w:gridSpan w:val="7"/>
            <w:tcBorders>
              <w:top w:val="single" w:sz="4" w:space="0" w:color="auto"/>
              <w:left w:val="single" w:sz="4" w:space="0" w:color="auto"/>
              <w:bottom w:val="single" w:sz="4" w:space="0" w:color="auto"/>
              <w:right w:val="single" w:sz="4" w:space="0" w:color="auto"/>
            </w:tcBorders>
          </w:tcPr>
          <w:p w14:paraId="39FFAE40" w14:textId="77777777" w:rsidR="00A10119" w:rsidRPr="004E1DE3" w:rsidRDefault="00573CA9" w:rsidP="007B5BC5">
            <w:pPr>
              <w:pStyle w:val="En-ttedetabledesmatires"/>
              <w:numPr>
                <w:ilvl w:val="0"/>
                <w:numId w:val="0"/>
              </w:numPr>
              <w:jc w:val="center"/>
              <w:rPr>
                <w:rFonts w:ascii="Arial" w:hAnsi="Arial" w:cs="Arial"/>
                <w:color w:val="auto"/>
                <w:sz w:val="24"/>
                <w:szCs w:val="24"/>
                <w:lang w:val="en-CA"/>
              </w:rPr>
            </w:pPr>
            <w:r w:rsidRPr="004E1DE3">
              <w:rPr>
                <w:rFonts w:ascii="Arial" w:hAnsi="Arial"/>
                <w:bCs/>
                <w:color w:val="auto"/>
                <w:sz w:val="24"/>
                <w:szCs w:val="20"/>
                <w:lang w:val="en-CA" w:eastAsia="fr-FR"/>
              </w:rPr>
              <w:lastRenderedPageBreak/>
              <w:t>TABLE OF CONTENTS</w:t>
            </w:r>
          </w:p>
          <w:p w14:paraId="20CC96C2" w14:textId="77777777" w:rsidR="00B0137B" w:rsidRPr="00CE2A8E" w:rsidRDefault="00573CA9">
            <w:pPr>
              <w:pStyle w:val="TM1"/>
              <w:rPr>
                <w:rFonts w:ascii="Calibri" w:hAnsi="Calibri"/>
                <w:noProof/>
                <w:sz w:val="22"/>
                <w:lang w:val="en-CA"/>
              </w:rPr>
            </w:pPr>
            <w:r>
              <w:rPr>
                <w:rStyle w:val="Hyperlien"/>
                <w:color w:val="auto"/>
                <w:u w:val="none"/>
                <w:lang w:val="en-CA"/>
              </w:rPr>
              <w:t>1.</w:t>
            </w:r>
            <w:r w:rsidRPr="00A0798A">
              <w:rPr>
                <w:rFonts w:ascii="Calibri" w:hAnsi="Calibri"/>
                <w:noProof/>
                <w:sz w:val="22"/>
                <w:lang w:val="en-CA"/>
              </w:rPr>
              <w:tab/>
            </w:r>
            <w:r w:rsidRPr="004E1DE3">
              <w:rPr>
                <w:rStyle w:val="Hyperlien"/>
                <w:color w:val="auto"/>
                <w:u w:val="none"/>
                <w:lang w:val="en-CA"/>
              </w:rPr>
              <w:t>BACKGROUND</w:t>
            </w:r>
            <w:r w:rsidRPr="00CE2A8E">
              <w:rPr>
                <w:lang w:val="en-CA"/>
              </w:rPr>
              <w:tab/>
              <w:t>2</w:t>
            </w:r>
          </w:p>
          <w:p w14:paraId="63C06239" w14:textId="77777777" w:rsidR="00B0137B" w:rsidRPr="00CE2A8E" w:rsidRDefault="00573CA9">
            <w:pPr>
              <w:pStyle w:val="TM1"/>
              <w:rPr>
                <w:rFonts w:ascii="Calibri" w:hAnsi="Calibri"/>
                <w:noProof/>
                <w:sz w:val="22"/>
                <w:lang w:val="en-CA"/>
              </w:rPr>
            </w:pPr>
            <w:r>
              <w:rPr>
                <w:rStyle w:val="Hyperlien"/>
                <w:color w:val="auto"/>
                <w:u w:val="none"/>
                <w:lang w:val="en-CA"/>
              </w:rPr>
              <w:t>2.</w:t>
            </w:r>
            <w:r w:rsidRPr="00A0798A">
              <w:rPr>
                <w:rFonts w:ascii="Calibri" w:hAnsi="Calibri"/>
                <w:noProof/>
                <w:sz w:val="22"/>
                <w:lang w:val="en-CA"/>
              </w:rPr>
              <w:tab/>
            </w:r>
            <w:r w:rsidRPr="004E1DE3">
              <w:rPr>
                <w:rStyle w:val="Hyperlien"/>
                <w:color w:val="auto"/>
                <w:u w:val="none"/>
                <w:lang w:val="en-CA"/>
              </w:rPr>
              <w:t>ANALYSIS</w:t>
            </w:r>
            <w:r w:rsidRPr="00CE2A8E">
              <w:rPr>
                <w:lang w:val="en-CA"/>
              </w:rPr>
              <w:tab/>
              <w:t>4</w:t>
            </w:r>
          </w:p>
          <w:p w14:paraId="66850510" w14:textId="77777777" w:rsidR="00B0137B" w:rsidRPr="00CE2A8E" w:rsidRDefault="00573CA9">
            <w:pPr>
              <w:pStyle w:val="TM2"/>
              <w:rPr>
                <w:rFonts w:ascii="Calibri" w:hAnsi="Calibri"/>
                <w:noProof/>
                <w:sz w:val="22"/>
                <w:lang w:val="en-CA"/>
              </w:rPr>
            </w:pPr>
            <w:r>
              <w:rPr>
                <w:rStyle w:val="Hyperlien"/>
                <w:color w:val="auto"/>
                <w:u w:val="none"/>
                <w:lang w:val="en-CA"/>
              </w:rPr>
              <w:t>I.</w:t>
            </w:r>
            <w:r w:rsidRPr="00A0798A">
              <w:rPr>
                <w:rFonts w:ascii="Calibri" w:hAnsi="Calibri"/>
                <w:noProof/>
                <w:sz w:val="22"/>
                <w:lang w:val="en-CA"/>
              </w:rPr>
              <w:tab/>
            </w:r>
            <w:r w:rsidRPr="004E1DE3">
              <w:rPr>
                <w:rStyle w:val="Hyperlien"/>
                <w:color w:val="auto"/>
                <w:u w:val="none"/>
                <w:lang w:val="en-CA"/>
              </w:rPr>
              <w:t>Issues</w:t>
            </w:r>
            <w:r w:rsidRPr="00CE2A8E">
              <w:rPr>
                <w:lang w:val="en-CA"/>
              </w:rPr>
              <w:tab/>
              <w:t>4</w:t>
            </w:r>
          </w:p>
          <w:p w14:paraId="18202748" w14:textId="77777777" w:rsidR="00B0137B" w:rsidRPr="00CE2A8E" w:rsidRDefault="00573CA9">
            <w:pPr>
              <w:pStyle w:val="TM2"/>
              <w:rPr>
                <w:rFonts w:ascii="Calibri" w:hAnsi="Calibri"/>
                <w:noProof/>
                <w:sz w:val="22"/>
                <w:lang w:val="en-CA"/>
              </w:rPr>
            </w:pPr>
            <w:r>
              <w:rPr>
                <w:rStyle w:val="Hyperlien"/>
                <w:color w:val="auto"/>
                <w:u w:val="none"/>
                <w:lang w:val="en-CA"/>
              </w:rPr>
              <w:t>II.</w:t>
            </w:r>
            <w:r w:rsidRPr="00A0798A">
              <w:rPr>
                <w:rFonts w:ascii="Calibri" w:hAnsi="Calibri"/>
                <w:noProof/>
                <w:sz w:val="22"/>
                <w:lang w:val="en-CA"/>
              </w:rPr>
              <w:tab/>
            </w:r>
            <w:r w:rsidRPr="004E1DE3">
              <w:rPr>
                <w:rStyle w:val="Hyperlien"/>
                <w:color w:val="auto"/>
                <w:u w:val="none"/>
                <w:lang w:val="en-CA"/>
              </w:rPr>
              <w:t xml:space="preserve">The criterion set out in </w:t>
            </w:r>
            <w:r w:rsidR="00F1608A" w:rsidRPr="004E1DE3">
              <w:rPr>
                <w:rStyle w:val="Hyperlien"/>
                <w:color w:val="auto"/>
                <w:u w:val="none"/>
                <w:lang w:val="en-CA"/>
              </w:rPr>
              <w:t>article</w:t>
            </w:r>
            <w:r w:rsidRPr="004E1DE3">
              <w:rPr>
                <w:rStyle w:val="Hyperlien"/>
                <w:color w:val="auto"/>
                <w:u w:val="none"/>
                <w:lang w:val="en-CA"/>
              </w:rPr>
              <w:t xml:space="preserve"> </w:t>
            </w:r>
            <w:r w:rsidR="00F1608A" w:rsidRPr="004E1DE3">
              <w:rPr>
                <w:rStyle w:val="Hyperlien"/>
                <w:color w:val="auto"/>
                <w:u w:val="none"/>
                <w:lang w:val="en-CA"/>
              </w:rPr>
              <w:t>575</w:t>
            </w:r>
            <w:r w:rsidRPr="004E1DE3">
              <w:rPr>
                <w:rStyle w:val="Hyperlien"/>
                <w:color w:val="auto"/>
                <w:u w:val="none"/>
                <w:lang w:val="en-CA"/>
              </w:rPr>
              <w:t xml:space="preserve">(2) </w:t>
            </w:r>
            <w:r w:rsidR="00F1608A" w:rsidRPr="004E1DE3">
              <w:rPr>
                <w:rStyle w:val="Hyperlien"/>
                <w:color w:val="auto"/>
                <w:u w:val="none"/>
                <w:lang w:val="en-CA"/>
              </w:rPr>
              <w:t xml:space="preserve">CCP: </w:t>
            </w:r>
            <w:r w:rsidRPr="004E1DE3">
              <w:rPr>
                <w:rStyle w:val="Hyperlien"/>
                <w:color w:val="auto"/>
                <w:u w:val="none"/>
                <w:lang w:val="en-CA"/>
              </w:rPr>
              <w:t xml:space="preserve">do the plaintiffs each have an </w:t>
            </w:r>
            <w:r w:rsidR="00F1608A" w:rsidRPr="004E1DE3">
              <w:rPr>
                <w:rStyle w:val="Hyperlien"/>
                <w:color w:val="auto"/>
                <w:u w:val="none"/>
                <w:lang w:val="en-CA"/>
              </w:rPr>
              <w:t>arguable</w:t>
            </w:r>
            <w:r w:rsidRPr="004E1DE3">
              <w:rPr>
                <w:rStyle w:val="Hyperlien"/>
                <w:color w:val="auto"/>
                <w:u w:val="none"/>
                <w:lang w:val="en-CA"/>
              </w:rPr>
              <w:t xml:space="preserve"> case against the </w:t>
            </w:r>
            <w:r w:rsidR="00F1608A" w:rsidRPr="004E1DE3">
              <w:rPr>
                <w:rStyle w:val="Hyperlien"/>
                <w:color w:val="auto"/>
                <w:u w:val="none"/>
                <w:lang w:val="en-CA"/>
              </w:rPr>
              <w:t>defendants?</w:t>
            </w:r>
            <w:r w:rsidRPr="00CE2A8E">
              <w:rPr>
                <w:lang w:val="en-CA"/>
              </w:rPr>
              <w:tab/>
              <w:t>7</w:t>
            </w:r>
          </w:p>
          <w:p w14:paraId="248FC149" w14:textId="77777777" w:rsidR="00B0137B" w:rsidRPr="00CE2A8E" w:rsidRDefault="00573CA9">
            <w:pPr>
              <w:pStyle w:val="TM3"/>
              <w:rPr>
                <w:rFonts w:ascii="Calibri" w:hAnsi="Calibri"/>
                <w:noProof/>
                <w:sz w:val="22"/>
                <w:lang w:val="en-CA"/>
              </w:rPr>
            </w:pPr>
            <w:r>
              <w:rPr>
                <w:rStyle w:val="Hyperlien"/>
                <w:color w:val="auto"/>
                <w:u w:val="none"/>
                <w:lang w:val="en-CA"/>
              </w:rPr>
              <w:t>(a)</w:t>
            </w:r>
            <w:r w:rsidRPr="00A0798A">
              <w:rPr>
                <w:rFonts w:ascii="Calibri" w:hAnsi="Calibri"/>
                <w:noProof/>
                <w:sz w:val="22"/>
                <w:lang w:val="en-CA"/>
              </w:rPr>
              <w:tab/>
            </w:r>
            <w:r w:rsidRPr="004E1DE3">
              <w:rPr>
                <w:rStyle w:val="Hyperlien"/>
                <w:color w:val="auto"/>
                <w:u w:val="none"/>
                <w:lang w:val="en-CA"/>
              </w:rPr>
              <w:t xml:space="preserve">The </w:t>
            </w:r>
            <w:r w:rsidR="00834E6F" w:rsidRPr="004E1DE3">
              <w:rPr>
                <w:rStyle w:val="Hyperlien"/>
                <w:color w:val="auto"/>
                <w:u w:val="none"/>
                <w:lang w:val="en-CA"/>
              </w:rPr>
              <w:t>applicable</w:t>
            </w:r>
            <w:r w:rsidRPr="004E1DE3">
              <w:rPr>
                <w:rStyle w:val="Hyperlien"/>
                <w:color w:val="auto"/>
                <w:u w:val="none"/>
                <w:lang w:val="en-CA"/>
              </w:rPr>
              <w:t xml:space="preserve"> </w:t>
            </w:r>
            <w:r w:rsidR="00834E6F" w:rsidRPr="004E1DE3">
              <w:rPr>
                <w:rStyle w:val="Hyperlien"/>
                <w:color w:val="auto"/>
                <w:u w:val="none"/>
                <w:lang w:val="en-CA"/>
              </w:rPr>
              <w:t>law</w:t>
            </w:r>
            <w:r w:rsidRPr="004E1DE3">
              <w:rPr>
                <w:rStyle w:val="Hyperlien"/>
                <w:color w:val="auto"/>
                <w:u w:val="none"/>
                <w:lang w:val="en-CA"/>
              </w:rPr>
              <w:t xml:space="preserve"> in this case</w:t>
            </w:r>
            <w:r w:rsidRPr="00CE2A8E">
              <w:rPr>
                <w:lang w:val="en-CA"/>
              </w:rPr>
              <w:tab/>
              <w:t>7</w:t>
            </w:r>
          </w:p>
          <w:p w14:paraId="39F6D5FA" w14:textId="77777777" w:rsidR="00B0137B" w:rsidRPr="00CE2A8E" w:rsidRDefault="00573CA9">
            <w:pPr>
              <w:pStyle w:val="TM3"/>
              <w:rPr>
                <w:rFonts w:ascii="Calibri" w:hAnsi="Calibri"/>
                <w:noProof/>
                <w:sz w:val="22"/>
                <w:lang w:val="en-CA"/>
              </w:rPr>
            </w:pPr>
            <w:r>
              <w:rPr>
                <w:rStyle w:val="Hyperlien"/>
                <w:color w:val="auto"/>
                <w:u w:val="none"/>
                <w:lang w:val="en-CA"/>
              </w:rPr>
              <w:t>(b)</w:t>
            </w:r>
            <w:r w:rsidRPr="00A0798A">
              <w:rPr>
                <w:rFonts w:ascii="Calibri" w:hAnsi="Calibri"/>
                <w:noProof/>
                <w:sz w:val="22"/>
                <w:lang w:val="en-CA"/>
              </w:rPr>
              <w:tab/>
            </w:r>
            <w:r w:rsidRPr="004E1DE3">
              <w:rPr>
                <w:rStyle w:val="Hyperlien"/>
                <w:color w:val="auto"/>
                <w:u w:val="none"/>
                <w:lang w:val="en-CA"/>
              </w:rPr>
              <w:t xml:space="preserve">The plaintiff </w:t>
            </w:r>
            <w:r w:rsidR="00940EDA" w:rsidRPr="004E1DE3">
              <w:rPr>
                <w:rStyle w:val="Hyperlien"/>
                <w:color w:val="auto"/>
                <w:u w:val="none"/>
                <w:lang w:val="en-CA"/>
              </w:rPr>
              <w:t>Abou-Khadra</w:t>
            </w:r>
            <w:r w:rsidRPr="00CE2A8E">
              <w:rPr>
                <w:lang w:val="en-CA"/>
              </w:rPr>
              <w:tab/>
              <w:t>20</w:t>
            </w:r>
          </w:p>
          <w:p w14:paraId="4D7BA419" w14:textId="77777777" w:rsidR="00B0137B" w:rsidRPr="00CE2A8E" w:rsidRDefault="00573CA9">
            <w:pPr>
              <w:pStyle w:val="TM3"/>
              <w:rPr>
                <w:rFonts w:ascii="Calibri" w:hAnsi="Calibri"/>
                <w:noProof/>
                <w:sz w:val="22"/>
                <w:lang w:val="en-CA"/>
              </w:rPr>
            </w:pPr>
            <w:r>
              <w:rPr>
                <w:rStyle w:val="Hyperlien"/>
                <w:color w:val="auto"/>
                <w:u w:val="none"/>
                <w:lang w:val="en-CA"/>
              </w:rPr>
              <w:t>(c)</w:t>
            </w:r>
            <w:r w:rsidRPr="00A0798A">
              <w:rPr>
                <w:rFonts w:ascii="Calibri" w:hAnsi="Calibri"/>
                <w:noProof/>
                <w:sz w:val="22"/>
                <w:lang w:val="en-CA"/>
              </w:rPr>
              <w:tab/>
            </w:r>
            <w:r w:rsidRPr="004E1DE3">
              <w:rPr>
                <w:rStyle w:val="Hyperlien"/>
                <w:color w:val="auto"/>
                <w:u w:val="none"/>
                <w:lang w:val="en-CA"/>
              </w:rPr>
              <w:t>Capital One</w:t>
            </w:r>
            <w:r w:rsidRPr="00CE2A8E">
              <w:rPr>
                <w:lang w:val="en-CA"/>
              </w:rPr>
              <w:tab/>
              <w:t>21</w:t>
            </w:r>
          </w:p>
          <w:p w14:paraId="1B53297A" w14:textId="77777777" w:rsidR="00B0137B" w:rsidRPr="00CE2A8E" w:rsidRDefault="00573CA9">
            <w:pPr>
              <w:pStyle w:val="TM4"/>
              <w:tabs>
                <w:tab w:val="right" w:leader="dot" w:pos="9317"/>
              </w:tabs>
              <w:rPr>
                <w:rFonts w:ascii="Calibri" w:hAnsi="Calibri"/>
                <w:noProof/>
                <w:sz w:val="22"/>
                <w:lang w:val="en-CA"/>
              </w:rPr>
            </w:pPr>
            <w:r w:rsidRPr="004E1DE3">
              <w:rPr>
                <w:rStyle w:val="Hyperlien"/>
                <w:color w:val="auto"/>
                <w:u w:val="none"/>
                <w:lang w:val="en-CA"/>
              </w:rPr>
              <w:t>Fault</w:t>
            </w:r>
            <w:r w:rsidRPr="00CE2A8E">
              <w:rPr>
                <w:lang w:val="en-CA"/>
              </w:rPr>
              <w:tab/>
              <w:t>21</w:t>
            </w:r>
          </w:p>
          <w:p w14:paraId="606AF15B" w14:textId="77777777" w:rsidR="00B0137B" w:rsidRPr="00CE2A8E" w:rsidRDefault="002176DF">
            <w:pPr>
              <w:pStyle w:val="TM4"/>
              <w:tabs>
                <w:tab w:val="right" w:leader="dot" w:pos="9317"/>
              </w:tabs>
              <w:rPr>
                <w:rFonts w:ascii="Calibri" w:hAnsi="Calibri"/>
                <w:noProof/>
                <w:sz w:val="22"/>
                <w:lang w:val="en-CA"/>
              </w:rPr>
            </w:pPr>
            <w:r w:rsidRPr="004E1DE3">
              <w:rPr>
                <w:rStyle w:val="Hyperlien"/>
                <w:color w:val="auto"/>
                <w:u w:val="none"/>
                <w:lang w:val="en-CA"/>
              </w:rPr>
              <w:t xml:space="preserve">False or misleading </w:t>
            </w:r>
            <w:r w:rsidR="00111EC4" w:rsidRPr="004E1DE3">
              <w:rPr>
                <w:rStyle w:val="Hyperlien"/>
                <w:color w:val="auto"/>
                <w:u w:val="none"/>
                <w:lang w:val="en-CA"/>
              </w:rPr>
              <w:t>representations</w:t>
            </w:r>
            <w:r w:rsidR="00573CA9" w:rsidRPr="00CE2A8E">
              <w:rPr>
                <w:lang w:val="en-CA"/>
              </w:rPr>
              <w:tab/>
              <w:t>28</w:t>
            </w:r>
          </w:p>
          <w:p w14:paraId="01BA0734" w14:textId="77777777" w:rsidR="00B0137B" w:rsidRPr="00CE2A8E" w:rsidRDefault="00573CA9">
            <w:pPr>
              <w:pStyle w:val="TM3"/>
              <w:rPr>
                <w:rFonts w:ascii="Calibri" w:hAnsi="Calibri"/>
                <w:noProof/>
                <w:sz w:val="22"/>
                <w:lang w:val="en-CA"/>
              </w:rPr>
            </w:pPr>
            <w:r>
              <w:rPr>
                <w:rStyle w:val="Hyperlien"/>
                <w:color w:val="auto"/>
                <w:u w:val="none"/>
                <w:lang w:val="en-CA"/>
              </w:rPr>
              <w:t>(d)</w:t>
            </w:r>
            <w:r w:rsidRPr="00A0798A">
              <w:rPr>
                <w:rFonts w:ascii="Calibri" w:hAnsi="Calibri"/>
                <w:noProof/>
                <w:sz w:val="22"/>
                <w:lang w:val="en-CA"/>
              </w:rPr>
              <w:tab/>
            </w:r>
            <w:r w:rsidRPr="004E1DE3">
              <w:rPr>
                <w:rStyle w:val="Hyperlien"/>
                <w:color w:val="auto"/>
                <w:u w:val="none"/>
                <w:lang w:val="en-CA"/>
              </w:rPr>
              <w:t>Amazon</w:t>
            </w:r>
            <w:r w:rsidRPr="00CE2A8E">
              <w:rPr>
                <w:lang w:val="en-CA"/>
              </w:rPr>
              <w:tab/>
              <w:t>29</w:t>
            </w:r>
          </w:p>
          <w:p w14:paraId="58B312E2" w14:textId="77777777" w:rsidR="00B0137B" w:rsidRPr="00CE2A8E" w:rsidRDefault="00573CA9">
            <w:pPr>
              <w:pStyle w:val="TM4"/>
              <w:tabs>
                <w:tab w:val="right" w:leader="dot" w:pos="9317"/>
              </w:tabs>
              <w:rPr>
                <w:rFonts w:ascii="Calibri" w:hAnsi="Calibri"/>
                <w:noProof/>
                <w:sz w:val="22"/>
                <w:lang w:val="en-CA"/>
              </w:rPr>
            </w:pPr>
            <w:r w:rsidRPr="004E1DE3">
              <w:rPr>
                <w:rStyle w:val="Hyperlien"/>
                <w:color w:val="auto"/>
                <w:u w:val="none"/>
                <w:lang w:val="en-CA"/>
              </w:rPr>
              <w:t>Fault</w:t>
            </w:r>
            <w:r w:rsidRPr="00CE2A8E">
              <w:rPr>
                <w:lang w:val="en-CA"/>
              </w:rPr>
              <w:tab/>
              <w:t>29</w:t>
            </w:r>
          </w:p>
          <w:p w14:paraId="68E83C65" w14:textId="77777777" w:rsidR="00B0137B" w:rsidRPr="00CE2A8E" w:rsidRDefault="00573CA9">
            <w:pPr>
              <w:pStyle w:val="TM4"/>
              <w:tabs>
                <w:tab w:val="right" w:leader="dot" w:pos="9317"/>
              </w:tabs>
              <w:rPr>
                <w:rFonts w:ascii="Calibri" w:hAnsi="Calibri"/>
                <w:noProof/>
                <w:sz w:val="22"/>
                <w:lang w:val="en-CA"/>
              </w:rPr>
            </w:pPr>
            <w:r w:rsidRPr="004E1DE3">
              <w:rPr>
                <w:rStyle w:val="Hyperlien"/>
                <w:color w:val="auto"/>
                <w:u w:val="none"/>
                <w:lang w:val="en-CA"/>
              </w:rPr>
              <w:t xml:space="preserve">False or misleading </w:t>
            </w:r>
            <w:r w:rsidR="00111EC4" w:rsidRPr="004E1DE3">
              <w:rPr>
                <w:rStyle w:val="Hyperlien"/>
                <w:color w:val="auto"/>
                <w:u w:val="none"/>
                <w:lang w:val="en-CA"/>
              </w:rPr>
              <w:t>representations</w:t>
            </w:r>
            <w:r w:rsidRPr="00CE2A8E">
              <w:rPr>
                <w:lang w:val="en-CA"/>
              </w:rPr>
              <w:tab/>
              <w:t>34</w:t>
            </w:r>
          </w:p>
          <w:p w14:paraId="3061ECCC" w14:textId="77777777" w:rsidR="00B0137B" w:rsidRPr="00CE2A8E" w:rsidRDefault="00573CA9">
            <w:pPr>
              <w:pStyle w:val="TM3"/>
              <w:rPr>
                <w:rFonts w:ascii="Calibri" w:hAnsi="Calibri"/>
                <w:noProof/>
                <w:sz w:val="22"/>
                <w:lang w:val="en-CA"/>
              </w:rPr>
            </w:pPr>
            <w:r>
              <w:rPr>
                <w:rStyle w:val="Hyperlien"/>
                <w:color w:val="auto"/>
                <w:u w:val="none"/>
                <w:lang w:val="en-CA"/>
              </w:rPr>
              <w:t>(e)</w:t>
            </w:r>
            <w:r w:rsidRPr="00A0798A">
              <w:rPr>
                <w:rFonts w:ascii="Calibri" w:hAnsi="Calibri"/>
                <w:noProof/>
                <w:sz w:val="22"/>
                <w:lang w:val="en-CA"/>
              </w:rPr>
              <w:tab/>
            </w:r>
            <w:r w:rsidRPr="004E1DE3">
              <w:rPr>
                <w:rStyle w:val="Hyperlien"/>
                <w:color w:val="auto"/>
                <w:u w:val="none"/>
                <w:lang w:val="en-CA"/>
              </w:rPr>
              <w:t>Pecuniary and non-pecuniary damages</w:t>
            </w:r>
            <w:r w:rsidRPr="00CE2A8E">
              <w:rPr>
                <w:lang w:val="en-CA"/>
              </w:rPr>
              <w:tab/>
              <w:t>35</w:t>
            </w:r>
          </w:p>
          <w:p w14:paraId="37C61C7C" w14:textId="77777777" w:rsidR="00B0137B" w:rsidRPr="00CE2A8E" w:rsidRDefault="00573CA9">
            <w:pPr>
              <w:pStyle w:val="TM3"/>
              <w:rPr>
                <w:rFonts w:ascii="Calibri" w:hAnsi="Calibri"/>
                <w:noProof/>
                <w:sz w:val="22"/>
                <w:lang w:val="en-CA"/>
              </w:rPr>
            </w:pPr>
            <w:r>
              <w:rPr>
                <w:rStyle w:val="Hyperlien"/>
                <w:color w:val="auto"/>
                <w:u w:val="none"/>
                <w:lang w:val="en-CA"/>
              </w:rPr>
              <w:t>(f)</w:t>
            </w:r>
            <w:r w:rsidRPr="00A0798A">
              <w:rPr>
                <w:rFonts w:ascii="Calibri" w:hAnsi="Calibri"/>
                <w:noProof/>
                <w:sz w:val="22"/>
                <w:lang w:val="en-CA"/>
              </w:rPr>
              <w:tab/>
            </w:r>
            <w:r w:rsidRPr="004E1DE3">
              <w:rPr>
                <w:rStyle w:val="Hyperlien"/>
                <w:color w:val="auto"/>
                <w:u w:val="none"/>
                <w:lang w:val="en-CA"/>
              </w:rPr>
              <w:t>Punitive damages</w:t>
            </w:r>
            <w:r w:rsidRPr="00CE2A8E">
              <w:rPr>
                <w:lang w:val="en-CA"/>
              </w:rPr>
              <w:tab/>
              <w:t>41</w:t>
            </w:r>
          </w:p>
          <w:p w14:paraId="463F9ABC" w14:textId="77777777" w:rsidR="00B0137B" w:rsidRPr="00CE2A8E" w:rsidRDefault="00573CA9">
            <w:pPr>
              <w:pStyle w:val="TM3"/>
              <w:rPr>
                <w:rFonts w:ascii="Calibri" w:hAnsi="Calibri"/>
                <w:noProof/>
                <w:sz w:val="22"/>
                <w:lang w:val="en-CA"/>
              </w:rPr>
            </w:pPr>
            <w:r>
              <w:rPr>
                <w:rStyle w:val="Hyperlien"/>
                <w:color w:val="auto"/>
                <w:u w:val="none"/>
                <w:lang w:val="en-CA"/>
              </w:rPr>
              <w:t>(g)</w:t>
            </w:r>
            <w:r w:rsidRPr="00A0798A">
              <w:rPr>
                <w:rFonts w:ascii="Calibri" w:hAnsi="Calibri"/>
                <w:noProof/>
                <w:sz w:val="22"/>
                <w:lang w:val="en-CA"/>
              </w:rPr>
              <w:tab/>
            </w:r>
            <w:r w:rsidRPr="004E1DE3">
              <w:rPr>
                <w:rStyle w:val="Hyperlien"/>
                <w:color w:val="auto"/>
                <w:u w:val="none"/>
                <w:lang w:val="en-CA"/>
              </w:rPr>
              <w:t>The Court’s c</w:t>
            </w:r>
            <w:r w:rsidR="001D592E" w:rsidRPr="004E1DE3">
              <w:rPr>
                <w:rStyle w:val="Hyperlien"/>
                <w:color w:val="auto"/>
                <w:u w:val="none"/>
                <w:lang w:val="en-CA"/>
              </w:rPr>
              <w:t xml:space="preserve">onclusions </w:t>
            </w:r>
            <w:r w:rsidRPr="004E1DE3">
              <w:rPr>
                <w:rStyle w:val="Hyperlien"/>
                <w:color w:val="auto"/>
                <w:u w:val="none"/>
                <w:lang w:val="en-CA"/>
              </w:rPr>
              <w:t xml:space="preserve">on </w:t>
            </w:r>
            <w:r w:rsidR="00FB054D" w:rsidRPr="004E1DE3">
              <w:rPr>
                <w:rStyle w:val="Hyperlien"/>
                <w:color w:val="auto"/>
                <w:u w:val="none"/>
                <w:lang w:val="en-CA"/>
              </w:rPr>
              <w:t>article</w:t>
            </w:r>
            <w:r w:rsidR="001D592E" w:rsidRPr="004E1DE3">
              <w:rPr>
                <w:rStyle w:val="Hyperlien"/>
                <w:color w:val="auto"/>
                <w:u w:val="none"/>
                <w:lang w:val="en-CA"/>
              </w:rPr>
              <w:t xml:space="preserve"> 575</w:t>
            </w:r>
            <w:r w:rsidR="00607A35" w:rsidRPr="004E1DE3">
              <w:rPr>
                <w:rStyle w:val="Hyperlien"/>
                <w:color w:val="auto"/>
                <w:u w:val="none"/>
                <w:lang w:val="en-CA"/>
              </w:rPr>
              <w:t xml:space="preserve">(2) </w:t>
            </w:r>
            <w:r w:rsidR="001D592E" w:rsidRPr="001D615E">
              <w:rPr>
                <w:rStyle w:val="Hyperlien"/>
                <w:color w:val="auto"/>
                <w:u w:val="none"/>
                <w:lang w:val="en-CA"/>
              </w:rPr>
              <w:t>CCP</w:t>
            </w:r>
            <w:r w:rsidRPr="00CE2A8E">
              <w:rPr>
                <w:lang w:val="en-CA"/>
              </w:rPr>
              <w:tab/>
              <w:t>46</w:t>
            </w:r>
          </w:p>
          <w:p w14:paraId="11200866" w14:textId="77777777" w:rsidR="00B0137B" w:rsidRPr="00A0798A" w:rsidRDefault="00573CA9">
            <w:pPr>
              <w:pStyle w:val="TM2"/>
              <w:rPr>
                <w:rFonts w:ascii="Calibri" w:hAnsi="Calibri"/>
                <w:noProof/>
                <w:sz w:val="22"/>
              </w:rPr>
            </w:pPr>
            <w:r>
              <w:rPr>
                <w:rStyle w:val="Hyperlien"/>
                <w:color w:val="auto"/>
                <w:u w:val="none"/>
                <w:lang w:val="en-CA"/>
              </w:rPr>
              <w:t>III.</w:t>
            </w:r>
            <w:r w:rsidRPr="00A0798A">
              <w:rPr>
                <w:rFonts w:ascii="Calibri" w:hAnsi="Calibri"/>
                <w:noProof/>
                <w:sz w:val="22"/>
                <w:lang w:val="en-CA"/>
              </w:rPr>
              <w:tab/>
            </w:r>
            <w:r w:rsidRPr="004E1DE3">
              <w:rPr>
                <w:rStyle w:val="Hyperlien"/>
                <w:color w:val="auto"/>
                <w:u w:val="none"/>
                <w:lang w:val="en-CA"/>
              </w:rPr>
              <w:t xml:space="preserve">The criterion set out in article </w:t>
            </w:r>
            <w:r w:rsidR="00F1608A" w:rsidRPr="004E1DE3">
              <w:rPr>
                <w:rStyle w:val="Hyperlien"/>
                <w:color w:val="auto"/>
                <w:u w:val="none"/>
                <w:lang w:val="en-CA"/>
              </w:rPr>
              <w:t>575</w:t>
            </w:r>
            <w:r w:rsidRPr="004E1DE3">
              <w:rPr>
                <w:rStyle w:val="Hyperlien"/>
                <w:color w:val="auto"/>
                <w:u w:val="none"/>
                <w:lang w:val="en-CA"/>
              </w:rPr>
              <w:t xml:space="preserve">(4) </w:t>
            </w:r>
            <w:r w:rsidR="00F1608A" w:rsidRPr="004E1DE3">
              <w:rPr>
                <w:rStyle w:val="Hyperlien"/>
                <w:color w:val="auto"/>
                <w:u w:val="none"/>
                <w:lang w:val="en-CA"/>
              </w:rPr>
              <w:t xml:space="preserve">CCP: </w:t>
            </w:r>
            <w:r w:rsidRPr="004E1DE3">
              <w:rPr>
                <w:rStyle w:val="Hyperlien"/>
                <w:color w:val="auto"/>
                <w:u w:val="none"/>
                <w:lang w:val="en-CA"/>
              </w:rPr>
              <w:t>are the class members appointed as representative plaintiffs in a position to properly represent the putative class members</w:t>
            </w:r>
            <w:r w:rsidR="00F1608A" w:rsidRPr="004E1DE3">
              <w:rPr>
                <w:rStyle w:val="Hyperlien"/>
                <w:color w:val="auto"/>
                <w:u w:val="none"/>
                <w:lang w:val="en-CA"/>
              </w:rPr>
              <w:t>?</w:t>
            </w:r>
            <w:r w:rsidRPr="00CE2A8E">
              <w:rPr>
                <w:lang w:val="en-CA"/>
              </w:rPr>
              <w:tab/>
            </w:r>
            <w:r>
              <w:t>47</w:t>
            </w:r>
          </w:p>
          <w:p w14:paraId="14EEEC53" w14:textId="77777777" w:rsidR="00B0137B" w:rsidRPr="00A0798A" w:rsidRDefault="00573CA9">
            <w:pPr>
              <w:pStyle w:val="TM1"/>
              <w:rPr>
                <w:rFonts w:ascii="Calibri" w:hAnsi="Calibri"/>
                <w:noProof/>
                <w:sz w:val="22"/>
              </w:rPr>
            </w:pPr>
            <w:r>
              <w:rPr>
                <w:rStyle w:val="Hyperlien"/>
                <w:color w:val="auto"/>
                <w:u w:val="none"/>
                <w:lang w:val="en-CA"/>
              </w:rPr>
              <w:t>3.</w:t>
            </w:r>
            <w:r w:rsidRPr="00A0798A">
              <w:rPr>
                <w:rFonts w:ascii="Calibri" w:hAnsi="Calibri"/>
                <w:noProof/>
                <w:sz w:val="22"/>
                <w:lang w:val="en-CA"/>
              </w:rPr>
              <w:tab/>
            </w:r>
            <w:r w:rsidRPr="004E1DE3">
              <w:rPr>
                <w:rStyle w:val="Hyperlien"/>
                <w:color w:val="auto"/>
                <w:u w:val="none"/>
                <w:lang w:val="en-CA"/>
              </w:rPr>
              <w:t>CONCLUSION</w:t>
            </w:r>
            <w:r>
              <w:tab/>
              <w:t>47</w:t>
            </w:r>
          </w:p>
          <w:p w14:paraId="2CECF9A1" w14:textId="77777777" w:rsidR="00B0137B" w:rsidRPr="004E1DE3" w:rsidRDefault="00B0137B" w:rsidP="00D26929">
            <w:pPr>
              <w:rPr>
                <w:lang w:val="en-CA"/>
              </w:rPr>
            </w:pPr>
          </w:p>
        </w:tc>
      </w:tr>
      <w:tr w:rsidR="00B0137B" w14:paraId="1BA7181B" w14:textId="77777777" w:rsidTr="00BD01E0">
        <w:tc>
          <w:tcPr>
            <w:tcW w:w="9356" w:type="dxa"/>
            <w:gridSpan w:val="7"/>
            <w:tcBorders>
              <w:top w:val="single" w:sz="4" w:space="0" w:color="auto"/>
            </w:tcBorders>
          </w:tcPr>
          <w:p w14:paraId="747A8757" w14:textId="77777777" w:rsidR="00A10119" w:rsidRPr="004E1DE3" w:rsidRDefault="00A10119" w:rsidP="00D26929">
            <w:pPr>
              <w:rPr>
                <w:lang w:val="en-CA"/>
              </w:rPr>
            </w:pPr>
          </w:p>
        </w:tc>
      </w:tr>
    </w:tbl>
    <w:p w14:paraId="74549541" w14:textId="77777777" w:rsidR="00DF04C8" w:rsidRPr="004E1DE3" w:rsidRDefault="00573CA9" w:rsidP="00BD01E0">
      <w:pPr>
        <w:pStyle w:val="Titre1"/>
        <w:rPr>
          <w:lang w:val="en-CA"/>
        </w:rPr>
      </w:pPr>
      <w:bookmarkStart w:id="1" w:name="_Toc256000000"/>
      <w:bookmarkStart w:id="2" w:name="_Toc148419863"/>
      <w:r w:rsidRPr="004E1DE3">
        <w:rPr>
          <w:lang w:val="en-CA"/>
        </w:rPr>
        <w:t>BACKGROUND</w:t>
      </w:r>
      <w:bookmarkEnd w:id="1"/>
      <w:bookmarkEnd w:id="2"/>
    </w:p>
    <w:p w14:paraId="6BEEC975" w14:textId="77777777" w:rsidR="00B2016E" w:rsidRPr="004E1DE3" w:rsidRDefault="00573CA9" w:rsidP="008369A9">
      <w:pPr>
        <w:pStyle w:val="Paragrdouble"/>
        <w:tabs>
          <w:tab w:val="num" w:pos="851"/>
        </w:tabs>
        <w:spacing w:line="240" w:lineRule="auto"/>
        <w:ind w:left="0"/>
        <w:rPr>
          <w:lang w:val="en-CA"/>
        </w:rPr>
      </w:pPr>
      <w:r w:rsidRPr="004E1DE3">
        <w:rPr>
          <w:rFonts w:cs="Arial"/>
          <w:lang w:val="en-CA"/>
        </w:rPr>
        <w:t xml:space="preserve">The </w:t>
      </w:r>
      <w:r w:rsidR="003151C7" w:rsidRPr="004E1DE3">
        <w:rPr>
          <w:rFonts w:cs="Arial"/>
          <w:lang w:val="en-CA"/>
        </w:rPr>
        <w:t>a</w:t>
      </w:r>
      <w:r w:rsidR="00940EDA" w:rsidRPr="004E1DE3">
        <w:rPr>
          <w:lang w:val="en-CA"/>
        </w:rPr>
        <w:t>pplication</w:t>
      </w:r>
      <w:r w:rsidRPr="004E1DE3">
        <w:rPr>
          <w:lang w:val="en-CA"/>
        </w:rPr>
        <w:t xml:space="preserve"> for </w:t>
      </w:r>
      <w:r w:rsidR="00940EDA" w:rsidRPr="004E1DE3">
        <w:rPr>
          <w:lang w:val="en-CA"/>
        </w:rPr>
        <w:t>aut</w:t>
      </w:r>
      <w:r w:rsidRPr="004E1DE3">
        <w:rPr>
          <w:lang w:val="en-CA"/>
        </w:rPr>
        <w:t>h</w:t>
      </w:r>
      <w:r w:rsidR="00940EDA" w:rsidRPr="004E1DE3">
        <w:rPr>
          <w:lang w:val="en-CA"/>
        </w:rPr>
        <w:t>ori</w:t>
      </w:r>
      <w:r w:rsidRPr="004E1DE3">
        <w:rPr>
          <w:lang w:val="en-CA"/>
        </w:rPr>
        <w:t>z</w:t>
      </w:r>
      <w:r w:rsidR="00940EDA" w:rsidRPr="004E1DE3">
        <w:rPr>
          <w:lang w:val="en-CA"/>
        </w:rPr>
        <w:t>ation</w:t>
      </w:r>
      <w:r w:rsidRPr="004E1DE3">
        <w:rPr>
          <w:lang w:val="en-CA"/>
        </w:rPr>
        <w:t xml:space="preserve"> to institute a </w:t>
      </w:r>
      <w:r w:rsidR="00940EDA" w:rsidRPr="004E1DE3">
        <w:rPr>
          <w:lang w:val="en-CA"/>
        </w:rPr>
        <w:t>class</w:t>
      </w:r>
      <w:r w:rsidRPr="004E1DE3">
        <w:rPr>
          <w:lang w:val="en-CA"/>
        </w:rPr>
        <w:t xml:space="preserve"> </w:t>
      </w:r>
      <w:r w:rsidR="00940EDA" w:rsidRPr="004E1DE3">
        <w:rPr>
          <w:lang w:val="en-CA"/>
        </w:rPr>
        <w:t>action</w:t>
      </w:r>
      <w:r w:rsidR="00940EDA" w:rsidRPr="004E1DE3">
        <w:rPr>
          <w:i/>
          <w:iCs/>
          <w:lang w:val="en-CA"/>
        </w:rPr>
        <w:t xml:space="preserve"> </w:t>
      </w:r>
      <w:r w:rsidR="00B43401" w:rsidRPr="004E1DE3">
        <w:rPr>
          <w:lang w:val="en-CA"/>
        </w:rPr>
        <w:t>[</w:t>
      </w:r>
      <w:r w:rsidRPr="004E1DE3">
        <w:rPr>
          <w:lang w:val="en-CA"/>
        </w:rPr>
        <w:t>the A</w:t>
      </w:r>
      <w:r w:rsidR="00B43401" w:rsidRPr="004E1DE3">
        <w:rPr>
          <w:lang w:val="en-CA"/>
        </w:rPr>
        <w:t xml:space="preserve">pplication] </w:t>
      </w:r>
      <w:r w:rsidRPr="004E1DE3">
        <w:rPr>
          <w:lang w:val="en-CA"/>
        </w:rPr>
        <w:t xml:space="preserve">invokes the occurrence, on </w:t>
      </w:r>
      <w:r w:rsidR="00B43401" w:rsidRPr="004E1DE3">
        <w:rPr>
          <w:lang w:val="en-CA"/>
        </w:rPr>
        <w:t>March</w:t>
      </w:r>
      <w:r w:rsidRPr="004E1DE3">
        <w:rPr>
          <w:lang w:val="en-CA"/>
        </w:rPr>
        <w:t xml:space="preserve"> 22 and 23, </w:t>
      </w:r>
      <w:r w:rsidR="00B43401" w:rsidRPr="004E1DE3">
        <w:rPr>
          <w:lang w:val="en-CA"/>
        </w:rPr>
        <w:t xml:space="preserve">2019, </w:t>
      </w:r>
      <w:r w:rsidR="00DE460A" w:rsidRPr="004E1DE3">
        <w:rPr>
          <w:lang w:val="en-CA"/>
        </w:rPr>
        <w:t>of a confidentiality incident</w:t>
      </w:r>
      <w:r w:rsidR="00B43401" w:rsidRPr="004E1DE3">
        <w:rPr>
          <w:lang w:val="en-CA"/>
        </w:rPr>
        <w:t xml:space="preserve"> </w:t>
      </w:r>
      <w:r w:rsidR="009A3D9D">
        <w:rPr>
          <w:lang w:val="en-CA"/>
        </w:rPr>
        <w:t>that</w:t>
      </w:r>
      <w:r w:rsidR="00B43401" w:rsidRPr="004E1DE3">
        <w:rPr>
          <w:lang w:val="en-CA"/>
        </w:rPr>
        <w:t xml:space="preserve"> </w:t>
      </w:r>
      <w:r w:rsidR="00DE460A" w:rsidRPr="004E1DE3">
        <w:rPr>
          <w:lang w:val="en-CA"/>
        </w:rPr>
        <w:t xml:space="preserve">affects and concerns </w:t>
      </w:r>
      <w:r w:rsidR="009D5221" w:rsidRPr="004E1DE3">
        <w:rPr>
          <w:lang w:val="en-CA"/>
        </w:rPr>
        <w:t xml:space="preserve">all individuals who agree on a daily basis to provide their </w:t>
      </w:r>
      <w:r w:rsidR="00B43401" w:rsidRPr="004E1DE3">
        <w:rPr>
          <w:lang w:val="en-CA"/>
        </w:rPr>
        <w:t>personal</w:t>
      </w:r>
      <w:r w:rsidR="009D5221" w:rsidRPr="004E1DE3">
        <w:rPr>
          <w:lang w:val="en-CA"/>
        </w:rPr>
        <w:t xml:space="preserve"> </w:t>
      </w:r>
      <w:r w:rsidR="00B43401" w:rsidRPr="004E1DE3">
        <w:rPr>
          <w:lang w:val="en-CA"/>
        </w:rPr>
        <w:t>information</w:t>
      </w:r>
      <w:r w:rsidR="009D5221" w:rsidRPr="004E1DE3">
        <w:rPr>
          <w:lang w:val="en-CA"/>
        </w:rPr>
        <w:t xml:space="preserve"> to a considerable number of participants in </w:t>
      </w:r>
      <w:r w:rsidR="00B43401" w:rsidRPr="004E1DE3">
        <w:rPr>
          <w:lang w:val="en-CA"/>
        </w:rPr>
        <w:t>human</w:t>
      </w:r>
      <w:r w:rsidR="009D5221" w:rsidRPr="004E1DE3">
        <w:rPr>
          <w:lang w:val="en-CA"/>
        </w:rPr>
        <w:t xml:space="preserve"> </w:t>
      </w:r>
      <w:r w:rsidR="00B43401" w:rsidRPr="004E1DE3">
        <w:rPr>
          <w:lang w:val="en-CA"/>
        </w:rPr>
        <w:t>activity.</w:t>
      </w:r>
    </w:p>
    <w:p w14:paraId="42B38E9B" w14:textId="77777777" w:rsidR="00B43401" w:rsidRPr="004E1DE3" w:rsidRDefault="00573CA9" w:rsidP="007D1A3F">
      <w:pPr>
        <w:pStyle w:val="Paragrdouble"/>
        <w:tabs>
          <w:tab w:val="num" w:pos="851"/>
        </w:tabs>
        <w:spacing w:line="240" w:lineRule="auto"/>
        <w:ind w:left="0"/>
        <w:rPr>
          <w:lang w:val="en-CA"/>
        </w:rPr>
      </w:pPr>
      <w:r w:rsidRPr="004E1DE3">
        <w:rPr>
          <w:lang w:val="en-CA"/>
        </w:rPr>
        <w:t xml:space="preserve">The </w:t>
      </w:r>
      <w:r w:rsidR="00940EDA" w:rsidRPr="004E1DE3">
        <w:rPr>
          <w:lang w:val="en-CA"/>
        </w:rPr>
        <w:t>application</w:t>
      </w:r>
      <w:r w:rsidRPr="004E1DE3">
        <w:rPr>
          <w:lang w:val="en-CA"/>
        </w:rPr>
        <w:t xml:space="preserve"> was filed by </w:t>
      </w:r>
      <w:r w:rsidR="00940EDA" w:rsidRPr="004E1DE3">
        <w:rPr>
          <w:lang w:val="en-CA"/>
        </w:rPr>
        <w:t xml:space="preserve">Michael Royer [Royer] </w:t>
      </w:r>
      <w:r w:rsidRPr="004E1DE3">
        <w:rPr>
          <w:lang w:val="en-CA"/>
        </w:rPr>
        <w:t xml:space="preserve">on </w:t>
      </w:r>
      <w:r w:rsidR="00940EDA" w:rsidRPr="004E1DE3">
        <w:rPr>
          <w:lang w:val="en-CA"/>
        </w:rPr>
        <w:t>July</w:t>
      </w:r>
      <w:r w:rsidRPr="004E1DE3">
        <w:rPr>
          <w:lang w:val="en-CA"/>
        </w:rPr>
        <w:t xml:space="preserve"> 30,</w:t>
      </w:r>
      <w:r w:rsidR="00940EDA" w:rsidRPr="004E1DE3">
        <w:rPr>
          <w:lang w:val="en-CA"/>
        </w:rPr>
        <w:t xml:space="preserve"> 2019. </w:t>
      </w:r>
    </w:p>
    <w:p w14:paraId="7D72A8F2" w14:textId="77777777" w:rsidR="00934107" w:rsidRPr="004E1DE3" w:rsidRDefault="00573CA9" w:rsidP="007D1A3F">
      <w:pPr>
        <w:pStyle w:val="Paragrdouble"/>
        <w:tabs>
          <w:tab w:val="num" w:pos="851"/>
        </w:tabs>
        <w:spacing w:line="240" w:lineRule="auto"/>
        <w:ind w:left="0"/>
        <w:rPr>
          <w:lang w:val="en-CA"/>
        </w:rPr>
      </w:pPr>
      <w:r w:rsidRPr="004E1DE3">
        <w:rPr>
          <w:rFonts w:cs="Arial"/>
          <w:lang w:val="en-CA"/>
        </w:rPr>
        <w:t xml:space="preserve">It is directed against </w:t>
      </w:r>
      <w:r w:rsidR="0034347A" w:rsidRPr="004E1DE3">
        <w:rPr>
          <w:rFonts w:cs="Arial"/>
          <w:lang w:val="en-CA"/>
        </w:rPr>
        <w:t>Capital One Bank (Canada Branch), Capital One Financial Corporation</w:t>
      </w:r>
      <w:r w:rsidRPr="004E1DE3">
        <w:rPr>
          <w:rFonts w:cs="Arial"/>
          <w:lang w:val="en-CA"/>
        </w:rPr>
        <w:t>, and</w:t>
      </w:r>
      <w:r w:rsidR="0034347A" w:rsidRPr="004E1DE3">
        <w:rPr>
          <w:rFonts w:cs="Arial"/>
          <w:lang w:val="en-CA"/>
        </w:rPr>
        <w:t xml:space="preserve"> Capital One Bank (USA) National Association [Capital One o</w:t>
      </w:r>
      <w:r w:rsidRPr="004E1DE3">
        <w:rPr>
          <w:rFonts w:cs="Arial"/>
          <w:lang w:val="en-CA"/>
        </w:rPr>
        <w:t xml:space="preserve">r the </w:t>
      </w:r>
      <w:r w:rsidR="0034347A" w:rsidRPr="004E1DE3">
        <w:rPr>
          <w:rFonts w:cs="Arial"/>
          <w:lang w:val="en-CA"/>
        </w:rPr>
        <w:lastRenderedPageBreak/>
        <w:t>Capital One</w:t>
      </w:r>
      <w:r w:rsidRPr="004E1DE3">
        <w:rPr>
          <w:rFonts w:cs="Arial"/>
          <w:lang w:val="en-CA"/>
        </w:rPr>
        <w:t xml:space="preserve"> group defendants or</w:t>
      </w:r>
      <w:r w:rsidR="0034347A" w:rsidRPr="004E1DE3">
        <w:rPr>
          <w:rFonts w:cs="Arial"/>
          <w:lang w:val="en-CA"/>
        </w:rPr>
        <w:t xml:space="preserve"> Capital One], </w:t>
      </w:r>
      <w:r w:rsidR="009A3D9D">
        <w:rPr>
          <w:rFonts w:cs="Arial"/>
          <w:lang w:val="en-CA"/>
        </w:rPr>
        <w:t xml:space="preserve">which </w:t>
      </w:r>
      <w:r w:rsidR="0034347A" w:rsidRPr="004E1DE3">
        <w:rPr>
          <w:rFonts w:cs="Arial"/>
          <w:lang w:val="en-CA"/>
        </w:rPr>
        <w:t>form</w:t>
      </w:r>
      <w:r w:rsidR="00A439CF" w:rsidRPr="004E1DE3">
        <w:rPr>
          <w:rFonts w:cs="Arial"/>
          <w:lang w:val="en-CA"/>
        </w:rPr>
        <w:t xml:space="preserve"> one of the largest financial </w:t>
      </w:r>
      <w:r w:rsidR="0034347A" w:rsidRPr="004E1DE3">
        <w:rPr>
          <w:rFonts w:cs="Arial"/>
          <w:lang w:val="en-CA"/>
        </w:rPr>
        <w:t>institutions</w:t>
      </w:r>
      <w:r w:rsidR="00A439CF" w:rsidRPr="004E1DE3">
        <w:rPr>
          <w:rFonts w:cs="Arial"/>
          <w:lang w:val="en-CA"/>
        </w:rPr>
        <w:t xml:space="preserve"> in North</w:t>
      </w:r>
      <w:r w:rsidR="0034347A" w:rsidRPr="004E1DE3">
        <w:rPr>
          <w:rFonts w:cs="Arial"/>
          <w:lang w:val="en-CA"/>
        </w:rPr>
        <w:t xml:space="preserve"> Am</w:t>
      </w:r>
      <w:r w:rsidR="00A439CF" w:rsidRPr="004E1DE3">
        <w:rPr>
          <w:rFonts w:cs="Arial"/>
          <w:lang w:val="en-CA"/>
        </w:rPr>
        <w:t>e</w:t>
      </w:r>
      <w:r w:rsidR="0034347A" w:rsidRPr="004E1DE3">
        <w:rPr>
          <w:rFonts w:cs="Arial"/>
          <w:lang w:val="en-CA"/>
        </w:rPr>
        <w:t>ri</w:t>
      </w:r>
      <w:r w:rsidR="00A439CF" w:rsidRPr="004E1DE3">
        <w:rPr>
          <w:rFonts w:cs="Arial"/>
          <w:lang w:val="en-CA"/>
        </w:rPr>
        <w:t>ca</w:t>
      </w:r>
      <w:r w:rsidR="0034347A" w:rsidRPr="004E1DE3">
        <w:rPr>
          <w:rFonts w:cs="Arial"/>
          <w:lang w:val="en-CA"/>
        </w:rPr>
        <w:t>.</w:t>
      </w:r>
    </w:p>
    <w:p w14:paraId="32C8478C" w14:textId="77777777" w:rsidR="00B2016E" w:rsidRPr="004E1DE3" w:rsidRDefault="00573CA9" w:rsidP="00836549">
      <w:pPr>
        <w:pStyle w:val="Paragrdouble"/>
        <w:tabs>
          <w:tab w:val="clear" w:pos="2062"/>
          <w:tab w:val="num" w:pos="851"/>
        </w:tabs>
        <w:spacing w:line="240" w:lineRule="auto"/>
        <w:ind w:left="0"/>
        <w:rPr>
          <w:lang w:val="en-CA"/>
        </w:rPr>
      </w:pPr>
      <w:r w:rsidRPr="004E1DE3">
        <w:rPr>
          <w:lang w:val="en-CA"/>
        </w:rPr>
        <w:t>The plaint</w:t>
      </w:r>
      <w:r w:rsidR="003151C7" w:rsidRPr="004E1DE3">
        <w:rPr>
          <w:lang w:val="en-CA"/>
        </w:rPr>
        <w:t>i</w:t>
      </w:r>
      <w:r w:rsidRPr="004E1DE3">
        <w:rPr>
          <w:lang w:val="en-CA"/>
        </w:rPr>
        <w:t xml:space="preserve">ff Ala’a Abou-Khadra [Abou-Khadra] </w:t>
      </w:r>
      <w:r w:rsidR="003151C7" w:rsidRPr="004E1DE3">
        <w:rPr>
          <w:lang w:val="en-CA"/>
        </w:rPr>
        <w:t>was added at the time of a subsequent amendment to the application,</w:t>
      </w:r>
      <w:r>
        <w:rPr>
          <w:rStyle w:val="Appelnotedebasdep"/>
          <w:lang w:val="en-CA"/>
        </w:rPr>
        <w:footnoteReference w:id="1"/>
      </w:r>
      <w:r w:rsidR="003151C7" w:rsidRPr="004E1DE3">
        <w:rPr>
          <w:lang w:val="en-CA"/>
        </w:rPr>
        <w:t xml:space="preserve"> as were the </w:t>
      </w:r>
      <w:r w:rsidRPr="004E1DE3">
        <w:rPr>
          <w:lang w:val="en-CA"/>
        </w:rPr>
        <w:t xml:space="preserve">defendants Amazon.com </w:t>
      </w:r>
      <w:r w:rsidR="004D0C63" w:rsidRPr="004E1DE3">
        <w:rPr>
          <w:lang w:val="en-CA"/>
        </w:rPr>
        <w:t>I</w:t>
      </w:r>
      <w:r w:rsidRPr="004E1DE3">
        <w:rPr>
          <w:lang w:val="en-CA"/>
        </w:rPr>
        <w:t xml:space="preserve">nc., Amazon.com.ca </w:t>
      </w:r>
      <w:r w:rsidR="004D0C63" w:rsidRPr="004E1DE3">
        <w:rPr>
          <w:lang w:val="en-CA"/>
        </w:rPr>
        <w:t>I</w:t>
      </w:r>
      <w:r w:rsidRPr="004E1DE3">
        <w:rPr>
          <w:lang w:val="en-CA"/>
        </w:rPr>
        <w:t xml:space="preserve">nc., Amazon Web Services Canada </w:t>
      </w:r>
      <w:r w:rsidR="004D0C63" w:rsidRPr="004E1DE3">
        <w:rPr>
          <w:lang w:val="en-CA"/>
        </w:rPr>
        <w:t>I</w:t>
      </w:r>
      <w:r w:rsidRPr="004E1DE3">
        <w:rPr>
          <w:lang w:val="en-CA"/>
        </w:rPr>
        <w:t xml:space="preserve">nc., Amazon Web Services </w:t>
      </w:r>
      <w:r w:rsidR="004D0C63" w:rsidRPr="004E1DE3">
        <w:rPr>
          <w:lang w:val="en-CA"/>
        </w:rPr>
        <w:t>I</w:t>
      </w:r>
      <w:r w:rsidRPr="004E1DE3">
        <w:rPr>
          <w:lang w:val="en-CA"/>
        </w:rPr>
        <w:t>nc.</w:t>
      </w:r>
      <w:r w:rsidR="003151C7" w:rsidRPr="004E1DE3">
        <w:rPr>
          <w:lang w:val="en-CA"/>
        </w:rPr>
        <w:t>, and</w:t>
      </w:r>
      <w:r w:rsidRPr="004E1DE3">
        <w:rPr>
          <w:lang w:val="en-CA"/>
        </w:rPr>
        <w:t xml:space="preserve"> Amazon Technologies </w:t>
      </w:r>
      <w:r w:rsidR="004D0C63" w:rsidRPr="004E1DE3">
        <w:rPr>
          <w:lang w:val="en-CA"/>
        </w:rPr>
        <w:t>I</w:t>
      </w:r>
      <w:r w:rsidRPr="004E1DE3">
        <w:rPr>
          <w:lang w:val="en-CA"/>
        </w:rPr>
        <w:t xml:space="preserve">nc. [Amazon </w:t>
      </w:r>
      <w:r w:rsidR="003151C7" w:rsidRPr="004E1DE3">
        <w:rPr>
          <w:lang w:val="en-CA"/>
        </w:rPr>
        <w:t xml:space="preserve">or the </w:t>
      </w:r>
      <w:r w:rsidRPr="004E1DE3">
        <w:rPr>
          <w:lang w:val="en-CA"/>
        </w:rPr>
        <w:t>Amazon</w:t>
      </w:r>
      <w:r w:rsidR="003151C7" w:rsidRPr="004E1DE3">
        <w:rPr>
          <w:lang w:val="en-CA"/>
        </w:rPr>
        <w:t xml:space="preserve"> group defendants</w:t>
      </w:r>
      <w:r w:rsidRPr="004E1DE3">
        <w:rPr>
          <w:lang w:val="en-CA"/>
        </w:rPr>
        <w:t xml:space="preserve">], </w:t>
      </w:r>
      <w:r w:rsidR="009A3D9D">
        <w:rPr>
          <w:lang w:val="en-CA"/>
        </w:rPr>
        <w:t xml:space="preserve">which is </w:t>
      </w:r>
      <w:r w:rsidR="003151C7" w:rsidRPr="004E1DE3">
        <w:rPr>
          <w:lang w:val="en-CA"/>
        </w:rPr>
        <w:t xml:space="preserve">a recognized electronic commerce giant that provided </w:t>
      </w:r>
      <w:r w:rsidRPr="004E1DE3">
        <w:rPr>
          <w:lang w:val="en-CA"/>
        </w:rPr>
        <w:t xml:space="preserve">Capital One </w:t>
      </w:r>
      <w:r w:rsidR="003151C7" w:rsidRPr="004E1DE3">
        <w:rPr>
          <w:lang w:val="en-CA"/>
        </w:rPr>
        <w:t>with the cloud space permitting the storage of a</w:t>
      </w:r>
      <w:r w:rsidR="006F186E" w:rsidRPr="004E1DE3">
        <w:rPr>
          <w:lang w:val="en-CA"/>
        </w:rPr>
        <w:t xml:space="preserve"> massive amount of </w:t>
      </w:r>
      <w:r w:rsidRPr="004E1DE3">
        <w:rPr>
          <w:lang w:val="en-CA"/>
        </w:rPr>
        <w:t>personal</w:t>
      </w:r>
      <w:r w:rsidR="006F186E" w:rsidRPr="004E1DE3">
        <w:rPr>
          <w:lang w:val="en-CA"/>
        </w:rPr>
        <w:t xml:space="preserve"> </w:t>
      </w:r>
      <w:r w:rsidRPr="004E1DE3">
        <w:rPr>
          <w:lang w:val="en-CA"/>
        </w:rPr>
        <w:t>information.</w:t>
      </w:r>
    </w:p>
    <w:p w14:paraId="486D949C" w14:textId="77777777" w:rsidR="00B2016E" w:rsidRPr="004E1DE3" w:rsidRDefault="00573CA9" w:rsidP="00B2016E">
      <w:pPr>
        <w:pStyle w:val="Paragrdouble"/>
        <w:tabs>
          <w:tab w:val="num" w:pos="851"/>
        </w:tabs>
        <w:spacing w:line="240" w:lineRule="auto"/>
        <w:ind w:left="0"/>
        <w:rPr>
          <w:lang w:val="en-CA"/>
        </w:rPr>
      </w:pPr>
      <w:r w:rsidRPr="004E1DE3">
        <w:rPr>
          <w:lang w:val="en-CA"/>
        </w:rPr>
        <w:t xml:space="preserve">This </w:t>
      </w:r>
      <w:r w:rsidR="00940EDA" w:rsidRPr="004E1DE3">
        <w:rPr>
          <w:lang w:val="en-CA"/>
        </w:rPr>
        <w:t>cybern</w:t>
      </w:r>
      <w:r w:rsidRPr="004E1DE3">
        <w:rPr>
          <w:lang w:val="en-CA"/>
        </w:rPr>
        <w:t>e</w:t>
      </w:r>
      <w:r w:rsidR="00940EDA" w:rsidRPr="004E1DE3">
        <w:rPr>
          <w:lang w:val="en-CA"/>
        </w:rPr>
        <w:t>ti</w:t>
      </w:r>
      <w:r w:rsidRPr="004E1DE3">
        <w:rPr>
          <w:lang w:val="en-CA"/>
        </w:rPr>
        <w:t xml:space="preserve">c incident, as the plaintiffs call it, </w:t>
      </w:r>
      <w:r w:rsidR="00940EDA" w:rsidRPr="004E1DE3">
        <w:rPr>
          <w:lang w:val="en-CA"/>
        </w:rPr>
        <w:t>consiste</w:t>
      </w:r>
      <w:r w:rsidRPr="004E1DE3">
        <w:rPr>
          <w:lang w:val="en-CA"/>
        </w:rPr>
        <w:t xml:space="preserve">d of the unauthorized access by a former </w:t>
      </w:r>
      <w:r w:rsidR="00940EDA" w:rsidRPr="004E1DE3">
        <w:rPr>
          <w:lang w:val="en-CA"/>
        </w:rPr>
        <w:t>Amazon</w:t>
      </w:r>
      <w:r w:rsidRPr="004E1DE3">
        <w:rPr>
          <w:lang w:val="en-CA"/>
        </w:rPr>
        <w:t xml:space="preserve"> employee</w:t>
      </w:r>
      <w:r w:rsidR="00940EDA" w:rsidRPr="004E1DE3">
        <w:rPr>
          <w:lang w:val="en-CA"/>
        </w:rPr>
        <w:t xml:space="preserve">, Paige A. Thompson, </w:t>
      </w:r>
      <w:r w:rsidRPr="004E1DE3">
        <w:rPr>
          <w:lang w:val="en-CA"/>
        </w:rPr>
        <w:t xml:space="preserve">of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w:t>
      </w:r>
      <w:r w:rsidR="00940EDA" w:rsidRPr="004E1DE3">
        <w:rPr>
          <w:lang w:val="en-CA"/>
        </w:rPr>
        <w:t xml:space="preserve"> </w:t>
      </w:r>
      <w:r w:rsidRPr="004E1DE3">
        <w:rPr>
          <w:lang w:val="en-CA"/>
        </w:rPr>
        <w:t xml:space="preserve">held by that company, initially collected by </w:t>
      </w:r>
      <w:r w:rsidR="00940EDA" w:rsidRPr="004E1DE3">
        <w:rPr>
          <w:lang w:val="en-CA"/>
        </w:rPr>
        <w:t xml:space="preserve">Capital One </w:t>
      </w:r>
      <w:r w:rsidRPr="004E1DE3">
        <w:rPr>
          <w:lang w:val="en-CA"/>
        </w:rPr>
        <w:t xml:space="preserve">and belonging to approximately </w:t>
      </w:r>
      <w:r w:rsidR="00940EDA" w:rsidRPr="004E1DE3">
        <w:rPr>
          <w:lang w:val="en-CA"/>
        </w:rPr>
        <w:t>6</w:t>
      </w:r>
      <w:r w:rsidRPr="004E1DE3">
        <w:rPr>
          <w:lang w:val="en-CA"/>
        </w:rPr>
        <w:t>,</w:t>
      </w:r>
      <w:r w:rsidR="00940EDA" w:rsidRPr="004E1DE3">
        <w:rPr>
          <w:lang w:val="en-CA"/>
        </w:rPr>
        <w:t>000</w:t>
      </w:r>
      <w:r w:rsidRPr="004E1DE3">
        <w:rPr>
          <w:lang w:val="en-CA"/>
        </w:rPr>
        <w:t>,</w:t>
      </w:r>
      <w:r w:rsidR="00940EDA" w:rsidRPr="004E1DE3">
        <w:rPr>
          <w:lang w:val="en-CA"/>
        </w:rPr>
        <w:t>000 Canadian</w:t>
      </w:r>
      <w:r w:rsidRPr="004E1DE3">
        <w:rPr>
          <w:lang w:val="en-CA"/>
        </w:rPr>
        <w:t xml:space="preserve"> residents and </w:t>
      </w:r>
      <w:r w:rsidR="00940EDA" w:rsidRPr="004E1DE3">
        <w:rPr>
          <w:lang w:val="en-CA"/>
        </w:rPr>
        <w:t>100</w:t>
      </w:r>
      <w:r w:rsidRPr="004E1DE3">
        <w:rPr>
          <w:lang w:val="en-CA"/>
        </w:rPr>
        <w:t>,</w:t>
      </w:r>
      <w:r w:rsidR="00940EDA" w:rsidRPr="004E1DE3">
        <w:rPr>
          <w:lang w:val="en-CA"/>
        </w:rPr>
        <w:t>000</w:t>
      </w:r>
      <w:r w:rsidRPr="004E1DE3">
        <w:rPr>
          <w:lang w:val="en-CA"/>
        </w:rPr>
        <w:t>,</w:t>
      </w:r>
      <w:r w:rsidR="00940EDA" w:rsidRPr="004E1DE3">
        <w:rPr>
          <w:lang w:val="en-CA"/>
        </w:rPr>
        <w:t xml:space="preserve">000 </w:t>
      </w:r>
      <w:r w:rsidR="00AD60E4" w:rsidRPr="004E1DE3">
        <w:rPr>
          <w:lang w:val="en-CA"/>
        </w:rPr>
        <w:t>U.S. re</w:t>
      </w:r>
      <w:r w:rsidR="00940EDA" w:rsidRPr="004E1DE3">
        <w:rPr>
          <w:lang w:val="en-CA"/>
        </w:rPr>
        <w:t>sidents.</w:t>
      </w:r>
    </w:p>
    <w:p w14:paraId="2EEAFAD7" w14:textId="77777777" w:rsidR="00E725AA" w:rsidRPr="004E1DE3" w:rsidRDefault="00573CA9" w:rsidP="007D1A3F">
      <w:pPr>
        <w:pStyle w:val="Paragrdouble"/>
        <w:tabs>
          <w:tab w:val="num" w:pos="851"/>
        </w:tabs>
        <w:spacing w:line="240" w:lineRule="auto"/>
        <w:ind w:left="0"/>
        <w:rPr>
          <w:lang w:val="en-CA"/>
        </w:rPr>
      </w:pPr>
      <w:r w:rsidRPr="004E1DE3">
        <w:rPr>
          <w:lang w:val="en-CA"/>
        </w:rPr>
        <w:t xml:space="preserve">The unfolding of these proceedings was punctuated by four amendments to the </w:t>
      </w:r>
      <w:r w:rsidR="00940EDA" w:rsidRPr="004E1DE3">
        <w:rPr>
          <w:lang w:val="en-CA"/>
        </w:rPr>
        <w:t>application</w:t>
      </w:r>
      <w:r w:rsidRPr="004E1DE3">
        <w:rPr>
          <w:lang w:val="en-CA"/>
        </w:rPr>
        <w:t>, which no</w:t>
      </w:r>
      <w:r w:rsidR="00940571">
        <w:rPr>
          <w:lang w:val="en-CA"/>
        </w:rPr>
        <w:t>w</w:t>
      </w:r>
      <w:r w:rsidRPr="004E1DE3">
        <w:rPr>
          <w:lang w:val="en-CA"/>
        </w:rPr>
        <w:t xml:space="preserve"> contains over </w:t>
      </w:r>
      <w:r w:rsidR="00940EDA" w:rsidRPr="004E1DE3">
        <w:rPr>
          <w:lang w:val="en-CA"/>
        </w:rPr>
        <w:t xml:space="preserve">250 paragraphs, </w:t>
      </w:r>
      <w:r w:rsidRPr="004E1DE3">
        <w:rPr>
          <w:lang w:val="en-CA"/>
        </w:rPr>
        <w:t xml:space="preserve">followed by </w:t>
      </w:r>
      <w:r w:rsidR="00940EDA" w:rsidRPr="004E1DE3">
        <w:rPr>
          <w:lang w:val="en-CA"/>
        </w:rPr>
        <w:t>applications</w:t>
      </w:r>
      <w:r w:rsidRPr="004E1DE3">
        <w:rPr>
          <w:lang w:val="en-CA"/>
        </w:rPr>
        <w:t xml:space="preserve"> filed by the </w:t>
      </w:r>
      <w:r w:rsidR="00940EDA" w:rsidRPr="004E1DE3">
        <w:rPr>
          <w:lang w:val="en-CA"/>
        </w:rPr>
        <w:t>defendants</w:t>
      </w:r>
      <w:r w:rsidRPr="004E1DE3">
        <w:rPr>
          <w:lang w:val="en-CA"/>
        </w:rPr>
        <w:t xml:space="preserve"> giving rise to </w:t>
      </w:r>
      <w:r w:rsidR="00940EDA" w:rsidRPr="004E1DE3">
        <w:rPr>
          <w:lang w:val="en-CA"/>
        </w:rPr>
        <w:t>interlocutor</w:t>
      </w:r>
      <w:r w:rsidRPr="004E1DE3">
        <w:rPr>
          <w:lang w:val="en-CA"/>
        </w:rPr>
        <w:t xml:space="preserve">y judgments for the </w:t>
      </w:r>
      <w:r w:rsidR="00940EDA" w:rsidRPr="004E1DE3">
        <w:rPr>
          <w:lang w:val="en-CA"/>
        </w:rPr>
        <w:t xml:space="preserve">production </w:t>
      </w:r>
      <w:r w:rsidRPr="004E1DE3">
        <w:rPr>
          <w:lang w:val="en-CA"/>
        </w:rPr>
        <w:t xml:space="preserve">of additional evidence seeking to counter or complete </w:t>
      </w:r>
      <w:r w:rsidR="00940EDA" w:rsidRPr="004E1DE3">
        <w:rPr>
          <w:lang w:val="en-CA"/>
        </w:rPr>
        <w:t>certain</w:t>
      </w:r>
      <w:r w:rsidRPr="004E1DE3">
        <w:rPr>
          <w:lang w:val="en-CA"/>
        </w:rPr>
        <w:t xml:space="preserve"> </w:t>
      </w:r>
      <w:r w:rsidR="00940EDA" w:rsidRPr="004E1DE3">
        <w:rPr>
          <w:lang w:val="en-CA"/>
        </w:rPr>
        <w:t>all</w:t>
      </w:r>
      <w:r w:rsidRPr="004E1DE3">
        <w:rPr>
          <w:lang w:val="en-CA"/>
        </w:rPr>
        <w:t>e</w:t>
      </w:r>
      <w:r w:rsidR="00940EDA" w:rsidRPr="004E1DE3">
        <w:rPr>
          <w:lang w:val="en-CA"/>
        </w:rPr>
        <w:t xml:space="preserve">gations </w:t>
      </w:r>
      <w:r w:rsidRPr="004E1DE3">
        <w:rPr>
          <w:lang w:val="en-CA"/>
        </w:rPr>
        <w:t>in the A</w:t>
      </w:r>
      <w:r w:rsidR="00940EDA" w:rsidRPr="004E1DE3">
        <w:rPr>
          <w:lang w:val="en-CA"/>
        </w:rPr>
        <w:t>pplication,</w:t>
      </w:r>
      <w:r w:rsidRPr="004E1DE3">
        <w:rPr>
          <w:lang w:val="en-CA"/>
        </w:rPr>
        <w:t xml:space="preserve"> and by motions filed by the plaintiffs for </w:t>
      </w:r>
      <w:r w:rsidR="00940EDA" w:rsidRPr="004E1DE3">
        <w:rPr>
          <w:lang w:val="en-CA"/>
        </w:rPr>
        <w:t>aut</w:t>
      </w:r>
      <w:r w:rsidRPr="004E1DE3">
        <w:rPr>
          <w:lang w:val="en-CA"/>
        </w:rPr>
        <w:t>h</w:t>
      </w:r>
      <w:r w:rsidR="00940EDA" w:rsidRPr="004E1DE3">
        <w:rPr>
          <w:lang w:val="en-CA"/>
        </w:rPr>
        <w:t>ori</w:t>
      </w:r>
      <w:r w:rsidRPr="004E1DE3">
        <w:rPr>
          <w:lang w:val="en-CA"/>
        </w:rPr>
        <w:t>z</w:t>
      </w:r>
      <w:r w:rsidR="00940EDA" w:rsidRPr="004E1DE3">
        <w:rPr>
          <w:lang w:val="en-CA"/>
        </w:rPr>
        <w:t xml:space="preserve">ation </w:t>
      </w:r>
      <w:r w:rsidRPr="004E1DE3">
        <w:rPr>
          <w:lang w:val="en-CA"/>
        </w:rPr>
        <w:t xml:space="preserve">to hold written pre-trial </w:t>
      </w:r>
      <w:r w:rsidR="00940EDA" w:rsidRPr="004E1DE3">
        <w:rPr>
          <w:lang w:val="en-CA"/>
        </w:rPr>
        <w:t>examinations.</w:t>
      </w:r>
    </w:p>
    <w:p w14:paraId="07A5DF9A" w14:textId="77777777" w:rsidR="00B43401" w:rsidRPr="004E1DE3" w:rsidRDefault="00573CA9" w:rsidP="007D1A3F">
      <w:pPr>
        <w:pStyle w:val="Paragrdouble"/>
        <w:tabs>
          <w:tab w:val="num" w:pos="851"/>
        </w:tabs>
        <w:spacing w:line="240" w:lineRule="auto"/>
        <w:ind w:left="0"/>
        <w:rPr>
          <w:lang w:val="en-CA"/>
        </w:rPr>
      </w:pPr>
      <w:r>
        <w:rPr>
          <w:lang w:val="en-CA"/>
        </w:rPr>
        <w:t>The plaintiffs also filed a</w:t>
      </w:r>
      <w:r w:rsidR="00BF058B" w:rsidRPr="004E1DE3">
        <w:rPr>
          <w:lang w:val="en-CA"/>
        </w:rPr>
        <w:t xml:space="preserve"> large number of </w:t>
      </w:r>
      <w:r w:rsidR="00940EDA" w:rsidRPr="004E1DE3">
        <w:rPr>
          <w:lang w:val="en-CA"/>
        </w:rPr>
        <w:t xml:space="preserve">documents </w:t>
      </w:r>
      <w:r w:rsidR="00BF058B" w:rsidRPr="004E1DE3">
        <w:rPr>
          <w:lang w:val="en-CA"/>
        </w:rPr>
        <w:t xml:space="preserve">describing in great detail the historical and </w:t>
      </w:r>
      <w:r w:rsidR="00940EDA" w:rsidRPr="004E1DE3">
        <w:rPr>
          <w:lang w:val="en-CA"/>
        </w:rPr>
        <w:t>technologi</w:t>
      </w:r>
      <w:r w:rsidR="00BF058B" w:rsidRPr="004E1DE3">
        <w:rPr>
          <w:lang w:val="en-CA"/>
        </w:rPr>
        <w:t xml:space="preserve">cal background to this </w:t>
      </w:r>
      <w:r w:rsidR="00940EDA" w:rsidRPr="004E1DE3">
        <w:rPr>
          <w:lang w:val="en-CA"/>
        </w:rPr>
        <w:t xml:space="preserve">intrusion </w:t>
      </w:r>
      <w:r w:rsidR="00BF058B" w:rsidRPr="004E1DE3">
        <w:rPr>
          <w:lang w:val="en-CA"/>
        </w:rPr>
        <w:t xml:space="preserve">into </w:t>
      </w:r>
      <w:r w:rsidR="00940EDA" w:rsidRPr="004E1DE3">
        <w:rPr>
          <w:lang w:val="en-CA"/>
        </w:rPr>
        <w:t>Amazon</w:t>
      </w:r>
      <w:r w:rsidR="00BF058B" w:rsidRPr="004E1DE3">
        <w:rPr>
          <w:lang w:val="en-CA"/>
        </w:rPr>
        <w:t>’s system</w:t>
      </w:r>
      <w:r w:rsidR="00940EDA" w:rsidRPr="004E1DE3">
        <w:rPr>
          <w:lang w:val="en-CA"/>
        </w:rPr>
        <w:t>.</w:t>
      </w:r>
    </w:p>
    <w:p w14:paraId="017FD417" w14:textId="77777777" w:rsidR="00E31C63" w:rsidRPr="004E1DE3" w:rsidRDefault="00573CA9" w:rsidP="007D1A3F">
      <w:pPr>
        <w:pStyle w:val="Paragrdouble"/>
        <w:tabs>
          <w:tab w:val="num" w:pos="851"/>
        </w:tabs>
        <w:spacing w:line="240" w:lineRule="auto"/>
        <w:ind w:left="0"/>
        <w:rPr>
          <w:lang w:val="en-CA"/>
        </w:rPr>
      </w:pPr>
      <w:r w:rsidRPr="004E1DE3">
        <w:rPr>
          <w:lang w:val="en-CA"/>
        </w:rPr>
        <w:t xml:space="preserve">These </w:t>
      </w:r>
      <w:r w:rsidR="00103D45" w:rsidRPr="004E1DE3">
        <w:rPr>
          <w:lang w:val="en-CA"/>
        </w:rPr>
        <w:t xml:space="preserve">documents </w:t>
      </w:r>
      <w:r w:rsidRPr="004E1DE3">
        <w:rPr>
          <w:lang w:val="en-CA"/>
        </w:rPr>
        <w:t xml:space="preserve">originate especially from other court files in which similar class actions were instituted and which remain active in </w:t>
      </w:r>
      <w:r w:rsidR="00103D45" w:rsidRPr="004E1DE3">
        <w:rPr>
          <w:lang w:val="en-CA"/>
        </w:rPr>
        <w:t>Canada</w:t>
      </w:r>
      <w:r w:rsidRPr="004E1DE3">
        <w:rPr>
          <w:lang w:val="en-CA"/>
        </w:rPr>
        <w:t xml:space="preserve">, but which have since been settled in the </w:t>
      </w:r>
      <w:r w:rsidR="00103D45" w:rsidRPr="004E1DE3">
        <w:rPr>
          <w:lang w:val="en-CA"/>
        </w:rPr>
        <w:t>United</w:t>
      </w:r>
      <w:r w:rsidRPr="004E1DE3">
        <w:rPr>
          <w:lang w:val="en-CA"/>
        </w:rPr>
        <w:t xml:space="preserve"> </w:t>
      </w:r>
      <w:r w:rsidR="00103D45" w:rsidRPr="004E1DE3">
        <w:rPr>
          <w:lang w:val="en-CA"/>
        </w:rPr>
        <w:t>States</w:t>
      </w:r>
      <w:r w:rsidRPr="004E1DE3">
        <w:rPr>
          <w:lang w:val="en-CA"/>
        </w:rPr>
        <w:t>.</w:t>
      </w:r>
      <w:r>
        <w:rPr>
          <w:rStyle w:val="Appelnotedebasdep"/>
          <w:lang w:val="en-CA"/>
        </w:rPr>
        <w:footnoteReference w:id="2"/>
      </w:r>
    </w:p>
    <w:p w14:paraId="1FF8323A" w14:textId="77777777" w:rsidR="00E9091F" w:rsidRPr="004E1DE3" w:rsidRDefault="00573CA9" w:rsidP="007D1A3F">
      <w:pPr>
        <w:pStyle w:val="Paragrdouble"/>
        <w:tabs>
          <w:tab w:val="num" w:pos="851"/>
        </w:tabs>
        <w:spacing w:line="240" w:lineRule="auto"/>
        <w:ind w:left="0"/>
        <w:rPr>
          <w:lang w:val="en-CA"/>
        </w:rPr>
      </w:pPr>
      <w:r w:rsidRPr="004E1DE3">
        <w:rPr>
          <w:lang w:val="en-CA"/>
        </w:rPr>
        <w:t xml:space="preserve">In particular, these </w:t>
      </w:r>
      <w:r w:rsidR="002160C6" w:rsidRPr="004E1DE3">
        <w:rPr>
          <w:lang w:val="en-CA"/>
        </w:rPr>
        <w:t xml:space="preserve">documents </w:t>
      </w:r>
      <w:r w:rsidRPr="004E1DE3">
        <w:rPr>
          <w:lang w:val="en-CA"/>
        </w:rPr>
        <w:t xml:space="preserve">include the full </w:t>
      </w:r>
      <w:r w:rsidR="002160C6" w:rsidRPr="004E1DE3">
        <w:rPr>
          <w:lang w:val="en-CA"/>
        </w:rPr>
        <w:t>transcript</w:t>
      </w:r>
      <w:r w:rsidRPr="004E1DE3">
        <w:rPr>
          <w:lang w:val="en-CA"/>
        </w:rPr>
        <w:t xml:space="preserve"> of the criminal investigation held following the </w:t>
      </w:r>
      <w:r w:rsidR="002160C6" w:rsidRPr="004E1DE3">
        <w:rPr>
          <w:lang w:val="en-CA"/>
        </w:rPr>
        <w:t>charges</w:t>
      </w:r>
      <w:r w:rsidRPr="004E1DE3">
        <w:rPr>
          <w:lang w:val="en-CA"/>
        </w:rPr>
        <w:t xml:space="preserve"> laid in the </w:t>
      </w:r>
      <w:r w:rsidR="002160C6" w:rsidRPr="004E1DE3">
        <w:rPr>
          <w:lang w:val="en-CA"/>
        </w:rPr>
        <w:t>United</w:t>
      </w:r>
      <w:r w:rsidRPr="004E1DE3">
        <w:rPr>
          <w:lang w:val="en-CA"/>
        </w:rPr>
        <w:t xml:space="preserve"> </w:t>
      </w:r>
      <w:r w:rsidR="002160C6" w:rsidRPr="004E1DE3">
        <w:rPr>
          <w:lang w:val="en-CA"/>
        </w:rPr>
        <w:t>States</w:t>
      </w:r>
      <w:r w:rsidRPr="004E1DE3">
        <w:rPr>
          <w:lang w:val="en-CA"/>
        </w:rPr>
        <w:t xml:space="preserve"> by the </w:t>
      </w:r>
      <w:r w:rsidR="002160C6" w:rsidRPr="004E1DE3">
        <w:rPr>
          <w:lang w:val="en-CA"/>
        </w:rPr>
        <w:t xml:space="preserve">FBI </w:t>
      </w:r>
      <w:r w:rsidRPr="004E1DE3">
        <w:rPr>
          <w:lang w:val="en-CA"/>
        </w:rPr>
        <w:t xml:space="preserve">against </w:t>
      </w:r>
      <w:r w:rsidR="002160C6" w:rsidRPr="004E1DE3">
        <w:rPr>
          <w:lang w:val="en-CA"/>
        </w:rPr>
        <w:t>Paige A. Thomp</w:t>
      </w:r>
      <w:r w:rsidR="004E1DE3">
        <w:rPr>
          <w:lang w:val="en-CA"/>
        </w:rPr>
        <w:t>s</w:t>
      </w:r>
      <w:r w:rsidR="002160C6" w:rsidRPr="004E1DE3">
        <w:rPr>
          <w:lang w:val="en-CA"/>
        </w:rPr>
        <w:t xml:space="preserve">on, </w:t>
      </w:r>
      <w:r w:rsidRPr="004E1DE3">
        <w:rPr>
          <w:lang w:val="en-CA"/>
        </w:rPr>
        <w:t xml:space="preserve">as well as </w:t>
      </w:r>
      <w:r w:rsidR="002160C6" w:rsidRPr="004E1DE3">
        <w:rPr>
          <w:lang w:val="en-CA"/>
        </w:rPr>
        <w:t>certain</w:t>
      </w:r>
      <w:r w:rsidRPr="004E1DE3">
        <w:rPr>
          <w:lang w:val="en-CA"/>
        </w:rPr>
        <w:t xml:space="preserve"> </w:t>
      </w:r>
      <w:r w:rsidR="002160C6" w:rsidRPr="004E1DE3">
        <w:rPr>
          <w:lang w:val="en-CA"/>
        </w:rPr>
        <w:t>evidence</w:t>
      </w:r>
      <w:r w:rsidRPr="004E1DE3">
        <w:rPr>
          <w:lang w:val="en-CA"/>
        </w:rPr>
        <w:t xml:space="preserve"> filed in the context of this investigation</w:t>
      </w:r>
      <w:r w:rsidR="002160C6" w:rsidRPr="004E1DE3">
        <w:rPr>
          <w:lang w:val="en-CA"/>
        </w:rPr>
        <w:t>.</w:t>
      </w:r>
    </w:p>
    <w:p w14:paraId="0FAB9392" w14:textId="77777777" w:rsidR="007C2F47" w:rsidRPr="004E1DE3" w:rsidRDefault="00573CA9" w:rsidP="007C2F47">
      <w:pPr>
        <w:pStyle w:val="Paragrdouble"/>
        <w:tabs>
          <w:tab w:val="num" w:pos="851"/>
        </w:tabs>
        <w:spacing w:line="240" w:lineRule="auto"/>
        <w:ind w:left="0"/>
        <w:rPr>
          <w:lang w:val="en-CA"/>
        </w:rPr>
      </w:pPr>
      <w:r w:rsidRPr="004E1DE3">
        <w:rPr>
          <w:lang w:val="en-CA"/>
        </w:rPr>
        <w:t>A</w:t>
      </w:r>
      <w:r w:rsidR="007312E2" w:rsidRPr="004E1DE3">
        <w:rPr>
          <w:lang w:val="en-CA"/>
        </w:rPr>
        <w:t xml:space="preserve"> motion</w:t>
      </w:r>
      <w:r w:rsidR="00940EDA" w:rsidRPr="004E1DE3">
        <w:rPr>
          <w:lang w:val="en-CA"/>
        </w:rPr>
        <w:t xml:space="preserve"> </w:t>
      </w:r>
      <w:r w:rsidR="007312E2" w:rsidRPr="004E1DE3">
        <w:rPr>
          <w:lang w:val="en-CA"/>
        </w:rPr>
        <w:t xml:space="preserve">to certify a </w:t>
      </w:r>
      <w:r w:rsidR="00940EDA" w:rsidRPr="004E1DE3">
        <w:rPr>
          <w:lang w:val="en-CA"/>
        </w:rPr>
        <w:t>class</w:t>
      </w:r>
      <w:r w:rsidR="007312E2" w:rsidRPr="004E1DE3">
        <w:rPr>
          <w:lang w:val="en-CA"/>
        </w:rPr>
        <w:t xml:space="preserve"> </w:t>
      </w:r>
      <w:r w:rsidR="00940EDA" w:rsidRPr="004E1DE3">
        <w:rPr>
          <w:lang w:val="en-CA"/>
        </w:rPr>
        <w:t>action</w:t>
      </w:r>
      <w:r w:rsidR="007312E2" w:rsidRPr="004E1DE3">
        <w:rPr>
          <w:lang w:val="en-CA"/>
        </w:rPr>
        <w:t xml:space="preserve"> filed in </w:t>
      </w:r>
      <w:r w:rsidR="00940EDA" w:rsidRPr="004E1DE3">
        <w:rPr>
          <w:lang w:val="en-CA"/>
        </w:rPr>
        <w:t xml:space="preserve">Ontario </w:t>
      </w:r>
      <w:r w:rsidR="007312E2" w:rsidRPr="004E1DE3">
        <w:rPr>
          <w:lang w:val="en-CA"/>
        </w:rPr>
        <w:t xml:space="preserve">by </w:t>
      </w:r>
      <w:r w:rsidR="00940EDA" w:rsidRPr="004E1DE3">
        <w:rPr>
          <w:lang w:val="en-CA"/>
        </w:rPr>
        <w:t xml:space="preserve">Rina Del Giudice </w:t>
      </w:r>
      <w:r w:rsidR="00757DDC">
        <w:rPr>
          <w:lang w:val="en-CA"/>
        </w:rPr>
        <w:t xml:space="preserve">and </w:t>
      </w:r>
      <w:r w:rsidR="00940EDA" w:rsidRPr="004E1DE3">
        <w:rPr>
          <w:lang w:val="en-CA"/>
        </w:rPr>
        <w:t xml:space="preserve">Daniel Wood, </w:t>
      </w:r>
      <w:r w:rsidR="007312E2" w:rsidRPr="004E1DE3">
        <w:rPr>
          <w:lang w:val="en-CA"/>
        </w:rPr>
        <w:t xml:space="preserve">based on the same events as this case, brought against the </w:t>
      </w:r>
      <w:r w:rsidR="00940EDA" w:rsidRPr="004E1DE3">
        <w:rPr>
          <w:lang w:val="en-CA"/>
        </w:rPr>
        <w:t>Capital One</w:t>
      </w:r>
      <w:r w:rsidR="007312E2" w:rsidRPr="004E1DE3">
        <w:rPr>
          <w:lang w:val="en-CA"/>
        </w:rPr>
        <w:t xml:space="preserve"> group defendants and the Amazon group </w:t>
      </w:r>
      <w:r w:rsidR="00940EDA" w:rsidRPr="004E1DE3">
        <w:rPr>
          <w:lang w:val="en-CA"/>
        </w:rPr>
        <w:t>defendants,</w:t>
      </w:r>
      <w:r w:rsidR="007312E2" w:rsidRPr="004E1DE3">
        <w:rPr>
          <w:lang w:val="en-CA"/>
        </w:rPr>
        <w:t xml:space="preserve"> </w:t>
      </w:r>
      <w:r w:rsidR="00B52E7D">
        <w:rPr>
          <w:lang w:val="en-CA"/>
        </w:rPr>
        <w:t>like in this</w:t>
      </w:r>
      <w:r w:rsidR="007312E2" w:rsidRPr="004E1DE3">
        <w:rPr>
          <w:lang w:val="en-CA"/>
        </w:rPr>
        <w:t xml:space="preserve"> case, was dismissed on </w:t>
      </w:r>
      <w:r w:rsidR="00940EDA" w:rsidRPr="004E1DE3">
        <w:rPr>
          <w:lang w:val="en-CA"/>
        </w:rPr>
        <w:t>August</w:t>
      </w:r>
      <w:r w:rsidR="007312E2" w:rsidRPr="004E1DE3">
        <w:rPr>
          <w:lang w:val="en-CA"/>
        </w:rPr>
        <w:t xml:space="preserve"> 4,</w:t>
      </w:r>
      <w:r w:rsidR="00940EDA" w:rsidRPr="004E1DE3">
        <w:rPr>
          <w:lang w:val="en-CA"/>
        </w:rPr>
        <w:t xml:space="preserve"> 2021</w:t>
      </w:r>
      <w:r w:rsidR="007312E2" w:rsidRPr="004E1DE3">
        <w:rPr>
          <w:lang w:val="en-CA"/>
        </w:rPr>
        <w:t>, by the H</w:t>
      </w:r>
      <w:r w:rsidR="00940EDA" w:rsidRPr="004E1DE3">
        <w:rPr>
          <w:lang w:val="en-CA"/>
        </w:rPr>
        <w:t>onourable</w:t>
      </w:r>
      <w:r w:rsidR="007312E2" w:rsidRPr="004E1DE3">
        <w:rPr>
          <w:lang w:val="en-CA"/>
        </w:rPr>
        <w:t xml:space="preserve"> </w:t>
      </w:r>
      <w:r w:rsidR="00940EDA" w:rsidRPr="004E1DE3">
        <w:rPr>
          <w:lang w:val="en-CA"/>
        </w:rPr>
        <w:t xml:space="preserve">Paul M. Perell </w:t>
      </w:r>
      <w:r w:rsidR="007312E2" w:rsidRPr="004E1DE3">
        <w:rPr>
          <w:lang w:val="en-CA"/>
        </w:rPr>
        <w:t xml:space="preserve">J. of the Ontario </w:t>
      </w:r>
      <w:r w:rsidR="00940EDA" w:rsidRPr="004E1DE3">
        <w:rPr>
          <w:lang w:val="en-CA"/>
        </w:rPr>
        <w:t>Superior</w:t>
      </w:r>
      <w:r w:rsidR="007312E2" w:rsidRPr="004E1DE3">
        <w:rPr>
          <w:lang w:val="en-CA"/>
        </w:rPr>
        <w:t xml:space="preserve"> </w:t>
      </w:r>
      <w:r w:rsidR="00940EDA" w:rsidRPr="004E1DE3">
        <w:rPr>
          <w:lang w:val="en-CA"/>
        </w:rPr>
        <w:t>Court</w:t>
      </w:r>
      <w:r w:rsidR="007312E2" w:rsidRPr="004E1DE3">
        <w:rPr>
          <w:lang w:val="en-CA"/>
        </w:rPr>
        <w:t xml:space="preserve"> of Justice.</w:t>
      </w:r>
      <w:r>
        <w:rPr>
          <w:rStyle w:val="Appelnotedebasdep"/>
          <w:lang w:val="en-CA"/>
        </w:rPr>
        <w:footnoteReference w:id="3"/>
      </w:r>
    </w:p>
    <w:p w14:paraId="4449055E" w14:textId="77777777" w:rsidR="007C2F47" w:rsidRPr="004E1DE3" w:rsidRDefault="00573CA9" w:rsidP="007D1A3F">
      <w:pPr>
        <w:pStyle w:val="Paragrdouble"/>
        <w:tabs>
          <w:tab w:val="num" w:pos="851"/>
        </w:tabs>
        <w:spacing w:line="240" w:lineRule="auto"/>
        <w:ind w:left="0"/>
        <w:rPr>
          <w:lang w:val="en-CA"/>
        </w:rPr>
      </w:pPr>
      <w:r w:rsidRPr="004E1DE3">
        <w:rPr>
          <w:lang w:val="en-CA"/>
        </w:rPr>
        <w:t>Procedural issues and other issues of that nature seem to have been determinative in that case</w:t>
      </w:r>
      <w:r w:rsidR="00940EDA" w:rsidRPr="004E1DE3">
        <w:rPr>
          <w:lang w:val="en-CA"/>
        </w:rPr>
        <w:t>.</w:t>
      </w:r>
    </w:p>
    <w:p w14:paraId="405FC79E" w14:textId="77777777" w:rsidR="00374427" w:rsidRPr="004E1DE3" w:rsidRDefault="00573CA9" w:rsidP="007D1A3F">
      <w:pPr>
        <w:pStyle w:val="Paragrdouble"/>
        <w:tabs>
          <w:tab w:val="num" w:pos="851"/>
        </w:tabs>
        <w:spacing w:line="240" w:lineRule="auto"/>
        <w:ind w:left="0"/>
        <w:rPr>
          <w:lang w:val="en-CA"/>
        </w:rPr>
      </w:pPr>
      <w:r w:rsidRPr="004E1DE3">
        <w:rPr>
          <w:lang w:val="en-CA"/>
        </w:rPr>
        <w:lastRenderedPageBreak/>
        <w:t xml:space="preserve">Another </w:t>
      </w:r>
      <w:r w:rsidR="002E67AF" w:rsidRPr="004E1DE3">
        <w:rPr>
          <w:lang w:val="en-CA"/>
        </w:rPr>
        <w:t>application</w:t>
      </w:r>
      <w:r w:rsidRPr="004E1DE3">
        <w:rPr>
          <w:lang w:val="en-CA"/>
        </w:rPr>
        <w:t xml:space="preserve"> to </w:t>
      </w:r>
      <w:r w:rsidR="002E67AF" w:rsidRPr="004E1DE3">
        <w:rPr>
          <w:lang w:val="en-CA"/>
        </w:rPr>
        <w:t>certif</w:t>
      </w:r>
      <w:r w:rsidRPr="004E1DE3">
        <w:rPr>
          <w:lang w:val="en-CA"/>
        </w:rPr>
        <w:t xml:space="preserve">y a </w:t>
      </w:r>
      <w:r w:rsidR="002E67AF" w:rsidRPr="004E1DE3">
        <w:rPr>
          <w:lang w:val="en-CA"/>
        </w:rPr>
        <w:t>class</w:t>
      </w:r>
      <w:r w:rsidRPr="004E1DE3">
        <w:rPr>
          <w:lang w:val="en-CA"/>
        </w:rPr>
        <w:t xml:space="preserve"> </w:t>
      </w:r>
      <w:r w:rsidR="002E67AF" w:rsidRPr="004E1DE3">
        <w:rPr>
          <w:lang w:val="en-CA"/>
        </w:rPr>
        <w:t>action</w:t>
      </w:r>
      <w:r w:rsidRPr="004E1DE3">
        <w:rPr>
          <w:lang w:val="en-CA"/>
        </w:rPr>
        <w:t xml:space="preserve"> against only the </w:t>
      </w:r>
      <w:r w:rsidR="002E67AF" w:rsidRPr="004E1DE3">
        <w:rPr>
          <w:lang w:val="en-CA"/>
        </w:rPr>
        <w:t xml:space="preserve">Capital One </w:t>
      </w:r>
      <w:r w:rsidRPr="004E1DE3">
        <w:rPr>
          <w:lang w:val="en-CA"/>
        </w:rPr>
        <w:t xml:space="preserve">group defendants was filed in </w:t>
      </w:r>
      <w:r w:rsidR="002E67AF" w:rsidRPr="004E1DE3">
        <w:rPr>
          <w:lang w:val="en-CA"/>
        </w:rPr>
        <w:t>British</w:t>
      </w:r>
      <w:r w:rsidRPr="004E1DE3">
        <w:rPr>
          <w:lang w:val="en-CA"/>
        </w:rPr>
        <w:t xml:space="preserve"> </w:t>
      </w:r>
      <w:r w:rsidR="002E67AF" w:rsidRPr="004E1DE3">
        <w:rPr>
          <w:lang w:val="en-CA"/>
        </w:rPr>
        <w:t>Columbia</w:t>
      </w:r>
      <w:r w:rsidRPr="004E1DE3">
        <w:rPr>
          <w:lang w:val="en-CA"/>
        </w:rPr>
        <w:t xml:space="preserve"> by </w:t>
      </w:r>
      <w:r w:rsidR="00940EDA" w:rsidRPr="00B52E7D">
        <w:rPr>
          <w:lang w:val="en-CA"/>
        </w:rPr>
        <w:t>Duncan Campbell</w:t>
      </w:r>
      <w:r w:rsidR="00940EDA" w:rsidRPr="004E1DE3">
        <w:rPr>
          <w:i/>
          <w:iCs/>
          <w:lang w:val="en-CA"/>
        </w:rPr>
        <w:t>.</w:t>
      </w:r>
    </w:p>
    <w:p w14:paraId="3579E01A" w14:textId="77777777" w:rsidR="0024050B" w:rsidRPr="004E1DE3" w:rsidRDefault="00573CA9" w:rsidP="007D1A3F">
      <w:pPr>
        <w:pStyle w:val="Paragrdouble"/>
        <w:tabs>
          <w:tab w:val="num" w:pos="851"/>
        </w:tabs>
        <w:spacing w:line="240" w:lineRule="auto"/>
        <w:ind w:left="0"/>
        <w:rPr>
          <w:lang w:val="en-CA"/>
        </w:rPr>
      </w:pPr>
      <w:r w:rsidRPr="004E1DE3">
        <w:rPr>
          <w:lang w:val="en-CA"/>
        </w:rPr>
        <w:t xml:space="preserve">That </w:t>
      </w:r>
      <w:r w:rsidR="00881FD9" w:rsidRPr="004E1DE3">
        <w:rPr>
          <w:lang w:val="en-CA"/>
        </w:rPr>
        <w:t>application</w:t>
      </w:r>
      <w:r w:rsidRPr="004E1DE3">
        <w:rPr>
          <w:lang w:val="en-CA"/>
        </w:rPr>
        <w:t xml:space="preserve"> is based on the same events as those invoked in this case, and the </w:t>
      </w:r>
      <w:r w:rsidR="00881FD9" w:rsidRPr="004E1DE3">
        <w:rPr>
          <w:lang w:val="en-CA"/>
        </w:rPr>
        <w:t>class</w:t>
      </w:r>
      <w:r w:rsidRPr="004E1DE3">
        <w:rPr>
          <w:lang w:val="en-CA"/>
        </w:rPr>
        <w:t xml:space="preserve"> </w:t>
      </w:r>
      <w:r w:rsidR="00881FD9" w:rsidRPr="004E1DE3">
        <w:rPr>
          <w:lang w:val="en-CA"/>
        </w:rPr>
        <w:t>action</w:t>
      </w:r>
      <w:r w:rsidRPr="004E1DE3">
        <w:rPr>
          <w:lang w:val="en-CA"/>
        </w:rPr>
        <w:t xml:space="preserve"> was certified on </w:t>
      </w:r>
      <w:r w:rsidR="00881FD9" w:rsidRPr="004E1DE3">
        <w:rPr>
          <w:lang w:val="en-CA"/>
        </w:rPr>
        <w:t>June</w:t>
      </w:r>
      <w:r w:rsidRPr="004E1DE3">
        <w:rPr>
          <w:lang w:val="en-CA"/>
        </w:rPr>
        <w:t xml:space="preserve"> 3,</w:t>
      </w:r>
      <w:r w:rsidR="00881FD9" w:rsidRPr="004E1DE3">
        <w:rPr>
          <w:lang w:val="en-CA"/>
        </w:rPr>
        <w:t xml:space="preserve"> 2022</w:t>
      </w:r>
      <w:r w:rsidRPr="004E1DE3">
        <w:rPr>
          <w:lang w:val="en-CA"/>
        </w:rPr>
        <w:t>, by the H</w:t>
      </w:r>
      <w:r w:rsidR="00881FD9" w:rsidRPr="004E1DE3">
        <w:rPr>
          <w:lang w:val="en-CA"/>
        </w:rPr>
        <w:t>onourable</w:t>
      </w:r>
      <w:r w:rsidRPr="004E1DE3">
        <w:rPr>
          <w:lang w:val="en-CA"/>
        </w:rPr>
        <w:t xml:space="preserve"> </w:t>
      </w:r>
      <w:r w:rsidR="00881FD9" w:rsidRPr="004E1DE3">
        <w:rPr>
          <w:lang w:val="en-CA"/>
        </w:rPr>
        <w:t>Nitya Iyer</w:t>
      </w:r>
      <w:r w:rsidRPr="004E1DE3">
        <w:rPr>
          <w:lang w:val="en-CA"/>
        </w:rPr>
        <w:t xml:space="preserve"> J. of the Supreme Court of </w:t>
      </w:r>
      <w:r w:rsidR="00881FD9" w:rsidRPr="004E1DE3">
        <w:rPr>
          <w:lang w:val="en-CA"/>
        </w:rPr>
        <w:t>British</w:t>
      </w:r>
      <w:r w:rsidRPr="004E1DE3">
        <w:rPr>
          <w:lang w:val="en-CA"/>
        </w:rPr>
        <w:t xml:space="preserve"> </w:t>
      </w:r>
      <w:r w:rsidR="00881FD9" w:rsidRPr="004E1DE3">
        <w:rPr>
          <w:lang w:val="en-CA"/>
        </w:rPr>
        <w:t>Columbia</w:t>
      </w:r>
      <w:r w:rsidRPr="004E1DE3">
        <w:rPr>
          <w:lang w:val="en-CA"/>
        </w:rPr>
        <w:t>.</w:t>
      </w:r>
      <w:r>
        <w:rPr>
          <w:rStyle w:val="Appelnotedebasdep"/>
          <w:lang w:val="en-CA"/>
        </w:rPr>
        <w:footnoteReference w:id="4"/>
      </w:r>
    </w:p>
    <w:p w14:paraId="1F9707E9" w14:textId="77777777" w:rsidR="008369A9" w:rsidRPr="004E1DE3" w:rsidRDefault="00573CA9" w:rsidP="00F72384">
      <w:pPr>
        <w:pStyle w:val="Paragrsimple"/>
        <w:tabs>
          <w:tab w:val="clear" w:pos="4755"/>
          <w:tab w:val="left" w:pos="851"/>
        </w:tabs>
        <w:ind w:left="0"/>
        <w:rPr>
          <w:lang w:val="en-CA"/>
        </w:rPr>
      </w:pPr>
      <w:r w:rsidRPr="004E1DE3">
        <w:rPr>
          <w:lang w:val="en-CA"/>
        </w:rPr>
        <w:t xml:space="preserve">While a reading of these two judgments may be quite instructive and inspiring for the undersigned, </w:t>
      </w:r>
      <w:r w:rsidR="00FA11CA" w:rsidRPr="004E1DE3">
        <w:rPr>
          <w:lang w:val="en-CA"/>
        </w:rPr>
        <w:t xml:space="preserve">and although they were rendered in Canada, these judgments cannot be invoked in this case as having acquired the authority of </w:t>
      </w:r>
      <w:r w:rsidR="00FA11CA" w:rsidRPr="004E1DE3">
        <w:rPr>
          <w:i/>
          <w:iCs/>
          <w:lang w:val="en-CA"/>
        </w:rPr>
        <w:t xml:space="preserve">res judicata </w:t>
      </w:r>
      <w:r w:rsidR="00FA11CA" w:rsidRPr="004E1DE3">
        <w:rPr>
          <w:lang w:val="en-CA"/>
        </w:rPr>
        <w:t xml:space="preserve">because they were rendered in other </w:t>
      </w:r>
      <w:r w:rsidR="00940EDA" w:rsidRPr="004E1DE3">
        <w:rPr>
          <w:lang w:val="en-CA"/>
        </w:rPr>
        <w:t>jurisdictions</w:t>
      </w:r>
      <w:r w:rsidR="00FA11CA" w:rsidRPr="004E1DE3">
        <w:rPr>
          <w:lang w:val="en-CA"/>
        </w:rPr>
        <w:t xml:space="preserve"> and involve different complainants</w:t>
      </w:r>
      <w:r w:rsidR="00940EDA" w:rsidRPr="004E1DE3">
        <w:rPr>
          <w:lang w:val="en-CA"/>
        </w:rPr>
        <w:t>.</w:t>
      </w:r>
    </w:p>
    <w:p w14:paraId="00172D8C" w14:textId="77777777" w:rsidR="00621CDD" w:rsidRPr="004E1DE3" w:rsidRDefault="00573CA9" w:rsidP="00F72384">
      <w:pPr>
        <w:pStyle w:val="Paragrsimple"/>
        <w:tabs>
          <w:tab w:val="clear" w:pos="4755"/>
          <w:tab w:val="left" w:pos="851"/>
        </w:tabs>
        <w:ind w:left="0"/>
        <w:rPr>
          <w:lang w:val="en-CA"/>
        </w:rPr>
      </w:pPr>
      <w:r w:rsidRPr="004E1DE3">
        <w:rPr>
          <w:lang w:val="en-CA"/>
        </w:rPr>
        <w:t>Moreover, th</w:t>
      </w:r>
      <w:r w:rsidR="009E05EF">
        <w:rPr>
          <w:lang w:val="en-CA"/>
        </w:rPr>
        <w:t>o</w:t>
      </w:r>
      <w:r w:rsidRPr="004E1DE3">
        <w:rPr>
          <w:lang w:val="en-CA"/>
        </w:rPr>
        <w:t xml:space="preserve">se </w:t>
      </w:r>
      <w:r w:rsidR="00CA2509" w:rsidRPr="004E1DE3">
        <w:rPr>
          <w:lang w:val="en-CA"/>
        </w:rPr>
        <w:t>ju</w:t>
      </w:r>
      <w:r w:rsidRPr="004E1DE3">
        <w:rPr>
          <w:lang w:val="en-CA"/>
        </w:rPr>
        <w:t>d</w:t>
      </w:r>
      <w:r w:rsidR="00CA2509" w:rsidRPr="004E1DE3">
        <w:rPr>
          <w:lang w:val="en-CA"/>
        </w:rPr>
        <w:t xml:space="preserve">gments </w:t>
      </w:r>
      <w:r w:rsidRPr="004E1DE3">
        <w:rPr>
          <w:lang w:val="en-CA"/>
        </w:rPr>
        <w:t xml:space="preserve">do not bind the </w:t>
      </w:r>
      <w:r w:rsidR="00CA2509" w:rsidRPr="004E1DE3">
        <w:rPr>
          <w:lang w:val="en-CA"/>
        </w:rPr>
        <w:t>Court</w:t>
      </w:r>
      <w:r w:rsidRPr="004E1DE3">
        <w:rPr>
          <w:lang w:val="en-CA"/>
        </w:rPr>
        <w:t xml:space="preserve"> on the </w:t>
      </w:r>
      <w:r w:rsidR="00CA2509" w:rsidRPr="004E1DE3">
        <w:rPr>
          <w:lang w:val="en-CA"/>
        </w:rPr>
        <w:t>applicable</w:t>
      </w:r>
      <w:r w:rsidRPr="004E1DE3">
        <w:rPr>
          <w:lang w:val="en-CA"/>
        </w:rPr>
        <w:t xml:space="preserve"> </w:t>
      </w:r>
      <w:r w:rsidR="00CA2509" w:rsidRPr="004E1DE3">
        <w:rPr>
          <w:lang w:val="en-CA"/>
        </w:rPr>
        <w:t>law</w:t>
      </w:r>
      <w:r w:rsidRPr="004E1DE3">
        <w:rPr>
          <w:lang w:val="en-CA"/>
        </w:rPr>
        <w:t xml:space="preserve"> in this case, even though the complainants have a cause of action that it similar to that of the plaintiffs in this case, because the </w:t>
      </w:r>
      <w:r w:rsidR="00CA2509" w:rsidRPr="004E1DE3">
        <w:rPr>
          <w:lang w:val="en-CA"/>
        </w:rPr>
        <w:t xml:space="preserve">certification </w:t>
      </w:r>
      <w:r w:rsidRPr="004E1DE3">
        <w:rPr>
          <w:lang w:val="en-CA"/>
        </w:rPr>
        <w:t xml:space="preserve">judgments were rendered on the basis of different legal </w:t>
      </w:r>
      <w:r w:rsidR="00CA2509" w:rsidRPr="004E1DE3">
        <w:rPr>
          <w:lang w:val="en-CA"/>
        </w:rPr>
        <w:t>principles</w:t>
      </w:r>
      <w:r w:rsidRPr="004E1DE3">
        <w:rPr>
          <w:lang w:val="en-CA"/>
        </w:rPr>
        <w:t xml:space="preserve">, in terms of both </w:t>
      </w:r>
      <w:r w:rsidR="00CA2509" w:rsidRPr="004E1DE3">
        <w:rPr>
          <w:lang w:val="en-CA"/>
        </w:rPr>
        <w:t>class</w:t>
      </w:r>
      <w:r w:rsidRPr="004E1DE3">
        <w:rPr>
          <w:lang w:val="en-CA"/>
        </w:rPr>
        <w:t xml:space="preserve"> </w:t>
      </w:r>
      <w:r w:rsidR="00CA2509" w:rsidRPr="004E1DE3">
        <w:rPr>
          <w:lang w:val="en-CA"/>
        </w:rPr>
        <w:t>action</w:t>
      </w:r>
      <w:r w:rsidRPr="004E1DE3">
        <w:rPr>
          <w:lang w:val="en-CA"/>
        </w:rPr>
        <w:t xml:space="preserve"> certification and </w:t>
      </w:r>
      <w:r w:rsidR="00CA2509" w:rsidRPr="004E1DE3">
        <w:rPr>
          <w:lang w:val="en-CA"/>
        </w:rPr>
        <w:t>civil</w:t>
      </w:r>
      <w:r w:rsidRPr="004E1DE3">
        <w:rPr>
          <w:lang w:val="en-CA"/>
        </w:rPr>
        <w:t xml:space="preserve"> </w:t>
      </w:r>
      <w:r w:rsidR="00CA2509" w:rsidRPr="004E1DE3">
        <w:rPr>
          <w:lang w:val="en-CA"/>
        </w:rPr>
        <w:t>liability,</w:t>
      </w:r>
      <w:r w:rsidRPr="004E1DE3">
        <w:rPr>
          <w:lang w:val="en-CA"/>
        </w:rPr>
        <w:t xml:space="preserve"> and beca</w:t>
      </w:r>
      <w:r w:rsidR="000C3053" w:rsidRPr="004E1DE3">
        <w:rPr>
          <w:lang w:val="en-CA"/>
        </w:rPr>
        <w:t>u</w:t>
      </w:r>
      <w:r w:rsidRPr="004E1DE3">
        <w:rPr>
          <w:lang w:val="en-CA"/>
        </w:rPr>
        <w:t>se th</w:t>
      </w:r>
      <w:r w:rsidR="009E05EF">
        <w:rPr>
          <w:lang w:val="en-CA"/>
        </w:rPr>
        <w:t>o</w:t>
      </w:r>
      <w:r w:rsidRPr="004E1DE3">
        <w:rPr>
          <w:lang w:val="en-CA"/>
        </w:rPr>
        <w:t xml:space="preserve">se </w:t>
      </w:r>
      <w:r w:rsidR="00CA2509" w:rsidRPr="004E1DE3">
        <w:rPr>
          <w:lang w:val="en-CA"/>
        </w:rPr>
        <w:t xml:space="preserve">principles </w:t>
      </w:r>
      <w:r w:rsidR="008715CF" w:rsidRPr="004E1DE3">
        <w:rPr>
          <w:lang w:val="en-CA"/>
        </w:rPr>
        <w:t xml:space="preserve">come from distinct </w:t>
      </w:r>
      <w:r w:rsidR="00CA2509" w:rsidRPr="004E1DE3">
        <w:rPr>
          <w:lang w:val="en-CA"/>
        </w:rPr>
        <w:t>statutory</w:t>
      </w:r>
      <w:r w:rsidR="008715CF" w:rsidRPr="004E1DE3">
        <w:rPr>
          <w:lang w:val="en-CA"/>
        </w:rPr>
        <w:t xml:space="preserve"> </w:t>
      </w:r>
      <w:r w:rsidR="00CA2509" w:rsidRPr="004E1DE3">
        <w:rPr>
          <w:lang w:val="en-CA"/>
        </w:rPr>
        <w:t>provisions</w:t>
      </w:r>
      <w:r w:rsidR="008715CF" w:rsidRPr="004E1DE3">
        <w:rPr>
          <w:lang w:val="en-CA"/>
        </w:rPr>
        <w:t xml:space="preserve"> and </w:t>
      </w:r>
      <w:r w:rsidR="006D6E4D" w:rsidRPr="004E1DE3">
        <w:rPr>
          <w:lang w:val="en-CA"/>
        </w:rPr>
        <w:t>common law</w:t>
      </w:r>
      <w:r w:rsidR="0099484A" w:rsidRPr="004E1DE3">
        <w:rPr>
          <w:lang w:val="en-CA"/>
        </w:rPr>
        <w:t xml:space="preserve">, </w:t>
      </w:r>
      <w:r w:rsidR="008715CF" w:rsidRPr="004E1DE3">
        <w:rPr>
          <w:lang w:val="en-CA"/>
        </w:rPr>
        <w:t xml:space="preserve">and are not </w:t>
      </w:r>
      <w:r w:rsidR="003E3040" w:rsidRPr="004E1DE3">
        <w:rPr>
          <w:lang w:val="en-CA"/>
        </w:rPr>
        <w:t>applicable</w:t>
      </w:r>
      <w:r w:rsidR="008715CF" w:rsidRPr="004E1DE3">
        <w:rPr>
          <w:lang w:val="en-CA"/>
        </w:rPr>
        <w:t xml:space="preserve"> in</w:t>
      </w:r>
      <w:r w:rsidR="003E3040" w:rsidRPr="004E1DE3">
        <w:rPr>
          <w:lang w:val="en-CA"/>
        </w:rPr>
        <w:t xml:space="preserve"> Qu</w:t>
      </w:r>
      <w:r w:rsidR="008715CF" w:rsidRPr="004E1DE3">
        <w:rPr>
          <w:lang w:val="en-CA"/>
        </w:rPr>
        <w:t>e</w:t>
      </w:r>
      <w:r w:rsidR="003E3040" w:rsidRPr="004E1DE3">
        <w:rPr>
          <w:lang w:val="en-CA"/>
        </w:rPr>
        <w:t xml:space="preserve">bec. </w:t>
      </w:r>
    </w:p>
    <w:p w14:paraId="143AF44E" w14:textId="77777777" w:rsidR="002B60A9" w:rsidRPr="004E1DE3" w:rsidRDefault="00573CA9" w:rsidP="00BD01E0">
      <w:pPr>
        <w:pStyle w:val="Titre1"/>
        <w:rPr>
          <w:lang w:val="en-CA"/>
        </w:rPr>
      </w:pPr>
      <w:bookmarkStart w:id="3" w:name="_Toc256000001"/>
      <w:bookmarkStart w:id="4" w:name="_Toc148419864"/>
      <w:r w:rsidRPr="004E1DE3">
        <w:rPr>
          <w:lang w:val="en-CA"/>
        </w:rPr>
        <w:t>ANALYSIS</w:t>
      </w:r>
      <w:bookmarkEnd w:id="3"/>
      <w:bookmarkEnd w:id="4"/>
    </w:p>
    <w:p w14:paraId="34BB20C4" w14:textId="77777777" w:rsidR="002B60A9" w:rsidRPr="004E1DE3" w:rsidRDefault="00573CA9" w:rsidP="00BD01E0">
      <w:pPr>
        <w:pStyle w:val="Titre2"/>
        <w:rPr>
          <w:lang w:val="en-CA"/>
        </w:rPr>
      </w:pPr>
      <w:bookmarkStart w:id="5" w:name="_Toc256000002"/>
      <w:bookmarkStart w:id="6" w:name="_Toc148419865"/>
      <w:r w:rsidRPr="004E1DE3">
        <w:rPr>
          <w:lang w:val="en-CA"/>
        </w:rPr>
        <w:t>Issues</w:t>
      </w:r>
      <w:bookmarkEnd w:id="5"/>
      <w:bookmarkEnd w:id="6"/>
    </w:p>
    <w:p w14:paraId="09E4CAD4" w14:textId="77777777" w:rsidR="002B60A9" w:rsidRPr="004E1DE3" w:rsidRDefault="00573CA9" w:rsidP="007D1A3F">
      <w:pPr>
        <w:pStyle w:val="Paragrdouble"/>
        <w:tabs>
          <w:tab w:val="num" w:pos="851"/>
        </w:tabs>
        <w:spacing w:line="240" w:lineRule="auto"/>
        <w:ind w:left="0"/>
        <w:rPr>
          <w:lang w:val="en-CA"/>
        </w:rPr>
      </w:pPr>
      <w:r w:rsidRPr="004E1DE3">
        <w:rPr>
          <w:lang w:val="en-CA"/>
        </w:rPr>
        <w:t xml:space="preserve">The plaintiffs claim that the </w:t>
      </w:r>
      <w:r w:rsidR="00940EDA" w:rsidRPr="004E1DE3">
        <w:rPr>
          <w:lang w:val="en-CA"/>
        </w:rPr>
        <w:t xml:space="preserve">Capital One </w:t>
      </w:r>
      <w:r w:rsidRPr="004E1DE3">
        <w:rPr>
          <w:lang w:val="en-CA"/>
        </w:rPr>
        <w:t xml:space="preserve">group defendants and the </w:t>
      </w:r>
      <w:r w:rsidR="00940EDA" w:rsidRPr="004E1DE3">
        <w:rPr>
          <w:lang w:val="en-CA"/>
        </w:rPr>
        <w:t xml:space="preserve">Amazon </w:t>
      </w:r>
      <w:r w:rsidRPr="004E1DE3">
        <w:rPr>
          <w:lang w:val="en-CA"/>
        </w:rPr>
        <w:t xml:space="preserve">group defendants must compensate them solidarily for the injury they suffered, as well as all the </w:t>
      </w:r>
      <w:r w:rsidR="0065170F" w:rsidRPr="004E1DE3">
        <w:rPr>
          <w:lang w:val="en-CA"/>
        </w:rPr>
        <w:t xml:space="preserve">putative </w:t>
      </w:r>
      <w:r w:rsidRPr="004E1DE3">
        <w:rPr>
          <w:lang w:val="en-CA"/>
        </w:rPr>
        <w:t xml:space="preserve">members of the </w:t>
      </w:r>
      <w:r w:rsidR="0065170F">
        <w:rPr>
          <w:lang w:val="en-CA"/>
        </w:rPr>
        <w:t>class</w:t>
      </w:r>
      <w:r w:rsidR="00940EDA" w:rsidRPr="004E1DE3">
        <w:rPr>
          <w:lang w:val="en-CA"/>
        </w:rPr>
        <w:t xml:space="preserve"> identifi</w:t>
      </w:r>
      <w:r w:rsidRPr="004E1DE3">
        <w:rPr>
          <w:lang w:val="en-CA"/>
        </w:rPr>
        <w:t>ed by the plaintiffs and designated as follows</w:t>
      </w:r>
      <w:r w:rsidR="00940EDA" w:rsidRPr="004E1DE3">
        <w:rPr>
          <w:lang w:val="en-CA"/>
        </w:rPr>
        <w:t>:</w:t>
      </w:r>
    </w:p>
    <w:p w14:paraId="2945DD31" w14:textId="77777777" w:rsidR="002B60A9" w:rsidRPr="004E1DE3" w:rsidRDefault="00573CA9" w:rsidP="007D1A3F">
      <w:pPr>
        <w:pStyle w:val="Paragrdouble"/>
        <w:numPr>
          <w:ilvl w:val="0"/>
          <w:numId w:val="0"/>
        </w:numPr>
        <w:spacing w:line="240" w:lineRule="auto"/>
        <w:ind w:left="851" w:right="537"/>
        <w:rPr>
          <w:sz w:val="23"/>
          <w:szCs w:val="23"/>
          <w:lang w:val="en-CA"/>
        </w:rPr>
      </w:pPr>
      <w:r w:rsidRPr="004E1DE3">
        <w:rPr>
          <w:sz w:val="23"/>
          <w:szCs w:val="23"/>
          <w:lang w:val="en-CA"/>
        </w:rPr>
        <w:t>all persons, entities, or organizations resident in Quebec who were either Capital One Credit Card holders or who had applied for a Capital One Credit Card and whose personal and private information was compromised by the incident that occurred on or about March 22 and 23, 2019 (though such breach was only disclosed to the public on July 29, 2019), or any other group to be determined by the Court;</w:t>
      </w:r>
    </w:p>
    <w:p w14:paraId="784360C9" w14:textId="77777777" w:rsidR="00791D94" w:rsidRPr="004E1DE3" w:rsidRDefault="00573CA9" w:rsidP="007D1A3F">
      <w:pPr>
        <w:pStyle w:val="Paragrdouble"/>
        <w:tabs>
          <w:tab w:val="num" w:pos="851"/>
        </w:tabs>
        <w:spacing w:line="240" w:lineRule="auto"/>
        <w:ind w:left="0"/>
        <w:rPr>
          <w:lang w:val="en-CA"/>
        </w:rPr>
      </w:pPr>
      <w:r w:rsidRPr="004E1DE3">
        <w:rPr>
          <w:lang w:val="en-CA"/>
        </w:rPr>
        <w:t xml:space="preserve">In the </w:t>
      </w:r>
      <w:r w:rsidR="00C239EA" w:rsidRPr="004E1DE3">
        <w:rPr>
          <w:lang w:val="en-CA"/>
        </w:rPr>
        <w:t xml:space="preserve">conclusions </w:t>
      </w:r>
      <w:r w:rsidRPr="004E1DE3">
        <w:rPr>
          <w:lang w:val="en-CA"/>
        </w:rPr>
        <w:t>of their A</w:t>
      </w:r>
      <w:r w:rsidR="00C239EA" w:rsidRPr="004E1DE3">
        <w:rPr>
          <w:lang w:val="en-CA"/>
        </w:rPr>
        <w:t>pplication,</w:t>
      </w:r>
      <w:r w:rsidRPr="004E1DE3">
        <w:rPr>
          <w:lang w:val="en-CA"/>
        </w:rPr>
        <w:t xml:space="preserve"> the plaintiffs identify twelve </w:t>
      </w:r>
      <w:r w:rsidR="00C239EA" w:rsidRPr="004E1DE3">
        <w:rPr>
          <w:lang w:val="en-CA"/>
        </w:rPr>
        <w:t>(12) questions</w:t>
      </w:r>
      <w:r w:rsidR="004D1D5E" w:rsidRPr="004E1DE3">
        <w:rPr>
          <w:lang w:val="en-CA"/>
        </w:rPr>
        <w:t xml:space="preserve"> </w:t>
      </w:r>
      <w:r w:rsidR="00C239EA" w:rsidRPr="004E1DE3">
        <w:rPr>
          <w:lang w:val="en-CA"/>
        </w:rPr>
        <w:t>of</w:t>
      </w:r>
      <w:r w:rsidR="004D1D5E" w:rsidRPr="004E1DE3">
        <w:rPr>
          <w:lang w:val="en-CA"/>
        </w:rPr>
        <w:t xml:space="preserve"> </w:t>
      </w:r>
      <w:r w:rsidR="00C239EA" w:rsidRPr="004E1DE3">
        <w:rPr>
          <w:lang w:val="en-CA"/>
        </w:rPr>
        <w:t>fact</w:t>
      </w:r>
      <w:r w:rsidR="004D1D5E" w:rsidRPr="004E1DE3">
        <w:rPr>
          <w:lang w:val="en-CA"/>
        </w:rPr>
        <w:t xml:space="preserve"> and of law that they consider to be common to the putative </w:t>
      </w:r>
      <w:r w:rsidR="007528F6">
        <w:rPr>
          <w:lang w:val="en-CA"/>
        </w:rPr>
        <w:t xml:space="preserve">class </w:t>
      </w:r>
      <w:r w:rsidR="004D1D5E" w:rsidRPr="004E1DE3">
        <w:rPr>
          <w:lang w:val="en-CA"/>
        </w:rPr>
        <w:t xml:space="preserve">members and that should be debated before the </w:t>
      </w:r>
      <w:r w:rsidR="00C239EA" w:rsidRPr="004E1DE3">
        <w:rPr>
          <w:lang w:val="en-CA"/>
        </w:rPr>
        <w:t>Court</w:t>
      </w:r>
      <w:r w:rsidR="004D1D5E" w:rsidRPr="004E1DE3">
        <w:rPr>
          <w:lang w:val="en-CA"/>
        </w:rPr>
        <w:t xml:space="preserve"> so that it may determine, in the context of the proposed </w:t>
      </w:r>
      <w:r w:rsidR="00C239EA" w:rsidRPr="004E1DE3">
        <w:rPr>
          <w:lang w:val="en-CA"/>
        </w:rPr>
        <w:t>class</w:t>
      </w:r>
      <w:r w:rsidR="004D1D5E" w:rsidRPr="004E1DE3">
        <w:rPr>
          <w:lang w:val="en-CA"/>
        </w:rPr>
        <w:t xml:space="preserve"> </w:t>
      </w:r>
      <w:r w:rsidR="00C239EA" w:rsidRPr="004E1DE3">
        <w:rPr>
          <w:lang w:val="en-CA"/>
        </w:rPr>
        <w:t>action</w:t>
      </w:r>
      <w:r w:rsidR="004D1D5E" w:rsidRPr="004E1DE3">
        <w:rPr>
          <w:lang w:val="en-CA"/>
        </w:rPr>
        <w:t xml:space="preserve">, whether the </w:t>
      </w:r>
      <w:r w:rsidR="00C239EA" w:rsidRPr="004E1DE3">
        <w:rPr>
          <w:lang w:val="en-CA"/>
        </w:rPr>
        <w:t>defendants</w:t>
      </w:r>
      <w:r w:rsidR="004D1D5E" w:rsidRPr="004E1DE3">
        <w:rPr>
          <w:lang w:val="en-CA"/>
        </w:rPr>
        <w:t xml:space="preserve"> are liable for the damages they claim</w:t>
      </w:r>
      <w:r w:rsidR="00C239EA" w:rsidRPr="004E1DE3">
        <w:rPr>
          <w:lang w:val="en-CA"/>
        </w:rPr>
        <w:t>.</w:t>
      </w:r>
    </w:p>
    <w:p w14:paraId="4BE503DE" w14:textId="77777777" w:rsidR="006343D0" w:rsidRPr="004E1DE3" w:rsidRDefault="00573CA9" w:rsidP="007D1A3F">
      <w:pPr>
        <w:pStyle w:val="Paragrdouble"/>
        <w:tabs>
          <w:tab w:val="num" w:pos="851"/>
        </w:tabs>
        <w:spacing w:line="240" w:lineRule="auto"/>
        <w:ind w:left="0"/>
        <w:rPr>
          <w:lang w:val="en-CA"/>
        </w:rPr>
      </w:pPr>
      <w:r w:rsidRPr="004E1DE3">
        <w:rPr>
          <w:lang w:val="en-CA"/>
        </w:rPr>
        <w:t>Essenti</w:t>
      </w:r>
      <w:r w:rsidR="0015199D" w:rsidRPr="004E1DE3">
        <w:rPr>
          <w:lang w:val="en-CA"/>
        </w:rPr>
        <w:t xml:space="preserve">ally, they allege that the </w:t>
      </w:r>
      <w:r w:rsidRPr="004E1DE3">
        <w:rPr>
          <w:lang w:val="en-CA"/>
        </w:rPr>
        <w:t>defendants</w:t>
      </w:r>
      <w:r w:rsidR="0015199D" w:rsidRPr="004E1DE3">
        <w:rPr>
          <w:lang w:val="en-CA"/>
        </w:rPr>
        <w:t xml:space="preserve"> were negligent for breaching their duty to </w:t>
      </w:r>
      <w:r w:rsidR="00E9617E" w:rsidRPr="004E1DE3">
        <w:rPr>
          <w:lang w:val="en-CA"/>
        </w:rPr>
        <w:t xml:space="preserve">properly protect the </w:t>
      </w:r>
      <w:r w:rsidRPr="004E1DE3">
        <w:rPr>
          <w:lang w:val="en-CA"/>
        </w:rPr>
        <w:t>personal</w:t>
      </w:r>
      <w:r w:rsidR="00E9617E" w:rsidRPr="004E1DE3">
        <w:rPr>
          <w:lang w:val="en-CA"/>
        </w:rPr>
        <w:t xml:space="preserve"> </w:t>
      </w:r>
      <w:r w:rsidRPr="004E1DE3">
        <w:rPr>
          <w:lang w:val="en-CA"/>
        </w:rPr>
        <w:t>information</w:t>
      </w:r>
      <w:r w:rsidR="00E9617E" w:rsidRPr="004E1DE3">
        <w:rPr>
          <w:lang w:val="en-CA"/>
        </w:rPr>
        <w:t xml:space="preserve"> they collected from them and the putative </w:t>
      </w:r>
      <w:r w:rsidR="007528F6">
        <w:rPr>
          <w:lang w:val="en-CA"/>
        </w:rPr>
        <w:t>class</w:t>
      </w:r>
      <w:r w:rsidR="007528F6" w:rsidRPr="004E1DE3">
        <w:rPr>
          <w:lang w:val="en-CA"/>
        </w:rPr>
        <w:t xml:space="preserve"> </w:t>
      </w:r>
      <w:r w:rsidR="00E9617E" w:rsidRPr="004E1DE3">
        <w:rPr>
          <w:lang w:val="en-CA"/>
        </w:rPr>
        <w:t>members over a period of several years</w:t>
      </w:r>
      <w:r w:rsidR="00126883" w:rsidRPr="004E1DE3">
        <w:rPr>
          <w:lang w:val="en-CA"/>
        </w:rPr>
        <w:t xml:space="preserve">, for having kept that information </w:t>
      </w:r>
      <w:r w:rsidR="00126883" w:rsidRPr="004E1DE3">
        <w:rPr>
          <w:lang w:val="en-CA"/>
        </w:rPr>
        <w:lastRenderedPageBreak/>
        <w:t>for too long, including the information of members whose credit applications had been refused, and for</w:t>
      </w:r>
      <w:r w:rsidR="006D0A1E" w:rsidRPr="004E1DE3">
        <w:rPr>
          <w:lang w:val="en-CA"/>
        </w:rPr>
        <w:t xml:space="preserve"> failing to </w:t>
      </w:r>
      <w:r w:rsidR="003E6281" w:rsidRPr="004E1DE3">
        <w:rPr>
          <w:lang w:val="en-CA"/>
        </w:rPr>
        <w:t xml:space="preserve">ensure that </w:t>
      </w:r>
      <w:r w:rsidR="006D0A1E" w:rsidRPr="004E1DE3">
        <w:rPr>
          <w:lang w:val="en-CA"/>
        </w:rPr>
        <w:t>the information</w:t>
      </w:r>
      <w:r w:rsidR="003E6281" w:rsidRPr="004E1DE3">
        <w:rPr>
          <w:lang w:val="en-CA"/>
        </w:rPr>
        <w:t xml:space="preserve"> was hosted</w:t>
      </w:r>
      <w:r w:rsidR="006D0A1E" w:rsidRPr="004E1DE3">
        <w:rPr>
          <w:lang w:val="en-CA"/>
        </w:rPr>
        <w:t xml:space="preserve"> in a s</w:t>
      </w:r>
      <w:r w:rsidR="003A69BF" w:rsidRPr="004E1DE3">
        <w:rPr>
          <w:lang w:val="en-CA"/>
        </w:rPr>
        <w:t xml:space="preserve">ecure information environment that </w:t>
      </w:r>
      <w:r w:rsidR="003E6281" w:rsidRPr="004E1DE3">
        <w:rPr>
          <w:lang w:val="en-CA"/>
        </w:rPr>
        <w:t>was</w:t>
      </w:r>
      <w:r w:rsidR="003A69BF" w:rsidRPr="004E1DE3">
        <w:rPr>
          <w:lang w:val="en-CA"/>
        </w:rPr>
        <w:t xml:space="preserve"> </w:t>
      </w:r>
      <w:r w:rsidRPr="004E1DE3">
        <w:rPr>
          <w:lang w:val="en-CA"/>
        </w:rPr>
        <w:t>ad</w:t>
      </w:r>
      <w:r w:rsidR="003A69BF" w:rsidRPr="004E1DE3">
        <w:rPr>
          <w:lang w:val="en-CA"/>
        </w:rPr>
        <w:t>e</w:t>
      </w:r>
      <w:r w:rsidRPr="004E1DE3">
        <w:rPr>
          <w:lang w:val="en-CA"/>
        </w:rPr>
        <w:t>quate</w:t>
      </w:r>
      <w:r w:rsidR="003A69BF" w:rsidRPr="004E1DE3">
        <w:rPr>
          <w:lang w:val="en-CA"/>
        </w:rPr>
        <w:t xml:space="preserve">ly protected against </w:t>
      </w:r>
      <w:r w:rsidRPr="004E1DE3">
        <w:rPr>
          <w:lang w:val="en-CA"/>
        </w:rPr>
        <w:t>intrusions.</w:t>
      </w:r>
    </w:p>
    <w:p w14:paraId="2BD23770" w14:textId="77777777" w:rsidR="0099484A" w:rsidRPr="004E1DE3" w:rsidRDefault="00573CA9" w:rsidP="007D1A3F">
      <w:pPr>
        <w:pStyle w:val="Paragrdouble"/>
        <w:tabs>
          <w:tab w:val="num" w:pos="851"/>
        </w:tabs>
        <w:spacing w:line="240" w:lineRule="auto"/>
        <w:ind w:left="0"/>
        <w:rPr>
          <w:lang w:val="en-CA"/>
        </w:rPr>
      </w:pPr>
      <w:r w:rsidRPr="004E1DE3">
        <w:rPr>
          <w:lang w:val="en-CA"/>
        </w:rPr>
        <w:t xml:space="preserve">More specifically, the </w:t>
      </w:r>
      <w:r w:rsidR="00940EDA" w:rsidRPr="004E1DE3">
        <w:rPr>
          <w:lang w:val="en-CA"/>
        </w:rPr>
        <w:t>applicants,</w:t>
      </w:r>
      <w:r w:rsidRPr="004E1DE3">
        <w:rPr>
          <w:lang w:val="en-CA"/>
        </w:rPr>
        <w:t xml:space="preserve"> who have all held</w:t>
      </w:r>
      <w:r w:rsidR="00940EDA" w:rsidRPr="004E1DE3">
        <w:rPr>
          <w:lang w:val="en-CA"/>
        </w:rPr>
        <w:t xml:space="preserve"> Costco </w:t>
      </w:r>
      <w:r w:rsidRPr="004E1DE3">
        <w:rPr>
          <w:lang w:val="en-CA"/>
        </w:rPr>
        <w:t>credit cards issued by</w:t>
      </w:r>
      <w:r w:rsidR="00940EDA" w:rsidRPr="004E1DE3">
        <w:rPr>
          <w:lang w:val="en-CA"/>
        </w:rPr>
        <w:t xml:space="preserve"> Capital One</w:t>
      </w:r>
      <w:r w:rsidRPr="004E1DE3">
        <w:rPr>
          <w:lang w:val="en-CA"/>
        </w:rPr>
        <w:t xml:space="preserve"> for several years</w:t>
      </w:r>
      <w:r w:rsidR="00940EDA" w:rsidRPr="004E1DE3">
        <w:rPr>
          <w:lang w:val="en-CA"/>
        </w:rPr>
        <w:t>,</w:t>
      </w:r>
      <w:r w:rsidRPr="004E1DE3">
        <w:rPr>
          <w:lang w:val="en-CA"/>
        </w:rPr>
        <w:t xml:space="preserve"> blame the </w:t>
      </w:r>
      <w:r w:rsidR="00940EDA" w:rsidRPr="004E1DE3">
        <w:rPr>
          <w:lang w:val="en-CA"/>
        </w:rPr>
        <w:t xml:space="preserve">Capital One </w:t>
      </w:r>
      <w:r w:rsidRPr="004E1DE3">
        <w:rPr>
          <w:lang w:val="en-CA"/>
        </w:rPr>
        <w:t xml:space="preserve">group defendants for having migrated around 2015 the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belonging to their many </w:t>
      </w:r>
      <w:r w:rsidR="00940EDA" w:rsidRPr="004E1DE3">
        <w:rPr>
          <w:lang w:val="en-CA"/>
        </w:rPr>
        <w:t xml:space="preserve">clients </w:t>
      </w:r>
      <w:r w:rsidRPr="004E1DE3">
        <w:rPr>
          <w:lang w:val="en-CA"/>
        </w:rPr>
        <w:t>and that w</w:t>
      </w:r>
      <w:r w:rsidR="003E6281" w:rsidRPr="004E1DE3">
        <w:rPr>
          <w:lang w:val="en-CA"/>
        </w:rPr>
        <w:t>as</w:t>
      </w:r>
      <w:r w:rsidRPr="004E1DE3">
        <w:rPr>
          <w:lang w:val="en-CA"/>
        </w:rPr>
        <w:t xml:space="preserve"> store</w:t>
      </w:r>
      <w:r w:rsidR="003E6281" w:rsidRPr="004E1DE3">
        <w:rPr>
          <w:lang w:val="en-CA"/>
        </w:rPr>
        <w:t>d</w:t>
      </w:r>
      <w:r w:rsidRPr="004E1DE3">
        <w:rPr>
          <w:lang w:val="en-CA"/>
        </w:rPr>
        <w:t xml:space="preserve"> on their servers to a less secure</w:t>
      </w:r>
      <w:r w:rsidR="003E6281" w:rsidRPr="004E1DE3">
        <w:rPr>
          <w:lang w:val="en-CA"/>
        </w:rPr>
        <w:t>, public</w:t>
      </w:r>
      <w:r w:rsidRPr="004E1DE3">
        <w:rPr>
          <w:lang w:val="en-CA"/>
        </w:rPr>
        <w:t xml:space="preserve"> </w:t>
      </w:r>
      <w:r w:rsidR="003E6281" w:rsidRPr="004E1DE3">
        <w:rPr>
          <w:lang w:val="en-CA"/>
        </w:rPr>
        <w:t xml:space="preserve">hosting </w:t>
      </w:r>
      <w:r w:rsidR="00940EDA" w:rsidRPr="004E1DE3">
        <w:rPr>
          <w:lang w:val="en-CA"/>
        </w:rPr>
        <w:t xml:space="preserve">site </w:t>
      </w:r>
      <w:r w:rsidR="003E6281" w:rsidRPr="004E1DE3">
        <w:rPr>
          <w:lang w:val="en-CA"/>
        </w:rPr>
        <w:t xml:space="preserve">operated by the </w:t>
      </w:r>
      <w:r w:rsidR="00940EDA" w:rsidRPr="004E1DE3">
        <w:rPr>
          <w:lang w:val="en-CA"/>
        </w:rPr>
        <w:t>Amazon</w:t>
      </w:r>
      <w:r w:rsidR="003E6281" w:rsidRPr="004E1DE3">
        <w:rPr>
          <w:lang w:val="en-CA"/>
        </w:rPr>
        <w:t xml:space="preserve"> group defendants, thereby allowing </w:t>
      </w:r>
      <w:r w:rsidR="00940EDA" w:rsidRPr="004E1DE3">
        <w:rPr>
          <w:lang w:val="en-CA"/>
        </w:rPr>
        <w:t xml:space="preserve">Paige A. Thompson </w:t>
      </w:r>
      <w:r w:rsidR="003E6281" w:rsidRPr="004E1DE3">
        <w:rPr>
          <w:lang w:val="en-CA"/>
        </w:rPr>
        <w:t xml:space="preserve">to access a </w:t>
      </w:r>
      <w:r w:rsidR="00940EDA" w:rsidRPr="004E1DE3">
        <w:rPr>
          <w:lang w:val="en-CA"/>
        </w:rPr>
        <w:t>colossal</w:t>
      </w:r>
      <w:r w:rsidR="003E6281" w:rsidRPr="004E1DE3">
        <w:rPr>
          <w:lang w:val="en-CA"/>
        </w:rPr>
        <w:t xml:space="preserve"> amount of </w:t>
      </w:r>
      <w:r w:rsidR="00940EDA" w:rsidRPr="004E1DE3">
        <w:rPr>
          <w:lang w:val="en-CA"/>
        </w:rPr>
        <w:t>personal</w:t>
      </w:r>
      <w:r w:rsidR="003E6281" w:rsidRPr="004E1DE3">
        <w:rPr>
          <w:lang w:val="en-CA"/>
        </w:rPr>
        <w:t xml:space="preserve"> </w:t>
      </w:r>
      <w:r w:rsidR="00940EDA" w:rsidRPr="004E1DE3">
        <w:rPr>
          <w:lang w:val="en-CA"/>
        </w:rPr>
        <w:t>information</w:t>
      </w:r>
      <w:r w:rsidR="003E6281" w:rsidRPr="004E1DE3">
        <w:rPr>
          <w:lang w:val="en-CA"/>
        </w:rPr>
        <w:t xml:space="preserve"> belonging to them</w:t>
      </w:r>
      <w:r w:rsidR="00940EDA" w:rsidRPr="004E1DE3">
        <w:rPr>
          <w:lang w:val="en-CA"/>
        </w:rPr>
        <w:t>.</w:t>
      </w:r>
    </w:p>
    <w:p w14:paraId="3AA58AB8" w14:textId="77777777" w:rsidR="00644217" w:rsidRPr="004E1DE3" w:rsidRDefault="00573CA9" w:rsidP="007D1A3F">
      <w:pPr>
        <w:pStyle w:val="Paragrdouble"/>
        <w:tabs>
          <w:tab w:val="num" w:pos="851"/>
        </w:tabs>
        <w:spacing w:line="240" w:lineRule="auto"/>
        <w:ind w:left="0"/>
        <w:rPr>
          <w:lang w:val="en-CA"/>
        </w:rPr>
      </w:pPr>
      <w:r w:rsidRPr="004E1DE3">
        <w:rPr>
          <w:lang w:val="en-CA"/>
        </w:rPr>
        <w:t xml:space="preserve">The plaintiffs also fault the </w:t>
      </w:r>
      <w:r w:rsidR="00C67785" w:rsidRPr="004E1DE3">
        <w:rPr>
          <w:lang w:val="en-CA"/>
        </w:rPr>
        <w:t>defendants</w:t>
      </w:r>
      <w:r w:rsidRPr="004E1DE3">
        <w:rPr>
          <w:lang w:val="en-CA"/>
        </w:rPr>
        <w:t xml:space="preserve"> for failing to have taken the means and measures to prevent this unauthorized access, for being slow to discover it and </w:t>
      </w:r>
      <w:r w:rsidR="00C67785" w:rsidRPr="004E1DE3">
        <w:rPr>
          <w:lang w:val="en-CA"/>
        </w:rPr>
        <w:t>inform</w:t>
      </w:r>
      <w:r w:rsidRPr="004E1DE3">
        <w:rPr>
          <w:lang w:val="en-CA"/>
        </w:rPr>
        <w:t xml:space="preserve"> the members, and for failing to </w:t>
      </w:r>
      <w:r w:rsidR="00C67785" w:rsidRPr="004E1DE3">
        <w:rPr>
          <w:lang w:val="en-CA"/>
        </w:rPr>
        <w:t>subsequently</w:t>
      </w:r>
      <w:r w:rsidRPr="004E1DE3">
        <w:rPr>
          <w:lang w:val="en-CA"/>
        </w:rPr>
        <w:t xml:space="preserve"> correct the problem that </w:t>
      </w:r>
      <w:r w:rsidR="00DD3D73" w:rsidRPr="004E1DE3">
        <w:rPr>
          <w:lang w:val="en-CA"/>
        </w:rPr>
        <w:t xml:space="preserve">led to the </w:t>
      </w:r>
      <w:r w:rsidR="00C67785" w:rsidRPr="004E1DE3">
        <w:rPr>
          <w:lang w:val="en-CA"/>
        </w:rPr>
        <w:t xml:space="preserve">intrusion </w:t>
      </w:r>
      <w:r w:rsidR="00054FA3" w:rsidRPr="004E1DE3">
        <w:rPr>
          <w:lang w:val="en-CA"/>
        </w:rPr>
        <w:t xml:space="preserve">of this large amount of </w:t>
      </w:r>
      <w:r w:rsidR="00C67785" w:rsidRPr="004E1DE3">
        <w:rPr>
          <w:lang w:val="en-CA"/>
        </w:rPr>
        <w:t>personal</w:t>
      </w:r>
      <w:r w:rsidR="00054FA3" w:rsidRPr="004E1DE3">
        <w:rPr>
          <w:lang w:val="en-CA"/>
        </w:rPr>
        <w:t xml:space="preserve"> </w:t>
      </w:r>
      <w:r w:rsidR="00C67785" w:rsidRPr="004E1DE3">
        <w:rPr>
          <w:lang w:val="en-CA"/>
        </w:rPr>
        <w:t>information.</w:t>
      </w:r>
    </w:p>
    <w:p w14:paraId="7BC7962C" w14:textId="77777777" w:rsidR="00F9125C" w:rsidRPr="004E1DE3" w:rsidRDefault="00573CA9" w:rsidP="007D1A3F">
      <w:pPr>
        <w:pStyle w:val="Paragrdouble"/>
        <w:tabs>
          <w:tab w:val="num" w:pos="851"/>
        </w:tabs>
        <w:spacing w:line="240" w:lineRule="auto"/>
        <w:ind w:left="0"/>
        <w:rPr>
          <w:lang w:val="en-CA"/>
        </w:rPr>
      </w:pPr>
      <w:r w:rsidRPr="004E1DE3">
        <w:rPr>
          <w:lang w:val="en-CA"/>
        </w:rPr>
        <w:t xml:space="preserve">In addition, the plaintiff </w:t>
      </w:r>
      <w:r w:rsidR="00113283" w:rsidRPr="004E1DE3">
        <w:rPr>
          <w:lang w:val="en-CA"/>
        </w:rPr>
        <w:t xml:space="preserve">Abou-Khadra </w:t>
      </w:r>
      <w:r w:rsidRPr="004E1DE3">
        <w:rPr>
          <w:lang w:val="en-CA"/>
        </w:rPr>
        <w:t xml:space="preserve">alleges that </w:t>
      </w:r>
      <w:r w:rsidR="0062382F" w:rsidRPr="004E1DE3">
        <w:rPr>
          <w:lang w:val="en-CA"/>
        </w:rPr>
        <w:t xml:space="preserve">two transactions that he did not personally make or authorize were charged to </w:t>
      </w:r>
      <w:r w:rsidRPr="004E1DE3">
        <w:rPr>
          <w:lang w:val="en-CA"/>
        </w:rPr>
        <w:t>h</w:t>
      </w:r>
      <w:r w:rsidR="0062382F" w:rsidRPr="004E1DE3">
        <w:rPr>
          <w:lang w:val="en-CA"/>
        </w:rPr>
        <w:t xml:space="preserve">is </w:t>
      </w:r>
      <w:r w:rsidR="00113283" w:rsidRPr="004E1DE3">
        <w:rPr>
          <w:lang w:val="en-CA"/>
        </w:rPr>
        <w:t>credit</w:t>
      </w:r>
      <w:r w:rsidR="0062382F" w:rsidRPr="004E1DE3">
        <w:rPr>
          <w:lang w:val="en-CA"/>
        </w:rPr>
        <w:t xml:space="preserve"> </w:t>
      </w:r>
      <w:r w:rsidR="00113283" w:rsidRPr="004E1DE3">
        <w:rPr>
          <w:lang w:val="en-CA"/>
        </w:rPr>
        <w:t>card.</w:t>
      </w:r>
    </w:p>
    <w:p w14:paraId="32D91451" w14:textId="77777777" w:rsidR="00640C1F" w:rsidRPr="004E1DE3" w:rsidRDefault="00573CA9" w:rsidP="007D1A3F">
      <w:pPr>
        <w:pStyle w:val="Paragrdouble"/>
        <w:tabs>
          <w:tab w:val="num" w:pos="851"/>
        </w:tabs>
        <w:spacing w:line="240" w:lineRule="auto"/>
        <w:ind w:left="0"/>
        <w:rPr>
          <w:lang w:val="en-CA"/>
        </w:rPr>
      </w:pPr>
      <w:r w:rsidRPr="004E1DE3">
        <w:rPr>
          <w:lang w:val="en-CA"/>
        </w:rPr>
        <w:t xml:space="preserve">As the </w:t>
      </w:r>
      <w:r w:rsidR="00113283" w:rsidRPr="004E1DE3">
        <w:rPr>
          <w:lang w:val="en-CA"/>
        </w:rPr>
        <w:t xml:space="preserve">parties </w:t>
      </w:r>
      <w:r w:rsidRPr="004E1DE3">
        <w:rPr>
          <w:lang w:val="en-CA"/>
        </w:rPr>
        <w:t xml:space="preserve">did not insist on this </w:t>
      </w:r>
      <w:r w:rsidR="00113283" w:rsidRPr="004E1DE3">
        <w:rPr>
          <w:lang w:val="en-CA"/>
        </w:rPr>
        <w:t>point</w:t>
      </w:r>
      <w:r w:rsidRPr="004E1DE3">
        <w:rPr>
          <w:lang w:val="en-CA"/>
        </w:rPr>
        <w:t xml:space="preserve"> or present specific </w:t>
      </w:r>
      <w:r w:rsidR="00113283" w:rsidRPr="004E1DE3">
        <w:rPr>
          <w:lang w:val="en-CA"/>
        </w:rPr>
        <w:t>evidence</w:t>
      </w:r>
      <w:r w:rsidRPr="004E1DE3">
        <w:rPr>
          <w:lang w:val="en-CA"/>
        </w:rPr>
        <w:t xml:space="preserve"> in this respect, the </w:t>
      </w:r>
      <w:r w:rsidR="00113283" w:rsidRPr="004E1DE3">
        <w:rPr>
          <w:lang w:val="en-CA"/>
        </w:rPr>
        <w:t>Court</w:t>
      </w:r>
      <w:r w:rsidRPr="004E1DE3">
        <w:rPr>
          <w:lang w:val="en-CA"/>
        </w:rPr>
        <w:t xml:space="preserve"> does not intend to make a </w:t>
      </w:r>
      <w:r w:rsidR="00113283" w:rsidRPr="004E1DE3">
        <w:rPr>
          <w:lang w:val="en-CA"/>
        </w:rPr>
        <w:t xml:space="preserve">distinction </w:t>
      </w:r>
      <w:r w:rsidRPr="004E1DE3">
        <w:rPr>
          <w:lang w:val="en-CA"/>
        </w:rPr>
        <w:t xml:space="preserve">in the </w:t>
      </w:r>
      <w:r w:rsidR="001C1DA2" w:rsidRPr="004E1DE3">
        <w:rPr>
          <w:lang w:val="en-CA"/>
        </w:rPr>
        <w:t xml:space="preserve">analysis that follows on the specific liability </w:t>
      </w:r>
      <w:r w:rsidR="00142335">
        <w:rPr>
          <w:lang w:val="en-CA"/>
        </w:rPr>
        <w:t>of</w:t>
      </w:r>
      <w:r w:rsidR="00142335" w:rsidRPr="004E1DE3">
        <w:rPr>
          <w:lang w:val="en-CA"/>
        </w:rPr>
        <w:t xml:space="preserve"> </w:t>
      </w:r>
      <w:r w:rsidR="00F52D49" w:rsidRPr="004E1DE3">
        <w:rPr>
          <w:lang w:val="en-CA"/>
        </w:rPr>
        <w:t xml:space="preserve">any one of the </w:t>
      </w:r>
      <w:r w:rsidR="00113283" w:rsidRPr="004E1DE3">
        <w:rPr>
          <w:lang w:val="en-CA"/>
        </w:rPr>
        <w:t>Capital One</w:t>
      </w:r>
      <w:r w:rsidR="00F52D49" w:rsidRPr="004E1DE3">
        <w:rPr>
          <w:lang w:val="en-CA"/>
        </w:rPr>
        <w:t xml:space="preserve"> group defendants as opposed to the other </w:t>
      </w:r>
      <w:r w:rsidR="00113283" w:rsidRPr="004E1DE3">
        <w:rPr>
          <w:lang w:val="en-CA"/>
        </w:rPr>
        <w:t>defendants</w:t>
      </w:r>
      <w:r w:rsidR="00F52D49" w:rsidRPr="004E1DE3">
        <w:rPr>
          <w:lang w:val="en-CA"/>
        </w:rPr>
        <w:t xml:space="preserve"> in th</w:t>
      </w:r>
      <w:r w:rsidR="00D203B7" w:rsidRPr="004E1DE3">
        <w:rPr>
          <w:lang w:val="en-CA"/>
        </w:rPr>
        <w:t>at</w:t>
      </w:r>
      <w:r w:rsidR="00F52D49" w:rsidRPr="004E1DE3">
        <w:rPr>
          <w:lang w:val="en-CA"/>
        </w:rPr>
        <w:t xml:space="preserve"> group. Similarly, the Court does not inten</w:t>
      </w:r>
      <w:r w:rsidR="00D203B7" w:rsidRPr="004E1DE3">
        <w:rPr>
          <w:lang w:val="en-CA"/>
        </w:rPr>
        <w:t xml:space="preserve">d to distinguish between the specific liability </w:t>
      </w:r>
      <w:r w:rsidR="00142335">
        <w:rPr>
          <w:lang w:val="en-CA"/>
        </w:rPr>
        <w:t>of</w:t>
      </w:r>
      <w:r w:rsidR="00142335" w:rsidRPr="004E1DE3">
        <w:rPr>
          <w:lang w:val="en-CA"/>
        </w:rPr>
        <w:t xml:space="preserve"> </w:t>
      </w:r>
      <w:r w:rsidR="00D203B7" w:rsidRPr="004E1DE3">
        <w:rPr>
          <w:lang w:val="en-CA"/>
        </w:rPr>
        <w:t xml:space="preserve">any one of the </w:t>
      </w:r>
      <w:r w:rsidR="00113283" w:rsidRPr="004E1DE3">
        <w:rPr>
          <w:lang w:val="en-CA"/>
        </w:rPr>
        <w:t xml:space="preserve">Amazon </w:t>
      </w:r>
      <w:r w:rsidR="00D203B7" w:rsidRPr="004E1DE3">
        <w:rPr>
          <w:lang w:val="en-CA"/>
        </w:rPr>
        <w:t xml:space="preserve">group defendants as opposed to the other </w:t>
      </w:r>
      <w:r w:rsidR="00113283" w:rsidRPr="004E1DE3">
        <w:rPr>
          <w:lang w:val="en-CA"/>
        </w:rPr>
        <w:t>defendants</w:t>
      </w:r>
      <w:r w:rsidR="00D203B7" w:rsidRPr="004E1DE3">
        <w:rPr>
          <w:lang w:val="en-CA"/>
        </w:rPr>
        <w:t xml:space="preserve"> in that </w:t>
      </w:r>
      <w:r w:rsidR="00113283" w:rsidRPr="004E1DE3">
        <w:rPr>
          <w:lang w:val="en-CA"/>
        </w:rPr>
        <w:t>group.</w:t>
      </w:r>
    </w:p>
    <w:p w14:paraId="4CED247E" w14:textId="77777777" w:rsidR="0014770B" w:rsidRPr="004E1DE3" w:rsidRDefault="00573CA9" w:rsidP="007D1A3F">
      <w:pPr>
        <w:pStyle w:val="Paragrdouble"/>
        <w:tabs>
          <w:tab w:val="num" w:pos="851"/>
        </w:tabs>
        <w:spacing w:line="240" w:lineRule="auto"/>
        <w:ind w:left="0"/>
        <w:rPr>
          <w:lang w:val="en-CA"/>
        </w:rPr>
      </w:pPr>
      <w:r w:rsidRPr="004E1DE3">
        <w:rPr>
          <w:lang w:val="en-CA"/>
        </w:rPr>
        <w:t>T</w:t>
      </w:r>
      <w:r w:rsidR="00644217" w:rsidRPr="004E1DE3">
        <w:rPr>
          <w:lang w:val="en-CA"/>
        </w:rPr>
        <w:t>he</w:t>
      </w:r>
      <w:r w:rsidRPr="004E1DE3">
        <w:rPr>
          <w:lang w:val="en-CA"/>
        </w:rPr>
        <w:t xml:space="preserve"> </w:t>
      </w:r>
      <w:r w:rsidR="00644217" w:rsidRPr="004E1DE3">
        <w:rPr>
          <w:lang w:val="en-CA"/>
        </w:rPr>
        <w:t>Court</w:t>
      </w:r>
      <w:r w:rsidRPr="004E1DE3">
        <w:rPr>
          <w:lang w:val="en-CA"/>
        </w:rPr>
        <w:t xml:space="preserve"> intends to address the </w:t>
      </w:r>
      <w:r w:rsidR="00644217" w:rsidRPr="004E1DE3">
        <w:rPr>
          <w:lang w:val="en-CA"/>
        </w:rPr>
        <w:t xml:space="preserve">distinctions </w:t>
      </w:r>
      <w:r w:rsidRPr="004E1DE3">
        <w:rPr>
          <w:lang w:val="en-CA"/>
        </w:rPr>
        <w:t>that may exist between the action the plaintiff</w:t>
      </w:r>
      <w:r w:rsidR="00EE2BEC">
        <w:rPr>
          <w:lang w:val="en-CA"/>
        </w:rPr>
        <w:t>s</w:t>
      </w:r>
      <w:r w:rsidRPr="004E1DE3">
        <w:rPr>
          <w:lang w:val="en-CA"/>
        </w:rPr>
        <w:t xml:space="preserve"> propose to b</w:t>
      </w:r>
      <w:r w:rsidR="00EE2BEC">
        <w:rPr>
          <w:lang w:val="en-CA"/>
        </w:rPr>
        <w:t>r</w:t>
      </w:r>
      <w:r w:rsidRPr="004E1DE3">
        <w:rPr>
          <w:lang w:val="en-CA"/>
        </w:rPr>
        <w:t xml:space="preserve">ing against the </w:t>
      </w:r>
      <w:r w:rsidR="00644217" w:rsidRPr="004E1DE3">
        <w:rPr>
          <w:lang w:val="en-CA"/>
        </w:rPr>
        <w:t>Capital One</w:t>
      </w:r>
      <w:r w:rsidRPr="004E1DE3">
        <w:rPr>
          <w:lang w:val="en-CA"/>
        </w:rPr>
        <w:t xml:space="preserve"> group defendants and the action they want to bring against the </w:t>
      </w:r>
      <w:r w:rsidR="00644217" w:rsidRPr="004E1DE3">
        <w:rPr>
          <w:lang w:val="en-CA"/>
        </w:rPr>
        <w:t>Amazon</w:t>
      </w:r>
      <w:r w:rsidRPr="004E1DE3">
        <w:rPr>
          <w:lang w:val="en-CA"/>
        </w:rPr>
        <w:t xml:space="preserve"> group defendants</w:t>
      </w:r>
      <w:r w:rsidR="00644217" w:rsidRPr="004E1DE3">
        <w:rPr>
          <w:lang w:val="en-CA"/>
        </w:rPr>
        <w:t xml:space="preserve"> </w:t>
      </w:r>
      <w:r w:rsidRPr="004E1DE3">
        <w:rPr>
          <w:lang w:val="en-CA"/>
        </w:rPr>
        <w:t xml:space="preserve">even though there is no contractual relationship between the </w:t>
      </w:r>
      <w:r w:rsidR="00644217" w:rsidRPr="004E1DE3">
        <w:rPr>
          <w:lang w:val="en-CA"/>
        </w:rPr>
        <w:t xml:space="preserve">Amazon </w:t>
      </w:r>
      <w:r w:rsidRPr="004E1DE3">
        <w:rPr>
          <w:lang w:val="en-CA"/>
        </w:rPr>
        <w:t xml:space="preserve">group defendants and the plaintiffs or the putative </w:t>
      </w:r>
      <w:r w:rsidR="007528F6">
        <w:rPr>
          <w:lang w:val="en-CA"/>
        </w:rPr>
        <w:t xml:space="preserve">class </w:t>
      </w:r>
      <w:r w:rsidRPr="004E1DE3">
        <w:rPr>
          <w:lang w:val="en-CA"/>
        </w:rPr>
        <w:t>members in this case</w:t>
      </w:r>
      <w:r w:rsidR="00644217" w:rsidRPr="004E1DE3">
        <w:rPr>
          <w:lang w:val="en-CA"/>
        </w:rPr>
        <w:t>.</w:t>
      </w:r>
    </w:p>
    <w:p w14:paraId="409DD109" w14:textId="77777777" w:rsidR="00337B26" w:rsidRPr="004E1DE3" w:rsidRDefault="00573CA9" w:rsidP="00337B26">
      <w:pPr>
        <w:pStyle w:val="Paragrdouble"/>
        <w:tabs>
          <w:tab w:val="num" w:pos="851"/>
        </w:tabs>
        <w:spacing w:line="240" w:lineRule="auto"/>
        <w:ind w:left="0"/>
        <w:rPr>
          <w:i/>
          <w:iCs/>
          <w:lang w:val="en-CA"/>
        </w:rPr>
      </w:pPr>
      <w:r w:rsidRPr="004E1DE3">
        <w:rPr>
          <w:lang w:val="en-CA"/>
        </w:rPr>
        <w:t>It should be noted that</w:t>
      </w:r>
      <w:r w:rsidR="00A41317" w:rsidRPr="004E1DE3">
        <w:rPr>
          <w:lang w:val="en-CA"/>
        </w:rPr>
        <w:t xml:space="preserve"> in their Application,</w:t>
      </w:r>
      <w:r w:rsidRPr="004E1DE3">
        <w:rPr>
          <w:lang w:val="en-CA"/>
        </w:rPr>
        <w:t xml:space="preserve"> the plaintiffs</w:t>
      </w:r>
      <w:r w:rsidR="00362699" w:rsidRPr="004E1DE3">
        <w:rPr>
          <w:lang w:val="en-CA"/>
        </w:rPr>
        <w:t xml:space="preserve"> include an injun</w:t>
      </w:r>
      <w:r w:rsidR="00912B6D" w:rsidRPr="004E1DE3">
        <w:rPr>
          <w:lang w:val="en-CA"/>
        </w:rPr>
        <w:t>c</w:t>
      </w:r>
      <w:r w:rsidR="00362699" w:rsidRPr="004E1DE3">
        <w:rPr>
          <w:lang w:val="en-CA"/>
        </w:rPr>
        <w:t xml:space="preserve">tive </w:t>
      </w:r>
      <w:r w:rsidR="00940EDA" w:rsidRPr="004E1DE3">
        <w:rPr>
          <w:lang w:val="en-CA"/>
        </w:rPr>
        <w:t xml:space="preserve">conclusion </w:t>
      </w:r>
      <w:r w:rsidR="00362699" w:rsidRPr="004E1DE3">
        <w:rPr>
          <w:lang w:val="en-CA"/>
        </w:rPr>
        <w:t xml:space="preserve">against the </w:t>
      </w:r>
      <w:r w:rsidR="00940EDA" w:rsidRPr="004E1DE3">
        <w:rPr>
          <w:lang w:val="en-CA"/>
        </w:rPr>
        <w:t>defendants</w:t>
      </w:r>
      <w:r w:rsidR="00362699" w:rsidRPr="004E1DE3">
        <w:rPr>
          <w:lang w:val="en-CA"/>
        </w:rPr>
        <w:t xml:space="preserve"> to require them to implement adequate protection and security measures to prevent and detect any unauthorized access to the </w:t>
      </w:r>
      <w:r w:rsidR="00940EDA" w:rsidRPr="004E1DE3">
        <w:rPr>
          <w:lang w:val="en-CA"/>
        </w:rPr>
        <w:t>personal</w:t>
      </w:r>
      <w:r w:rsidR="00362699" w:rsidRPr="004E1DE3">
        <w:rPr>
          <w:lang w:val="en-CA"/>
        </w:rPr>
        <w:t xml:space="preserve"> </w:t>
      </w:r>
      <w:r w:rsidR="00940EDA" w:rsidRPr="004E1DE3">
        <w:rPr>
          <w:lang w:val="en-CA"/>
        </w:rPr>
        <w:t>information</w:t>
      </w:r>
      <w:r w:rsidR="00362699" w:rsidRPr="004E1DE3">
        <w:rPr>
          <w:lang w:val="en-CA"/>
        </w:rPr>
        <w:t xml:space="preserve"> they hold</w:t>
      </w:r>
      <w:r w:rsidR="00940EDA" w:rsidRPr="004E1DE3">
        <w:rPr>
          <w:lang w:val="en-CA"/>
        </w:rPr>
        <w:t>.</w:t>
      </w:r>
    </w:p>
    <w:p w14:paraId="01692941" w14:textId="77777777" w:rsidR="00337B26" w:rsidRPr="004E1DE3" w:rsidRDefault="00573CA9" w:rsidP="006343D0">
      <w:pPr>
        <w:pStyle w:val="Paragrdouble"/>
        <w:tabs>
          <w:tab w:val="num" w:pos="851"/>
        </w:tabs>
        <w:spacing w:line="240" w:lineRule="auto"/>
        <w:ind w:left="0"/>
        <w:rPr>
          <w:i/>
          <w:iCs/>
          <w:lang w:val="en-CA"/>
        </w:rPr>
      </w:pPr>
      <w:r w:rsidRPr="004E1DE3">
        <w:rPr>
          <w:lang w:val="en-CA"/>
        </w:rPr>
        <w:t xml:space="preserve">The wording of this conclusion is extremely broad and imprecise. </w:t>
      </w:r>
      <w:r w:rsidR="00A804A3">
        <w:rPr>
          <w:lang w:val="en-CA"/>
        </w:rPr>
        <w:t>It is</w:t>
      </w:r>
      <w:r w:rsidR="00AD7505" w:rsidRPr="004E1DE3">
        <w:rPr>
          <w:lang w:val="en-CA"/>
        </w:rPr>
        <w:t xml:space="preserve"> therefore not </w:t>
      </w:r>
      <w:r w:rsidR="00EE2BEC">
        <w:rPr>
          <w:lang w:val="en-CA"/>
        </w:rPr>
        <w:t xml:space="preserve">capable of being </w:t>
      </w:r>
      <w:r w:rsidR="00AD7505" w:rsidRPr="004E1DE3">
        <w:rPr>
          <w:lang w:val="en-CA"/>
        </w:rPr>
        <w:t xml:space="preserve">subject to </w:t>
      </w:r>
      <w:r w:rsidR="00FD741F" w:rsidRPr="004E1DE3">
        <w:rPr>
          <w:lang w:val="en-CA"/>
        </w:rPr>
        <w:t>specific</w:t>
      </w:r>
      <w:r w:rsidR="00AD7505" w:rsidRPr="004E1DE3">
        <w:rPr>
          <w:lang w:val="en-CA"/>
        </w:rPr>
        <w:t xml:space="preserve"> </w:t>
      </w:r>
      <w:r w:rsidR="00FD741F" w:rsidRPr="004E1DE3">
        <w:rPr>
          <w:lang w:val="en-CA"/>
        </w:rPr>
        <w:t>performance</w:t>
      </w:r>
      <w:r w:rsidR="00AD7505" w:rsidRPr="004E1DE3">
        <w:rPr>
          <w:lang w:val="en-CA"/>
        </w:rPr>
        <w:t xml:space="preserve"> or forced execution, and even less so to a </w:t>
      </w:r>
      <w:r w:rsidR="00FD741F" w:rsidRPr="004E1DE3">
        <w:rPr>
          <w:lang w:val="en-CA"/>
        </w:rPr>
        <w:t>possible conviction</w:t>
      </w:r>
      <w:r w:rsidR="00AD7505" w:rsidRPr="004E1DE3">
        <w:rPr>
          <w:lang w:val="en-CA"/>
        </w:rPr>
        <w:t xml:space="preserve"> for </w:t>
      </w:r>
      <w:r w:rsidR="00FD741F" w:rsidRPr="004E1DE3">
        <w:rPr>
          <w:lang w:val="en-CA"/>
        </w:rPr>
        <w:t>contempt</w:t>
      </w:r>
      <w:r w:rsidR="00AD7505" w:rsidRPr="004E1DE3">
        <w:rPr>
          <w:lang w:val="en-CA"/>
        </w:rPr>
        <w:t xml:space="preserve"> </w:t>
      </w:r>
      <w:r w:rsidR="00FD741F" w:rsidRPr="004E1DE3">
        <w:rPr>
          <w:lang w:val="en-CA"/>
        </w:rPr>
        <w:t>of</w:t>
      </w:r>
      <w:r w:rsidR="00AD7505" w:rsidRPr="004E1DE3">
        <w:rPr>
          <w:lang w:val="en-CA"/>
        </w:rPr>
        <w:t xml:space="preserve"> </w:t>
      </w:r>
      <w:r w:rsidR="00FD741F" w:rsidRPr="004E1DE3">
        <w:rPr>
          <w:lang w:val="en-CA"/>
        </w:rPr>
        <w:t xml:space="preserve">court, </w:t>
      </w:r>
      <w:r w:rsidR="00B136B1" w:rsidRPr="004E1DE3">
        <w:rPr>
          <w:lang w:val="en-CA"/>
        </w:rPr>
        <w:t xml:space="preserve">such that this </w:t>
      </w:r>
      <w:r w:rsidR="00FD741F" w:rsidRPr="004E1DE3">
        <w:rPr>
          <w:lang w:val="en-CA"/>
        </w:rPr>
        <w:t xml:space="preserve">conclusion </w:t>
      </w:r>
      <w:r w:rsidR="00B136B1" w:rsidRPr="004E1DE3">
        <w:rPr>
          <w:lang w:val="en-CA"/>
        </w:rPr>
        <w:t xml:space="preserve">alone cannot ensure the </w:t>
      </w:r>
      <w:r w:rsidR="00FD741F" w:rsidRPr="004E1DE3">
        <w:rPr>
          <w:lang w:val="en-CA"/>
        </w:rPr>
        <w:t>viabilit</w:t>
      </w:r>
      <w:r w:rsidR="00B136B1" w:rsidRPr="004E1DE3">
        <w:rPr>
          <w:lang w:val="en-CA"/>
        </w:rPr>
        <w:t xml:space="preserve">y of the </w:t>
      </w:r>
      <w:r w:rsidR="00F43225" w:rsidRPr="004E1DE3">
        <w:rPr>
          <w:lang w:val="en-CA"/>
        </w:rPr>
        <w:t xml:space="preserve">proposed </w:t>
      </w:r>
      <w:r w:rsidR="00B136B1" w:rsidRPr="004E1DE3">
        <w:rPr>
          <w:lang w:val="en-CA"/>
        </w:rPr>
        <w:t xml:space="preserve">class action, or </w:t>
      </w:r>
      <w:r w:rsidR="00EE2BEC">
        <w:rPr>
          <w:lang w:val="en-CA"/>
        </w:rPr>
        <w:t>even</w:t>
      </w:r>
      <w:r w:rsidR="00B136B1" w:rsidRPr="004E1DE3">
        <w:rPr>
          <w:lang w:val="en-CA"/>
        </w:rPr>
        <w:t xml:space="preserve"> that it will be allowed</w:t>
      </w:r>
      <w:r w:rsidR="00DB09CC" w:rsidRPr="00DB09CC">
        <w:rPr>
          <w:lang w:val="en-CA"/>
        </w:rPr>
        <w:t xml:space="preserve"> </w:t>
      </w:r>
      <w:r w:rsidR="00DB09CC" w:rsidRPr="004E1DE3">
        <w:rPr>
          <w:lang w:val="en-CA"/>
        </w:rPr>
        <w:t>at the authorization stage</w:t>
      </w:r>
      <w:r w:rsidR="00B136B1" w:rsidRPr="004E1DE3">
        <w:rPr>
          <w:lang w:val="en-CA"/>
        </w:rPr>
        <w:t xml:space="preserve">, in the event the </w:t>
      </w:r>
      <w:r w:rsidR="00FD741F" w:rsidRPr="004E1DE3">
        <w:rPr>
          <w:lang w:val="en-CA"/>
        </w:rPr>
        <w:t>Court</w:t>
      </w:r>
      <w:r w:rsidR="00B136B1" w:rsidRPr="004E1DE3">
        <w:rPr>
          <w:lang w:val="en-CA"/>
        </w:rPr>
        <w:t xml:space="preserve"> finds that the plaintiffs have not met the</w:t>
      </w:r>
      <w:r w:rsidR="008B0EB4" w:rsidRPr="004E1DE3">
        <w:rPr>
          <w:lang w:val="en-CA"/>
        </w:rPr>
        <w:t xml:space="preserve"> second criterion of </w:t>
      </w:r>
      <w:r w:rsidR="00FD741F" w:rsidRPr="004E1DE3">
        <w:rPr>
          <w:lang w:val="en-CA"/>
        </w:rPr>
        <w:t>article 575 CCP</w:t>
      </w:r>
      <w:r w:rsidR="008B0EB4" w:rsidRPr="004E1DE3">
        <w:rPr>
          <w:lang w:val="en-CA"/>
        </w:rPr>
        <w:t xml:space="preserve"> with respect to the damages claimed.</w:t>
      </w:r>
      <w:r w:rsidR="00FD741F" w:rsidRPr="004E1DE3">
        <w:rPr>
          <w:lang w:val="en-CA"/>
        </w:rPr>
        <w:t xml:space="preserve"> </w:t>
      </w:r>
    </w:p>
    <w:p w14:paraId="3A605411" w14:textId="77777777" w:rsidR="00AB10AB" w:rsidRPr="004E1DE3" w:rsidRDefault="00573CA9" w:rsidP="007D1A3F">
      <w:pPr>
        <w:pStyle w:val="Paragrdouble"/>
        <w:tabs>
          <w:tab w:val="num" w:pos="851"/>
        </w:tabs>
        <w:spacing w:line="240" w:lineRule="auto"/>
        <w:ind w:left="0"/>
        <w:rPr>
          <w:lang w:val="en-CA"/>
        </w:rPr>
      </w:pPr>
      <w:r w:rsidRPr="004E1DE3">
        <w:rPr>
          <w:lang w:val="en-CA"/>
        </w:rPr>
        <w:t xml:space="preserve">The damages claimed by plaintiffs fall under eleven </w:t>
      </w:r>
      <w:r w:rsidR="00EE2BEC">
        <w:rPr>
          <w:lang w:val="en-CA"/>
        </w:rPr>
        <w:t xml:space="preserve">(11) </w:t>
      </w:r>
      <w:r w:rsidRPr="004E1DE3">
        <w:rPr>
          <w:lang w:val="en-CA"/>
        </w:rPr>
        <w:t xml:space="preserve">separate categories that are described in </w:t>
      </w:r>
      <w:r w:rsidR="00F913B3" w:rsidRPr="004E1DE3">
        <w:rPr>
          <w:lang w:val="en-CA"/>
        </w:rPr>
        <w:t xml:space="preserve">paragraph 6 </w:t>
      </w:r>
      <w:r w:rsidRPr="004E1DE3">
        <w:rPr>
          <w:lang w:val="en-CA"/>
        </w:rPr>
        <w:t>of the A</w:t>
      </w:r>
      <w:r w:rsidR="00F913B3" w:rsidRPr="004E1DE3">
        <w:rPr>
          <w:lang w:val="en-CA"/>
        </w:rPr>
        <w:t xml:space="preserve">pplication. </w:t>
      </w:r>
    </w:p>
    <w:p w14:paraId="1C85E586" w14:textId="77777777" w:rsidR="00301B5E" w:rsidRPr="004E1DE3" w:rsidRDefault="00573CA9" w:rsidP="007D1A3F">
      <w:pPr>
        <w:pStyle w:val="Paragrdouble"/>
        <w:tabs>
          <w:tab w:val="num" w:pos="851"/>
        </w:tabs>
        <w:spacing w:line="240" w:lineRule="auto"/>
        <w:ind w:left="0"/>
        <w:rPr>
          <w:lang w:val="en-CA"/>
        </w:rPr>
      </w:pPr>
      <w:r w:rsidRPr="004E1DE3">
        <w:rPr>
          <w:lang w:val="en-CA"/>
        </w:rPr>
        <w:lastRenderedPageBreak/>
        <w:t>There are three types</w:t>
      </w:r>
      <w:r w:rsidR="00640C1F" w:rsidRPr="004E1DE3">
        <w:rPr>
          <w:lang w:val="en-CA"/>
        </w:rPr>
        <w:t>: p</w:t>
      </w:r>
      <w:r w:rsidRPr="004E1DE3">
        <w:rPr>
          <w:lang w:val="en-CA"/>
        </w:rPr>
        <w:t>e</w:t>
      </w:r>
      <w:r w:rsidR="00640C1F" w:rsidRPr="004E1DE3">
        <w:rPr>
          <w:lang w:val="en-CA"/>
        </w:rPr>
        <w:t>cuniar</w:t>
      </w:r>
      <w:r w:rsidRPr="004E1DE3">
        <w:rPr>
          <w:lang w:val="en-CA"/>
        </w:rPr>
        <w:t xml:space="preserve">y, </w:t>
      </w:r>
      <w:r w:rsidR="00640C1F" w:rsidRPr="004E1DE3">
        <w:rPr>
          <w:lang w:val="en-CA"/>
        </w:rPr>
        <w:t>non</w:t>
      </w:r>
      <w:r w:rsidRPr="004E1DE3">
        <w:rPr>
          <w:lang w:val="en-CA"/>
        </w:rPr>
        <w:t>-</w:t>
      </w:r>
      <w:r w:rsidR="00640C1F" w:rsidRPr="004E1DE3">
        <w:rPr>
          <w:lang w:val="en-CA"/>
        </w:rPr>
        <w:t>p</w:t>
      </w:r>
      <w:r w:rsidRPr="004E1DE3">
        <w:rPr>
          <w:lang w:val="en-CA"/>
        </w:rPr>
        <w:t>e</w:t>
      </w:r>
      <w:r w:rsidR="00640C1F" w:rsidRPr="004E1DE3">
        <w:rPr>
          <w:lang w:val="en-CA"/>
        </w:rPr>
        <w:t>cuniar</w:t>
      </w:r>
      <w:r w:rsidRPr="004E1DE3">
        <w:rPr>
          <w:lang w:val="en-CA"/>
        </w:rPr>
        <w:t>y, and punitive</w:t>
      </w:r>
      <w:r w:rsidR="00640C1F" w:rsidRPr="004E1DE3">
        <w:rPr>
          <w:lang w:val="en-CA"/>
        </w:rPr>
        <w:t>.</w:t>
      </w:r>
    </w:p>
    <w:p w14:paraId="57C30059" w14:textId="77777777" w:rsidR="00445BD4" w:rsidRPr="004E1DE3" w:rsidRDefault="00573CA9" w:rsidP="007D1A3F">
      <w:pPr>
        <w:pStyle w:val="Paragrdouble"/>
        <w:tabs>
          <w:tab w:val="num" w:pos="851"/>
        </w:tabs>
        <w:spacing w:line="240" w:lineRule="auto"/>
        <w:ind w:left="0"/>
        <w:rPr>
          <w:lang w:val="en-CA"/>
        </w:rPr>
      </w:pPr>
      <w:r w:rsidRPr="004E1DE3">
        <w:rPr>
          <w:lang w:val="en-CA"/>
        </w:rPr>
        <w:t xml:space="preserve">First, the </w:t>
      </w:r>
      <w:r w:rsidR="00D56B95" w:rsidRPr="004E1DE3">
        <w:rPr>
          <w:lang w:val="en-CA"/>
        </w:rPr>
        <w:t xml:space="preserve">plaintiffs claim unquantified </w:t>
      </w:r>
      <w:r w:rsidR="00940EDA" w:rsidRPr="004E1DE3">
        <w:rPr>
          <w:lang w:val="en-CA"/>
        </w:rPr>
        <w:t>pecuniary</w:t>
      </w:r>
      <w:r w:rsidR="00D56B95" w:rsidRPr="004E1DE3">
        <w:rPr>
          <w:lang w:val="en-CA"/>
        </w:rPr>
        <w:t xml:space="preserve"> </w:t>
      </w:r>
      <w:r w:rsidR="00940EDA" w:rsidRPr="004E1DE3">
        <w:rPr>
          <w:lang w:val="en-CA"/>
        </w:rPr>
        <w:t>damages</w:t>
      </w:r>
      <w:r w:rsidR="00D56B95" w:rsidRPr="004E1DE3">
        <w:rPr>
          <w:lang w:val="en-CA"/>
        </w:rPr>
        <w:t xml:space="preserve"> that are essentially to be established or anticipated, for themselves and for all the putative </w:t>
      </w:r>
      <w:r w:rsidR="00251ECD">
        <w:rPr>
          <w:lang w:val="en-CA"/>
        </w:rPr>
        <w:t xml:space="preserve">class </w:t>
      </w:r>
      <w:r w:rsidR="00D56B95" w:rsidRPr="004E1DE3">
        <w:rPr>
          <w:lang w:val="en-CA"/>
        </w:rPr>
        <w:t xml:space="preserve">members, including for the loss of the patrimonial value of their </w:t>
      </w:r>
      <w:r w:rsidR="00940EDA" w:rsidRPr="004E1DE3">
        <w:rPr>
          <w:lang w:val="en-CA"/>
        </w:rPr>
        <w:t>personal</w:t>
      </w:r>
      <w:r w:rsidR="00D56B95" w:rsidRPr="004E1DE3">
        <w:rPr>
          <w:lang w:val="en-CA"/>
        </w:rPr>
        <w:t xml:space="preserve"> </w:t>
      </w:r>
      <w:r w:rsidR="00940EDA" w:rsidRPr="004E1DE3">
        <w:rPr>
          <w:lang w:val="en-CA"/>
        </w:rPr>
        <w:t>information</w:t>
      </w:r>
      <w:r w:rsidR="00D56B95" w:rsidRPr="004E1DE3">
        <w:rPr>
          <w:lang w:val="en-CA"/>
        </w:rPr>
        <w:t xml:space="preserve"> arising from this violation of their private nature, as well as the excessively high</w:t>
      </w:r>
      <w:r w:rsidR="00251ECD">
        <w:rPr>
          <w:lang w:val="en-CA"/>
        </w:rPr>
        <w:t xml:space="preserve"> membership</w:t>
      </w:r>
      <w:r w:rsidR="004F45F2" w:rsidRPr="004E1DE3">
        <w:rPr>
          <w:lang w:val="en-CA"/>
        </w:rPr>
        <w:t xml:space="preserve"> fees for the </w:t>
      </w:r>
      <w:r w:rsidR="00940EDA" w:rsidRPr="004E1DE3">
        <w:rPr>
          <w:lang w:val="en-CA"/>
        </w:rPr>
        <w:t>services offer</w:t>
      </w:r>
      <w:r w:rsidR="004F45F2" w:rsidRPr="004E1DE3">
        <w:rPr>
          <w:lang w:val="en-CA"/>
        </w:rPr>
        <w:t xml:space="preserve">ed by </w:t>
      </w:r>
      <w:r w:rsidR="00940EDA" w:rsidRPr="004E1DE3">
        <w:rPr>
          <w:lang w:val="en-CA"/>
        </w:rPr>
        <w:t xml:space="preserve">Capital One </w:t>
      </w:r>
      <w:r w:rsidR="004F45F2" w:rsidRPr="004E1DE3">
        <w:rPr>
          <w:lang w:val="en-CA"/>
        </w:rPr>
        <w:t>and obtained from it, which no longer comply with their repre</w:t>
      </w:r>
      <w:r w:rsidR="00940EDA" w:rsidRPr="004E1DE3">
        <w:rPr>
          <w:lang w:val="en-CA"/>
        </w:rPr>
        <w:t xml:space="preserve">sentations </w:t>
      </w:r>
      <w:r w:rsidR="004F45F2" w:rsidRPr="004E1DE3">
        <w:rPr>
          <w:lang w:val="en-CA"/>
        </w:rPr>
        <w:t>concerning information security</w:t>
      </w:r>
      <w:r w:rsidR="00940EDA" w:rsidRPr="004E1DE3">
        <w:rPr>
          <w:lang w:val="en-CA"/>
        </w:rPr>
        <w:t>.</w:t>
      </w:r>
    </w:p>
    <w:p w14:paraId="6EF138C9" w14:textId="77777777" w:rsidR="00E72187" w:rsidRPr="004E1DE3" w:rsidRDefault="00573CA9" w:rsidP="007D1A3F">
      <w:pPr>
        <w:pStyle w:val="Paragrdouble"/>
        <w:tabs>
          <w:tab w:val="num" w:pos="851"/>
        </w:tabs>
        <w:spacing w:line="240" w:lineRule="auto"/>
        <w:ind w:left="0"/>
        <w:rPr>
          <w:lang w:val="en-CA"/>
        </w:rPr>
      </w:pPr>
      <w:r w:rsidRPr="004E1DE3">
        <w:rPr>
          <w:lang w:val="en-CA"/>
        </w:rPr>
        <w:t xml:space="preserve">In this regard, they also claim the expenses they will have to incur to ensure regular verification and monitoring of their accounts and statements over a longer </w:t>
      </w:r>
      <w:r w:rsidR="00E14C69" w:rsidRPr="004E1DE3">
        <w:rPr>
          <w:lang w:val="en-CA"/>
        </w:rPr>
        <w:t xml:space="preserve">period of time than the two </w:t>
      </w:r>
      <w:r w:rsidR="00BF21DC" w:rsidRPr="004E1DE3">
        <w:rPr>
          <w:lang w:val="en-CA"/>
        </w:rPr>
        <w:t xml:space="preserve">(2) </w:t>
      </w:r>
      <w:r w:rsidR="00E14C69" w:rsidRPr="004E1DE3">
        <w:rPr>
          <w:lang w:val="en-CA"/>
        </w:rPr>
        <w:t xml:space="preserve">years during which such </w:t>
      </w:r>
      <w:r w:rsidR="00BF21DC" w:rsidRPr="004E1DE3">
        <w:rPr>
          <w:lang w:val="en-CA"/>
        </w:rPr>
        <w:t>services</w:t>
      </w:r>
      <w:r w:rsidR="00E14C69" w:rsidRPr="004E1DE3">
        <w:rPr>
          <w:lang w:val="en-CA"/>
        </w:rPr>
        <w:t xml:space="preserve"> were offered to them at no charge by </w:t>
      </w:r>
      <w:r w:rsidR="00BF21DC" w:rsidRPr="004E1DE3">
        <w:rPr>
          <w:lang w:val="en-CA"/>
        </w:rPr>
        <w:t xml:space="preserve">Capital One, </w:t>
      </w:r>
      <w:r w:rsidR="00E14C69" w:rsidRPr="004E1DE3">
        <w:rPr>
          <w:lang w:val="en-CA"/>
        </w:rPr>
        <w:t xml:space="preserve">as well as the expenses they will have to incur to deal with </w:t>
      </w:r>
      <w:r w:rsidR="00203F54" w:rsidRPr="004E1DE3">
        <w:rPr>
          <w:lang w:val="en-CA"/>
        </w:rPr>
        <w:t xml:space="preserve">potential </w:t>
      </w:r>
      <w:r w:rsidR="00BF21DC" w:rsidRPr="004E1DE3">
        <w:rPr>
          <w:lang w:val="en-CA"/>
        </w:rPr>
        <w:t>fraud</w:t>
      </w:r>
      <w:r w:rsidR="00203F54" w:rsidRPr="004E1DE3">
        <w:rPr>
          <w:lang w:val="en-CA"/>
        </w:rPr>
        <w:t xml:space="preserve"> resulting from </w:t>
      </w:r>
      <w:r w:rsidR="0040722C" w:rsidRPr="004E1DE3">
        <w:rPr>
          <w:lang w:val="en-CA"/>
        </w:rPr>
        <w:t xml:space="preserve">the theft of their </w:t>
      </w:r>
      <w:r w:rsidR="00BF21DC" w:rsidRPr="004E1DE3">
        <w:rPr>
          <w:lang w:val="en-CA"/>
        </w:rPr>
        <w:t>identit</w:t>
      </w:r>
      <w:r w:rsidR="0040722C" w:rsidRPr="004E1DE3">
        <w:rPr>
          <w:lang w:val="en-CA"/>
        </w:rPr>
        <w:t xml:space="preserve">y, including the </w:t>
      </w:r>
      <w:r w:rsidR="000C6BA9" w:rsidRPr="004E1DE3">
        <w:rPr>
          <w:lang w:val="en-CA"/>
        </w:rPr>
        <w:t>expenses</w:t>
      </w:r>
      <w:r w:rsidR="0040722C" w:rsidRPr="004E1DE3">
        <w:rPr>
          <w:lang w:val="en-CA"/>
        </w:rPr>
        <w:t xml:space="preserve"> </w:t>
      </w:r>
      <w:r w:rsidR="000C6BA9" w:rsidRPr="004E1DE3">
        <w:rPr>
          <w:lang w:val="en-CA"/>
        </w:rPr>
        <w:t>required</w:t>
      </w:r>
      <w:r w:rsidR="0040722C" w:rsidRPr="004E1DE3">
        <w:rPr>
          <w:lang w:val="en-CA"/>
        </w:rPr>
        <w:t xml:space="preserve"> to </w:t>
      </w:r>
      <w:r w:rsidR="00BF21DC" w:rsidRPr="004E1DE3">
        <w:rPr>
          <w:lang w:val="en-CA"/>
        </w:rPr>
        <w:t>identif</w:t>
      </w:r>
      <w:r w:rsidR="0040722C" w:rsidRPr="004E1DE3">
        <w:rPr>
          <w:lang w:val="en-CA"/>
        </w:rPr>
        <w:t xml:space="preserve">y </w:t>
      </w:r>
      <w:r w:rsidR="000C6BA9" w:rsidRPr="004E1DE3">
        <w:rPr>
          <w:lang w:val="en-CA"/>
        </w:rPr>
        <w:t xml:space="preserve">the author of such fraud and put them behind bars, the expenses incurred to cancel the </w:t>
      </w:r>
      <w:r w:rsidR="00BF21DC" w:rsidRPr="004E1DE3">
        <w:rPr>
          <w:lang w:val="en-CA"/>
        </w:rPr>
        <w:t xml:space="preserve">services </w:t>
      </w:r>
      <w:r w:rsidR="000C6BA9" w:rsidRPr="004E1DE3">
        <w:rPr>
          <w:lang w:val="en-CA"/>
        </w:rPr>
        <w:t xml:space="preserve">provided by </w:t>
      </w:r>
      <w:r w:rsidR="00BF21DC" w:rsidRPr="004E1DE3">
        <w:rPr>
          <w:lang w:val="en-CA"/>
        </w:rPr>
        <w:t xml:space="preserve">Capital One </w:t>
      </w:r>
      <w:r w:rsidR="000C6BA9" w:rsidRPr="004E1DE3">
        <w:rPr>
          <w:lang w:val="en-CA"/>
        </w:rPr>
        <w:t xml:space="preserve">and replace them with another financial </w:t>
      </w:r>
      <w:r w:rsidR="00BF21DC" w:rsidRPr="004E1DE3">
        <w:rPr>
          <w:lang w:val="en-CA"/>
        </w:rPr>
        <w:t xml:space="preserve">institution, </w:t>
      </w:r>
      <w:r w:rsidR="000C6BA9" w:rsidRPr="004E1DE3">
        <w:rPr>
          <w:lang w:val="en-CA"/>
        </w:rPr>
        <w:t xml:space="preserve">and the expenses incurred to recover the amounts diverted, and finally, an amount equal to the loss of their </w:t>
      </w:r>
      <w:r w:rsidR="00E445B2" w:rsidRPr="004E1DE3">
        <w:rPr>
          <w:lang w:val="en-CA"/>
        </w:rPr>
        <w:t>rating for the purposes of obtain</w:t>
      </w:r>
      <w:r w:rsidR="00382822">
        <w:rPr>
          <w:lang w:val="en-CA"/>
        </w:rPr>
        <w:t>ing</w:t>
      </w:r>
      <w:r w:rsidR="00E445B2" w:rsidRPr="004E1DE3">
        <w:rPr>
          <w:lang w:val="en-CA"/>
        </w:rPr>
        <w:t xml:space="preserve"> credit in the </w:t>
      </w:r>
      <w:r w:rsidR="00BF21DC" w:rsidRPr="004E1DE3">
        <w:rPr>
          <w:lang w:val="en-CA"/>
        </w:rPr>
        <w:t>financial</w:t>
      </w:r>
      <w:r w:rsidR="00E445B2" w:rsidRPr="004E1DE3">
        <w:rPr>
          <w:lang w:val="en-CA"/>
        </w:rPr>
        <w:t xml:space="preserve"> </w:t>
      </w:r>
      <w:r w:rsidR="00BF21DC" w:rsidRPr="004E1DE3">
        <w:rPr>
          <w:lang w:val="en-CA"/>
        </w:rPr>
        <w:t>markets</w:t>
      </w:r>
      <w:r w:rsidR="00E445B2" w:rsidRPr="004E1DE3">
        <w:rPr>
          <w:lang w:val="en-CA"/>
        </w:rPr>
        <w:t xml:space="preserve"> as a result of this </w:t>
      </w:r>
      <w:r w:rsidR="00BF21DC" w:rsidRPr="004E1DE3">
        <w:rPr>
          <w:lang w:val="en-CA"/>
        </w:rPr>
        <w:t xml:space="preserve">intrusion. </w:t>
      </w:r>
    </w:p>
    <w:p w14:paraId="371C6AC9" w14:textId="77777777" w:rsidR="00301B5E" w:rsidRPr="004E1DE3" w:rsidRDefault="00573CA9" w:rsidP="007D1A3F">
      <w:pPr>
        <w:pStyle w:val="Paragrdouble"/>
        <w:tabs>
          <w:tab w:val="num" w:pos="851"/>
        </w:tabs>
        <w:spacing w:line="240" w:lineRule="auto"/>
        <w:ind w:left="0"/>
        <w:rPr>
          <w:lang w:val="en-CA"/>
        </w:rPr>
      </w:pPr>
      <w:r w:rsidRPr="004E1DE3">
        <w:rPr>
          <w:lang w:val="en-CA"/>
        </w:rPr>
        <w:t xml:space="preserve">Second, the plaintiffs claim moral and </w:t>
      </w:r>
      <w:r w:rsidR="00940EDA" w:rsidRPr="004E1DE3">
        <w:rPr>
          <w:lang w:val="en-CA"/>
        </w:rPr>
        <w:t>non</w:t>
      </w:r>
      <w:r w:rsidRPr="004E1DE3">
        <w:rPr>
          <w:lang w:val="en-CA"/>
        </w:rPr>
        <w:t>-</w:t>
      </w:r>
      <w:r w:rsidR="00940EDA" w:rsidRPr="004E1DE3">
        <w:rPr>
          <w:lang w:val="en-CA"/>
        </w:rPr>
        <w:t>p</w:t>
      </w:r>
      <w:r w:rsidRPr="004E1DE3">
        <w:rPr>
          <w:lang w:val="en-CA"/>
        </w:rPr>
        <w:t>e</w:t>
      </w:r>
      <w:r w:rsidR="00940EDA" w:rsidRPr="004E1DE3">
        <w:rPr>
          <w:lang w:val="en-CA"/>
        </w:rPr>
        <w:t>cuniar</w:t>
      </w:r>
      <w:r w:rsidRPr="004E1DE3">
        <w:rPr>
          <w:lang w:val="en-CA"/>
        </w:rPr>
        <w:t xml:space="preserve">y damages for </w:t>
      </w:r>
      <w:r w:rsidR="00940EDA" w:rsidRPr="004E1DE3">
        <w:rPr>
          <w:lang w:val="en-CA"/>
        </w:rPr>
        <w:t>stress</w:t>
      </w:r>
      <w:r w:rsidRPr="004E1DE3">
        <w:rPr>
          <w:lang w:val="en-CA"/>
        </w:rPr>
        <w:t xml:space="preserve"> and other </w:t>
      </w:r>
      <w:r w:rsidR="00940EDA" w:rsidRPr="004E1DE3">
        <w:rPr>
          <w:lang w:val="en-CA"/>
        </w:rPr>
        <w:t>trouble</w:t>
      </w:r>
      <w:r w:rsidRPr="004E1DE3">
        <w:rPr>
          <w:lang w:val="en-CA"/>
        </w:rPr>
        <w:t xml:space="preserve"> and inconvenience of this </w:t>
      </w:r>
      <w:r w:rsidR="00940EDA" w:rsidRPr="004E1DE3">
        <w:rPr>
          <w:lang w:val="en-CA"/>
        </w:rPr>
        <w:t xml:space="preserve">nature </w:t>
      </w:r>
      <w:r w:rsidRPr="004E1DE3">
        <w:rPr>
          <w:lang w:val="en-CA"/>
        </w:rPr>
        <w:t>that th</w:t>
      </w:r>
      <w:r w:rsidR="00940EDA" w:rsidRPr="004E1DE3">
        <w:rPr>
          <w:lang w:val="en-CA"/>
        </w:rPr>
        <w:t>e</w:t>
      </w:r>
      <w:r w:rsidRPr="004E1DE3">
        <w:rPr>
          <w:lang w:val="en-CA"/>
        </w:rPr>
        <w:t xml:space="preserve">y have suffered and will continue to suffer as a result of this unauthorized access </w:t>
      </w:r>
      <w:r w:rsidR="00A124CE">
        <w:rPr>
          <w:lang w:val="en-CA"/>
        </w:rPr>
        <w:t>of</w:t>
      </w:r>
      <w:r w:rsidRPr="004E1DE3">
        <w:rPr>
          <w:lang w:val="en-CA"/>
        </w:rPr>
        <w:t xml:space="preserve"> their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and essentially arising from their fear and anxiety caused by the </w:t>
      </w:r>
      <w:r w:rsidR="00940EDA" w:rsidRPr="004E1DE3">
        <w:rPr>
          <w:lang w:val="en-CA"/>
        </w:rPr>
        <w:t>omnipr</w:t>
      </w:r>
      <w:r w:rsidR="00FA7925" w:rsidRPr="004E1DE3">
        <w:rPr>
          <w:lang w:val="en-CA"/>
        </w:rPr>
        <w:t>e</w:t>
      </w:r>
      <w:r w:rsidR="00940EDA" w:rsidRPr="004E1DE3">
        <w:rPr>
          <w:lang w:val="en-CA"/>
        </w:rPr>
        <w:t>sent</w:t>
      </w:r>
      <w:r w:rsidR="00FA7925" w:rsidRPr="004E1DE3">
        <w:rPr>
          <w:lang w:val="en-CA"/>
        </w:rPr>
        <w:t xml:space="preserve"> thought of having to live for a long time under the threat of being the potential </w:t>
      </w:r>
      <w:r w:rsidR="00940EDA" w:rsidRPr="004E1DE3">
        <w:rPr>
          <w:lang w:val="en-CA"/>
        </w:rPr>
        <w:t>victims</w:t>
      </w:r>
      <w:r w:rsidR="00FA7925" w:rsidRPr="004E1DE3">
        <w:rPr>
          <w:lang w:val="en-CA"/>
        </w:rPr>
        <w:t xml:space="preserve"> of </w:t>
      </w:r>
      <w:r w:rsidR="00940EDA" w:rsidRPr="004E1DE3">
        <w:rPr>
          <w:lang w:val="en-CA"/>
        </w:rPr>
        <w:t>fraud.</w:t>
      </w:r>
    </w:p>
    <w:p w14:paraId="58396CEC" w14:textId="77777777" w:rsidR="00D55AAA" w:rsidRPr="004E1DE3" w:rsidRDefault="00573CA9" w:rsidP="007C1346">
      <w:pPr>
        <w:pStyle w:val="Paragrdouble"/>
        <w:tabs>
          <w:tab w:val="num" w:pos="851"/>
        </w:tabs>
        <w:spacing w:line="240" w:lineRule="auto"/>
        <w:ind w:left="0"/>
        <w:rPr>
          <w:lang w:val="en-CA"/>
        </w:rPr>
      </w:pPr>
      <w:r w:rsidRPr="004E1DE3">
        <w:rPr>
          <w:lang w:val="en-CA"/>
        </w:rPr>
        <w:t xml:space="preserve">Last, the plaintiffs claim </w:t>
      </w:r>
      <w:r w:rsidR="00737082" w:rsidRPr="004E1DE3">
        <w:rPr>
          <w:lang w:val="en-CA"/>
        </w:rPr>
        <w:t>punitive</w:t>
      </w:r>
      <w:r w:rsidRPr="004E1DE3">
        <w:rPr>
          <w:lang w:val="en-CA"/>
        </w:rPr>
        <w:t xml:space="preserve"> </w:t>
      </w:r>
      <w:r w:rsidR="00737082" w:rsidRPr="004E1DE3">
        <w:rPr>
          <w:lang w:val="en-CA"/>
        </w:rPr>
        <w:t>damages</w:t>
      </w:r>
      <w:r w:rsidRPr="004E1DE3">
        <w:rPr>
          <w:lang w:val="en-CA"/>
        </w:rPr>
        <w:t xml:space="preserve"> from the defendants under </w:t>
      </w:r>
      <w:r w:rsidR="00737082" w:rsidRPr="004E1DE3">
        <w:rPr>
          <w:lang w:val="en-CA"/>
        </w:rPr>
        <w:t xml:space="preserve">section 49 </w:t>
      </w:r>
      <w:r w:rsidRPr="004E1DE3">
        <w:rPr>
          <w:lang w:val="en-CA"/>
        </w:rPr>
        <w:t xml:space="preserve">of the </w:t>
      </w:r>
      <w:r w:rsidR="00291A19" w:rsidRPr="004E1DE3">
        <w:rPr>
          <w:i/>
          <w:iCs/>
          <w:lang w:val="en-CA"/>
        </w:rPr>
        <w:t>Charter</w:t>
      </w:r>
      <w:r w:rsidR="007440BF" w:rsidRPr="004E1DE3">
        <w:rPr>
          <w:i/>
          <w:iCs/>
          <w:lang w:val="en-CA"/>
        </w:rPr>
        <w:t xml:space="preserve"> </w:t>
      </w:r>
      <w:r w:rsidR="00291A19" w:rsidRPr="004E1DE3">
        <w:rPr>
          <w:i/>
          <w:iCs/>
          <w:lang w:val="en-CA"/>
        </w:rPr>
        <w:t>of</w:t>
      </w:r>
      <w:r w:rsidR="007440BF" w:rsidRPr="004E1DE3">
        <w:rPr>
          <w:i/>
          <w:iCs/>
          <w:lang w:val="en-CA"/>
        </w:rPr>
        <w:t xml:space="preserve"> </w:t>
      </w:r>
      <w:r w:rsidR="00291A19" w:rsidRPr="004E1DE3">
        <w:rPr>
          <w:i/>
          <w:iCs/>
          <w:lang w:val="en-CA"/>
        </w:rPr>
        <w:t>human</w:t>
      </w:r>
      <w:r w:rsidR="007440BF" w:rsidRPr="004E1DE3">
        <w:rPr>
          <w:i/>
          <w:iCs/>
          <w:lang w:val="en-CA"/>
        </w:rPr>
        <w:t xml:space="preserve"> </w:t>
      </w:r>
      <w:r w:rsidR="00291A19" w:rsidRPr="004E1DE3">
        <w:rPr>
          <w:i/>
          <w:iCs/>
          <w:lang w:val="en-CA"/>
        </w:rPr>
        <w:t>rights</w:t>
      </w:r>
      <w:r w:rsidR="007440BF" w:rsidRPr="004E1DE3">
        <w:rPr>
          <w:i/>
          <w:iCs/>
          <w:lang w:val="en-CA"/>
        </w:rPr>
        <w:t xml:space="preserve"> </w:t>
      </w:r>
      <w:r w:rsidR="00291A19" w:rsidRPr="004E1DE3">
        <w:rPr>
          <w:i/>
          <w:iCs/>
          <w:lang w:val="en-CA"/>
        </w:rPr>
        <w:t>and</w:t>
      </w:r>
      <w:r w:rsidR="007440BF" w:rsidRPr="004E1DE3">
        <w:rPr>
          <w:i/>
          <w:iCs/>
          <w:lang w:val="en-CA"/>
        </w:rPr>
        <w:t xml:space="preserve"> </w:t>
      </w:r>
      <w:r w:rsidR="00291A19" w:rsidRPr="004E1DE3">
        <w:rPr>
          <w:i/>
          <w:iCs/>
          <w:lang w:val="en-CA"/>
        </w:rPr>
        <w:t>freedoms</w:t>
      </w:r>
      <w:r w:rsidR="00445BD4" w:rsidRPr="004E1DE3">
        <w:rPr>
          <w:lang w:val="en-CA"/>
        </w:rPr>
        <w:t xml:space="preserve"> [</w:t>
      </w:r>
      <w:r w:rsidR="007440BF" w:rsidRPr="004E1DE3">
        <w:rPr>
          <w:lang w:val="en-CA"/>
        </w:rPr>
        <w:t xml:space="preserve">the </w:t>
      </w:r>
      <w:r w:rsidR="00445BD4" w:rsidRPr="004E1DE3">
        <w:rPr>
          <w:i/>
          <w:iCs/>
          <w:lang w:val="en-CA"/>
        </w:rPr>
        <w:t>Charter</w:t>
      </w:r>
      <w:r w:rsidR="00445BD4" w:rsidRPr="004E1DE3">
        <w:rPr>
          <w:lang w:val="en-CA"/>
        </w:rPr>
        <w:t>]</w:t>
      </w:r>
      <w:r>
        <w:rPr>
          <w:rStyle w:val="Appelnotedebasdep"/>
          <w:lang w:val="en-CA"/>
        </w:rPr>
        <w:footnoteReference w:id="5"/>
      </w:r>
      <w:r w:rsidR="00737082" w:rsidRPr="004E1DE3">
        <w:rPr>
          <w:lang w:val="en-CA"/>
        </w:rPr>
        <w:t xml:space="preserve"> </w:t>
      </w:r>
      <w:r w:rsidR="007440BF" w:rsidRPr="004E1DE3">
        <w:rPr>
          <w:lang w:val="en-CA"/>
        </w:rPr>
        <w:t xml:space="preserve">resulting from this interference with their </w:t>
      </w:r>
      <w:r w:rsidR="00737082" w:rsidRPr="004E1DE3">
        <w:rPr>
          <w:lang w:val="en-CA"/>
        </w:rPr>
        <w:t>right</w:t>
      </w:r>
      <w:r w:rsidR="007440BF" w:rsidRPr="004E1DE3">
        <w:rPr>
          <w:lang w:val="en-CA"/>
        </w:rPr>
        <w:t xml:space="preserve"> to the </w:t>
      </w:r>
      <w:r w:rsidR="00737082" w:rsidRPr="004E1DE3">
        <w:rPr>
          <w:lang w:val="en-CA"/>
        </w:rPr>
        <w:t xml:space="preserve">protection </w:t>
      </w:r>
      <w:r w:rsidR="007440BF" w:rsidRPr="004E1DE3">
        <w:rPr>
          <w:lang w:val="en-CA"/>
        </w:rPr>
        <w:t>of their priva</w:t>
      </w:r>
      <w:r w:rsidR="0009177D" w:rsidRPr="004E1DE3">
        <w:rPr>
          <w:lang w:val="en-CA"/>
        </w:rPr>
        <w:t>cy</w:t>
      </w:r>
      <w:r w:rsidR="007440BF" w:rsidRPr="004E1DE3">
        <w:rPr>
          <w:lang w:val="en-CA"/>
        </w:rPr>
        <w:t xml:space="preserve"> guaranteed by </w:t>
      </w:r>
      <w:r w:rsidR="00737082" w:rsidRPr="004E1DE3">
        <w:rPr>
          <w:lang w:val="en-CA"/>
        </w:rPr>
        <w:t xml:space="preserve">section 5 </w:t>
      </w:r>
      <w:r w:rsidR="007440BF" w:rsidRPr="004E1DE3">
        <w:rPr>
          <w:lang w:val="en-CA"/>
        </w:rPr>
        <w:t xml:space="preserve">of the </w:t>
      </w:r>
      <w:r w:rsidR="00737082" w:rsidRPr="004E1DE3">
        <w:rPr>
          <w:i/>
          <w:iCs/>
          <w:lang w:val="en-CA"/>
        </w:rPr>
        <w:t>Charter</w:t>
      </w:r>
      <w:r w:rsidR="00737082" w:rsidRPr="004E1DE3">
        <w:rPr>
          <w:lang w:val="en-CA"/>
        </w:rPr>
        <w:t>,</w:t>
      </w:r>
      <w:r w:rsidR="007440BF" w:rsidRPr="004E1DE3">
        <w:rPr>
          <w:lang w:val="en-CA"/>
        </w:rPr>
        <w:t xml:space="preserve"> as well as under the </w:t>
      </w:r>
      <w:r w:rsidR="00F70404">
        <w:rPr>
          <w:lang w:val="en-CA"/>
        </w:rPr>
        <w:t>mandatory</w:t>
      </w:r>
      <w:r w:rsidR="00F70404" w:rsidRPr="004E1DE3">
        <w:rPr>
          <w:lang w:val="en-CA"/>
        </w:rPr>
        <w:t xml:space="preserve"> </w:t>
      </w:r>
      <w:r w:rsidR="007440BF" w:rsidRPr="004E1DE3">
        <w:rPr>
          <w:lang w:val="en-CA"/>
        </w:rPr>
        <w:t>provisions</w:t>
      </w:r>
      <w:r w:rsidR="002746E1" w:rsidRPr="004E1DE3">
        <w:rPr>
          <w:lang w:val="en-CA"/>
        </w:rPr>
        <w:t xml:space="preserve"> of the </w:t>
      </w:r>
      <w:r w:rsidR="00737082" w:rsidRPr="004E1DE3">
        <w:rPr>
          <w:i/>
          <w:iCs/>
          <w:lang w:val="en-CA"/>
        </w:rPr>
        <w:t>Consumer</w:t>
      </w:r>
      <w:r w:rsidR="002746E1" w:rsidRPr="004E1DE3">
        <w:rPr>
          <w:i/>
          <w:iCs/>
          <w:lang w:val="en-CA"/>
        </w:rPr>
        <w:t xml:space="preserve"> </w:t>
      </w:r>
      <w:r w:rsidR="00737082" w:rsidRPr="004E1DE3">
        <w:rPr>
          <w:i/>
          <w:iCs/>
          <w:lang w:val="en-CA"/>
        </w:rPr>
        <w:t>Protection</w:t>
      </w:r>
      <w:r w:rsidR="002746E1" w:rsidRPr="004E1DE3">
        <w:rPr>
          <w:i/>
          <w:iCs/>
          <w:lang w:val="en-CA"/>
        </w:rPr>
        <w:t xml:space="preserve"> </w:t>
      </w:r>
      <w:r w:rsidR="00737082" w:rsidRPr="004E1DE3">
        <w:rPr>
          <w:i/>
          <w:iCs/>
          <w:lang w:val="en-CA"/>
        </w:rPr>
        <w:t>Act</w:t>
      </w:r>
      <w:r>
        <w:rPr>
          <w:rStyle w:val="Appelnotedebasdep"/>
          <w:lang w:val="en-CA"/>
        </w:rPr>
        <w:footnoteReference w:id="6"/>
      </w:r>
      <w:r w:rsidR="002746E1" w:rsidRPr="004E1DE3">
        <w:rPr>
          <w:i/>
          <w:iCs/>
          <w:lang w:val="en-CA"/>
        </w:rPr>
        <w:t xml:space="preserve"> </w:t>
      </w:r>
      <w:r w:rsidR="00113283" w:rsidRPr="004E1DE3">
        <w:rPr>
          <w:lang w:val="en-CA"/>
        </w:rPr>
        <w:t>[</w:t>
      </w:r>
      <w:r w:rsidR="002746E1" w:rsidRPr="004E1DE3">
        <w:rPr>
          <w:lang w:val="en-CA"/>
        </w:rPr>
        <w:t xml:space="preserve">the </w:t>
      </w:r>
      <w:r w:rsidR="002746E1" w:rsidRPr="004E1DE3">
        <w:rPr>
          <w:i/>
          <w:iCs/>
          <w:lang w:val="en-CA"/>
        </w:rPr>
        <w:t>CPA</w:t>
      </w:r>
      <w:r w:rsidR="00113283" w:rsidRPr="004E1DE3">
        <w:rPr>
          <w:lang w:val="en-CA"/>
        </w:rPr>
        <w:t>]</w:t>
      </w:r>
      <w:r w:rsidR="000C3053" w:rsidRPr="004E1DE3">
        <w:rPr>
          <w:lang w:val="en-CA"/>
        </w:rPr>
        <w:t xml:space="preserve">, which the </w:t>
      </w:r>
      <w:r w:rsidR="00113283" w:rsidRPr="004E1DE3">
        <w:rPr>
          <w:lang w:val="en-CA"/>
        </w:rPr>
        <w:t>defendants</w:t>
      </w:r>
      <w:r w:rsidR="000C3053" w:rsidRPr="004E1DE3">
        <w:rPr>
          <w:lang w:val="en-CA"/>
        </w:rPr>
        <w:t xml:space="preserve"> violated, in particular through their</w:t>
      </w:r>
      <w:r w:rsidR="00F12FBD" w:rsidRPr="004E1DE3">
        <w:rPr>
          <w:lang w:val="en-CA"/>
        </w:rPr>
        <w:t xml:space="preserve"> advertising</w:t>
      </w:r>
      <w:r w:rsidR="000C3053" w:rsidRPr="004E1DE3">
        <w:rPr>
          <w:lang w:val="en-CA"/>
        </w:rPr>
        <w:t xml:space="preserve"> </w:t>
      </w:r>
      <w:r w:rsidR="00113283" w:rsidRPr="004E1DE3">
        <w:rPr>
          <w:lang w:val="en-CA"/>
        </w:rPr>
        <w:t xml:space="preserve">initiatives </w:t>
      </w:r>
      <w:r w:rsidR="00F12FBD" w:rsidRPr="004E1DE3">
        <w:rPr>
          <w:lang w:val="en-CA"/>
        </w:rPr>
        <w:t xml:space="preserve">and the </w:t>
      </w:r>
      <w:r w:rsidR="00113283" w:rsidRPr="004E1DE3">
        <w:rPr>
          <w:lang w:val="en-CA"/>
        </w:rPr>
        <w:t>false</w:t>
      </w:r>
      <w:r w:rsidR="00F12FBD" w:rsidRPr="004E1DE3">
        <w:rPr>
          <w:lang w:val="en-CA"/>
        </w:rPr>
        <w:t xml:space="preserve"> </w:t>
      </w:r>
      <w:r w:rsidR="00113283" w:rsidRPr="004E1DE3">
        <w:rPr>
          <w:lang w:val="en-CA"/>
        </w:rPr>
        <w:t>or</w:t>
      </w:r>
      <w:r w:rsidR="00F12FBD" w:rsidRPr="004E1DE3">
        <w:rPr>
          <w:lang w:val="en-CA"/>
        </w:rPr>
        <w:t xml:space="preserve"> </w:t>
      </w:r>
      <w:r w:rsidR="00113283" w:rsidRPr="004E1DE3">
        <w:rPr>
          <w:lang w:val="en-CA"/>
        </w:rPr>
        <w:t>misleading</w:t>
      </w:r>
      <w:r w:rsidR="00111EC4" w:rsidRPr="004E1DE3">
        <w:rPr>
          <w:lang w:val="en-CA"/>
        </w:rPr>
        <w:t xml:space="preserve"> representations</w:t>
      </w:r>
      <w:r w:rsidR="00F12FBD" w:rsidRPr="004E1DE3">
        <w:rPr>
          <w:lang w:val="en-CA"/>
        </w:rPr>
        <w:t xml:space="preserve"> they made to the </w:t>
      </w:r>
      <w:r w:rsidR="007528F6">
        <w:rPr>
          <w:lang w:val="en-CA"/>
        </w:rPr>
        <w:t xml:space="preserve">class </w:t>
      </w:r>
      <w:r w:rsidR="00F12FBD" w:rsidRPr="004E1DE3">
        <w:rPr>
          <w:lang w:val="en-CA"/>
        </w:rPr>
        <w:t xml:space="preserve">members regarding the </w:t>
      </w:r>
      <w:r w:rsidR="00113283" w:rsidRPr="004E1DE3">
        <w:rPr>
          <w:lang w:val="en-CA"/>
        </w:rPr>
        <w:t>qualit</w:t>
      </w:r>
      <w:r w:rsidR="00F12FBD" w:rsidRPr="004E1DE3">
        <w:rPr>
          <w:lang w:val="en-CA"/>
        </w:rPr>
        <w:t xml:space="preserve">y of the </w:t>
      </w:r>
      <w:r w:rsidR="00113283" w:rsidRPr="004E1DE3">
        <w:rPr>
          <w:lang w:val="en-CA"/>
        </w:rPr>
        <w:t xml:space="preserve">protection </w:t>
      </w:r>
      <w:r w:rsidR="00F12FBD" w:rsidRPr="004E1DE3">
        <w:rPr>
          <w:lang w:val="en-CA"/>
        </w:rPr>
        <w:t xml:space="preserve">and security of their </w:t>
      </w:r>
      <w:r w:rsidR="00113283" w:rsidRPr="004E1DE3">
        <w:rPr>
          <w:lang w:val="en-CA"/>
        </w:rPr>
        <w:t>personal</w:t>
      </w:r>
      <w:r w:rsidR="00F12FBD" w:rsidRPr="004E1DE3">
        <w:rPr>
          <w:lang w:val="en-CA"/>
        </w:rPr>
        <w:t xml:space="preserve"> </w:t>
      </w:r>
      <w:r w:rsidR="00113283" w:rsidRPr="004E1DE3">
        <w:rPr>
          <w:lang w:val="en-CA"/>
        </w:rPr>
        <w:t xml:space="preserve">information, </w:t>
      </w:r>
      <w:r w:rsidR="00F12FBD" w:rsidRPr="004E1DE3">
        <w:rPr>
          <w:lang w:val="en-CA"/>
        </w:rPr>
        <w:t xml:space="preserve">the </w:t>
      </w:r>
      <w:r w:rsidR="00113283" w:rsidRPr="004E1DE3">
        <w:rPr>
          <w:lang w:val="en-CA"/>
        </w:rPr>
        <w:t xml:space="preserve">violation </w:t>
      </w:r>
      <w:r w:rsidR="00F12FBD" w:rsidRPr="004E1DE3">
        <w:rPr>
          <w:lang w:val="en-CA"/>
        </w:rPr>
        <w:t xml:space="preserve">of which </w:t>
      </w:r>
      <w:r w:rsidR="00113283" w:rsidRPr="004E1DE3">
        <w:rPr>
          <w:lang w:val="en-CA"/>
        </w:rPr>
        <w:t>perm</w:t>
      </w:r>
      <w:r w:rsidR="00F12FBD" w:rsidRPr="004E1DE3">
        <w:rPr>
          <w:lang w:val="en-CA"/>
        </w:rPr>
        <w:t xml:space="preserve">its an award of punitive damages under section 272 </w:t>
      </w:r>
      <w:r w:rsidR="00F12FBD" w:rsidRPr="004E1DE3">
        <w:rPr>
          <w:i/>
          <w:iCs/>
          <w:lang w:val="en-CA"/>
        </w:rPr>
        <w:t>CPA</w:t>
      </w:r>
      <w:r w:rsidR="00F12FBD" w:rsidRPr="004E1DE3">
        <w:rPr>
          <w:lang w:val="en-CA"/>
        </w:rPr>
        <w:t xml:space="preserve"> if it is established that it is a </w:t>
      </w:r>
      <w:r w:rsidR="00113283" w:rsidRPr="004E1DE3">
        <w:rPr>
          <w:lang w:val="en-CA"/>
        </w:rPr>
        <w:t>prohibited</w:t>
      </w:r>
      <w:r w:rsidR="00F12FBD" w:rsidRPr="004E1DE3">
        <w:rPr>
          <w:lang w:val="en-CA"/>
        </w:rPr>
        <w:t xml:space="preserve"> </w:t>
      </w:r>
      <w:r w:rsidR="00113283" w:rsidRPr="004E1DE3">
        <w:rPr>
          <w:lang w:val="en-CA"/>
        </w:rPr>
        <w:t>practice.</w:t>
      </w:r>
    </w:p>
    <w:p w14:paraId="2E1473A6" w14:textId="77777777" w:rsidR="006508CF" w:rsidRPr="004E1DE3" w:rsidRDefault="00573CA9" w:rsidP="007C1346">
      <w:pPr>
        <w:pStyle w:val="Paragrdouble"/>
        <w:tabs>
          <w:tab w:val="num" w:pos="851"/>
        </w:tabs>
        <w:spacing w:line="240" w:lineRule="auto"/>
        <w:ind w:left="0"/>
        <w:rPr>
          <w:lang w:val="en-CA"/>
        </w:rPr>
      </w:pPr>
      <w:r w:rsidRPr="004E1DE3">
        <w:rPr>
          <w:lang w:val="en-CA"/>
        </w:rPr>
        <w:t xml:space="preserve">The first and third criteria set out in </w:t>
      </w:r>
      <w:r w:rsidR="00940EDA" w:rsidRPr="004E1DE3">
        <w:rPr>
          <w:lang w:val="en-CA"/>
        </w:rPr>
        <w:t>article</w:t>
      </w:r>
      <w:r w:rsidRPr="004E1DE3">
        <w:rPr>
          <w:lang w:val="en-CA"/>
        </w:rPr>
        <w:t xml:space="preserve"> </w:t>
      </w:r>
      <w:r w:rsidR="00940EDA" w:rsidRPr="004E1DE3">
        <w:rPr>
          <w:lang w:val="en-CA"/>
        </w:rPr>
        <w:t>575 CCP</w:t>
      </w:r>
      <w:r w:rsidRPr="004E1DE3">
        <w:rPr>
          <w:lang w:val="en-CA"/>
        </w:rPr>
        <w:t xml:space="preserve"> are met in this case, that is, </w:t>
      </w:r>
      <w:r w:rsidR="00AD1404" w:rsidRPr="004E1DE3">
        <w:rPr>
          <w:lang w:val="en-CA"/>
        </w:rPr>
        <w:t xml:space="preserve">the </w:t>
      </w:r>
      <w:r w:rsidR="00940EDA" w:rsidRPr="004E1DE3">
        <w:rPr>
          <w:lang w:val="en-CA"/>
        </w:rPr>
        <w:t xml:space="preserve">existence </w:t>
      </w:r>
      <w:r w:rsidR="00AD1404" w:rsidRPr="004E1DE3">
        <w:rPr>
          <w:lang w:val="en-CA"/>
        </w:rPr>
        <w:t xml:space="preserve">of common issues to be debated and that because of the composition of the proposed </w:t>
      </w:r>
      <w:r w:rsidR="00404B92" w:rsidRPr="004E1DE3">
        <w:rPr>
          <w:lang w:val="en-CA"/>
        </w:rPr>
        <w:t>C</w:t>
      </w:r>
      <w:r w:rsidR="00AD1404" w:rsidRPr="004E1DE3">
        <w:rPr>
          <w:lang w:val="en-CA"/>
        </w:rPr>
        <w:t>lass, there are no means in the CCP other that the class action to assert this common claim of the plaintiffs and the</w:t>
      </w:r>
      <w:r w:rsidR="007528F6">
        <w:rPr>
          <w:lang w:val="en-CA"/>
        </w:rPr>
        <w:t xml:space="preserve"> class</w:t>
      </w:r>
      <w:r w:rsidR="00AD1404" w:rsidRPr="004E1DE3">
        <w:rPr>
          <w:lang w:val="en-CA"/>
        </w:rPr>
        <w:t xml:space="preserve"> </w:t>
      </w:r>
      <w:r w:rsidR="00940EDA" w:rsidRPr="004E1DE3">
        <w:rPr>
          <w:lang w:val="en-CA"/>
        </w:rPr>
        <w:t>memb</w:t>
      </w:r>
      <w:r w:rsidR="00AD1404" w:rsidRPr="004E1DE3">
        <w:rPr>
          <w:lang w:val="en-CA"/>
        </w:rPr>
        <w:t>er</w:t>
      </w:r>
      <w:r w:rsidR="00940EDA" w:rsidRPr="004E1DE3">
        <w:rPr>
          <w:lang w:val="en-CA"/>
        </w:rPr>
        <w:t>s.</w:t>
      </w:r>
    </w:p>
    <w:p w14:paraId="61A57FF1" w14:textId="77777777" w:rsidR="00E7401C" w:rsidRPr="004E1DE3" w:rsidRDefault="00573CA9" w:rsidP="00A124CE">
      <w:pPr>
        <w:pStyle w:val="Titre2"/>
        <w:keepNext/>
        <w:rPr>
          <w:i/>
          <w:iCs/>
          <w:lang w:val="en-CA"/>
        </w:rPr>
      </w:pPr>
      <w:bookmarkStart w:id="7" w:name="_Toc256000003"/>
      <w:bookmarkStart w:id="8" w:name="_Toc148419866"/>
      <w:r w:rsidRPr="004E1DE3">
        <w:rPr>
          <w:lang w:val="en-CA"/>
        </w:rPr>
        <w:lastRenderedPageBreak/>
        <w:t xml:space="preserve">The criterion set out in </w:t>
      </w:r>
      <w:r w:rsidR="00F1608A" w:rsidRPr="004E1DE3">
        <w:rPr>
          <w:lang w:val="en-CA"/>
        </w:rPr>
        <w:t>article</w:t>
      </w:r>
      <w:r w:rsidRPr="004E1DE3">
        <w:rPr>
          <w:lang w:val="en-CA"/>
        </w:rPr>
        <w:t xml:space="preserve"> </w:t>
      </w:r>
      <w:r w:rsidR="00F1608A" w:rsidRPr="004E1DE3">
        <w:rPr>
          <w:lang w:val="en-CA"/>
        </w:rPr>
        <w:t>575</w:t>
      </w:r>
      <w:r w:rsidRPr="004E1DE3">
        <w:rPr>
          <w:lang w:val="en-CA"/>
        </w:rPr>
        <w:t xml:space="preserve">(2) </w:t>
      </w:r>
      <w:r w:rsidR="00F1608A" w:rsidRPr="004E1DE3">
        <w:rPr>
          <w:lang w:val="en-CA"/>
        </w:rPr>
        <w:t xml:space="preserve">CCP: </w:t>
      </w:r>
      <w:r w:rsidRPr="004E1DE3">
        <w:rPr>
          <w:lang w:val="en-CA"/>
        </w:rPr>
        <w:t xml:space="preserve">do the plaintiffs each have an </w:t>
      </w:r>
      <w:r w:rsidR="00F1608A" w:rsidRPr="004E1DE3">
        <w:rPr>
          <w:lang w:val="en-CA"/>
        </w:rPr>
        <w:t>arguable</w:t>
      </w:r>
      <w:r w:rsidRPr="004E1DE3">
        <w:rPr>
          <w:lang w:val="en-CA"/>
        </w:rPr>
        <w:t xml:space="preserve"> case against the </w:t>
      </w:r>
      <w:r w:rsidR="00F1608A" w:rsidRPr="004E1DE3">
        <w:rPr>
          <w:lang w:val="en-CA"/>
        </w:rPr>
        <w:t>defendants?</w:t>
      </w:r>
      <w:bookmarkEnd w:id="7"/>
      <w:bookmarkEnd w:id="8"/>
      <w:r w:rsidR="00940EDA" w:rsidRPr="004E1DE3">
        <w:rPr>
          <w:lang w:val="en-CA"/>
        </w:rPr>
        <w:t xml:space="preserve"> </w:t>
      </w:r>
    </w:p>
    <w:p w14:paraId="252A3C2F" w14:textId="77777777" w:rsidR="002B527F" w:rsidRPr="004E1DE3" w:rsidRDefault="00573CA9" w:rsidP="00A124CE">
      <w:pPr>
        <w:pStyle w:val="Titre3"/>
        <w:keepNext/>
        <w:rPr>
          <w:lang w:val="en-CA"/>
        </w:rPr>
      </w:pPr>
      <w:bookmarkStart w:id="9" w:name="_Toc256000004"/>
      <w:bookmarkStart w:id="10" w:name="_Toc140816836"/>
      <w:bookmarkStart w:id="11" w:name="_Toc148419867"/>
      <w:r w:rsidRPr="004E1DE3">
        <w:rPr>
          <w:lang w:val="en-CA"/>
        </w:rPr>
        <w:t xml:space="preserve">The </w:t>
      </w:r>
      <w:r w:rsidR="00834E6F" w:rsidRPr="004E1DE3">
        <w:rPr>
          <w:lang w:val="en-CA"/>
        </w:rPr>
        <w:t>applicable</w:t>
      </w:r>
      <w:r w:rsidRPr="004E1DE3">
        <w:rPr>
          <w:lang w:val="en-CA"/>
        </w:rPr>
        <w:t xml:space="preserve"> </w:t>
      </w:r>
      <w:r w:rsidR="00834E6F" w:rsidRPr="004E1DE3">
        <w:rPr>
          <w:lang w:val="en-CA"/>
        </w:rPr>
        <w:t>law</w:t>
      </w:r>
      <w:r w:rsidRPr="004E1DE3">
        <w:rPr>
          <w:lang w:val="en-CA"/>
        </w:rPr>
        <w:t xml:space="preserve"> in this case</w:t>
      </w:r>
      <w:bookmarkEnd w:id="9"/>
      <w:bookmarkEnd w:id="10"/>
      <w:bookmarkEnd w:id="11"/>
    </w:p>
    <w:p w14:paraId="6053A5AC" w14:textId="77777777" w:rsidR="00BB45C4" w:rsidRPr="004E1DE3" w:rsidRDefault="00573CA9" w:rsidP="00A124CE">
      <w:pPr>
        <w:pStyle w:val="Paragrdouble"/>
        <w:keepNext/>
        <w:tabs>
          <w:tab w:val="num" w:pos="851"/>
        </w:tabs>
        <w:spacing w:line="240" w:lineRule="auto"/>
        <w:ind w:left="0"/>
        <w:rPr>
          <w:i/>
          <w:iCs/>
          <w:lang w:val="en-CA"/>
        </w:rPr>
      </w:pPr>
      <w:r w:rsidRPr="004E1DE3">
        <w:rPr>
          <w:lang w:val="en-CA"/>
        </w:rPr>
        <w:t>Article 575 CCP states:</w:t>
      </w:r>
    </w:p>
    <w:p w14:paraId="0407A615" w14:textId="77777777" w:rsidR="00BB45C4" w:rsidRPr="004E1DE3" w:rsidRDefault="00573CA9" w:rsidP="00BB45C4">
      <w:pPr>
        <w:pStyle w:val="Citationenretrait"/>
        <w:rPr>
          <w:rFonts w:ascii="Times New Roman" w:hAnsi="Times New Roman"/>
          <w:szCs w:val="24"/>
          <w:lang w:val="en-CA" w:eastAsia="fr-CA"/>
        </w:rPr>
      </w:pPr>
      <w:r w:rsidRPr="004E1DE3">
        <w:rPr>
          <w:shd w:val="clear" w:color="auto" w:fill="FFFFFF"/>
          <w:lang w:val="en-CA" w:eastAsia="fr-CA"/>
        </w:rPr>
        <w:t>The court authorizes the class action and appoints the class member it designates as representative plaintiff if it is of the opinion that</w:t>
      </w:r>
    </w:p>
    <w:p w14:paraId="347B2B00" w14:textId="77777777" w:rsidR="00BB45C4" w:rsidRPr="004E1DE3" w:rsidRDefault="00573CA9" w:rsidP="00BB45C4">
      <w:pPr>
        <w:pStyle w:val="Citationenretrait"/>
        <w:rPr>
          <w:lang w:val="en-CA" w:eastAsia="fr-CA"/>
        </w:rPr>
      </w:pPr>
      <w:r w:rsidRPr="004E1DE3">
        <w:rPr>
          <w:lang w:val="en-CA" w:eastAsia="fr-CA"/>
        </w:rPr>
        <w:t>(1)  the claims of the members of the class raise identical, similar or related issues of law or fact;</w:t>
      </w:r>
    </w:p>
    <w:p w14:paraId="742D81C1" w14:textId="77777777" w:rsidR="00BB45C4" w:rsidRPr="004E1DE3" w:rsidRDefault="00573CA9" w:rsidP="00BB45C4">
      <w:pPr>
        <w:pStyle w:val="Citationenretrait"/>
        <w:rPr>
          <w:lang w:val="en-CA" w:eastAsia="fr-CA"/>
        </w:rPr>
      </w:pPr>
      <w:r w:rsidRPr="004E1DE3">
        <w:rPr>
          <w:lang w:val="en-CA" w:eastAsia="fr-CA"/>
        </w:rPr>
        <w:t>(2)  the facts alleged appear to justify the conclusions sought;</w:t>
      </w:r>
    </w:p>
    <w:p w14:paraId="10D7B264" w14:textId="77777777" w:rsidR="00BB45C4" w:rsidRPr="004E1DE3" w:rsidRDefault="00573CA9" w:rsidP="00BB45C4">
      <w:pPr>
        <w:pStyle w:val="Citationenretrait"/>
        <w:rPr>
          <w:lang w:val="en-CA" w:eastAsia="fr-CA"/>
        </w:rPr>
      </w:pPr>
      <w:r w:rsidRPr="004E1DE3">
        <w:rPr>
          <w:lang w:val="en-CA" w:eastAsia="fr-CA"/>
        </w:rPr>
        <w:t>(3)  the composition of the class makes it difficult or impracticable to apply the rules for mandates to take part in judicial proceedings on behalf of others or for consolidation of proceedings; and</w:t>
      </w:r>
    </w:p>
    <w:p w14:paraId="3DE361BF" w14:textId="77777777" w:rsidR="00BB45C4" w:rsidRPr="004E1DE3" w:rsidRDefault="00573CA9" w:rsidP="00BB45C4">
      <w:pPr>
        <w:pStyle w:val="Citationenretrait"/>
        <w:rPr>
          <w:lang w:val="en-CA" w:eastAsia="fr-CA"/>
        </w:rPr>
      </w:pPr>
      <w:r w:rsidRPr="004E1DE3">
        <w:rPr>
          <w:lang w:val="en-CA" w:eastAsia="fr-CA"/>
        </w:rPr>
        <w:t>(4)  the class member appointed as representative plaintiff is in a position to properly represent the class members.</w:t>
      </w:r>
    </w:p>
    <w:p w14:paraId="5729B7CC" w14:textId="77777777" w:rsidR="002B527F" w:rsidRPr="004E1DE3" w:rsidRDefault="00573CA9" w:rsidP="002B527F">
      <w:pPr>
        <w:pStyle w:val="Paragrdouble"/>
        <w:tabs>
          <w:tab w:val="num" w:pos="851"/>
        </w:tabs>
        <w:spacing w:line="240" w:lineRule="auto"/>
        <w:ind w:left="0"/>
        <w:rPr>
          <w:i/>
          <w:iCs/>
          <w:lang w:val="en-CA"/>
        </w:rPr>
      </w:pPr>
      <w:r w:rsidRPr="004E1DE3">
        <w:rPr>
          <w:lang w:val="en-CA"/>
        </w:rPr>
        <w:t xml:space="preserve">At the </w:t>
      </w:r>
      <w:r w:rsidR="00940EDA" w:rsidRPr="004E1DE3">
        <w:rPr>
          <w:lang w:val="en-CA"/>
        </w:rPr>
        <w:t>application</w:t>
      </w:r>
      <w:r w:rsidRPr="004E1DE3">
        <w:rPr>
          <w:lang w:val="en-CA"/>
        </w:rPr>
        <w:t xml:space="preserve"> for </w:t>
      </w:r>
      <w:r w:rsidR="00940EDA" w:rsidRPr="004E1DE3">
        <w:rPr>
          <w:lang w:val="en-CA"/>
        </w:rPr>
        <w:t>aut</w:t>
      </w:r>
      <w:r w:rsidRPr="004E1DE3">
        <w:rPr>
          <w:lang w:val="en-CA"/>
        </w:rPr>
        <w:t>h</w:t>
      </w:r>
      <w:r w:rsidR="00940EDA" w:rsidRPr="004E1DE3">
        <w:rPr>
          <w:lang w:val="en-CA"/>
        </w:rPr>
        <w:t>ori</w:t>
      </w:r>
      <w:r w:rsidRPr="004E1DE3">
        <w:rPr>
          <w:lang w:val="en-CA"/>
        </w:rPr>
        <w:t>z</w:t>
      </w:r>
      <w:r w:rsidR="00940EDA" w:rsidRPr="004E1DE3">
        <w:rPr>
          <w:lang w:val="en-CA"/>
        </w:rPr>
        <w:t>ation</w:t>
      </w:r>
      <w:r w:rsidRPr="004E1DE3">
        <w:rPr>
          <w:lang w:val="en-CA"/>
        </w:rPr>
        <w:t xml:space="preserve"> stage, the plaintiffs have the </w:t>
      </w:r>
      <w:r w:rsidR="00940EDA" w:rsidRPr="004E1DE3">
        <w:rPr>
          <w:lang w:val="en-CA"/>
        </w:rPr>
        <w:t xml:space="preserve">burden </w:t>
      </w:r>
      <w:r w:rsidRPr="004E1DE3">
        <w:rPr>
          <w:lang w:val="en-CA"/>
        </w:rPr>
        <w:t xml:space="preserve">of demonstrating the value of the legal syllogism they propose in support of an </w:t>
      </w:r>
      <w:r w:rsidR="00940EDA" w:rsidRPr="004E1DE3">
        <w:rPr>
          <w:lang w:val="en-CA"/>
        </w:rPr>
        <w:t>arguable</w:t>
      </w:r>
      <w:r w:rsidRPr="004E1DE3">
        <w:rPr>
          <w:lang w:val="en-CA"/>
        </w:rPr>
        <w:t xml:space="preserve"> case for each of them to assert against the </w:t>
      </w:r>
      <w:r w:rsidR="00940EDA" w:rsidRPr="004E1DE3">
        <w:rPr>
          <w:lang w:val="en-CA"/>
        </w:rPr>
        <w:t>defendants</w:t>
      </w:r>
      <w:r w:rsidRPr="004E1DE3">
        <w:rPr>
          <w:lang w:val="en-CA"/>
        </w:rPr>
        <w:t>,</w:t>
      </w:r>
      <w:r>
        <w:rPr>
          <w:rStyle w:val="Appelnotedebasdep"/>
          <w:lang w:val="en-CA"/>
        </w:rPr>
        <w:footnoteReference w:id="7"/>
      </w:r>
      <w:r w:rsidR="00940EDA" w:rsidRPr="004E1DE3">
        <w:rPr>
          <w:lang w:val="en-CA"/>
        </w:rPr>
        <w:t xml:space="preserve"> </w:t>
      </w:r>
      <w:r w:rsidRPr="004E1DE3">
        <w:rPr>
          <w:lang w:val="en-CA"/>
        </w:rPr>
        <w:t>not of establishing on a balance of probabilities that they have a sufficient cause of action against each of them</w:t>
      </w:r>
      <w:r w:rsidR="00940EDA" w:rsidRPr="004E1DE3">
        <w:rPr>
          <w:lang w:val="en-CA"/>
        </w:rPr>
        <w:t>.</w:t>
      </w:r>
    </w:p>
    <w:p w14:paraId="767CFE06" w14:textId="77777777" w:rsidR="002B527F" w:rsidRPr="004E1DE3" w:rsidRDefault="00573CA9" w:rsidP="002B527F">
      <w:pPr>
        <w:pStyle w:val="Paragrdouble"/>
        <w:tabs>
          <w:tab w:val="num" w:pos="851"/>
        </w:tabs>
        <w:spacing w:line="240" w:lineRule="auto"/>
        <w:ind w:left="0"/>
        <w:rPr>
          <w:i/>
          <w:iCs/>
          <w:lang w:val="en-CA"/>
        </w:rPr>
      </w:pPr>
      <w:r w:rsidRPr="004E1DE3">
        <w:rPr>
          <w:lang w:val="en-CA"/>
        </w:rPr>
        <w:t xml:space="preserve">Indeed, in </w:t>
      </w:r>
      <w:r w:rsidRPr="004E1DE3">
        <w:rPr>
          <w:i/>
          <w:iCs/>
          <w:lang w:val="en-CA"/>
        </w:rPr>
        <w:t>Desjardins Financial Services Firm Inc.</w:t>
      </w:r>
      <w:r w:rsidR="00940EDA" w:rsidRPr="004E1DE3">
        <w:rPr>
          <w:lang w:val="en-CA"/>
        </w:rPr>
        <w:t xml:space="preserve"> </w:t>
      </w:r>
      <w:r w:rsidR="00940EDA" w:rsidRPr="004E1DE3">
        <w:rPr>
          <w:i/>
          <w:iCs/>
          <w:lang w:val="en-CA"/>
        </w:rPr>
        <w:t>v.</w:t>
      </w:r>
      <w:r w:rsidR="00940EDA" w:rsidRPr="004E1DE3">
        <w:rPr>
          <w:lang w:val="en-CA"/>
        </w:rPr>
        <w:t xml:space="preserve"> </w:t>
      </w:r>
      <w:r w:rsidR="00940EDA" w:rsidRPr="004E1DE3">
        <w:rPr>
          <w:i/>
          <w:iCs/>
          <w:lang w:val="en-CA"/>
        </w:rPr>
        <w:t>Asselin</w:t>
      </w:r>
      <w:r w:rsidRPr="004E1DE3">
        <w:rPr>
          <w:lang w:val="en-CA"/>
        </w:rPr>
        <w:t>,</w:t>
      </w:r>
      <w:r>
        <w:rPr>
          <w:rStyle w:val="Appelnotedebasdep"/>
          <w:lang w:val="en-CA"/>
        </w:rPr>
        <w:footnoteReference w:id="8"/>
      </w:r>
      <w:r w:rsidR="00940EDA" w:rsidRPr="004E1DE3">
        <w:rPr>
          <w:lang w:val="en-CA"/>
        </w:rPr>
        <w:t xml:space="preserve"> the</w:t>
      </w:r>
      <w:r w:rsidRPr="004E1DE3">
        <w:rPr>
          <w:lang w:val="en-CA"/>
        </w:rPr>
        <w:t xml:space="preserve"> </w:t>
      </w:r>
      <w:r w:rsidR="00940EDA" w:rsidRPr="004E1DE3">
        <w:rPr>
          <w:lang w:val="en-CA"/>
        </w:rPr>
        <w:t>Supreme</w:t>
      </w:r>
      <w:r w:rsidRPr="004E1DE3">
        <w:rPr>
          <w:lang w:val="en-CA"/>
        </w:rPr>
        <w:t xml:space="preserve"> </w:t>
      </w:r>
      <w:r w:rsidR="00940EDA" w:rsidRPr="004E1DE3">
        <w:rPr>
          <w:lang w:val="en-CA"/>
        </w:rPr>
        <w:t>Court</w:t>
      </w:r>
      <w:r w:rsidRPr="004E1DE3">
        <w:rPr>
          <w:lang w:val="en-CA"/>
        </w:rPr>
        <w:t xml:space="preserve"> teaches us that</w:t>
      </w:r>
      <w:r w:rsidR="00940EDA" w:rsidRPr="004E1DE3">
        <w:rPr>
          <w:lang w:val="en-CA"/>
        </w:rPr>
        <w:t>:</w:t>
      </w:r>
    </w:p>
    <w:p w14:paraId="342A221E" w14:textId="77777777" w:rsidR="002B527F" w:rsidRPr="004E1DE3" w:rsidRDefault="00573CA9" w:rsidP="002B527F">
      <w:pPr>
        <w:pStyle w:val="Citationenretrait"/>
        <w:rPr>
          <w:i/>
          <w:iCs/>
          <w:lang w:val="en-CA"/>
        </w:rPr>
      </w:pPr>
      <w:r w:rsidRPr="004E1DE3">
        <w:rPr>
          <w:lang w:val="en-CA"/>
        </w:rPr>
        <w:t>[81] In conclusion, the allegations not only exist and are sufficiently precise, but they are also supported by the evidence in the record.</w:t>
      </w:r>
      <w:r w:rsidR="00940EDA" w:rsidRPr="004E1DE3">
        <w:rPr>
          <w:lang w:val="en-CA"/>
        </w:rPr>
        <w:t xml:space="preserve"> </w:t>
      </w:r>
      <w:r w:rsidRPr="004E1DE3">
        <w:rPr>
          <w:lang w:val="en-CA"/>
        </w:rPr>
        <w:t>It should be noted that in Quebec, unlike in the rest of the country, an applicant is not required to “show that the claim has a ‘sufficient basis in fact’” (</w:t>
      </w:r>
      <w:r w:rsidRPr="004E1DE3">
        <w:rPr>
          <w:i/>
          <w:lang w:val="en-CA"/>
        </w:rPr>
        <w:t>Oratoire</w:t>
      </w:r>
      <w:r w:rsidRPr="004E1DE3">
        <w:rPr>
          <w:lang w:val="en-CA"/>
        </w:rPr>
        <w:t>, at para.</w:t>
      </w:r>
      <w:r w:rsidR="00940EDA" w:rsidRPr="004E1DE3">
        <w:rPr>
          <w:lang w:val="en-CA"/>
        </w:rPr>
        <w:t xml:space="preserve"> </w:t>
      </w:r>
      <w:r w:rsidRPr="004E1DE3">
        <w:rPr>
          <w:lang w:val="en-CA"/>
        </w:rPr>
        <w:t xml:space="preserve">58, citing </w:t>
      </w:r>
      <w:r w:rsidRPr="004E1DE3">
        <w:rPr>
          <w:i/>
          <w:lang w:val="en-CA"/>
        </w:rPr>
        <w:t>Infineon</w:t>
      </w:r>
      <w:r w:rsidRPr="004E1DE3">
        <w:rPr>
          <w:lang w:val="en-CA"/>
        </w:rPr>
        <w:t>, at para.</w:t>
      </w:r>
      <w:r w:rsidR="00940EDA" w:rsidRPr="004E1DE3">
        <w:rPr>
          <w:lang w:val="en-CA"/>
        </w:rPr>
        <w:t> 128).</w:t>
      </w:r>
      <w:r w:rsidRPr="004E1DE3">
        <w:rPr>
          <w:lang w:val="en-CA"/>
        </w:rPr>
        <w:t xml:space="preserve"> In this case, requiring conclusive documentary evidence of a failure to provide information would not only ask too much at the authorization stage, but would also impose on Mr. Asselin a burden more onerous than the one he will have to face during the trial on the merits, since an omission can be proved by any means, including testimony and inference.</w:t>
      </w:r>
    </w:p>
    <w:p w14:paraId="4F6BAF24" w14:textId="77777777" w:rsidR="002B527F" w:rsidRPr="004E1DE3" w:rsidRDefault="00573CA9" w:rsidP="002B527F">
      <w:pPr>
        <w:pStyle w:val="Paragrdouble"/>
        <w:tabs>
          <w:tab w:val="num" w:pos="851"/>
        </w:tabs>
        <w:spacing w:line="240" w:lineRule="auto"/>
        <w:ind w:left="0"/>
        <w:rPr>
          <w:i/>
          <w:iCs/>
          <w:lang w:val="en-CA"/>
        </w:rPr>
      </w:pPr>
      <w:r w:rsidRPr="004E1DE3">
        <w:rPr>
          <w:lang w:val="en-CA"/>
        </w:rPr>
        <w:t xml:space="preserve">At the </w:t>
      </w:r>
      <w:r w:rsidR="00940EDA" w:rsidRPr="004E1DE3">
        <w:rPr>
          <w:lang w:val="en-CA"/>
        </w:rPr>
        <w:t>aut</w:t>
      </w:r>
      <w:r w:rsidRPr="004E1DE3">
        <w:rPr>
          <w:lang w:val="en-CA"/>
        </w:rPr>
        <w:t>h</w:t>
      </w:r>
      <w:r w:rsidR="00940EDA" w:rsidRPr="004E1DE3">
        <w:rPr>
          <w:lang w:val="en-CA"/>
        </w:rPr>
        <w:t>ori</w:t>
      </w:r>
      <w:r w:rsidRPr="004E1DE3">
        <w:rPr>
          <w:lang w:val="en-CA"/>
        </w:rPr>
        <w:t>z</w:t>
      </w:r>
      <w:r w:rsidR="00940EDA" w:rsidRPr="004E1DE3">
        <w:rPr>
          <w:lang w:val="en-CA"/>
        </w:rPr>
        <w:t xml:space="preserve">ation </w:t>
      </w:r>
      <w:r w:rsidRPr="004E1DE3">
        <w:rPr>
          <w:lang w:val="en-CA"/>
        </w:rPr>
        <w:t xml:space="preserve">stage, characterized in the </w:t>
      </w:r>
      <w:r w:rsidR="00940EDA" w:rsidRPr="004E1DE3">
        <w:rPr>
          <w:lang w:val="en-CA"/>
        </w:rPr>
        <w:t>case</w:t>
      </w:r>
      <w:r w:rsidRPr="004E1DE3">
        <w:rPr>
          <w:lang w:val="en-CA"/>
        </w:rPr>
        <w:t xml:space="preserve"> </w:t>
      </w:r>
      <w:r w:rsidR="00940EDA" w:rsidRPr="004E1DE3">
        <w:rPr>
          <w:lang w:val="en-CA"/>
        </w:rPr>
        <w:t xml:space="preserve">law </w:t>
      </w:r>
      <w:r w:rsidR="000F327C" w:rsidRPr="004E1DE3">
        <w:rPr>
          <w:lang w:val="en-CA"/>
        </w:rPr>
        <w:t>as one of</w:t>
      </w:r>
      <w:r w:rsidR="009E14DB" w:rsidRPr="004E1DE3">
        <w:rPr>
          <w:lang w:val="en-CA"/>
        </w:rPr>
        <w:t xml:space="preserve"> mere</w:t>
      </w:r>
      <w:r w:rsidR="000F327C" w:rsidRPr="004E1DE3">
        <w:rPr>
          <w:lang w:val="en-CA"/>
        </w:rPr>
        <w:t xml:space="preserve"> screening,</w:t>
      </w:r>
      <w:r>
        <w:rPr>
          <w:rStyle w:val="Appelnotedebasdep"/>
          <w:lang w:val="en-CA"/>
        </w:rPr>
        <w:footnoteReference w:id="9"/>
      </w:r>
      <w:r w:rsidR="000F327C" w:rsidRPr="004E1DE3">
        <w:rPr>
          <w:lang w:val="en-CA"/>
        </w:rPr>
        <w:t xml:space="preserve"> </w:t>
      </w:r>
      <w:r w:rsidR="00282DA6" w:rsidRPr="004E1DE3">
        <w:rPr>
          <w:lang w:val="en-CA"/>
        </w:rPr>
        <w:t>the</w:t>
      </w:r>
      <w:r w:rsidR="009E14DB" w:rsidRPr="004E1DE3">
        <w:rPr>
          <w:lang w:val="en-CA"/>
        </w:rPr>
        <w:t xml:space="preserve"> </w:t>
      </w:r>
      <w:r w:rsidR="00282DA6" w:rsidRPr="004E1DE3">
        <w:rPr>
          <w:lang w:val="en-CA"/>
        </w:rPr>
        <w:t>Court</w:t>
      </w:r>
      <w:r w:rsidR="009E14DB" w:rsidRPr="004E1DE3">
        <w:rPr>
          <w:lang w:val="en-CA"/>
        </w:rPr>
        <w:t xml:space="preserve"> is asked only to determine whether the four criteria set out in </w:t>
      </w:r>
      <w:r w:rsidR="00282DA6" w:rsidRPr="004E1DE3">
        <w:rPr>
          <w:lang w:val="en-CA"/>
        </w:rPr>
        <w:t>article 575 C</w:t>
      </w:r>
      <w:r w:rsidR="009E14DB" w:rsidRPr="004E1DE3">
        <w:rPr>
          <w:lang w:val="en-CA"/>
        </w:rPr>
        <w:t>C</w:t>
      </w:r>
      <w:r w:rsidR="00282DA6" w:rsidRPr="004E1DE3">
        <w:rPr>
          <w:lang w:val="en-CA"/>
        </w:rPr>
        <w:t xml:space="preserve">P </w:t>
      </w:r>
      <w:r w:rsidR="009E14DB" w:rsidRPr="004E1DE3">
        <w:rPr>
          <w:lang w:val="en-CA"/>
        </w:rPr>
        <w:t>are met</w:t>
      </w:r>
      <w:r w:rsidR="00282DA6" w:rsidRPr="004E1DE3">
        <w:rPr>
          <w:lang w:val="en-CA"/>
        </w:rPr>
        <w:t>.</w:t>
      </w:r>
    </w:p>
    <w:p w14:paraId="712AD489" w14:textId="77777777" w:rsidR="002B527F" w:rsidRPr="004E1DE3" w:rsidRDefault="00573CA9" w:rsidP="002B527F">
      <w:pPr>
        <w:pStyle w:val="Paragrdouble"/>
        <w:tabs>
          <w:tab w:val="num" w:pos="851"/>
        </w:tabs>
        <w:spacing w:line="240" w:lineRule="auto"/>
        <w:ind w:left="0"/>
        <w:rPr>
          <w:i/>
          <w:iCs/>
          <w:lang w:val="en-CA"/>
        </w:rPr>
      </w:pPr>
      <w:r w:rsidRPr="004E1DE3">
        <w:rPr>
          <w:lang w:val="en-CA"/>
        </w:rPr>
        <w:lastRenderedPageBreak/>
        <w:t xml:space="preserve">According to the </w:t>
      </w:r>
      <w:r w:rsidR="00940EDA" w:rsidRPr="004E1DE3">
        <w:rPr>
          <w:lang w:val="en-CA"/>
        </w:rPr>
        <w:t>defendants,</w:t>
      </w:r>
      <w:r w:rsidRPr="004E1DE3">
        <w:rPr>
          <w:lang w:val="en-CA"/>
        </w:rPr>
        <w:t xml:space="preserve"> the plaintiffs do not meet the requirements arising from the second and fourth criteria set out in </w:t>
      </w:r>
      <w:r w:rsidR="00940EDA" w:rsidRPr="004E1DE3">
        <w:rPr>
          <w:lang w:val="en-CA"/>
        </w:rPr>
        <w:t>article 575 CCP</w:t>
      </w:r>
      <w:r w:rsidRPr="004E1DE3">
        <w:rPr>
          <w:lang w:val="en-CA"/>
        </w:rPr>
        <w:t xml:space="preserve"> in this case</w:t>
      </w:r>
      <w:r w:rsidR="00940EDA" w:rsidRPr="004E1DE3">
        <w:rPr>
          <w:lang w:val="en-CA"/>
        </w:rPr>
        <w:t>, essenti</w:t>
      </w:r>
      <w:r w:rsidRPr="004E1DE3">
        <w:rPr>
          <w:lang w:val="en-CA"/>
        </w:rPr>
        <w:t xml:space="preserve">ally on the following </w:t>
      </w:r>
      <w:r w:rsidR="00940EDA" w:rsidRPr="004E1DE3">
        <w:rPr>
          <w:lang w:val="en-CA"/>
        </w:rPr>
        <w:t xml:space="preserve">grounds: </w:t>
      </w:r>
    </w:p>
    <w:p w14:paraId="13289185" w14:textId="77777777" w:rsidR="002B527F" w:rsidRPr="004E1DE3" w:rsidRDefault="00573CA9" w:rsidP="002B527F">
      <w:pPr>
        <w:pStyle w:val="Paragrdouble"/>
        <w:numPr>
          <w:ilvl w:val="0"/>
          <w:numId w:val="6"/>
        </w:numPr>
        <w:spacing w:line="240" w:lineRule="auto"/>
        <w:ind w:right="396"/>
        <w:rPr>
          <w:lang w:val="en-CA"/>
        </w:rPr>
      </w:pPr>
      <w:r w:rsidRPr="004E1DE3">
        <w:rPr>
          <w:lang w:val="en-CA"/>
        </w:rPr>
        <w:t xml:space="preserve">The </w:t>
      </w:r>
      <w:r w:rsidR="00940EDA" w:rsidRPr="004E1DE3">
        <w:rPr>
          <w:lang w:val="en-CA"/>
        </w:rPr>
        <w:t>evidence</w:t>
      </w:r>
      <w:r w:rsidRPr="004E1DE3">
        <w:rPr>
          <w:lang w:val="en-CA"/>
        </w:rPr>
        <w:t xml:space="preserve"> adduced at the </w:t>
      </w:r>
      <w:r w:rsidR="00940EDA" w:rsidRPr="004E1DE3">
        <w:rPr>
          <w:lang w:val="en-CA"/>
        </w:rPr>
        <w:t>aut</w:t>
      </w:r>
      <w:r w:rsidRPr="004E1DE3">
        <w:rPr>
          <w:lang w:val="en-CA"/>
        </w:rPr>
        <w:t>h</w:t>
      </w:r>
      <w:r w:rsidR="00940EDA" w:rsidRPr="004E1DE3">
        <w:rPr>
          <w:lang w:val="en-CA"/>
        </w:rPr>
        <w:t>ori</w:t>
      </w:r>
      <w:r w:rsidRPr="004E1DE3">
        <w:rPr>
          <w:lang w:val="en-CA"/>
        </w:rPr>
        <w:t>z</w:t>
      </w:r>
      <w:r w:rsidR="00940EDA" w:rsidRPr="004E1DE3">
        <w:rPr>
          <w:lang w:val="en-CA"/>
        </w:rPr>
        <w:t xml:space="preserve">ation </w:t>
      </w:r>
      <w:r w:rsidRPr="004E1DE3">
        <w:rPr>
          <w:lang w:val="en-CA"/>
        </w:rPr>
        <w:t xml:space="preserve">stage reveals that even if </w:t>
      </w:r>
      <w:r w:rsidR="00A77D8E" w:rsidRPr="004E1DE3">
        <w:rPr>
          <w:lang w:val="en-CA"/>
        </w:rPr>
        <w:t xml:space="preserve">Paige A. Thompson successfully accessed the </w:t>
      </w:r>
      <w:r w:rsidR="007528F6">
        <w:rPr>
          <w:lang w:val="en-CA"/>
        </w:rPr>
        <w:t xml:space="preserve">class </w:t>
      </w:r>
      <w:r w:rsidR="00A77D8E" w:rsidRPr="004E1DE3">
        <w:rPr>
          <w:lang w:val="en-CA"/>
        </w:rPr>
        <w:t xml:space="preserve">members’ </w:t>
      </w:r>
      <w:r w:rsidR="00940EDA" w:rsidRPr="004E1DE3">
        <w:rPr>
          <w:lang w:val="en-CA"/>
        </w:rPr>
        <w:t>personal</w:t>
      </w:r>
      <w:r w:rsidR="00A77D8E" w:rsidRPr="004E1DE3">
        <w:rPr>
          <w:lang w:val="en-CA"/>
        </w:rPr>
        <w:t xml:space="preserve"> </w:t>
      </w:r>
      <w:r w:rsidR="00940EDA" w:rsidRPr="004E1DE3">
        <w:rPr>
          <w:lang w:val="en-CA"/>
        </w:rPr>
        <w:t>information</w:t>
      </w:r>
      <w:r w:rsidR="00A77D8E" w:rsidRPr="004E1DE3">
        <w:rPr>
          <w:lang w:val="en-CA"/>
        </w:rPr>
        <w:t xml:space="preserve"> collected by </w:t>
      </w:r>
      <w:r w:rsidR="00940EDA" w:rsidRPr="004E1DE3">
        <w:rPr>
          <w:lang w:val="en-CA"/>
        </w:rPr>
        <w:t>Capital One</w:t>
      </w:r>
      <w:r w:rsidR="00A77D8E" w:rsidRPr="004E1DE3">
        <w:rPr>
          <w:lang w:val="en-CA"/>
        </w:rPr>
        <w:t xml:space="preserve"> and hosted in a public cloud space made available to them and managed by </w:t>
      </w:r>
      <w:r w:rsidR="00940EDA" w:rsidRPr="004E1DE3">
        <w:rPr>
          <w:lang w:val="en-CA"/>
        </w:rPr>
        <w:t xml:space="preserve">Amazon, </w:t>
      </w:r>
      <w:r w:rsidR="00A77D8E" w:rsidRPr="004E1DE3">
        <w:rPr>
          <w:lang w:val="en-CA"/>
        </w:rPr>
        <w:t xml:space="preserve">she did not, as was established during her </w:t>
      </w:r>
      <w:r w:rsidR="00940EDA" w:rsidRPr="004E1DE3">
        <w:rPr>
          <w:lang w:val="en-CA"/>
        </w:rPr>
        <w:t>criminal</w:t>
      </w:r>
      <w:r w:rsidR="00A77D8E" w:rsidRPr="004E1DE3">
        <w:rPr>
          <w:lang w:val="en-CA"/>
        </w:rPr>
        <w:t xml:space="preserve"> </w:t>
      </w:r>
      <w:r w:rsidR="00940EDA" w:rsidRPr="004E1DE3">
        <w:rPr>
          <w:lang w:val="en-CA"/>
        </w:rPr>
        <w:t>tria</w:t>
      </w:r>
      <w:r w:rsidR="00111EC4" w:rsidRPr="004E1DE3">
        <w:rPr>
          <w:lang w:val="en-CA"/>
        </w:rPr>
        <w:t>l</w:t>
      </w:r>
      <w:r w:rsidR="00A77D8E" w:rsidRPr="004E1DE3">
        <w:rPr>
          <w:lang w:val="en-CA"/>
        </w:rPr>
        <w:t xml:space="preserve"> in </w:t>
      </w:r>
      <w:r w:rsidR="00940EDA" w:rsidRPr="004E1DE3">
        <w:rPr>
          <w:lang w:val="en-CA"/>
        </w:rPr>
        <w:t>the</w:t>
      </w:r>
      <w:r w:rsidR="00A77D8E" w:rsidRPr="004E1DE3">
        <w:rPr>
          <w:lang w:val="en-CA"/>
        </w:rPr>
        <w:t xml:space="preserve"> </w:t>
      </w:r>
      <w:r w:rsidR="00940EDA" w:rsidRPr="004E1DE3">
        <w:rPr>
          <w:lang w:val="en-CA"/>
        </w:rPr>
        <w:t>United</w:t>
      </w:r>
      <w:r w:rsidR="00A77D8E" w:rsidRPr="004E1DE3">
        <w:rPr>
          <w:lang w:val="en-CA"/>
        </w:rPr>
        <w:t xml:space="preserve"> </w:t>
      </w:r>
      <w:r w:rsidR="00940EDA" w:rsidRPr="004E1DE3">
        <w:rPr>
          <w:lang w:val="en-CA"/>
        </w:rPr>
        <w:t>States, communi</w:t>
      </w:r>
      <w:r w:rsidR="00A77D8E" w:rsidRPr="004E1DE3">
        <w:rPr>
          <w:lang w:val="en-CA"/>
        </w:rPr>
        <w:t>cate this information to</w:t>
      </w:r>
      <w:r w:rsidR="00111EC4" w:rsidRPr="004E1DE3">
        <w:rPr>
          <w:lang w:val="en-CA"/>
        </w:rPr>
        <w:t xml:space="preserve"> a third p</w:t>
      </w:r>
      <w:r w:rsidR="0041033A" w:rsidRPr="004E1DE3">
        <w:rPr>
          <w:lang w:val="en-CA"/>
        </w:rPr>
        <w:t>erson</w:t>
      </w:r>
      <w:r w:rsidR="00111EC4" w:rsidRPr="004E1DE3">
        <w:rPr>
          <w:lang w:val="en-CA"/>
        </w:rPr>
        <w:t xml:space="preserve"> or use it in any way, such that neither the plaintiffs, nor the putative </w:t>
      </w:r>
      <w:r w:rsidR="00251ECD">
        <w:rPr>
          <w:lang w:val="en-CA"/>
        </w:rPr>
        <w:t xml:space="preserve">class </w:t>
      </w:r>
      <w:r w:rsidR="00940EDA" w:rsidRPr="004E1DE3">
        <w:rPr>
          <w:lang w:val="en-CA"/>
        </w:rPr>
        <w:t>memb</w:t>
      </w:r>
      <w:r w:rsidR="00111EC4" w:rsidRPr="004E1DE3">
        <w:rPr>
          <w:lang w:val="en-CA"/>
        </w:rPr>
        <w:t>e</w:t>
      </w:r>
      <w:r w:rsidR="00940EDA" w:rsidRPr="004E1DE3">
        <w:rPr>
          <w:lang w:val="en-CA"/>
        </w:rPr>
        <w:t xml:space="preserve">rs </w:t>
      </w:r>
      <w:r w:rsidR="00111EC4" w:rsidRPr="004E1DE3">
        <w:rPr>
          <w:lang w:val="en-CA"/>
        </w:rPr>
        <w:t xml:space="preserve">suffered </w:t>
      </w:r>
      <w:r w:rsidR="0041033A" w:rsidRPr="004E1DE3">
        <w:rPr>
          <w:lang w:val="en-CA"/>
        </w:rPr>
        <w:t>identity</w:t>
      </w:r>
      <w:r w:rsidR="00111EC4" w:rsidRPr="004E1DE3">
        <w:rPr>
          <w:lang w:val="en-CA"/>
        </w:rPr>
        <w:t xml:space="preserve"> theft and likely never will in connection with this </w:t>
      </w:r>
      <w:r w:rsidR="00940EDA" w:rsidRPr="004E1DE3">
        <w:rPr>
          <w:lang w:val="en-CA"/>
        </w:rPr>
        <w:t>incident;</w:t>
      </w:r>
    </w:p>
    <w:p w14:paraId="166357A3" w14:textId="77777777" w:rsidR="002B527F" w:rsidRPr="004E1DE3" w:rsidRDefault="00573CA9" w:rsidP="002B527F">
      <w:pPr>
        <w:pStyle w:val="Paragrdouble"/>
        <w:numPr>
          <w:ilvl w:val="0"/>
          <w:numId w:val="6"/>
        </w:numPr>
        <w:spacing w:line="240" w:lineRule="auto"/>
        <w:ind w:right="396"/>
        <w:rPr>
          <w:lang w:val="en-CA"/>
        </w:rPr>
      </w:pPr>
      <w:r w:rsidRPr="004E1DE3">
        <w:rPr>
          <w:lang w:val="en-CA"/>
        </w:rPr>
        <w:t xml:space="preserve">The </w:t>
      </w:r>
      <w:r w:rsidR="00940EDA" w:rsidRPr="004E1DE3">
        <w:rPr>
          <w:lang w:val="en-CA"/>
        </w:rPr>
        <w:t>defendants</w:t>
      </w:r>
      <w:r w:rsidRPr="004E1DE3">
        <w:rPr>
          <w:lang w:val="en-CA"/>
        </w:rPr>
        <w:t xml:space="preserve"> did not make any </w:t>
      </w:r>
      <w:r w:rsidR="00940EDA" w:rsidRPr="004E1DE3">
        <w:rPr>
          <w:lang w:val="en-CA"/>
        </w:rPr>
        <w:t>false</w:t>
      </w:r>
      <w:r w:rsidRPr="004E1DE3">
        <w:rPr>
          <w:lang w:val="en-CA"/>
        </w:rPr>
        <w:t xml:space="preserve"> </w:t>
      </w:r>
      <w:r w:rsidR="00940EDA" w:rsidRPr="004E1DE3">
        <w:rPr>
          <w:lang w:val="en-CA"/>
        </w:rPr>
        <w:t>or</w:t>
      </w:r>
      <w:r w:rsidRPr="004E1DE3">
        <w:rPr>
          <w:lang w:val="en-CA"/>
        </w:rPr>
        <w:t xml:space="preserve"> </w:t>
      </w:r>
      <w:r w:rsidR="00940EDA" w:rsidRPr="004E1DE3">
        <w:rPr>
          <w:lang w:val="en-CA"/>
        </w:rPr>
        <w:t>misleading</w:t>
      </w:r>
      <w:r w:rsidRPr="004E1DE3">
        <w:rPr>
          <w:lang w:val="en-CA"/>
        </w:rPr>
        <w:t xml:space="preserve"> </w:t>
      </w:r>
      <w:r w:rsidR="00940EDA" w:rsidRPr="004E1DE3">
        <w:rPr>
          <w:lang w:val="en-CA"/>
        </w:rPr>
        <w:t>representation</w:t>
      </w:r>
      <w:r w:rsidRPr="004E1DE3">
        <w:rPr>
          <w:lang w:val="en-CA"/>
        </w:rPr>
        <w:t>s</w:t>
      </w:r>
      <w:r w:rsidR="0036636F" w:rsidRPr="004E1DE3">
        <w:rPr>
          <w:lang w:val="en-CA"/>
        </w:rPr>
        <w:t xml:space="preserve"> or commit acts resulting in a </w:t>
      </w:r>
      <w:r w:rsidR="00940EDA" w:rsidRPr="004E1DE3">
        <w:rPr>
          <w:lang w:val="en-CA"/>
        </w:rPr>
        <w:t>contractual</w:t>
      </w:r>
      <w:r w:rsidR="0036636F" w:rsidRPr="004E1DE3">
        <w:rPr>
          <w:lang w:val="en-CA"/>
        </w:rPr>
        <w:t xml:space="preserve"> or </w:t>
      </w:r>
      <w:r w:rsidR="00940EDA" w:rsidRPr="004E1DE3">
        <w:rPr>
          <w:lang w:val="en-CA"/>
        </w:rPr>
        <w:t>extracontractu</w:t>
      </w:r>
      <w:r w:rsidR="0036636F" w:rsidRPr="004E1DE3">
        <w:rPr>
          <w:lang w:val="en-CA"/>
        </w:rPr>
        <w:t>a</w:t>
      </w:r>
      <w:r w:rsidR="00940EDA" w:rsidRPr="004E1DE3">
        <w:rPr>
          <w:lang w:val="en-CA"/>
        </w:rPr>
        <w:t>l</w:t>
      </w:r>
      <w:r w:rsidR="0036636F" w:rsidRPr="004E1DE3">
        <w:rPr>
          <w:lang w:val="en-CA"/>
        </w:rPr>
        <w:t xml:space="preserve"> fault in regard to the plaintiffs and the putative</w:t>
      </w:r>
      <w:r w:rsidR="00251ECD">
        <w:rPr>
          <w:lang w:val="en-CA"/>
        </w:rPr>
        <w:t xml:space="preserve"> class</w:t>
      </w:r>
      <w:r w:rsidR="0036636F" w:rsidRPr="004E1DE3">
        <w:rPr>
          <w:lang w:val="en-CA"/>
        </w:rPr>
        <w:t xml:space="preserve"> </w:t>
      </w:r>
      <w:r w:rsidR="00940EDA" w:rsidRPr="004E1DE3">
        <w:rPr>
          <w:lang w:val="en-CA"/>
        </w:rPr>
        <w:t>memb</w:t>
      </w:r>
      <w:r w:rsidR="0036636F" w:rsidRPr="004E1DE3">
        <w:rPr>
          <w:lang w:val="en-CA"/>
        </w:rPr>
        <w:t>er</w:t>
      </w:r>
      <w:r w:rsidR="00940EDA" w:rsidRPr="004E1DE3">
        <w:rPr>
          <w:lang w:val="en-CA"/>
        </w:rPr>
        <w:t>s;</w:t>
      </w:r>
    </w:p>
    <w:p w14:paraId="7C25C427" w14:textId="77777777" w:rsidR="002B527F" w:rsidRPr="004E1DE3" w:rsidRDefault="00573CA9" w:rsidP="002B527F">
      <w:pPr>
        <w:pStyle w:val="Paragrdouble"/>
        <w:numPr>
          <w:ilvl w:val="0"/>
          <w:numId w:val="6"/>
        </w:numPr>
        <w:spacing w:line="240" w:lineRule="auto"/>
        <w:ind w:right="396"/>
        <w:rPr>
          <w:lang w:val="en-CA"/>
        </w:rPr>
      </w:pPr>
      <w:r w:rsidRPr="004E1DE3">
        <w:rPr>
          <w:lang w:val="en-CA"/>
        </w:rPr>
        <w:t xml:space="preserve">In addition, </w:t>
      </w:r>
      <w:r w:rsidR="00940EDA" w:rsidRPr="004E1DE3">
        <w:rPr>
          <w:lang w:val="en-CA"/>
        </w:rPr>
        <w:t>Amazon submit</w:t>
      </w:r>
      <w:r w:rsidRPr="004E1DE3">
        <w:rPr>
          <w:lang w:val="en-CA"/>
        </w:rPr>
        <w:t>s that there is no legal relation</w:t>
      </w:r>
      <w:r w:rsidR="003F75E9">
        <w:rPr>
          <w:lang w:val="en-CA"/>
        </w:rPr>
        <w:t>ship</w:t>
      </w:r>
      <w:r w:rsidRPr="004E1DE3">
        <w:rPr>
          <w:lang w:val="en-CA"/>
        </w:rPr>
        <w:t xml:space="preserve"> between it and the plaintiffs and the </w:t>
      </w:r>
      <w:r w:rsidR="00940EDA" w:rsidRPr="004E1DE3">
        <w:rPr>
          <w:lang w:val="en-CA"/>
        </w:rPr>
        <w:t>putati</w:t>
      </w:r>
      <w:r w:rsidRPr="004E1DE3">
        <w:rPr>
          <w:lang w:val="en-CA"/>
        </w:rPr>
        <w:t xml:space="preserve">ve </w:t>
      </w:r>
      <w:r w:rsidR="00251ECD">
        <w:rPr>
          <w:lang w:val="en-CA"/>
        </w:rPr>
        <w:t>class</w:t>
      </w:r>
      <w:r w:rsidR="00251ECD" w:rsidRPr="004E1DE3">
        <w:rPr>
          <w:lang w:val="en-CA"/>
        </w:rPr>
        <w:t xml:space="preserve"> </w:t>
      </w:r>
      <w:r w:rsidRPr="004E1DE3">
        <w:rPr>
          <w:lang w:val="en-CA"/>
        </w:rPr>
        <w:t xml:space="preserve">members, because they are </w:t>
      </w:r>
      <w:r w:rsidR="00940EDA" w:rsidRPr="004E1DE3">
        <w:rPr>
          <w:lang w:val="en-CA"/>
        </w:rPr>
        <w:t>identifi</w:t>
      </w:r>
      <w:r w:rsidRPr="004E1DE3">
        <w:rPr>
          <w:lang w:val="en-CA"/>
        </w:rPr>
        <w:t xml:space="preserve">ed in the description of the </w:t>
      </w:r>
      <w:r w:rsidR="00940EDA" w:rsidRPr="004E1DE3">
        <w:rPr>
          <w:lang w:val="en-CA"/>
        </w:rPr>
        <w:t>proposed</w:t>
      </w:r>
      <w:r w:rsidRPr="004E1DE3">
        <w:rPr>
          <w:lang w:val="en-CA"/>
        </w:rPr>
        <w:t xml:space="preserve"> </w:t>
      </w:r>
      <w:r w:rsidR="00404B92" w:rsidRPr="004E1DE3">
        <w:rPr>
          <w:lang w:val="en-CA"/>
        </w:rPr>
        <w:t>C</w:t>
      </w:r>
      <w:r w:rsidR="00940EDA" w:rsidRPr="004E1DE3">
        <w:rPr>
          <w:lang w:val="en-CA"/>
        </w:rPr>
        <w:t>lass</w:t>
      </w:r>
      <w:r w:rsidRPr="004E1DE3">
        <w:rPr>
          <w:lang w:val="en-CA"/>
        </w:rPr>
        <w:t xml:space="preserve"> as </w:t>
      </w:r>
      <w:r w:rsidR="00940EDA" w:rsidRPr="004E1DE3">
        <w:rPr>
          <w:lang w:val="en-CA"/>
        </w:rPr>
        <w:t xml:space="preserve">clients </w:t>
      </w:r>
      <w:r w:rsidRPr="004E1DE3">
        <w:rPr>
          <w:lang w:val="en-CA"/>
        </w:rPr>
        <w:t xml:space="preserve">of </w:t>
      </w:r>
      <w:r w:rsidR="00940EDA" w:rsidRPr="004E1DE3">
        <w:rPr>
          <w:lang w:val="en-CA"/>
        </w:rPr>
        <w:t>Capital One;</w:t>
      </w:r>
    </w:p>
    <w:p w14:paraId="4FE3185C" w14:textId="77777777" w:rsidR="002B527F" w:rsidRPr="004E1DE3" w:rsidRDefault="00573CA9" w:rsidP="002B527F">
      <w:pPr>
        <w:pStyle w:val="Paragrdouble"/>
        <w:numPr>
          <w:ilvl w:val="0"/>
          <w:numId w:val="6"/>
        </w:numPr>
        <w:spacing w:line="240" w:lineRule="auto"/>
        <w:ind w:right="396"/>
        <w:rPr>
          <w:lang w:val="en-CA"/>
        </w:rPr>
      </w:pPr>
      <w:r w:rsidRPr="004E1DE3">
        <w:rPr>
          <w:lang w:val="en-CA"/>
        </w:rPr>
        <w:t xml:space="preserve">Even assuming that the facts alleged by the plaintiffs are true, they do not allege or establish, even by </w:t>
      </w:r>
      <w:r w:rsidR="00940EDA" w:rsidRPr="004E1DE3">
        <w:rPr>
          <w:i/>
          <w:iCs/>
          <w:lang w:val="en-CA"/>
        </w:rPr>
        <w:t>prima facie</w:t>
      </w:r>
      <w:r w:rsidRPr="004E1DE3">
        <w:rPr>
          <w:i/>
          <w:iCs/>
          <w:lang w:val="en-CA"/>
        </w:rPr>
        <w:t xml:space="preserve"> </w:t>
      </w:r>
      <w:r w:rsidRPr="004E1DE3">
        <w:rPr>
          <w:lang w:val="en-CA"/>
        </w:rPr>
        <w:t>evidence</w:t>
      </w:r>
      <w:r w:rsidR="00940EDA" w:rsidRPr="004E1DE3">
        <w:rPr>
          <w:lang w:val="en-CA"/>
        </w:rPr>
        <w:t xml:space="preserve">, </w:t>
      </w:r>
      <w:r w:rsidRPr="004E1DE3">
        <w:rPr>
          <w:lang w:val="en-CA"/>
        </w:rPr>
        <w:t xml:space="preserve">any compensable injury in support of their </w:t>
      </w:r>
      <w:r w:rsidR="00940EDA" w:rsidRPr="004E1DE3">
        <w:rPr>
          <w:lang w:val="en-CA"/>
        </w:rPr>
        <w:t>application</w:t>
      </w:r>
      <w:r w:rsidRPr="004E1DE3">
        <w:rPr>
          <w:lang w:val="en-CA"/>
        </w:rPr>
        <w:t xml:space="preserve"> for </w:t>
      </w:r>
      <w:r w:rsidR="00940EDA" w:rsidRPr="004E1DE3">
        <w:rPr>
          <w:lang w:val="en-CA"/>
        </w:rPr>
        <w:t>pecuniary</w:t>
      </w:r>
      <w:r w:rsidRPr="004E1DE3">
        <w:rPr>
          <w:lang w:val="en-CA"/>
        </w:rPr>
        <w:t xml:space="preserve"> and non-pecuniary </w:t>
      </w:r>
      <w:r w:rsidR="00940EDA" w:rsidRPr="004E1DE3">
        <w:rPr>
          <w:lang w:val="en-CA"/>
        </w:rPr>
        <w:t>damages,</w:t>
      </w:r>
      <w:r w:rsidRPr="004E1DE3">
        <w:rPr>
          <w:lang w:val="en-CA"/>
        </w:rPr>
        <w:t xml:space="preserve"> instead describing fact</w:t>
      </w:r>
      <w:r w:rsidR="003F75E9">
        <w:rPr>
          <w:lang w:val="en-CA"/>
        </w:rPr>
        <w:t>s</w:t>
      </w:r>
      <w:r w:rsidRPr="004E1DE3">
        <w:rPr>
          <w:lang w:val="en-CA"/>
        </w:rPr>
        <w:t xml:space="preserve"> and </w:t>
      </w:r>
      <w:r w:rsidR="00940EDA" w:rsidRPr="004E1DE3">
        <w:rPr>
          <w:lang w:val="en-CA"/>
        </w:rPr>
        <w:t>circumstances</w:t>
      </w:r>
      <w:r w:rsidRPr="004E1DE3">
        <w:rPr>
          <w:lang w:val="en-CA"/>
        </w:rPr>
        <w:t xml:space="preserve"> that do not concern them because they are alleged in other</w:t>
      </w:r>
      <w:r w:rsidR="00612943" w:rsidRPr="004E1DE3">
        <w:rPr>
          <w:lang w:val="en-CA"/>
        </w:rPr>
        <w:t xml:space="preserve"> </w:t>
      </w:r>
      <w:r w:rsidR="00940EDA" w:rsidRPr="004E1DE3">
        <w:rPr>
          <w:lang w:val="en-CA"/>
        </w:rPr>
        <w:t>proceedings</w:t>
      </w:r>
      <w:r w:rsidR="00612943" w:rsidRPr="004E1DE3">
        <w:rPr>
          <w:lang w:val="en-CA"/>
        </w:rPr>
        <w:t xml:space="preserve"> pending before other </w:t>
      </w:r>
      <w:r w:rsidR="00940EDA" w:rsidRPr="004E1DE3">
        <w:rPr>
          <w:lang w:val="en-CA"/>
        </w:rPr>
        <w:t>jurisdictions</w:t>
      </w:r>
      <w:r w:rsidR="00612943" w:rsidRPr="004E1DE3">
        <w:rPr>
          <w:lang w:val="en-CA"/>
        </w:rPr>
        <w:t xml:space="preserve"> in </w:t>
      </w:r>
      <w:r w:rsidR="00940EDA" w:rsidRPr="004E1DE3">
        <w:rPr>
          <w:lang w:val="en-CA"/>
        </w:rPr>
        <w:t xml:space="preserve">Canada </w:t>
      </w:r>
      <w:r w:rsidR="00612943" w:rsidRPr="004E1DE3">
        <w:rPr>
          <w:lang w:val="en-CA"/>
        </w:rPr>
        <w:t xml:space="preserve">and the </w:t>
      </w:r>
      <w:r w:rsidR="00940EDA" w:rsidRPr="004E1DE3">
        <w:rPr>
          <w:lang w:val="en-CA"/>
        </w:rPr>
        <w:t>United</w:t>
      </w:r>
      <w:r w:rsidR="00612943" w:rsidRPr="004E1DE3">
        <w:rPr>
          <w:lang w:val="en-CA"/>
        </w:rPr>
        <w:t xml:space="preserve"> </w:t>
      </w:r>
      <w:r w:rsidR="00940EDA" w:rsidRPr="004E1DE3">
        <w:rPr>
          <w:lang w:val="en-CA"/>
        </w:rPr>
        <w:t>States,</w:t>
      </w:r>
      <w:r w:rsidR="00612943" w:rsidRPr="004E1DE3">
        <w:rPr>
          <w:lang w:val="en-CA"/>
        </w:rPr>
        <w:t xml:space="preserve"> such that the damages they claim are </w:t>
      </w:r>
      <w:r w:rsidR="00940EDA" w:rsidRPr="004E1DE3">
        <w:rPr>
          <w:lang w:val="en-CA"/>
        </w:rPr>
        <w:t>pure</w:t>
      </w:r>
      <w:r w:rsidR="00612943" w:rsidRPr="004E1DE3">
        <w:rPr>
          <w:lang w:val="en-CA"/>
        </w:rPr>
        <w:t>ly hypothetical</w:t>
      </w:r>
      <w:r w:rsidR="00940EDA" w:rsidRPr="004E1DE3">
        <w:rPr>
          <w:lang w:val="en-CA"/>
        </w:rPr>
        <w:t>;</w:t>
      </w:r>
    </w:p>
    <w:p w14:paraId="562A5591" w14:textId="77777777" w:rsidR="002B527F" w:rsidRPr="004E1DE3" w:rsidRDefault="00573CA9" w:rsidP="002B527F">
      <w:pPr>
        <w:pStyle w:val="Paragrdouble"/>
        <w:numPr>
          <w:ilvl w:val="0"/>
          <w:numId w:val="6"/>
        </w:numPr>
        <w:spacing w:line="240" w:lineRule="auto"/>
        <w:ind w:right="396"/>
        <w:rPr>
          <w:lang w:val="en-CA"/>
        </w:rPr>
      </w:pPr>
      <w:r w:rsidRPr="004E1DE3">
        <w:rPr>
          <w:lang w:val="en-CA"/>
        </w:rPr>
        <w:t xml:space="preserve">With respect to the plaintiff </w:t>
      </w:r>
      <w:r w:rsidR="00940EDA" w:rsidRPr="004E1DE3">
        <w:rPr>
          <w:lang w:val="en-CA"/>
        </w:rPr>
        <w:t>Royer in</w:t>
      </w:r>
      <w:r w:rsidRPr="004E1DE3">
        <w:rPr>
          <w:lang w:val="en-CA"/>
        </w:rPr>
        <w:t xml:space="preserve"> </w:t>
      </w:r>
      <w:r w:rsidR="00940EDA" w:rsidRPr="004E1DE3">
        <w:rPr>
          <w:lang w:val="en-CA"/>
        </w:rPr>
        <w:t>particular,</w:t>
      </w:r>
      <w:r w:rsidRPr="004E1DE3">
        <w:rPr>
          <w:lang w:val="en-CA"/>
        </w:rPr>
        <w:t xml:space="preserve"> although he was informed that he was part of the </w:t>
      </w:r>
      <w:r w:rsidR="00940EDA" w:rsidRPr="004E1DE3">
        <w:rPr>
          <w:lang w:val="en-CA"/>
        </w:rPr>
        <w:t>6</w:t>
      </w:r>
      <w:r w:rsidRPr="004E1DE3">
        <w:rPr>
          <w:lang w:val="en-CA"/>
        </w:rPr>
        <w:t>,</w:t>
      </w:r>
      <w:r w:rsidR="00940EDA" w:rsidRPr="004E1DE3">
        <w:rPr>
          <w:lang w:val="en-CA"/>
        </w:rPr>
        <w:t>000</w:t>
      </w:r>
      <w:r w:rsidRPr="004E1DE3">
        <w:rPr>
          <w:lang w:val="en-CA"/>
        </w:rPr>
        <w:t>,</w:t>
      </w:r>
      <w:r w:rsidR="00940EDA" w:rsidRPr="004E1DE3">
        <w:rPr>
          <w:lang w:val="en-CA"/>
        </w:rPr>
        <w:t>000 Canadian</w:t>
      </w:r>
      <w:r w:rsidRPr="004E1DE3">
        <w:rPr>
          <w:lang w:val="en-CA"/>
        </w:rPr>
        <w:t xml:space="preserve"> residents whose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was made </w:t>
      </w:r>
      <w:r w:rsidR="00940EDA" w:rsidRPr="004E1DE3">
        <w:rPr>
          <w:lang w:val="en-CA"/>
        </w:rPr>
        <w:t>accessible</w:t>
      </w:r>
      <w:r w:rsidRPr="004E1DE3">
        <w:rPr>
          <w:lang w:val="en-CA"/>
        </w:rPr>
        <w:t xml:space="preserve"> during this </w:t>
      </w:r>
      <w:r w:rsidR="00940EDA" w:rsidRPr="004E1DE3">
        <w:rPr>
          <w:lang w:val="en-CA"/>
        </w:rPr>
        <w:t>confidentialit</w:t>
      </w:r>
      <w:r w:rsidRPr="004E1DE3">
        <w:rPr>
          <w:lang w:val="en-CA"/>
        </w:rPr>
        <w:t xml:space="preserve">y incident on </w:t>
      </w:r>
      <w:r w:rsidR="00940EDA" w:rsidRPr="004E1DE3">
        <w:rPr>
          <w:lang w:val="en-CA"/>
        </w:rPr>
        <w:t>March</w:t>
      </w:r>
      <w:r w:rsidRPr="004E1DE3">
        <w:rPr>
          <w:lang w:val="en-CA"/>
        </w:rPr>
        <w:t xml:space="preserve"> 22 and 23,</w:t>
      </w:r>
      <w:r w:rsidR="00940EDA" w:rsidRPr="004E1DE3">
        <w:rPr>
          <w:lang w:val="en-CA"/>
        </w:rPr>
        <w:t xml:space="preserve"> 2019, </w:t>
      </w:r>
      <w:r w:rsidRPr="004E1DE3">
        <w:rPr>
          <w:lang w:val="en-CA"/>
        </w:rPr>
        <w:t xml:space="preserve">he does not allege or establish any unlawful use of his information or that he suffered any </w:t>
      </w:r>
      <w:r w:rsidR="00940EDA" w:rsidRPr="004E1DE3">
        <w:rPr>
          <w:lang w:val="en-CA"/>
        </w:rPr>
        <w:t>compensable</w:t>
      </w:r>
      <w:r w:rsidRPr="004E1DE3">
        <w:rPr>
          <w:lang w:val="en-CA"/>
        </w:rPr>
        <w:t xml:space="preserve"> injury, all of which are mere </w:t>
      </w:r>
      <w:r w:rsidR="00940EDA" w:rsidRPr="004E1DE3">
        <w:rPr>
          <w:lang w:val="en-CA"/>
        </w:rPr>
        <w:t>hypoth</w:t>
      </w:r>
      <w:r w:rsidRPr="004E1DE3">
        <w:rPr>
          <w:lang w:val="en-CA"/>
        </w:rPr>
        <w:t>e</w:t>
      </w:r>
      <w:r w:rsidR="00940EDA" w:rsidRPr="004E1DE3">
        <w:rPr>
          <w:lang w:val="en-CA"/>
        </w:rPr>
        <w:t>ses, conjecture</w:t>
      </w:r>
      <w:r w:rsidRPr="004E1DE3">
        <w:rPr>
          <w:lang w:val="en-CA"/>
        </w:rPr>
        <w:t xml:space="preserve">, or </w:t>
      </w:r>
      <w:r w:rsidR="00940EDA" w:rsidRPr="004E1DE3">
        <w:rPr>
          <w:lang w:val="en-CA"/>
        </w:rPr>
        <w:t>pure sp</w:t>
      </w:r>
      <w:r w:rsidRPr="004E1DE3">
        <w:rPr>
          <w:lang w:val="en-CA"/>
        </w:rPr>
        <w:t>e</w:t>
      </w:r>
      <w:r w:rsidR="00940EDA" w:rsidRPr="004E1DE3">
        <w:rPr>
          <w:lang w:val="en-CA"/>
        </w:rPr>
        <w:t>culation;</w:t>
      </w:r>
    </w:p>
    <w:p w14:paraId="312174D7" w14:textId="77777777" w:rsidR="002B527F" w:rsidRPr="004E1DE3" w:rsidRDefault="00573CA9" w:rsidP="002B527F">
      <w:pPr>
        <w:pStyle w:val="Paragrdouble"/>
        <w:numPr>
          <w:ilvl w:val="0"/>
          <w:numId w:val="6"/>
        </w:numPr>
        <w:spacing w:line="240" w:lineRule="auto"/>
        <w:ind w:right="396"/>
        <w:rPr>
          <w:lang w:val="en-CA"/>
        </w:rPr>
      </w:pPr>
      <w:r w:rsidRPr="004E1DE3">
        <w:rPr>
          <w:lang w:val="en-CA"/>
        </w:rPr>
        <w:t xml:space="preserve">The plaintiff </w:t>
      </w:r>
      <w:r w:rsidR="00940EDA" w:rsidRPr="004E1DE3">
        <w:rPr>
          <w:lang w:val="en-CA"/>
        </w:rPr>
        <w:t>Abou-Khadra</w:t>
      </w:r>
      <w:r w:rsidRPr="004E1DE3">
        <w:rPr>
          <w:lang w:val="en-CA"/>
        </w:rPr>
        <w:t xml:space="preserve"> is not part of the group of </w:t>
      </w:r>
      <w:r w:rsidR="00940EDA" w:rsidRPr="004E1DE3">
        <w:rPr>
          <w:lang w:val="en-CA"/>
        </w:rPr>
        <w:t>6</w:t>
      </w:r>
      <w:r w:rsidRPr="004E1DE3">
        <w:rPr>
          <w:lang w:val="en-CA"/>
        </w:rPr>
        <w:t>,</w:t>
      </w:r>
      <w:r w:rsidR="00940EDA" w:rsidRPr="004E1DE3">
        <w:rPr>
          <w:lang w:val="en-CA"/>
        </w:rPr>
        <w:t>000</w:t>
      </w:r>
      <w:r w:rsidRPr="004E1DE3">
        <w:rPr>
          <w:lang w:val="en-CA"/>
        </w:rPr>
        <w:t>,</w:t>
      </w:r>
      <w:r w:rsidR="00940EDA" w:rsidRPr="004E1DE3">
        <w:rPr>
          <w:lang w:val="en-CA"/>
        </w:rPr>
        <w:t xml:space="preserve">000 </w:t>
      </w:r>
      <w:r w:rsidR="0041033A" w:rsidRPr="004E1DE3">
        <w:rPr>
          <w:lang w:val="en-CA"/>
        </w:rPr>
        <w:t xml:space="preserve">Canadian </w:t>
      </w:r>
      <w:r w:rsidR="00940EDA" w:rsidRPr="004E1DE3">
        <w:rPr>
          <w:lang w:val="en-CA"/>
        </w:rPr>
        <w:t>r</w:t>
      </w:r>
      <w:r w:rsidRPr="004E1DE3">
        <w:rPr>
          <w:lang w:val="en-CA"/>
        </w:rPr>
        <w:t>e</w:t>
      </w:r>
      <w:r w:rsidR="00940EDA" w:rsidRPr="004E1DE3">
        <w:rPr>
          <w:lang w:val="en-CA"/>
        </w:rPr>
        <w:t>sidents</w:t>
      </w:r>
      <w:r w:rsidR="0041033A" w:rsidRPr="004E1DE3">
        <w:rPr>
          <w:lang w:val="en-CA"/>
        </w:rPr>
        <w:t xml:space="preserve"> who were informed of this </w:t>
      </w:r>
      <w:r w:rsidR="00940EDA" w:rsidRPr="004E1DE3">
        <w:rPr>
          <w:lang w:val="en-CA"/>
        </w:rPr>
        <w:t>intrusion</w:t>
      </w:r>
      <w:r w:rsidR="0041033A" w:rsidRPr="004E1DE3">
        <w:rPr>
          <w:lang w:val="en-CA"/>
        </w:rPr>
        <w:t xml:space="preserve">, such that his </w:t>
      </w:r>
      <w:r w:rsidR="00940EDA" w:rsidRPr="004E1DE3">
        <w:rPr>
          <w:lang w:val="en-CA"/>
        </w:rPr>
        <w:t>personal</w:t>
      </w:r>
      <w:r w:rsidR="0041033A" w:rsidRPr="004E1DE3">
        <w:rPr>
          <w:lang w:val="en-CA"/>
        </w:rPr>
        <w:t xml:space="preserve"> </w:t>
      </w:r>
      <w:r w:rsidR="00940EDA" w:rsidRPr="004E1DE3">
        <w:rPr>
          <w:lang w:val="en-CA"/>
        </w:rPr>
        <w:t>information</w:t>
      </w:r>
      <w:r w:rsidR="0041033A" w:rsidRPr="004E1DE3">
        <w:rPr>
          <w:lang w:val="en-CA"/>
        </w:rPr>
        <w:t xml:space="preserve"> was simply not made accessible during this incident, whereas the </w:t>
      </w:r>
      <w:r w:rsidR="00940EDA" w:rsidRPr="004E1DE3">
        <w:rPr>
          <w:lang w:val="en-CA"/>
        </w:rPr>
        <w:t>fraud</w:t>
      </w:r>
      <w:r w:rsidR="0041033A" w:rsidRPr="004E1DE3">
        <w:rPr>
          <w:lang w:val="en-CA"/>
        </w:rPr>
        <w:t xml:space="preserve"> he alleges to have been a target of consists instead of the unauthorized use of his </w:t>
      </w:r>
      <w:r w:rsidR="00940EDA" w:rsidRPr="004E1DE3">
        <w:rPr>
          <w:lang w:val="en-CA"/>
        </w:rPr>
        <w:t>credit</w:t>
      </w:r>
      <w:r w:rsidR="0041033A" w:rsidRPr="004E1DE3">
        <w:rPr>
          <w:lang w:val="en-CA"/>
        </w:rPr>
        <w:t xml:space="preserve"> </w:t>
      </w:r>
      <w:r w:rsidR="00940EDA" w:rsidRPr="004E1DE3">
        <w:rPr>
          <w:lang w:val="en-CA"/>
        </w:rPr>
        <w:lastRenderedPageBreak/>
        <w:t>card</w:t>
      </w:r>
      <w:r w:rsidR="0041033A" w:rsidRPr="004E1DE3">
        <w:rPr>
          <w:lang w:val="en-CA"/>
        </w:rPr>
        <w:t xml:space="preserve"> and his security code </w:t>
      </w:r>
      <w:r w:rsidR="00940EDA" w:rsidRPr="004E1DE3">
        <w:rPr>
          <w:lang w:val="en-CA"/>
        </w:rPr>
        <w:t xml:space="preserve">(CCV), </w:t>
      </w:r>
      <w:r w:rsidR="00A662BD" w:rsidRPr="004E1DE3">
        <w:rPr>
          <w:lang w:val="en-CA"/>
        </w:rPr>
        <w:t xml:space="preserve">and whereas </w:t>
      </w:r>
      <w:r w:rsidR="0041033A" w:rsidRPr="004E1DE3">
        <w:rPr>
          <w:lang w:val="en-CA"/>
        </w:rPr>
        <w:t xml:space="preserve">this </w:t>
      </w:r>
      <w:r w:rsidR="00940EDA" w:rsidRPr="004E1DE3">
        <w:rPr>
          <w:lang w:val="en-CA"/>
        </w:rPr>
        <w:t>information</w:t>
      </w:r>
      <w:r w:rsidR="0041033A" w:rsidRPr="004E1DE3">
        <w:rPr>
          <w:lang w:val="en-CA"/>
        </w:rPr>
        <w:t xml:space="preserve"> was not made accessible during the </w:t>
      </w:r>
      <w:r w:rsidR="00940EDA" w:rsidRPr="004E1DE3">
        <w:rPr>
          <w:lang w:val="en-CA"/>
        </w:rPr>
        <w:t xml:space="preserve">incident </w:t>
      </w:r>
      <w:r w:rsidR="0041033A" w:rsidRPr="004E1DE3">
        <w:rPr>
          <w:lang w:val="en-CA"/>
        </w:rPr>
        <w:t xml:space="preserve">on </w:t>
      </w:r>
      <w:r w:rsidR="00940EDA" w:rsidRPr="004E1DE3">
        <w:rPr>
          <w:lang w:val="en-CA"/>
        </w:rPr>
        <w:t>March</w:t>
      </w:r>
      <w:r w:rsidR="0041033A" w:rsidRPr="004E1DE3">
        <w:rPr>
          <w:lang w:val="en-CA"/>
        </w:rPr>
        <w:t xml:space="preserve"> 22 and 23,</w:t>
      </w:r>
      <w:r w:rsidR="00940EDA" w:rsidRPr="004E1DE3">
        <w:rPr>
          <w:lang w:val="en-CA"/>
        </w:rPr>
        <w:t xml:space="preserve"> 2019</w:t>
      </w:r>
      <w:r w:rsidR="0041033A" w:rsidRPr="004E1DE3">
        <w:rPr>
          <w:lang w:val="en-CA"/>
        </w:rPr>
        <w:t xml:space="preserve">, and that in his case, </w:t>
      </w:r>
      <w:r w:rsidR="00A662BD" w:rsidRPr="004E1DE3">
        <w:rPr>
          <w:lang w:val="en-CA"/>
        </w:rPr>
        <w:t xml:space="preserve">this theft </w:t>
      </w:r>
      <w:r w:rsidR="0041033A" w:rsidRPr="004E1DE3">
        <w:rPr>
          <w:lang w:val="en-CA"/>
        </w:rPr>
        <w:t xml:space="preserve">is instead the result of </w:t>
      </w:r>
      <w:r w:rsidR="00A662BD" w:rsidRPr="004E1DE3">
        <w:rPr>
          <w:lang w:val="en-CA"/>
        </w:rPr>
        <w:t>a</w:t>
      </w:r>
      <w:r w:rsidR="0041033A" w:rsidRPr="004E1DE3">
        <w:rPr>
          <w:lang w:val="en-CA"/>
        </w:rPr>
        <w:t xml:space="preserve"> third person</w:t>
      </w:r>
      <w:r w:rsidR="00940EDA" w:rsidRPr="004E1DE3">
        <w:rPr>
          <w:lang w:val="en-CA"/>
        </w:rPr>
        <w:t xml:space="preserve"> </w:t>
      </w:r>
      <w:r w:rsidR="00A662BD" w:rsidRPr="004E1DE3">
        <w:rPr>
          <w:lang w:val="en-CA"/>
        </w:rPr>
        <w:t xml:space="preserve">having knowledge </w:t>
      </w:r>
      <w:r w:rsidR="0041033A" w:rsidRPr="004E1DE3">
        <w:rPr>
          <w:lang w:val="en-CA"/>
        </w:rPr>
        <w:t xml:space="preserve">of his </w:t>
      </w:r>
      <w:r w:rsidR="00940EDA" w:rsidRPr="004E1DE3">
        <w:rPr>
          <w:lang w:val="en-CA"/>
        </w:rPr>
        <w:t>credit</w:t>
      </w:r>
      <w:r w:rsidR="0041033A" w:rsidRPr="004E1DE3">
        <w:rPr>
          <w:lang w:val="en-CA"/>
        </w:rPr>
        <w:t xml:space="preserve"> </w:t>
      </w:r>
      <w:r w:rsidR="00940EDA" w:rsidRPr="004E1DE3">
        <w:rPr>
          <w:lang w:val="en-CA"/>
        </w:rPr>
        <w:t>card</w:t>
      </w:r>
      <w:r w:rsidR="0041033A" w:rsidRPr="004E1DE3">
        <w:rPr>
          <w:lang w:val="en-CA"/>
        </w:rPr>
        <w:t xml:space="preserve"> number and secret </w:t>
      </w:r>
      <w:r w:rsidR="00940EDA" w:rsidRPr="004E1DE3">
        <w:rPr>
          <w:lang w:val="en-CA"/>
        </w:rPr>
        <w:t xml:space="preserve">code, </w:t>
      </w:r>
      <w:r w:rsidR="00A662BD" w:rsidRPr="004E1DE3">
        <w:rPr>
          <w:lang w:val="en-CA"/>
        </w:rPr>
        <w:t xml:space="preserve">which is a </w:t>
      </w:r>
      <w:r w:rsidR="00940EDA" w:rsidRPr="004E1DE3">
        <w:rPr>
          <w:lang w:val="en-CA"/>
        </w:rPr>
        <w:t xml:space="preserve">situation </w:t>
      </w:r>
      <w:r w:rsidR="00A662BD" w:rsidRPr="004E1DE3">
        <w:rPr>
          <w:lang w:val="en-CA"/>
        </w:rPr>
        <w:t xml:space="preserve">that is foreign to the </w:t>
      </w:r>
      <w:r w:rsidR="00940EDA" w:rsidRPr="004E1DE3">
        <w:rPr>
          <w:lang w:val="en-CA"/>
        </w:rPr>
        <w:t>debate</w:t>
      </w:r>
      <w:r w:rsidR="00A662BD" w:rsidRPr="004E1DE3">
        <w:rPr>
          <w:lang w:val="en-CA"/>
        </w:rPr>
        <w:t xml:space="preserve"> raised in this case</w:t>
      </w:r>
      <w:r w:rsidR="00940EDA" w:rsidRPr="004E1DE3">
        <w:rPr>
          <w:lang w:val="en-CA"/>
        </w:rPr>
        <w:t>;</w:t>
      </w:r>
    </w:p>
    <w:p w14:paraId="6B8C3BC9" w14:textId="77777777" w:rsidR="002B527F" w:rsidRPr="004E1DE3" w:rsidRDefault="00573CA9" w:rsidP="002B527F">
      <w:pPr>
        <w:pStyle w:val="Paragrdouble"/>
        <w:numPr>
          <w:ilvl w:val="0"/>
          <w:numId w:val="6"/>
        </w:numPr>
        <w:spacing w:line="240" w:lineRule="auto"/>
        <w:ind w:right="396"/>
        <w:rPr>
          <w:lang w:val="en-CA"/>
        </w:rPr>
      </w:pPr>
      <w:r w:rsidRPr="004E1DE3">
        <w:rPr>
          <w:lang w:val="en-CA"/>
        </w:rPr>
        <w:t xml:space="preserve">The </w:t>
      </w:r>
      <w:r w:rsidR="00940EDA" w:rsidRPr="004E1DE3">
        <w:rPr>
          <w:lang w:val="en-CA"/>
        </w:rPr>
        <w:t>pecuniary</w:t>
      </w:r>
      <w:r w:rsidRPr="004E1DE3">
        <w:rPr>
          <w:lang w:val="en-CA"/>
        </w:rPr>
        <w:t xml:space="preserve"> and non-pecuniary </w:t>
      </w:r>
      <w:r w:rsidR="00940EDA" w:rsidRPr="004E1DE3">
        <w:rPr>
          <w:lang w:val="en-CA"/>
        </w:rPr>
        <w:t>damages</w:t>
      </w:r>
      <w:r w:rsidRPr="004E1DE3">
        <w:rPr>
          <w:lang w:val="en-CA"/>
        </w:rPr>
        <w:t xml:space="preserve"> claimed by the plaintiffs cannot be awarded under the </w:t>
      </w:r>
      <w:r w:rsidR="00940EDA" w:rsidRPr="004E1DE3">
        <w:rPr>
          <w:lang w:val="en-CA"/>
        </w:rPr>
        <w:t>applicable</w:t>
      </w:r>
      <w:r w:rsidRPr="004E1DE3">
        <w:rPr>
          <w:lang w:val="en-CA"/>
        </w:rPr>
        <w:t xml:space="preserve"> </w:t>
      </w:r>
      <w:r w:rsidR="00940EDA" w:rsidRPr="004E1DE3">
        <w:rPr>
          <w:lang w:val="en-CA"/>
        </w:rPr>
        <w:t>law</w:t>
      </w:r>
      <w:r w:rsidRPr="004E1DE3">
        <w:rPr>
          <w:lang w:val="en-CA"/>
        </w:rPr>
        <w:t xml:space="preserve"> in </w:t>
      </w:r>
      <w:r w:rsidR="00940EDA" w:rsidRPr="004E1DE3">
        <w:rPr>
          <w:lang w:val="en-CA"/>
        </w:rPr>
        <w:t>Qu</w:t>
      </w:r>
      <w:r w:rsidRPr="004E1DE3">
        <w:rPr>
          <w:lang w:val="en-CA"/>
        </w:rPr>
        <w:t>e</w:t>
      </w:r>
      <w:r w:rsidR="00940EDA" w:rsidRPr="004E1DE3">
        <w:rPr>
          <w:lang w:val="en-CA"/>
        </w:rPr>
        <w:t>bec</w:t>
      </w:r>
      <w:r w:rsidRPr="004E1DE3">
        <w:rPr>
          <w:lang w:val="en-CA"/>
        </w:rPr>
        <w:t xml:space="preserve">; these damages are nothing more that the ordinary </w:t>
      </w:r>
      <w:r w:rsidR="00940EDA" w:rsidRPr="004E1DE3">
        <w:rPr>
          <w:lang w:val="en-CA"/>
        </w:rPr>
        <w:t>inconv</w:t>
      </w:r>
      <w:r w:rsidRPr="004E1DE3">
        <w:rPr>
          <w:lang w:val="en-CA"/>
        </w:rPr>
        <w:t xml:space="preserve">eniences experienced in such </w:t>
      </w:r>
      <w:r w:rsidR="00940EDA" w:rsidRPr="004E1DE3">
        <w:rPr>
          <w:lang w:val="en-CA"/>
        </w:rPr>
        <w:t>circumstances</w:t>
      </w:r>
      <w:r w:rsidR="00231B23" w:rsidRPr="004E1DE3">
        <w:rPr>
          <w:lang w:val="en-CA"/>
        </w:rPr>
        <w:t xml:space="preserve">; they are not </w:t>
      </w:r>
      <w:r w:rsidR="00940EDA" w:rsidRPr="004E1DE3">
        <w:rPr>
          <w:lang w:val="en-CA"/>
        </w:rPr>
        <w:t>grave</w:t>
      </w:r>
      <w:r w:rsidR="00231B23" w:rsidRPr="004E1DE3">
        <w:rPr>
          <w:lang w:val="en-CA"/>
        </w:rPr>
        <w:t xml:space="preserve">, serious, continuous, or </w:t>
      </w:r>
      <w:r w:rsidR="00940EDA" w:rsidRPr="004E1DE3">
        <w:rPr>
          <w:lang w:val="en-CA"/>
        </w:rPr>
        <w:t>prolong</w:t>
      </w:r>
      <w:r w:rsidR="00231B23" w:rsidRPr="004E1DE3">
        <w:rPr>
          <w:lang w:val="en-CA"/>
        </w:rPr>
        <w:t>ed;</w:t>
      </w:r>
      <w:r>
        <w:rPr>
          <w:rStyle w:val="Appelnotedebasdep"/>
          <w:lang w:val="en-CA"/>
        </w:rPr>
        <w:footnoteReference w:id="10"/>
      </w:r>
    </w:p>
    <w:p w14:paraId="7DDE8C7F" w14:textId="77777777" w:rsidR="002B527F" w:rsidRPr="004E1DE3" w:rsidRDefault="00573CA9" w:rsidP="002B527F">
      <w:pPr>
        <w:pStyle w:val="Paragrdouble"/>
        <w:numPr>
          <w:ilvl w:val="0"/>
          <w:numId w:val="6"/>
        </w:numPr>
        <w:spacing w:line="240" w:lineRule="auto"/>
        <w:ind w:right="396"/>
        <w:rPr>
          <w:lang w:val="en-CA"/>
        </w:rPr>
      </w:pPr>
      <w:r w:rsidRPr="004E1DE3">
        <w:rPr>
          <w:lang w:val="en-CA"/>
        </w:rPr>
        <w:t xml:space="preserve">The </w:t>
      </w:r>
      <w:r w:rsidR="00940EDA" w:rsidRPr="004E1DE3">
        <w:rPr>
          <w:lang w:val="en-CA"/>
        </w:rPr>
        <w:t>statutory</w:t>
      </w:r>
      <w:r w:rsidRPr="004E1DE3">
        <w:rPr>
          <w:lang w:val="en-CA"/>
        </w:rPr>
        <w:t xml:space="preserve"> </w:t>
      </w:r>
      <w:r w:rsidR="00940EDA" w:rsidRPr="004E1DE3">
        <w:rPr>
          <w:lang w:val="en-CA"/>
        </w:rPr>
        <w:t>provisions invo</w:t>
      </w:r>
      <w:r w:rsidR="006511A6" w:rsidRPr="004E1DE3">
        <w:rPr>
          <w:lang w:val="en-CA"/>
        </w:rPr>
        <w:t xml:space="preserve">ked by the plaintiffs in support of their claim for </w:t>
      </w:r>
      <w:r w:rsidR="00940EDA" w:rsidRPr="004E1DE3">
        <w:rPr>
          <w:lang w:val="en-CA"/>
        </w:rPr>
        <w:t>punitive</w:t>
      </w:r>
      <w:r w:rsidR="006511A6" w:rsidRPr="004E1DE3">
        <w:rPr>
          <w:lang w:val="en-CA"/>
        </w:rPr>
        <w:t xml:space="preserve"> </w:t>
      </w:r>
      <w:r w:rsidR="00940EDA" w:rsidRPr="004E1DE3">
        <w:rPr>
          <w:lang w:val="en-CA"/>
        </w:rPr>
        <w:t>damages</w:t>
      </w:r>
      <w:r w:rsidR="006511A6" w:rsidRPr="004E1DE3">
        <w:rPr>
          <w:lang w:val="en-CA"/>
        </w:rPr>
        <w:t xml:space="preserve"> are not applicable in this case</w:t>
      </w:r>
      <w:r w:rsidR="00940EDA" w:rsidRPr="004E1DE3">
        <w:rPr>
          <w:lang w:val="en-CA"/>
        </w:rPr>
        <w:t>;</w:t>
      </w:r>
      <w:r w:rsidR="006511A6" w:rsidRPr="004E1DE3">
        <w:rPr>
          <w:lang w:val="en-CA"/>
        </w:rPr>
        <w:t xml:space="preserve"> and</w:t>
      </w:r>
    </w:p>
    <w:p w14:paraId="5DC0D55A" w14:textId="77777777" w:rsidR="002B527F" w:rsidRPr="004E1DE3" w:rsidRDefault="00573CA9" w:rsidP="002B527F">
      <w:pPr>
        <w:pStyle w:val="Paragrdouble"/>
        <w:numPr>
          <w:ilvl w:val="0"/>
          <w:numId w:val="6"/>
        </w:numPr>
        <w:spacing w:line="240" w:lineRule="auto"/>
        <w:ind w:right="396"/>
        <w:rPr>
          <w:lang w:val="en-CA"/>
        </w:rPr>
      </w:pPr>
      <w:r w:rsidRPr="004E1DE3">
        <w:rPr>
          <w:lang w:val="en-CA"/>
        </w:rPr>
        <w:t xml:space="preserve">Accordingly, neither of the two plaintiffs has an </w:t>
      </w:r>
      <w:r w:rsidR="001140BE" w:rsidRPr="004E1DE3">
        <w:rPr>
          <w:lang w:val="en-CA"/>
        </w:rPr>
        <w:t>arguable</w:t>
      </w:r>
      <w:r w:rsidRPr="004E1DE3">
        <w:rPr>
          <w:lang w:val="en-CA"/>
        </w:rPr>
        <w:t xml:space="preserve"> case to assert against the </w:t>
      </w:r>
      <w:r w:rsidR="001140BE" w:rsidRPr="004E1DE3">
        <w:rPr>
          <w:lang w:val="en-CA"/>
        </w:rPr>
        <w:t>defendants.</w:t>
      </w:r>
    </w:p>
    <w:p w14:paraId="49C5C938" w14:textId="77777777" w:rsidR="002B527F" w:rsidRPr="004E1DE3" w:rsidRDefault="00573CA9" w:rsidP="002B527F">
      <w:pPr>
        <w:pStyle w:val="Paragrdouble"/>
        <w:tabs>
          <w:tab w:val="num" w:pos="851"/>
        </w:tabs>
        <w:spacing w:line="240" w:lineRule="auto"/>
        <w:ind w:left="0"/>
        <w:rPr>
          <w:i/>
          <w:iCs/>
          <w:lang w:val="en-CA"/>
        </w:rPr>
      </w:pPr>
      <w:r w:rsidRPr="004E1DE3">
        <w:rPr>
          <w:lang w:val="en-CA"/>
        </w:rPr>
        <w:t xml:space="preserve">The </w:t>
      </w:r>
      <w:r w:rsidR="00940EDA" w:rsidRPr="004E1DE3">
        <w:rPr>
          <w:lang w:val="en-CA"/>
        </w:rPr>
        <w:t>defendants conclu</w:t>
      </w:r>
      <w:r w:rsidRPr="004E1DE3">
        <w:rPr>
          <w:lang w:val="en-CA"/>
        </w:rPr>
        <w:t xml:space="preserve">de that, due to </w:t>
      </w:r>
      <w:r w:rsidR="00EB4186" w:rsidRPr="004E1DE3">
        <w:rPr>
          <w:lang w:val="en-CA"/>
        </w:rPr>
        <w:t xml:space="preserve">their particular situations arising from the facts described above, </w:t>
      </w:r>
      <w:r w:rsidR="004851E2">
        <w:rPr>
          <w:lang w:val="en-CA"/>
        </w:rPr>
        <w:t xml:space="preserve">neither of </w:t>
      </w:r>
      <w:r w:rsidRPr="004E1DE3">
        <w:rPr>
          <w:lang w:val="en-CA"/>
        </w:rPr>
        <w:t xml:space="preserve">the two plaintiffs can </w:t>
      </w:r>
      <w:r w:rsidR="00EB4186" w:rsidRPr="004E1DE3">
        <w:rPr>
          <w:lang w:val="en-CA"/>
        </w:rPr>
        <w:t xml:space="preserve">be appointed as the representative plaintiff of the putative </w:t>
      </w:r>
      <w:r w:rsidR="00D841BF">
        <w:rPr>
          <w:lang w:val="en-CA"/>
        </w:rPr>
        <w:t xml:space="preserve">class </w:t>
      </w:r>
      <w:r w:rsidR="00EB4186" w:rsidRPr="004E1DE3">
        <w:rPr>
          <w:lang w:val="en-CA"/>
        </w:rPr>
        <w:t>members</w:t>
      </w:r>
      <w:r w:rsidR="00D841BF">
        <w:rPr>
          <w:lang w:val="en-CA"/>
        </w:rPr>
        <w:t xml:space="preserve"> in order to</w:t>
      </w:r>
      <w:r w:rsidR="004C7A62">
        <w:rPr>
          <w:lang w:val="en-CA"/>
        </w:rPr>
        <w:t xml:space="preserve"> </w:t>
      </w:r>
      <w:r w:rsidR="00EB4186" w:rsidRPr="004E1DE3">
        <w:rPr>
          <w:lang w:val="en-CA"/>
        </w:rPr>
        <w:t>properly represent them</w:t>
      </w:r>
      <w:r w:rsidR="00940EDA" w:rsidRPr="004E1DE3">
        <w:rPr>
          <w:lang w:val="en-CA"/>
        </w:rPr>
        <w:t>.</w:t>
      </w:r>
    </w:p>
    <w:p w14:paraId="43C535EC" w14:textId="77777777" w:rsidR="00195001" w:rsidRPr="004E1DE3" w:rsidRDefault="00573CA9" w:rsidP="007D1A3F">
      <w:pPr>
        <w:pStyle w:val="Paragrdouble"/>
        <w:tabs>
          <w:tab w:val="num" w:pos="851"/>
        </w:tabs>
        <w:spacing w:line="240" w:lineRule="auto"/>
        <w:ind w:left="0"/>
        <w:rPr>
          <w:i/>
          <w:iCs/>
          <w:lang w:val="en-CA"/>
        </w:rPr>
      </w:pPr>
      <w:r w:rsidRPr="004E1DE3">
        <w:rPr>
          <w:lang w:val="en-CA"/>
        </w:rPr>
        <w:t>I</w:t>
      </w:r>
      <w:r w:rsidR="00964D39" w:rsidRPr="004E1DE3">
        <w:rPr>
          <w:lang w:val="en-CA"/>
        </w:rPr>
        <w:t>n</w:t>
      </w:r>
      <w:r w:rsidRPr="004E1DE3">
        <w:rPr>
          <w:lang w:val="en-CA"/>
        </w:rPr>
        <w:t xml:space="preserve"> </w:t>
      </w:r>
      <w:r w:rsidR="00964D39" w:rsidRPr="004E1DE3">
        <w:rPr>
          <w:lang w:val="en-CA"/>
        </w:rPr>
        <w:t>this</w:t>
      </w:r>
      <w:r w:rsidRPr="004E1DE3">
        <w:rPr>
          <w:lang w:val="en-CA"/>
        </w:rPr>
        <w:t xml:space="preserve"> </w:t>
      </w:r>
      <w:r w:rsidR="00964D39" w:rsidRPr="004E1DE3">
        <w:rPr>
          <w:lang w:val="en-CA"/>
        </w:rPr>
        <w:t xml:space="preserve">respect, </w:t>
      </w:r>
      <w:r w:rsidRPr="004E1DE3">
        <w:rPr>
          <w:lang w:val="en-CA"/>
        </w:rPr>
        <w:t xml:space="preserve">the plaintiffs note that the facts they allege must be </w:t>
      </w:r>
      <w:r w:rsidR="00964D39" w:rsidRPr="004E1DE3">
        <w:rPr>
          <w:lang w:val="en-CA"/>
        </w:rPr>
        <w:t>taken</w:t>
      </w:r>
      <w:r w:rsidRPr="004E1DE3">
        <w:rPr>
          <w:lang w:val="en-CA"/>
        </w:rPr>
        <w:t xml:space="preserve"> </w:t>
      </w:r>
      <w:r w:rsidR="00964D39" w:rsidRPr="004E1DE3">
        <w:rPr>
          <w:lang w:val="en-CA"/>
        </w:rPr>
        <w:t>as</w:t>
      </w:r>
      <w:r w:rsidRPr="004E1DE3">
        <w:rPr>
          <w:lang w:val="en-CA"/>
        </w:rPr>
        <w:t xml:space="preserve"> </w:t>
      </w:r>
      <w:r w:rsidR="00964D39" w:rsidRPr="004E1DE3">
        <w:rPr>
          <w:lang w:val="en-CA"/>
        </w:rPr>
        <w:t>true,</w:t>
      </w:r>
      <w:r w:rsidRPr="004E1DE3">
        <w:rPr>
          <w:lang w:val="en-CA"/>
        </w:rPr>
        <w:t xml:space="preserve"> unless they are improbable or im</w:t>
      </w:r>
      <w:r w:rsidR="00964D39" w:rsidRPr="004E1DE3">
        <w:rPr>
          <w:lang w:val="en-CA"/>
        </w:rPr>
        <w:t>plausible</w:t>
      </w:r>
      <w:r w:rsidRPr="004E1DE3">
        <w:rPr>
          <w:lang w:val="en-CA"/>
        </w:rPr>
        <w:t>,</w:t>
      </w:r>
      <w:r>
        <w:rPr>
          <w:rStyle w:val="Appelnotedebasdep"/>
          <w:lang w:val="en-CA"/>
        </w:rPr>
        <w:footnoteReference w:id="11"/>
      </w:r>
      <w:r w:rsidRPr="004E1DE3">
        <w:rPr>
          <w:lang w:val="en-CA"/>
        </w:rPr>
        <w:t xml:space="preserve"> and emphasize that the same is not true for the facts alleged by the </w:t>
      </w:r>
      <w:r w:rsidR="001D2739" w:rsidRPr="004E1DE3">
        <w:rPr>
          <w:lang w:val="en-CA"/>
        </w:rPr>
        <w:t>defendants</w:t>
      </w:r>
      <w:r w:rsidRPr="004E1DE3">
        <w:rPr>
          <w:lang w:val="en-CA"/>
        </w:rPr>
        <w:t>,</w:t>
      </w:r>
      <w:r>
        <w:rPr>
          <w:rStyle w:val="Appelnotedebasdep"/>
          <w:lang w:val="en-CA"/>
        </w:rPr>
        <w:footnoteReference w:id="12"/>
      </w:r>
      <w:r w:rsidRPr="004E1DE3">
        <w:rPr>
          <w:lang w:val="en-CA"/>
        </w:rPr>
        <w:t xml:space="preserve"> as </w:t>
      </w:r>
      <w:r w:rsidR="003264C0" w:rsidRPr="004E1DE3">
        <w:rPr>
          <w:lang w:val="en-CA"/>
        </w:rPr>
        <w:t>Capital One</w:t>
      </w:r>
      <w:r w:rsidRPr="004E1DE3">
        <w:rPr>
          <w:lang w:val="en-CA"/>
        </w:rPr>
        <w:t xml:space="preserve"> did in the </w:t>
      </w:r>
      <w:r w:rsidR="003264C0" w:rsidRPr="004E1DE3">
        <w:rPr>
          <w:lang w:val="en-CA"/>
        </w:rPr>
        <w:t>affidavit</w:t>
      </w:r>
      <w:r w:rsidR="00BC6EB5" w:rsidRPr="004E1DE3">
        <w:rPr>
          <w:lang w:val="en-CA"/>
        </w:rPr>
        <w:t xml:space="preserve"> of one of its officers</w:t>
      </w:r>
      <w:r w:rsidR="003264C0" w:rsidRPr="004E1DE3">
        <w:rPr>
          <w:lang w:val="en-CA"/>
        </w:rPr>
        <w:t>, Jeffrey Behan</w:t>
      </w:r>
      <w:r w:rsidR="00BC6EB5" w:rsidRPr="004E1DE3">
        <w:rPr>
          <w:lang w:val="en-CA"/>
        </w:rPr>
        <w:t>,</w:t>
      </w:r>
      <w:r>
        <w:rPr>
          <w:rStyle w:val="Appelnotedebasdep"/>
          <w:lang w:val="en-CA"/>
        </w:rPr>
        <w:footnoteReference w:id="13"/>
      </w:r>
      <w:r w:rsidR="00BC6EB5" w:rsidRPr="004E1DE3">
        <w:rPr>
          <w:lang w:val="en-CA"/>
        </w:rPr>
        <w:t xml:space="preserve"> which it filed further to pe</w:t>
      </w:r>
      <w:r w:rsidR="00736AE9" w:rsidRPr="004E1DE3">
        <w:rPr>
          <w:lang w:val="en-CA"/>
        </w:rPr>
        <w:t xml:space="preserve">rmission </w:t>
      </w:r>
      <w:r w:rsidR="00BC6EB5" w:rsidRPr="004E1DE3">
        <w:rPr>
          <w:lang w:val="en-CA"/>
        </w:rPr>
        <w:t xml:space="preserve">granted under </w:t>
      </w:r>
      <w:r w:rsidR="00736AE9" w:rsidRPr="004E1DE3">
        <w:rPr>
          <w:lang w:val="en-CA"/>
        </w:rPr>
        <w:t>article</w:t>
      </w:r>
      <w:r w:rsidR="00BC6EB5" w:rsidRPr="004E1DE3">
        <w:rPr>
          <w:lang w:val="en-CA"/>
        </w:rPr>
        <w:t xml:space="preserve"> </w:t>
      </w:r>
      <w:r w:rsidR="00736AE9" w:rsidRPr="004E1DE3">
        <w:rPr>
          <w:lang w:val="en-CA"/>
        </w:rPr>
        <w:t xml:space="preserve">574 CCP </w:t>
      </w:r>
      <w:r w:rsidR="00BC6EB5" w:rsidRPr="004E1DE3">
        <w:rPr>
          <w:lang w:val="en-CA"/>
        </w:rPr>
        <w:t xml:space="preserve">to present additional </w:t>
      </w:r>
      <w:r w:rsidR="00736AE9" w:rsidRPr="004E1DE3">
        <w:rPr>
          <w:lang w:val="en-CA"/>
        </w:rPr>
        <w:t>evidence</w:t>
      </w:r>
      <w:r w:rsidR="00BC6EB5" w:rsidRPr="004E1DE3">
        <w:rPr>
          <w:lang w:val="en-CA"/>
        </w:rPr>
        <w:t>.</w:t>
      </w:r>
      <w:r>
        <w:rPr>
          <w:rStyle w:val="Appelnotedebasdep"/>
          <w:lang w:val="en-CA"/>
        </w:rPr>
        <w:footnoteReference w:id="14"/>
      </w:r>
    </w:p>
    <w:p w14:paraId="7FB26AA2" w14:textId="77777777" w:rsidR="00FB6089" w:rsidRPr="004E1DE3" w:rsidRDefault="00573CA9" w:rsidP="007D1A3F">
      <w:pPr>
        <w:pStyle w:val="Paragrdouble"/>
        <w:tabs>
          <w:tab w:val="num" w:pos="851"/>
        </w:tabs>
        <w:spacing w:line="240" w:lineRule="auto"/>
        <w:ind w:left="0"/>
        <w:rPr>
          <w:i/>
          <w:iCs/>
          <w:lang w:val="en-CA"/>
        </w:rPr>
      </w:pPr>
      <w:r w:rsidRPr="004E1DE3">
        <w:rPr>
          <w:lang w:val="en-CA"/>
        </w:rPr>
        <w:t xml:space="preserve">Thus, the </w:t>
      </w:r>
      <w:r w:rsidR="001140BE" w:rsidRPr="004E1DE3">
        <w:rPr>
          <w:lang w:val="en-CA"/>
        </w:rPr>
        <w:t>defendants</w:t>
      </w:r>
      <w:r w:rsidRPr="004E1DE3">
        <w:rPr>
          <w:lang w:val="en-CA"/>
        </w:rPr>
        <w:t xml:space="preserve"> do not have the benefit of this presumption with respect to the </w:t>
      </w:r>
      <w:r w:rsidR="001140BE" w:rsidRPr="004E1DE3">
        <w:rPr>
          <w:lang w:val="en-CA"/>
        </w:rPr>
        <w:t>probative</w:t>
      </w:r>
      <w:r w:rsidRPr="004E1DE3">
        <w:rPr>
          <w:lang w:val="en-CA"/>
        </w:rPr>
        <w:t xml:space="preserve"> </w:t>
      </w:r>
      <w:r w:rsidR="001140BE" w:rsidRPr="004E1DE3">
        <w:rPr>
          <w:lang w:val="en-CA"/>
        </w:rPr>
        <w:t>value</w:t>
      </w:r>
      <w:r w:rsidRPr="004E1DE3">
        <w:rPr>
          <w:lang w:val="en-CA"/>
        </w:rPr>
        <w:t xml:space="preserve"> of the </w:t>
      </w:r>
      <w:r w:rsidR="001140BE" w:rsidRPr="004E1DE3">
        <w:rPr>
          <w:lang w:val="en-CA"/>
        </w:rPr>
        <w:t>evidence</w:t>
      </w:r>
      <w:r w:rsidRPr="004E1DE3">
        <w:rPr>
          <w:lang w:val="en-CA"/>
        </w:rPr>
        <w:t xml:space="preserve"> they adduce</w:t>
      </w:r>
      <w:r w:rsidR="001140BE" w:rsidRPr="004E1DE3">
        <w:rPr>
          <w:lang w:val="en-CA"/>
        </w:rPr>
        <w:t>.</w:t>
      </w:r>
    </w:p>
    <w:p w14:paraId="7AB1C920" w14:textId="77777777" w:rsidR="00EA159A" w:rsidRPr="004E1DE3" w:rsidRDefault="00573CA9" w:rsidP="007D1A3F">
      <w:pPr>
        <w:pStyle w:val="Paragrdouble"/>
        <w:tabs>
          <w:tab w:val="num" w:pos="851"/>
        </w:tabs>
        <w:spacing w:line="240" w:lineRule="auto"/>
        <w:ind w:left="0"/>
        <w:rPr>
          <w:i/>
          <w:iCs/>
          <w:lang w:val="en-CA"/>
        </w:rPr>
      </w:pPr>
      <w:r w:rsidRPr="004E1DE3">
        <w:rPr>
          <w:lang w:val="en-CA"/>
        </w:rPr>
        <w:t xml:space="preserve">The plaintiffs add that even if the </w:t>
      </w:r>
      <w:r w:rsidR="00AE3430" w:rsidRPr="004E1DE3">
        <w:rPr>
          <w:lang w:val="en-CA"/>
        </w:rPr>
        <w:t>defendants</w:t>
      </w:r>
      <w:r w:rsidRPr="004E1DE3">
        <w:rPr>
          <w:lang w:val="en-CA"/>
        </w:rPr>
        <w:t xml:space="preserve"> may have a serious defence to assert on the merits of the case, at this stage </w:t>
      </w:r>
      <w:r w:rsidR="00AE3430" w:rsidRPr="004E1DE3">
        <w:rPr>
          <w:lang w:val="en-CA"/>
        </w:rPr>
        <w:t>the</w:t>
      </w:r>
      <w:r w:rsidRPr="004E1DE3">
        <w:rPr>
          <w:lang w:val="en-CA"/>
        </w:rPr>
        <w:t xml:space="preserve"> </w:t>
      </w:r>
      <w:r w:rsidR="00AE3430" w:rsidRPr="004E1DE3">
        <w:rPr>
          <w:lang w:val="en-CA"/>
        </w:rPr>
        <w:t>Court</w:t>
      </w:r>
      <w:r w:rsidRPr="004E1DE3">
        <w:rPr>
          <w:lang w:val="en-CA"/>
        </w:rPr>
        <w:t xml:space="preserve"> must </w:t>
      </w:r>
      <w:r w:rsidR="00AE3430" w:rsidRPr="004E1DE3">
        <w:rPr>
          <w:lang w:val="en-CA"/>
        </w:rPr>
        <w:t>aut</w:t>
      </w:r>
      <w:r w:rsidRPr="004E1DE3">
        <w:rPr>
          <w:lang w:val="en-CA"/>
        </w:rPr>
        <w:t>h</w:t>
      </w:r>
      <w:r w:rsidR="00AE3430" w:rsidRPr="004E1DE3">
        <w:rPr>
          <w:lang w:val="en-CA"/>
        </w:rPr>
        <w:t>ori</w:t>
      </w:r>
      <w:r w:rsidRPr="004E1DE3">
        <w:rPr>
          <w:lang w:val="en-CA"/>
        </w:rPr>
        <w:t>z</w:t>
      </w:r>
      <w:r w:rsidR="00AE3430" w:rsidRPr="004E1DE3">
        <w:rPr>
          <w:lang w:val="en-CA"/>
        </w:rPr>
        <w:t>e</w:t>
      </w:r>
      <w:r w:rsidRPr="004E1DE3">
        <w:rPr>
          <w:lang w:val="en-CA"/>
        </w:rPr>
        <w:t xml:space="preserve"> the institution of the proposed </w:t>
      </w:r>
      <w:r w:rsidR="00AE3430" w:rsidRPr="004E1DE3">
        <w:rPr>
          <w:lang w:val="en-CA"/>
        </w:rPr>
        <w:t>class</w:t>
      </w:r>
      <w:r w:rsidRPr="004E1DE3">
        <w:rPr>
          <w:lang w:val="en-CA"/>
        </w:rPr>
        <w:t xml:space="preserve"> </w:t>
      </w:r>
      <w:r w:rsidR="00AE3430" w:rsidRPr="004E1DE3">
        <w:rPr>
          <w:lang w:val="en-CA"/>
        </w:rPr>
        <w:t>action</w:t>
      </w:r>
      <w:r w:rsidRPr="004E1DE3">
        <w:rPr>
          <w:lang w:val="en-CA"/>
        </w:rPr>
        <w:t xml:space="preserve"> </w:t>
      </w:r>
      <w:r w:rsidR="00E255DD" w:rsidRPr="004E1DE3">
        <w:rPr>
          <w:lang w:val="en-CA"/>
        </w:rPr>
        <w:t>so long as the A</w:t>
      </w:r>
      <w:r w:rsidR="00AE3430" w:rsidRPr="004E1DE3">
        <w:rPr>
          <w:lang w:val="en-CA"/>
        </w:rPr>
        <w:t>pplication</w:t>
      </w:r>
      <w:r w:rsidR="00E255DD" w:rsidRPr="004E1DE3">
        <w:rPr>
          <w:lang w:val="en-CA"/>
        </w:rPr>
        <w:t xml:space="preserve"> for </w:t>
      </w:r>
      <w:r w:rsidR="00AE3430" w:rsidRPr="004E1DE3">
        <w:rPr>
          <w:lang w:val="en-CA"/>
        </w:rPr>
        <w:t>aut</w:t>
      </w:r>
      <w:r w:rsidR="00E255DD" w:rsidRPr="004E1DE3">
        <w:rPr>
          <w:lang w:val="en-CA"/>
        </w:rPr>
        <w:t>h</w:t>
      </w:r>
      <w:r w:rsidR="00AE3430" w:rsidRPr="004E1DE3">
        <w:rPr>
          <w:lang w:val="en-CA"/>
        </w:rPr>
        <w:t>ori</w:t>
      </w:r>
      <w:r w:rsidR="00E255DD" w:rsidRPr="004E1DE3">
        <w:rPr>
          <w:lang w:val="en-CA"/>
        </w:rPr>
        <w:t>z</w:t>
      </w:r>
      <w:r w:rsidR="00AE3430" w:rsidRPr="004E1DE3">
        <w:rPr>
          <w:lang w:val="en-CA"/>
        </w:rPr>
        <w:t>ation propose</w:t>
      </w:r>
      <w:r w:rsidR="00E255DD" w:rsidRPr="004E1DE3">
        <w:rPr>
          <w:lang w:val="en-CA"/>
        </w:rPr>
        <w:t xml:space="preserve">s an </w:t>
      </w:r>
      <w:r w:rsidR="00E255DD" w:rsidRPr="004E1DE3">
        <w:rPr>
          <w:lang w:val="en-CA"/>
        </w:rPr>
        <w:lastRenderedPageBreak/>
        <w:t>action that may have merit,</w:t>
      </w:r>
      <w:r>
        <w:rPr>
          <w:rStyle w:val="Appelnotedebasdep"/>
          <w:lang w:val="en-CA"/>
        </w:rPr>
        <w:footnoteReference w:id="15"/>
      </w:r>
      <w:r w:rsidR="00E255DD" w:rsidRPr="004E1DE3">
        <w:rPr>
          <w:lang w:val="en-CA"/>
        </w:rPr>
        <w:t xml:space="preserve"> and so long as it does not seem frivolous or </w:t>
      </w:r>
      <w:r w:rsidR="006A39A0" w:rsidRPr="004E1DE3">
        <w:rPr>
          <w:lang w:val="en-CA"/>
        </w:rPr>
        <w:t>clearly</w:t>
      </w:r>
      <w:r w:rsidR="00E255DD" w:rsidRPr="004E1DE3">
        <w:rPr>
          <w:lang w:val="en-CA"/>
        </w:rPr>
        <w:t xml:space="preserve"> </w:t>
      </w:r>
      <w:r w:rsidR="006A39A0" w:rsidRPr="004E1DE3">
        <w:rPr>
          <w:lang w:val="en-CA"/>
        </w:rPr>
        <w:t>unfounded</w:t>
      </w:r>
      <w:r w:rsidR="00E255DD" w:rsidRPr="004E1DE3">
        <w:rPr>
          <w:lang w:val="en-CA"/>
        </w:rPr>
        <w:t xml:space="preserve"> on its </w:t>
      </w:r>
      <w:r w:rsidR="006A39A0" w:rsidRPr="004E1DE3">
        <w:rPr>
          <w:lang w:val="en-CA"/>
        </w:rPr>
        <w:t>face</w:t>
      </w:r>
      <w:r w:rsidR="00E255DD" w:rsidRPr="004E1DE3">
        <w:rPr>
          <w:lang w:val="en-CA"/>
        </w:rPr>
        <w:t>.</w:t>
      </w:r>
      <w:r>
        <w:rPr>
          <w:rStyle w:val="Appelnotedebasdep"/>
          <w:lang w:val="en-CA"/>
        </w:rPr>
        <w:footnoteReference w:id="16"/>
      </w:r>
    </w:p>
    <w:p w14:paraId="117DCFA2" w14:textId="77777777" w:rsidR="00FA7198" w:rsidRPr="004E1DE3" w:rsidRDefault="00573CA9" w:rsidP="007D1A3F">
      <w:pPr>
        <w:pStyle w:val="Paragrdouble"/>
        <w:tabs>
          <w:tab w:val="num" w:pos="851"/>
        </w:tabs>
        <w:spacing w:line="240" w:lineRule="auto"/>
        <w:ind w:left="0"/>
        <w:rPr>
          <w:i/>
          <w:iCs/>
          <w:lang w:val="en-CA"/>
        </w:rPr>
      </w:pPr>
      <w:r w:rsidRPr="004E1DE3">
        <w:rPr>
          <w:lang w:val="en-CA"/>
        </w:rPr>
        <w:t xml:space="preserve">According to the </w:t>
      </w:r>
      <w:r w:rsidR="00940EDA" w:rsidRPr="004E1DE3">
        <w:rPr>
          <w:lang w:val="en-CA"/>
        </w:rPr>
        <w:t>defendants,</w:t>
      </w:r>
      <w:r w:rsidRPr="004E1DE3">
        <w:rPr>
          <w:lang w:val="en-CA"/>
        </w:rPr>
        <w:t xml:space="preserve"> the difficulty in this case lies not in the </w:t>
      </w:r>
      <w:r w:rsidR="00940EDA" w:rsidRPr="004E1DE3">
        <w:rPr>
          <w:lang w:val="en-CA"/>
        </w:rPr>
        <w:t>Court</w:t>
      </w:r>
      <w:r w:rsidRPr="004E1DE3">
        <w:rPr>
          <w:lang w:val="en-CA"/>
        </w:rPr>
        <w:t xml:space="preserve">’s determination of the facts it must accept among those alleged by the plaintiffs or the </w:t>
      </w:r>
      <w:r w:rsidR="00940EDA" w:rsidRPr="004E1DE3">
        <w:rPr>
          <w:lang w:val="en-CA"/>
        </w:rPr>
        <w:t>defendants</w:t>
      </w:r>
      <w:r w:rsidRPr="004E1DE3">
        <w:rPr>
          <w:lang w:val="en-CA"/>
        </w:rPr>
        <w:t xml:space="preserve"> because the </w:t>
      </w:r>
      <w:r w:rsidR="00940EDA" w:rsidRPr="004E1DE3">
        <w:rPr>
          <w:lang w:val="en-CA"/>
        </w:rPr>
        <w:t xml:space="preserve">parties </w:t>
      </w:r>
      <w:r w:rsidRPr="004E1DE3">
        <w:rPr>
          <w:lang w:val="en-CA"/>
        </w:rPr>
        <w:t>put forward contradictory versions, which is not the case here</w:t>
      </w:r>
      <w:r w:rsidR="007F3494" w:rsidRPr="004E1DE3">
        <w:rPr>
          <w:lang w:val="en-CA"/>
        </w:rPr>
        <w:t xml:space="preserve">. Nor is it that the </w:t>
      </w:r>
      <w:r w:rsidRPr="004E1DE3">
        <w:rPr>
          <w:lang w:val="en-CA"/>
        </w:rPr>
        <w:t>fact</w:t>
      </w:r>
      <w:r w:rsidR="007F3494" w:rsidRPr="004E1DE3">
        <w:rPr>
          <w:lang w:val="en-CA"/>
        </w:rPr>
        <w:t xml:space="preserve">ual background presented by the plaintiffs is </w:t>
      </w:r>
      <w:r w:rsidR="00940EDA" w:rsidRPr="004E1DE3">
        <w:rPr>
          <w:lang w:val="en-CA"/>
        </w:rPr>
        <w:t>contest</w:t>
      </w:r>
      <w:r w:rsidR="007F3494" w:rsidRPr="004E1DE3">
        <w:rPr>
          <w:lang w:val="en-CA"/>
        </w:rPr>
        <w:t xml:space="preserve">ed, because it is not really questioned by the </w:t>
      </w:r>
      <w:r w:rsidR="00940EDA" w:rsidRPr="004E1DE3">
        <w:rPr>
          <w:lang w:val="en-CA"/>
        </w:rPr>
        <w:t>defendants</w:t>
      </w:r>
      <w:r w:rsidR="007F3494" w:rsidRPr="004E1DE3">
        <w:rPr>
          <w:lang w:val="en-CA"/>
        </w:rPr>
        <w:t xml:space="preserve"> in this case.</w:t>
      </w:r>
    </w:p>
    <w:p w14:paraId="229328D5" w14:textId="77777777" w:rsidR="008F6C7B" w:rsidRPr="004E1DE3" w:rsidRDefault="00573CA9" w:rsidP="007D1A3F">
      <w:pPr>
        <w:pStyle w:val="Paragrdouble"/>
        <w:tabs>
          <w:tab w:val="num" w:pos="851"/>
        </w:tabs>
        <w:spacing w:line="240" w:lineRule="auto"/>
        <w:ind w:left="0"/>
        <w:rPr>
          <w:i/>
          <w:iCs/>
          <w:lang w:val="en-CA"/>
        </w:rPr>
      </w:pPr>
      <w:r w:rsidRPr="004E1DE3">
        <w:rPr>
          <w:lang w:val="en-CA"/>
        </w:rPr>
        <w:t xml:space="preserve">Instead, the difficulty here resides in the fact that, according to the </w:t>
      </w:r>
      <w:r w:rsidR="00940EDA" w:rsidRPr="004E1DE3">
        <w:rPr>
          <w:lang w:val="en-CA"/>
        </w:rPr>
        <w:t>defendants,</w:t>
      </w:r>
      <w:r w:rsidRPr="004E1DE3">
        <w:rPr>
          <w:lang w:val="en-CA"/>
        </w:rPr>
        <w:t xml:space="preserve"> the allegations of injury suffered set out in the A</w:t>
      </w:r>
      <w:r w:rsidR="00940EDA" w:rsidRPr="004E1DE3">
        <w:rPr>
          <w:lang w:val="en-CA"/>
        </w:rPr>
        <w:t>pplication</w:t>
      </w:r>
      <w:r w:rsidRPr="004E1DE3">
        <w:rPr>
          <w:lang w:val="en-CA"/>
        </w:rPr>
        <w:t xml:space="preserve"> are </w:t>
      </w:r>
      <w:r w:rsidR="00940EDA" w:rsidRPr="004E1DE3">
        <w:rPr>
          <w:lang w:val="en-CA"/>
        </w:rPr>
        <w:t>hypoth</w:t>
      </w:r>
      <w:r w:rsidRPr="004E1DE3">
        <w:rPr>
          <w:lang w:val="en-CA"/>
        </w:rPr>
        <w:t>e</w:t>
      </w:r>
      <w:r w:rsidR="00940EDA" w:rsidRPr="004E1DE3">
        <w:rPr>
          <w:lang w:val="en-CA"/>
        </w:rPr>
        <w:t>ti</w:t>
      </w:r>
      <w:r w:rsidRPr="004E1DE3">
        <w:rPr>
          <w:lang w:val="en-CA"/>
        </w:rPr>
        <w:t xml:space="preserve">cal, </w:t>
      </w:r>
      <w:r w:rsidR="00940EDA" w:rsidRPr="004E1DE3">
        <w:rPr>
          <w:lang w:val="en-CA"/>
        </w:rPr>
        <w:t>sp</w:t>
      </w:r>
      <w:r w:rsidRPr="004E1DE3">
        <w:rPr>
          <w:lang w:val="en-CA"/>
        </w:rPr>
        <w:t>e</w:t>
      </w:r>
      <w:r w:rsidR="00940EDA" w:rsidRPr="004E1DE3">
        <w:rPr>
          <w:lang w:val="en-CA"/>
        </w:rPr>
        <w:t>culative</w:t>
      </w:r>
      <w:r w:rsidRPr="004E1DE3">
        <w:rPr>
          <w:lang w:val="en-CA"/>
        </w:rPr>
        <w:t>, and purely theoretical, because the A</w:t>
      </w:r>
      <w:r w:rsidR="00940EDA" w:rsidRPr="004E1DE3">
        <w:rPr>
          <w:lang w:val="en-CA"/>
        </w:rPr>
        <w:t xml:space="preserve">pplication </w:t>
      </w:r>
      <w:r w:rsidRPr="004E1DE3">
        <w:rPr>
          <w:lang w:val="en-CA"/>
        </w:rPr>
        <w:t xml:space="preserve">fails to set out </w:t>
      </w:r>
      <w:r w:rsidR="0029040B" w:rsidRPr="004E1DE3">
        <w:rPr>
          <w:lang w:val="en-CA"/>
        </w:rPr>
        <w:t>a genuine, arguable c</w:t>
      </w:r>
      <w:r w:rsidR="00940EDA" w:rsidRPr="004E1DE3">
        <w:rPr>
          <w:lang w:val="en-CA"/>
        </w:rPr>
        <w:t xml:space="preserve">ause </w:t>
      </w:r>
      <w:r w:rsidR="0029040B" w:rsidRPr="004E1DE3">
        <w:rPr>
          <w:lang w:val="en-CA"/>
        </w:rPr>
        <w:t xml:space="preserve">of </w:t>
      </w:r>
      <w:r w:rsidR="00940EDA" w:rsidRPr="004E1DE3">
        <w:rPr>
          <w:lang w:val="en-CA"/>
        </w:rPr>
        <w:t>action</w:t>
      </w:r>
      <w:r w:rsidR="0029040B" w:rsidRPr="004E1DE3">
        <w:rPr>
          <w:lang w:val="en-CA"/>
        </w:rPr>
        <w:t xml:space="preserve"> against them and this </w:t>
      </w:r>
      <w:r w:rsidR="00940EDA" w:rsidRPr="004E1DE3">
        <w:rPr>
          <w:lang w:val="en-CA"/>
        </w:rPr>
        <w:t>confidentialit</w:t>
      </w:r>
      <w:r w:rsidR="0029040B" w:rsidRPr="004E1DE3">
        <w:rPr>
          <w:lang w:val="en-CA"/>
        </w:rPr>
        <w:t xml:space="preserve">y incident ultimately had no impact on the plaintiffs or on the putative </w:t>
      </w:r>
      <w:r w:rsidR="00D841BF">
        <w:rPr>
          <w:lang w:val="en-CA"/>
        </w:rPr>
        <w:t xml:space="preserve">class </w:t>
      </w:r>
      <w:r w:rsidR="00940EDA" w:rsidRPr="004E1DE3">
        <w:rPr>
          <w:lang w:val="en-CA"/>
        </w:rPr>
        <w:t>memb</w:t>
      </w:r>
      <w:r w:rsidR="0029040B" w:rsidRPr="004E1DE3">
        <w:rPr>
          <w:lang w:val="en-CA"/>
        </w:rPr>
        <w:t>er</w:t>
      </w:r>
      <w:r w:rsidR="00940EDA" w:rsidRPr="004E1DE3">
        <w:rPr>
          <w:lang w:val="en-CA"/>
        </w:rPr>
        <w:t>s.</w:t>
      </w:r>
    </w:p>
    <w:p w14:paraId="029248F3" w14:textId="77777777" w:rsidR="00380786" w:rsidRPr="004E1DE3" w:rsidRDefault="00573CA9" w:rsidP="007D1A3F">
      <w:pPr>
        <w:pStyle w:val="Paragrdouble"/>
        <w:tabs>
          <w:tab w:val="num" w:pos="851"/>
        </w:tabs>
        <w:spacing w:line="240" w:lineRule="auto"/>
        <w:ind w:left="0"/>
        <w:rPr>
          <w:i/>
          <w:iCs/>
          <w:lang w:val="en-CA"/>
        </w:rPr>
      </w:pPr>
      <w:r w:rsidRPr="004E1DE3">
        <w:rPr>
          <w:lang w:val="en-CA"/>
        </w:rPr>
        <w:t xml:space="preserve">The </w:t>
      </w:r>
      <w:r w:rsidR="00940EDA" w:rsidRPr="004E1DE3">
        <w:rPr>
          <w:lang w:val="en-CA"/>
        </w:rPr>
        <w:t>defendants</w:t>
      </w:r>
      <w:r w:rsidRPr="004E1DE3">
        <w:rPr>
          <w:lang w:val="en-CA"/>
        </w:rPr>
        <w:t xml:space="preserve"> therefore </w:t>
      </w:r>
      <w:r w:rsidR="00940EDA" w:rsidRPr="004E1DE3">
        <w:rPr>
          <w:lang w:val="en-CA"/>
        </w:rPr>
        <w:t>invite</w:t>
      </w:r>
      <w:r w:rsidRPr="004E1DE3">
        <w:rPr>
          <w:lang w:val="en-CA"/>
        </w:rPr>
        <w:t xml:space="preserve"> the </w:t>
      </w:r>
      <w:r w:rsidR="00940EDA" w:rsidRPr="004E1DE3">
        <w:rPr>
          <w:lang w:val="en-CA"/>
        </w:rPr>
        <w:t>Court</w:t>
      </w:r>
      <w:r w:rsidRPr="004E1DE3">
        <w:rPr>
          <w:lang w:val="en-CA"/>
        </w:rPr>
        <w:t xml:space="preserve"> to note the </w:t>
      </w:r>
      <w:r w:rsidR="00940EDA" w:rsidRPr="004E1DE3">
        <w:rPr>
          <w:lang w:val="en-CA"/>
        </w:rPr>
        <w:t xml:space="preserve">absence </w:t>
      </w:r>
      <w:r w:rsidRPr="004E1DE3">
        <w:rPr>
          <w:lang w:val="en-CA"/>
        </w:rPr>
        <w:t xml:space="preserve">of specific facts alleged by the plaintiffs regarding the impact of this access on their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and, according</w:t>
      </w:r>
      <w:r w:rsidR="00D23A2D">
        <w:rPr>
          <w:lang w:val="en-CA"/>
        </w:rPr>
        <w:t>ly</w:t>
      </w:r>
      <w:r w:rsidRPr="004E1DE3">
        <w:rPr>
          <w:lang w:val="en-CA"/>
        </w:rPr>
        <w:t xml:space="preserve">, to find that there is no </w:t>
      </w:r>
      <w:r w:rsidR="00940EDA" w:rsidRPr="004E1DE3">
        <w:rPr>
          <w:lang w:val="en-CA"/>
        </w:rPr>
        <w:t>arguable</w:t>
      </w:r>
      <w:r w:rsidRPr="004E1DE3">
        <w:rPr>
          <w:lang w:val="en-CA"/>
        </w:rPr>
        <w:t xml:space="preserve"> cause of action to assert against them</w:t>
      </w:r>
      <w:r w:rsidR="00940EDA" w:rsidRPr="004E1DE3">
        <w:rPr>
          <w:lang w:val="en-CA"/>
        </w:rPr>
        <w:t>,</w:t>
      </w:r>
      <w:r w:rsidRPr="004E1DE3">
        <w:rPr>
          <w:lang w:val="en-CA"/>
        </w:rPr>
        <w:t xml:space="preserve"> as there is no </w:t>
      </w:r>
      <w:r w:rsidR="00940EDA" w:rsidRPr="004E1DE3">
        <w:rPr>
          <w:lang w:val="en-CA"/>
        </w:rPr>
        <w:t>compensable</w:t>
      </w:r>
      <w:r w:rsidRPr="004E1DE3">
        <w:rPr>
          <w:lang w:val="en-CA"/>
        </w:rPr>
        <w:t xml:space="preserve"> injury</w:t>
      </w:r>
      <w:r w:rsidR="00940EDA" w:rsidRPr="004E1DE3">
        <w:rPr>
          <w:lang w:val="en-CA"/>
        </w:rPr>
        <w:t>.</w:t>
      </w:r>
    </w:p>
    <w:p w14:paraId="41055663" w14:textId="77777777" w:rsidR="00F0186B" w:rsidRPr="004E1DE3" w:rsidRDefault="00573CA9" w:rsidP="007D1A3F">
      <w:pPr>
        <w:pStyle w:val="Paragrdouble"/>
        <w:tabs>
          <w:tab w:val="num" w:pos="851"/>
        </w:tabs>
        <w:spacing w:line="240" w:lineRule="auto"/>
        <w:ind w:left="0"/>
        <w:rPr>
          <w:i/>
          <w:iCs/>
          <w:lang w:val="en-CA"/>
        </w:rPr>
      </w:pPr>
      <w:r w:rsidRPr="004E1DE3">
        <w:rPr>
          <w:lang w:val="en-CA"/>
        </w:rPr>
        <w:t xml:space="preserve">The </w:t>
      </w:r>
      <w:r w:rsidR="00FA7198" w:rsidRPr="004E1DE3">
        <w:rPr>
          <w:lang w:val="en-CA"/>
        </w:rPr>
        <w:t>defendants</w:t>
      </w:r>
      <w:r w:rsidRPr="004E1DE3">
        <w:rPr>
          <w:lang w:val="en-CA"/>
        </w:rPr>
        <w:t xml:space="preserve"> also argue that the facts alleged by the plaintiffs, combined with those revealed by the additional </w:t>
      </w:r>
      <w:r w:rsidR="00FA7198" w:rsidRPr="004E1DE3">
        <w:rPr>
          <w:lang w:val="en-CA"/>
        </w:rPr>
        <w:t>evidence</w:t>
      </w:r>
      <w:r w:rsidRPr="004E1DE3">
        <w:rPr>
          <w:lang w:val="en-CA"/>
        </w:rPr>
        <w:t xml:space="preserve"> they were authorized to present, clearly and unequiv</w:t>
      </w:r>
      <w:r w:rsidR="0014037A" w:rsidRPr="004E1DE3">
        <w:rPr>
          <w:lang w:val="en-CA"/>
        </w:rPr>
        <w:t>o</w:t>
      </w:r>
      <w:r w:rsidRPr="004E1DE3">
        <w:rPr>
          <w:lang w:val="en-CA"/>
        </w:rPr>
        <w:t>ca</w:t>
      </w:r>
      <w:r w:rsidR="0014037A" w:rsidRPr="004E1DE3">
        <w:rPr>
          <w:lang w:val="en-CA"/>
        </w:rPr>
        <w:t>ll</w:t>
      </w:r>
      <w:r w:rsidRPr="004E1DE3">
        <w:rPr>
          <w:lang w:val="en-CA"/>
        </w:rPr>
        <w:t>y show that</w:t>
      </w:r>
      <w:r w:rsidR="0014037A" w:rsidRPr="004E1DE3">
        <w:rPr>
          <w:lang w:val="en-CA"/>
        </w:rPr>
        <w:t xml:space="preserve"> there is no legal </w:t>
      </w:r>
      <w:r w:rsidR="00FA7198" w:rsidRPr="004E1DE3">
        <w:rPr>
          <w:lang w:val="en-CA"/>
        </w:rPr>
        <w:t>syllogism</w:t>
      </w:r>
      <w:r w:rsidR="0014037A" w:rsidRPr="004E1DE3">
        <w:rPr>
          <w:lang w:val="en-CA"/>
        </w:rPr>
        <w:t xml:space="preserve"> </w:t>
      </w:r>
      <w:r w:rsidR="00FA7198" w:rsidRPr="004E1DE3">
        <w:rPr>
          <w:lang w:val="en-CA"/>
        </w:rPr>
        <w:t>support</w:t>
      </w:r>
      <w:r w:rsidR="0014037A" w:rsidRPr="004E1DE3">
        <w:rPr>
          <w:lang w:val="en-CA"/>
        </w:rPr>
        <w:t xml:space="preserve">ing an </w:t>
      </w:r>
      <w:r w:rsidR="00FA7198" w:rsidRPr="004E1DE3">
        <w:rPr>
          <w:lang w:val="en-CA"/>
        </w:rPr>
        <w:t>arguable</w:t>
      </w:r>
      <w:r w:rsidR="0014037A" w:rsidRPr="004E1DE3">
        <w:rPr>
          <w:lang w:val="en-CA"/>
        </w:rPr>
        <w:t xml:space="preserve"> cause of action in favour of the plaintiff </w:t>
      </w:r>
      <w:r w:rsidR="00FA7198" w:rsidRPr="004E1DE3">
        <w:rPr>
          <w:lang w:val="en-CA"/>
        </w:rPr>
        <w:t xml:space="preserve">Abou-Khadra </w:t>
      </w:r>
      <w:r w:rsidR="0014037A" w:rsidRPr="004E1DE3">
        <w:rPr>
          <w:lang w:val="en-CA"/>
        </w:rPr>
        <w:t xml:space="preserve">because his </w:t>
      </w:r>
      <w:r w:rsidR="00FA7198" w:rsidRPr="004E1DE3">
        <w:rPr>
          <w:lang w:val="en-CA"/>
        </w:rPr>
        <w:t>personal</w:t>
      </w:r>
      <w:r w:rsidR="0014037A" w:rsidRPr="004E1DE3">
        <w:rPr>
          <w:lang w:val="en-CA"/>
        </w:rPr>
        <w:t xml:space="preserve"> </w:t>
      </w:r>
      <w:r w:rsidR="00FA7198" w:rsidRPr="004E1DE3">
        <w:rPr>
          <w:lang w:val="en-CA"/>
        </w:rPr>
        <w:t>information</w:t>
      </w:r>
      <w:r w:rsidR="0014037A" w:rsidRPr="004E1DE3">
        <w:rPr>
          <w:lang w:val="en-CA"/>
        </w:rPr>
        <w:t xml:space="preserve"> was not the subject of this </w:t>
      </w:r>
      <w:r w:rsidR="00FA7198" w:rsidRPr="004E1DE3">
        <w:rPr>
          <w:lang w:val="en-CA"/>
        </w:rPr>
        <w:t>intrusion</w:t>
      </w:r>
      <w:r w:rsidR="000C269F">
        <w:rPr>
          <w:lang w:val="en-CA"/>
        </w:rPr>
        <w:t>,</w:t>
      </w:r>
      <w:r w:rsidR="00FA7198" w:rsidRPr="004E1DE3">
        <w:rPr>
          <w:lang w:val="en-CA"/>
        </w:rPr>
        <w:t xml:space="preserve"> </w:t>
      </w:r>
      <w:r w:rsidR="0014037A" w:rsidRPr="004E1DE3">
        <w:rPr>
          <w:lang w:val="en-CA"/>
        </w:rPr>
        <w:t xml:space="preserve">as the unauthorized purchases made on his </w:t>
      </w:r>
      <w:r w:rsidR="00FA7198" w:rsidRPr="004E1DE3">
        <w:rPr>
          <w:lang w:val="en-CA"/>
        </w:rPr>
        <w:t>credit</w:t>
      </w:r>
      <w:r w:rsidR="0014037A" w:rsidRPr="004E1DE3">
        <w:rPr>
          <w:lang w:val="en-CA"/>
        </w:rPr>
        <w:t xml:space="preserve"> </w:t>
      </w:r>
      <w:r w:rsidR="00FA7198" w:rsidRPr="004E1DE3">
        <w:rPr>
          <w:lang w:val="en-CA"/>
        </w:rPr>
        <w:t>card</w:t>
      </w:r>
      <w:r w:rsidR="0014037A" w:rsidRPr="004E1DE3">
        <w:rPr>
          <w:lang w:val="en-CA"/>
        </w:rPr>
        <w:t xml:space="preserve"> have no connection with this </w:t>
      </w:r>
      <w:r w:rsidR="00FA7198" w:rsidRPr="004E1DE3">
        <w:rPr>
          <w:lang w:val="en-CA"/>
        </w:rPr>
        <w:t>cybern</w:t>
      </w:r>
      <w:r w:rsidR="0014037A" w:rsidRPr="004E1DE3">
        <w:rPr>
          <w:lang w:val="en-CA"/>
        </w:rPr>
        <w:t xml:space="preserve">etic event that took place in </w:t>
      </w:r>
      <w:r w:rsidR="00FA7198" w:rsidRPr="004E1DE3">
        <w:rPr>
          <w:lang w:val="en-CA"/>
        </w:rPr>
        <w:t>March 2019.</w:t>
      </w:r>
    </w:p>
    <w:p w14:paraId="04CFF215" w14:textId="77777777" w:rsidR="001E689A" w:rsidRPr="004E1DE3" w:rsidRDefault="00573CA9" w:rsidP="001E689A">
      <w:pPr>
        <w:pStyle w:val="Paragrdouble"/>
        <w:tabs>
          <w:tab w:val="num" w:pos="851"/>
        </w:tabs>
        <w:spacing w:line="240" w:lineRule="auto"/>
        <w:ind w:left="0"/>
        <w:rPr>
          <w:i/>
          <w:iCs/>
          <w:lang w:val="en-CA"/>
        </w:rPr>
      </w:pPr>
      <w:r w:rsidRPr="004E1DE3">
        <w:rPr>
          <w:lang w:val="en-CA"/>
        </w:rPr>
        <w:t xml:space="preserve">At this stage of the analysis, it is appropriate to recall that each plaintiff must establish the </w:t>
      </w:r>
      <w:r w:rsidR="00940EDA" w:rsidRPr="004E1DE3">
        <w:rPr>
          <w:lang w:val="en-CA"/>
        </w:rPr>
        <w:t xml:space="preserve">existence </w:t>
      </w:r>
      <w:r w:rsidRPr="004E1DE3">
        <w:rPr>
          <w:lang w:val="en-CA"/>
        </w:rPr>
        <w:t xml:space="preserve">of an arguable </w:t>
      </w:r>
      <w:r w:rsidR="00940EDA" w:rsidRPr="004E1DE3">
        <w:rPr>
          <w:lang w:val="en-CA"/>
        </w:rPr>
        <w:t xml:space="preserve">cause </w:t>
      </w:r>
      <w:r w:rsidRPr="004E1DE3">
        <w:rPr>
          <w:lang w:val="en-CA"/>
        </w:rPr>
        <w:t xml:space="preserve">of action specific to him against the </w:t>
      </w:r>
      <w:r w:rsidR="00940EDA" w:rsidRPr="004E1DE3">
        <w:rPr>
          <w:lang w:val="en-CA"/>
        </w:rPr>
        <w:t xml:space="preserve">defendants, </w:t>
      </w:r>
      <w:r w:rsidRPr="004E1DE3">
        <w:rPr>
          <w:lang w:val="en-CA"/>
        </w:rPr>
        <w:t xml:space="preserve">independent of the fact that the </w:t>
      </w:r>
      <w:r w:rsidR="00D23A2D">
        <w:rPr>
          <w:lang w:val="en-CA"/>
        </w:rPr>
        <w:t xml:space="preserve">class </w:t>
      </w:r>
      <w:r w:rsidR="00940EDA" w:rsidRPr="004E1DE3">
        <w:rPr>
          <w:lang w:val="en-CA"/>
        </w:rPr>
        <w:t>memb</w:t>
      </w:r>
      <w:r w:rsidRPr="004E1DE3">
        <w:rPr>
          <w:lang w:val="en-CA"/>
        </w:rPr>
        <w:t>ers may have such a cause of action themselves.</w:t>
      </w:r>
      <w:r>
        <w:rPr>
          <w:rStyle w:val="Appelnotedebasdep"/>
          <w:lang w:val="en-CA"/>
        </w:rPr>
        <w:footnoteReference w:id="17"/>
      </w:r>
    </w:p>
    <w:p w14:paraId="3886B924" w14:textId="77777777" w:rsidR="00246D50" w:rsidRPr="004E1DE3" w:rsidRDefault="00573CA9" w:rsidP="007D1A3F">
      <w:pPr>
        <w:pStyle w:val="Paragrdouble"/>
        <w:tabs>
          <w:tab w:val="num" w:pos="851"/>
        </w:tabs>
        <w:spacing w:line="240" w:lineRule="auto"/>
        <w:ind w:left="0"/>
        <w:rPr>
          <w:i/>
          <w:iCs/>
          <w:lang w:val="en-CA"/>
        </w:rPr>
      </w:pPr>
      <w:r w:rsidRPr="004E1DE3">
        <w:rPr>
          <w:lang w:val="en-CA"/>
        </w:rPr>
        <w:t>With respect to the plaintiff</w:t>
      </w:r>
      <w:r w:rsidR="00940EDA" w:rsidRPr="004E1DE3">
        <w:rPr>
          <w:lang w:val="en-CA"/>
        </w:rPr>
        <w:t xml:space="preserve"> Royer, </w:t>
      </w:r>
      <w:r w:rsidRPr="004E1DE3">
        <w:rPr>
          <w:lang w:val="en-CA"/>
        </w:rPr>
        <w:t xml:space="preserve">the defendants add that he suffered no particular injury even though he was informed on </w:t>
      </w:r>
      <w:r w:rsidR="00940EDA" w:rsidRPr="004E1DE3">
        <w:rPr>
          <w:lang w:val="en-CA"/>
        </w:rPr>
        <w:t>August</w:t>
      </w:r>
      <w:r w:rsidRPr="004E1DE3">
        <w:rPr>
          <w:lang w:val="en-CA"/>
        </w:rPr>
        <w:t xml:space="preserve"> 14, </w:t>
      </w:r>
      <w:r w:rsidR="00940EDA" w:rsidRPr="004E1DE3">
        <w:rPr>
          <w:lang w:val="en-CA"/>
        </w:rPr>
        <w:t>2019</w:t>
      </w:r>
      <w:r w:rsidRPr="004E1DE3">
        <w:rPr>
          <w:lang w:val="en-CA"/>
        </w:rPr>
        <w:t xml:space="preserve">, of this </w:t>
      </w:r>
      <w:r w:rsidR="00CC4485" w:rsidRPr="004E1DE3">
        <w:rPr>
          <w:lang w:val="en-CA"/>
        </w:rPr>
        <w:t xml:space="preserve">computer breach that </w:t>
      </w:r>
      <w:r w:rsidR="00532253" w:rsidRPr="004E1DE3">
        <w:rPr>
          <w:lang w:val="en-CA"/>
        </w:rPr>
        <w:t>occurred</w:t>
      </w:r>
      <w:r w:rsidR="00CC4485" w:rsidRPr="004E1DE3">
        <w:rPr>
          <w:lang w:val="en-CA"/>
        </w:rPr>
        <w:t xml:space="preserve"> on </w:t>
      </w:r>
      <w:r w:rsidR="00940EDA" w:rsidRPr="004E1DE3">
        <w:rPr>
          <w:lang w:val="en-CA"/>
        </w:rPr>
        <w:t>March</w:t>
      </w:r>
      <w:r w:rsidR="00CC4485" w:rsidRPr="004E1DE3">
        <w:rPr>
          <w:lang w:val="en-CA"/>
        </w:rPr>
        <w:t xml:space="preserve"> 22 and 23,</w:t>
      </w:r>
      <w:r w:rsidR="00940EDA" w:rsidRPr="004E1DE3">
        <w:rPr>
          <w:lang w:val="en-CA"/>
        </w:rPr>
        <w:t xml:space="preserve"> 2019</w:t>
      </w:r>
      <w:r w:rsidR="00CC4485" w:rsidRPr="004E1DE3">
        <w:rPr>
          <w:lang w:val="en-CA"/>
        </w:rPr>
        <w:t xml:space="preserve">, in the information security system implemented by the </w:t>
      </w:r>
      <w:r w:rsidR="00940EDA" w:rsidRPr="004E1DE3">
        <w:rPr>
          <w:lang w:val="en-CA"/>
        </w:rPr>
        <w:t>defendants</w:t>
      </w:r>
      <w:r w:rsidR="00853EB1">
        <w:rPr>
          <w:lang w:val="en-CA"/>
        </w:rPr>
        <w:t>,</w:t>
      </w:r>
      <w:r w:rsidR="00CC4485" w:rsidRPr="004E1DE3">
        <w:rPr>
          <w:lang w:val="en-CA"/>
        </w:rPr>
        <w:t xml:space="preserve"> because his </w:t>
      </w:r>
      <w:r w:rsidR="00940EDA" w:rsidRPr="004E1DE3">
        <w:rPr>
          <w:lang w:val="en-CA"/>
        </w:rPr>
        <w:t>personal</w:t>
      </w:r>
      <w:r w:rsidR="00CC4485" w:rsidRPr="004E1DE3">
        <w:rPr>
          <w:lang w:val="en-CA"/>
        </w:rPr>
        <w:t xml:space="preserve"> </w:t>
      </w:r>
      <w:r w:rsidR="00940EDA" w:rsidRPr="004E1DE3">
        <w:rPr>
          <w:lang w:val="en-CA"/>
        </w:rPr>
        <w:t>information</w:t>
      </w:r>
      <w:r w:rsidR="00CC4485" w:rsidRPr="004E1DE3">
        <w:rPr>
          <w:lang w:val="en-CA"/>
        </w:rPr>
        <w:t xml:space="preserve"> was not </w:t>
      </w:r>
      <w:r w:rsidR="00940EDA" w:rsidRPr="004E1DE3">
        <w:rPr>
          <w:lang w:val="en-CA"/>
        </w:rPr>
        <w:t>reprodu</w:t>
      </w:r>
      <w:r w:rsidR="00CC4485" w:rsidRPr="004E1DE3">
        <w:rPr>
          <w:lang w:val="en-CA"/>
        </w:rPr>
        <w:t>ced, distributed, or used, according to what i</w:t>
      </w:r>
      <w:r w:rsidR="00853EB1">
        <w:rPr>
          <w:lang w:val="en-CA"/>
        </w:rPr>
        <w:t>s</w:t>
      </w:r>
      <w:r w:rsidR="00CC4485" w:rsidRPr="004E1DE3">
        <w:rPr>
          <w:lang w:val="en-CA"/>
        </w:rPr>
        <w:t xml:space="preserve"> stated in </w:t>
      </w:r>
      <w:r w:rsidR="00940EDA" w:rsidRPr="004E1DE3">
        <w:rPr>
          <w:lang w:val="en-CA"/>
        </w:rPr>
        <w:t>Paige A. Thompson</w:t>
      </w:r>
      <w:r w:rsidR="00CC4485" w:rsidRPr="004E1DE3">
        <w:rPr>
          <w:lang w:val="en-CA"/>
        </w:rPr>
        <w:t>’s deposition.</w:t>
      </w:r>
    </w:p>
    <w:p w14:paraId="237965AF" w14:textId="77777777" w:rsidR="00F0186B" w:rsidRPr="004E1DE3" w:rsidRDefault="00573CA9" w:rsidP="007D1A3F">
      <w:pPr>
        <w:pStyle w:val="Paragrdouble"/>
        <w:tabs>
          <w:tab w:val="num" w:pos="851"/>
        </w:tabs>
        <w:spacing w:line="240" w:lineRule="auto"/>
        <w:ind w:left="0"/>
        <w:rPr>
          <w:i/>
          <w:iCs/>
          <w:lang w:val="en-CA"/>
        </w:rPr>
      </w:pPr>
      <w:r w:rsidRPr="004E1DE3">
        <w:rPr>
          <w:lang w:val="en-CA"/>
        </w:rPr>
        <w:t>Therefore, this plaintiff has not had to make or incur any disbursement</w:t>
      </w:r>
      <w:r w:rsidR="008D36BD" w:rsidRPr="004E1DE3">
        <w:rPr>
          <w:lang w:val="en-CA"/>
        </w:rPr>
        <w:t>s</w:t>
      </w:r>
      <w:r w:rsidRPr="004E1DE3">
        <w:rPr>
          <w:lang w:val="en-CA"/>
        </w:rPr>
        <w:t xml:space="preserve"> and will not have to cover any expenses whatsoever, other than having to live with</w:t>
      </w:r>
      <w:r w:rsidR="00CC4EF5" w:rsidRPr="004E1DE3">
        <w:rPr>
          <w:lang w:val="en-CA"/>
        </w:rPr>
        <w:t xml:space="preserve"> </w:t>
      </w:r>
      <w:r w:rsidRPr="004E1DE3">
        <w:rPr>
          <w:lang w:val="en-CA"/>
        </w:rPr>
        <w:t>the ordinary</w:t>
      </w:r>
      <w:r w:rsidR="00F5148D" w:rsidRPr="004E1DE3">
        <w:rPr>
          <w:lang w:val="en-CA"/>
        </w:rPr>
        <w:t xml:space="preserve"> </w:t>
      </w:r>
      <w:r w:rsidR="00F5148D" w:rsidRPr="004E1DE3">
        <w:rPr>
          <w:lang w:val="en-CA"/>
        </w:rPr>
        <w:lastRenderedPageBreak/>
        <w:t>inconv</w:t>
      </w:r>
      <w:r w:rsidRPr="004E1DE3">
        <w:rPr>
          <w:lang w:val="en-CA"/>
        </w:rPr>
        <w:t>e</w:t>
      </w:r>
      <w:r w:rsidR="00F5148D" w:rsidRPr="004E1DE3">
        <w:rPr>
          <w:lang w:val="en-CA"/>
        </w:rPr>
        <w:t>nien</w:t>
      </w:r>
      <w:r w:rsidRPr="004E1DE3">
        <w:rPr>
          <w:lang w:val="en-CA"/>
        </w:rPr>
        <w:t xml:space="preserve">ces in similar </w:t>
      </w:r>
      <w:r w:rsidR="00F5148D" w:rsidRPr="004E1DE3">
        <w:rPr>
          <w:lang w:val="en-CA"/>
        </w:rPr>
        <w:t>circumstances</w:t>
      </w:r>
      <w:r w:rsidR="00CC4EF5" w:rsidRPr="004E1DE3">
        <w:rPr>
          <w:lang w:val="en-CA"/>
        </w:rPr>
        <w:t>,</w:t>
      </w:r>
      <w:r>
        <w:rPr>
          <w:rStyle w:val="Appelnotedebasdep"/>
          <w:lang w:val="en-CA"/>
        </w:rPr>
        <w:footnoteReference w:id="18"/>
      </w:r>
      <w:r w:rsidR="00CC4EF5" w:rsidRPr="004E1DE3">
        <w:rPr>
          <w:lang w:val="en-CA"/>
        </w:rPr>
        <w:t xml:space="preserve"> it being understood that </w:t>
      </w:r>
      <w:r w:rsidR="00940EDA" w:rsidRPr="004E1DE3">
        <w:rPr>
          <w:lang w:val="en-CA"/>
        </w:rPr>
        <w:t>Capital One</w:t>
      </w:r>
      <w:r w:rsidR="00CC4EF5" w:rsidRPr="004E1DE3">
        <w:rPr>
          <w:lang w:val="en-CA"/>
        </w:rPr>
        <w:t xml:space="preserve"> offered to cover the costs of verifying and monitoring his and the putative </w:t>
      </w:r>
      <w:r w:rsidR="004A5C48">
        <w:rPr>
          <w:lang w:val="en-CA"/>
        </w:rPr>
        <w:t xml:space="preserve">class </w:t>
      </w:r>
      <w:r w:rsidR="00CC4EF5" w:rsidRPr="004E1DE3">
        <w:rPr>
          <w:lang w:val="en-CA"/>
        </w:rPr>
        <w:t>members’ credit card accounts and statements</w:t>
      </w:r>
      <w:r w:rsidR="00940EDA" w:rsidRPr="004E1DE3">
        <w:rPr>
          <w:lang w:val="en-CA"/>
        </w:rPr>
        <w:t>.</w:t>
      </w:r>
    </w:p>
    <w:p w14:paraId="033EA89E" w14:textId="77777777" w:rsidR="00195001" w:rsidRPr="004E1DE3" w:rsidRDefault="00573CA9" w:rsidP="007D1A3F">
      <w:pPr>
        <w:pStyle w:val="Paragrdouble"/>
        <w:tabs>
          <w:tab w:val="num" w:pos="851"/>
        </w:tabs>
        <w:spacing w:line="240" w:lineRule="auto"/>
        <w:ind w:left="0"/>
        <w:rPr>
          <w:i/>
          <w:iCs/>
          <w:lang w:val="en-CA"/>
        </w:rPr>
      </w:pPr>
      <w:r w:rsidRPr="004E1DE3">
        <w:rPr>
          <w:lang w:val="en-CA"/>
        </w:rPr>
        <w:t xml:space="preserve">Last, </w:t>
      </w:r>
      <w:r w:rsidR="004573AB" w:rsidRPr="004E1DE3">
        <w:rPr>
          <w:lang w:val="en-CA"/>
        </w:rPr>
        <w:t xml:space="preserve">Amazon </w:t>
      </w:r>
      <w:r w:rsidRPr="004E1DE3">
        <w:rPr>
          <w:lang w:val="en-CA"/>
        </w:rPr>
        <w:t xml:space="preserve">adds that </w:t>
      </w:r>
      <w:r w:rsidR="00532253" w:rsidRPr="004E1DE3">
        <w:rPr>
          <w:lang w:val="en-CA"/>
        </w:rPr>
        <w:t xml:space="preserve">it has no legal relationship with the plaintiffs or with the putative </w:t>
      </w:r>
      <w:r w:rsidR="00D841BF">
        <w:rPr>
          <w:lang w:val="en-CA"/>
        </w:rPr>
        <w:t xml:space="preserve">class </w:t>
      </w:r>
      <w:r w:rsidR="00532253" w:rsidRPr="004E1DE3">
        <w:rPr>
          <w:lang w:val="en-CA"/>
        </w:rPr>
        <w:t xml:space="preserve">members, because it dealt </w:t>
      </w:r>
      <w:r w:rsidR="00853EB1" w:rsidRPr="004E1DE3">
        <w:rPr>
          <w:lang w:val="en-CA"/>
        </w:rPr>
        <w:t xml:space="preserve">only </w:t>
      </w:r>
      <w:r w:rsidR="00532253" w:rsidRPr="004E1DE3">
        <w:rPr>
          <w:lang w:val="en-CA"/>
        </w:rPr>
        <w:t xml:space="preserve">with </w:t>
      </w:r>
      <w:r w:rsidR="004573AB" w:rsidRPr="004E1DE3">
        <w:rPr>
          <w:lang w:val="en-CA"/>
        </w:rPr>
        <w:t xml:space="preserve">Capital One </w:t>
      </w:r>
      <w:r w:rsidR="00532253" w:rsidRPr="004E1DE3">
        <w:rPr>
          <w:lang w:val="en-CA"/>
        </w:rPr>
        <w:t>in this matter</w:t>
      </w:r>
      <w:r w:rsidR="004573AB" w:rsidRPr="004E1DE3">
        <w:rPr>
          <w:lang w:val="en-CA"/>
        </w:rPr>
        <w:t xml:space="preserve">, </w:t>
      </w:r>
      <w:r w:rsidR="00532253" w:rsidRPr="004E1DE3">
        <w:rPr>
          <w:lang w:val="en-CA"/>
        </w:rPr>
        <w:t>as indicated in the allegations in the A</w:t>
      </w:r>
      <w:r w:rsidR="004573AB" w:rsidRPr="004E1DE3">
        <w:rPr>
          <w:lang w:val="en-CA"/>
        </w:rPr>
        <w:t>pplication</w:t>
      </w:r>
      <w:r w:rsidR="00532253" w:rsidRPr="004E1DE3">
        <w:rPr>
          <w:lang w:val="en-CA"/>
        </w:rPr>
        <w:t xml:space="preserve"> and the supporting </w:t>
      </w:r>
      <w:r w:rsidR="004573AB" w:rsidRPr="004E1DE3">
        <w:rPr>
          <w:lang w:val="en-CA"/>
        </w:rPr>
        <w:t>exhibits</w:t>
      </w:r>
      <w:r w:rsidR="00532253" w:rsidRPr="004E1DE3">
        <w:rPr>
          <w:lang w:val="en-CA"/>
        </w:rPr>
        <w:t xml:space="preserve"> invoked, including the </w:t>
      </w:r>
      <w:r w:rsidR="007A2FB9" w:rsidRPr="004E1DE3">
        <w:rPr>
          <w:lang w:val="en-CA"/>
        </w:rPr>
        <w:t>application</w:t>
      </w:r>
      <w:r w:rsidR="00532253" w:rsidRPr="004E1DE3">
        <w:rPr>
          <w:lang w:val="en-CA"/>
        </w:rPr>
        <w:t xml:space="preserve"> forms issued by</w:t>
      </w:r>
      <w:r w:rsidR="004573AB" w:rsidRPr="004E1DE3">
        <w:rPr>
          <w:lang w:val="en-CA"/>
        </w:rPr>
        <w:t xml:space="preserve"> Capital One</w:t>
      </w:r>
      <w:r w:rsidR="00A56EBF" w:rsidRPr="004E1DE3">
        <w:rPr>
          <w:lang w:val="en-CA"/>
        </w:rPr>
        <w:t>,</w:t>
      </w:r>
      <w:r w:rsidR="00532253" w:rsidRPr="004E1DE3">
        <w:rPr>
          <w:lang w:val="en-CA"/>
        </w:rPr>
        <w:t xml:space="preserve"> the standard form contract it currently uses</w:t>
      </w:r>
      <w:r w:rsidR="004573AB" w:rsidRPr="004E1DE3">
        <w:rPr>
          <w:lang w:val="en-CA"/>
        </w:rPr>
        <w:t xml:space="preserve">, </w:t>
      </w:r>
      <w:r w:rsidR="00A56EBF" w:rsidRPr="004E1DE3">
        <w:rPr>
          <w:lang w:val="en-CA"/>
        </w:rPr>
        <w:t>and its confidentiality policy stated therein</w:t>
      </w:r>
      <w:r w:rsidR="004573AB" w:rsidRPr="004E1DE3">
        <w:rPr>
          <w:lang w:val="en-CA"/>
        </w:rPr>
        <w:t>.</w:t>
      </w:r>
    </w:p>
    <w:p w14:paraId="15D7782A" w14:textId="77777777" w:rsidR="00CE4B63" w:rsidRPr="004E1DE3" w:rsidRDefault="00573CA9" w:rsidP="00CE4B63">
      <w:pPr>
        <w:pStyle w:val="Paragrsimple"/>
        <w:tabs>
          <w:tab w:val="clear" w:pos="2062"/>
          <w:tab w:val="clear" w:pos="4755"/>
          <w:tab w:val="num" w:pos="0"/>
        </w:tabs>
        <w:ind w:left="0"/>
        <w:rPr>
          <w:lang w:val="en-CA" w:eastAsia="fr-CA"/>
        </w:rPr>
      </w:pPr>
      <w:r w:rsidRPr="004E1DE3">
        <w:rPr>
          <w:lang w:val="en-CA" w:eastAsia="fr-CA"/>
        </w:rPr>
        <w:t xml:space="preserve">However, in an excerpt from the website of the </w:t>
      </w:r>
      <w:r w:rsidR="00940EDA" w:rsidRPr="004E1DE3">
        <w:rPr>
          <w:lang w:val="en-CA" w:eastAsia="fr-CA"/>
        </w:rPr>
        <w:t xml:space="preserve">defendant Amazon Web services Canada </w:t>
      </w:r>
      <w:r w:rsidRPr="004E1DE3">
        <w:rPr>
          <w:lang w:val="en-CA" w:eastAsia="fr-CA"/>
        </w:rPr>
        <w:t>I</w:t>
      </w:r>
      <w:r w:rsidR="00940EDA" w:rsidRPr="004E1DE3">
        <w:rPr>
          <w:lang w:val="en-CA" w:eastAsia="fr-CA"/>
        </w:rPr>
        <w:t>nc.</w:t>
      </w:r>
      <w:r w:rsidRPr="004E1DE3">
        <w:rPr>
          <w:lang w:val="en-CA" w:eastAsia="fr-CA"/>
        </w:rPr>
        <w:t>,</w:t>
      </w:r>
      <w:r>
        <w:rPr>
          <w:rStyle w:val="Appelnotedebasdep"/>
          <w:lang w:val="en-CA" w:eastAsia="fr-CA"/>
        </w:rPr>
        <w:footnoteReference w:id="19"/>
      </w:r>
      <w:r w:rsidRPr="004E1DE3">
        <w:rPr>
          <w:lang w:val="en-CA" w:eastAsia="fr-CA"/>
        </w:rPr>
        <w:t xml:space="preserve"> it presents English and French </w:t>
      </w:r>
      <w:r w:rsidR="00940EDA" w:rsidRPr="004E1DE3">
        <w:rPr>
          <w:lang w:val="en-CA" w:eastAsia="fr-CA"/>
        </w:rPr>
        <w:t xml:space="preserve">versions </w:t>
      </w:r>
      <w:r w:rsidRPr="004E1DE3">
        <w:rPr>
          <w:lang w:val="en-CA" w:eastAsia="fr-CA"/>
        </w:rPr>
        <w:t xml:space="preserve">of the </w:t>
      </w:r>
      <w:r w:rsidR="00940EDA" w:rsidRPr="004E1DE3">
        <w:rPr>
          <w:lang w:val="en-CA" w:eastAsia="fr-CA"/>
        </w:rPr>
        <w:t xml:space="preserve">services </w:t>
      </w:r>
      <w:r w:rsidR="00F01B06" w:rsidRPr="004E1DE3">
        <w:rPr>
          <w:lang w:val="en-CA" w:eastAsia="fr-CA"/>
        </w:rPr>
        <w:t xml:space="preserve">it offers to consumers in </w:t>
      </w:r>
      <w:r w:rsidR="00940EDA" w:rsidRPr="004E1DE3">
        <w:rPr>
          <w:lang w:val="en-CA" w:eastAsia="fr-CA"/>
        </w:rPr>
        <w:t xml:space="preserve">Canada </w:t>
      </w:r>
      <w:r w:rsidR="00F01B06" w:rsidRPr="004E1DE3">
        <w:rPr>
          <w:lang w:val="en-CA" w:eastAsia="fr-CA"/>
        </w:rPr>
        <w:t xml:space="preserve">for the preservation of their </w:t>
      </w:r>
      <w:r w:rsidR="00940EDA" w:rsidRPr="004E1DE3">
        <w:rPr>
          <w:lang w:val="en-CA" w:eastAsia="fr-CA"/>
        </w:rPr>
        <w:t>personal</w:t>
      </w:r>
      <w:r w:rsidR="00F01B06" w:rsidRPr="004E1DE3">
        <w:rPr>
          <w:lang w:val="en-CA" w:eastAsia="fr-CA"/>
        </w:rPr>
        <w:t xml:space="preserve"> </w:t>
      </w:r>
      <w:r w:rsidR="00940EDA" w:rsidRPr="004E1DE3">
        <w:rPr>
          <w:lang w:val="en-CA" w:eastAsia="fr-CA"/>
        </w:rPr>
        <w:t>information.</w:t>
      </w:r>
    </w:p>
    <w:p w14:paraId="062990AC" w14:textId="77777777" w:rsidR="004A09A0" w:rsidRPr="004E1DE3" w:rsidRDefault="00573CA9" w:rsidP="007D1A3F">
      <w:pPr>
        <w:pStyle w:val="Paragrdouble"/>
        <w:tabs>
          <w:tab w:val="num" w:pos="851"/>
        </w:tabs>
        <w:spacing w:line="240" w:lineRule="auto"/>
        <w:ind w:left="0"/>
        <w:rPr>
          <w:i/>
          <w:iCs/>
          <w:lang w:val="en-CA"/>
        </w:rPr>
      </w:pPr>
      <w:r w:rsidRPr="004E1DE3">
        <w:rPr>
          <w:lang w:val="en-CA"/>
        </w:rPr>
        <w:t xml:space="preserve">The plaintiffs submit that if </w:t>
      </w:r>
      <w:r w:rsidR="00C15410" w:rsidRPr="004E1DE3">
        <w:rPr>
          <w:lang w:val="en-CA"/>
        </w:rPr>
        <w:t xml:space="preserve">Capital One cannot be found at fault under the regime of </w:t>
      </w:r>
      <w:r w:rsidR="00DE1648" w:rsidRPr="004E1DE3">
        <w:rPr>
          <w:lang w:val="en-CA"/>
        </w:rPr>
        <w:t>contractual</w:t>
      </w:r>
      <w:r w:rsidR="00C15410" w:rsidRPr="004E1DE3">
        <w:rPr>
          <w:lang w:val="en-CA"/>
        </w:rPr>
        <w:t xml:space="preserve"> </w:t>
      </w:r>
      <w:r w:rsidR="00DE1648" w:rsidRPr="004E1DE3">
        <w:rPr>
          <w:lang w:val="en-CA"/>
        </w:rPr>
        <w:t>liability</w:t>
      </w:r>
      <w:r w:rsidR="00C15410" w:rsidRPr="004E1DE3">
        <w:rPr>
          <w:lang w:val="en-CA"/>
        </w:rPr>
        <w:t xml:space="preserve">, each of the </w:t>
      </w:r>
      <w:r w:rsidR="00DE1648" w:rsidRPr="004E1DE3">
        <w:rPr>
          <w:lang w:val="en-CA"/>
        </w:rPr>
        <w:t>defendants</w:t>
      </w:r>
      <w:r w:rsidR="00C15410" w:rsidRPr="004E1DE3">
        <w:rPr>
          <w:lang w:val="en-CA"/>
        </w:rPr>
        <w:t xml:space="preserve"> have nevertheless incurred their </w:t>
      </w:r>
      <w:r w:rsidR="00DE1648" w:rsidRPr="004E1DE3">
        <w:rPr>
          <w:lang w:val="en-CA"/>
        </w:rPr>
        <w:t>extracontractual</w:t>
      </w:r>
      <w:r w:rsidR="00C15410" w:rsidRPr="004E1DE3">
        <w:rPr>
          <w:lang w:val="en-CA"/>
        </w:rPr>
        <w:t xml:space="preserve"> </w:t>
      </w:r>
      <w:r w:rsidR="00DE1648" w:rsidRPr="004E1DE3">
        <w:rPr>
          <w:lang w:val="en-CA"/>
        </w:rPr>
        <w:t>liability</w:t>
      </w:r>
      <w:r w:rsidR="00C15410" w:rsidRPr="004E1DE3">
        <w:rPr>
          <w:lang w:val="en-CA"/>
        </w:rPr>
        <w:t xml:space="preserve"> towards them and the putative </w:t>
      </w:r>
      <w:r w:rsidR="00D841BF">
        <w:rPr>
          <w:lang w:val="en-CA"/>
        </w:rPr>
        <w:t xml:space="preserve">class </w:t>
      </w:r>
      <w:r w:rsidR="00C15410" w:rsidRPr="004E1DE3">
        <w:rPr>
          <w:lang w:val="en-CA"/>
        </w:rPr>
        <w:t xml:space="preserve">members under </w:t>
      </w:r>
      <w:r w:rsidR="00DE1648" w:rsidRPr="004E1DE3">
        <w:rPr>
          <w:lang w:val="en-CA"/>
        </w:rPr>
        <w:t xml:space="preserve">article 1457 </w:t>
      </w:r>
      <w:r w:rsidR="00C15410" w:rsidRPr="004E1DE3">
        <w:rPr>
          <w:lang w:val="en-CA"/>
        </w:rPr>
        <w:t>CCQ, which states</w:t>
      </w:r>
      <w:r w:rsidR="00DE1648" w:rsidRPr="004E1DE3">
        <w:rPr>
          <w:lang w:val="en-CA"/>
        </w:rPr>
        <w:t>:</w:t>
      </w:r>
    </w:p>
    <w:p w14:paraId="039FBD73" w14:textId="77777777" w:rsidR="00B32763" w:rsidRPr="004E1DE3" w:rsidRDefault="00573CA9" w:rsidP="00B32763">
      <w:pPr>
        <w:pStyle w:val="Citationenretrait"/>
        <w:rPr>
          <w:lang w:val="en-CA" w:eastAsia="fr-CA"/>
        </w:rPr>
      </w:pPr>
      <w:r w:rsidRPr="004E1DE3">
        <w:rPr>
          <w:lang w:val="en-CA" w:eastAsia="fr-CA"/>
        </w:rPr>
        <w:t>1457. Every person has a duty to abide by the rules of conduct incumbent on him, according to the circumstances, usage or law, so as not to cause injury to another.</w:t>
      </w:r>
    </w:p>
    <w:p w14:paraId="2233A9A3" w14:textId="77777777" w:rsidR="00B32763" w:rsidRPr="004E1DE3" w:rsidRDefault="00573CA9" w:rsidP="00B32763">
      <w:pPr>
        <w:pStyle w:val="Citationenretrait"/>
        <w:rPr>
          <w:lang w:val="en-CA" w:eastAsia="fr-CA"/>
        </w:rPr>
      </w:pPr>
      <w:r w:rsidRPr="004E1DE3">
        <w:rPr>
          <w:lang w:val="en-CA" w:eastAsia="fr-CA"/>
        </w:rPr>
        <w:t>Where he is endowed with reason and fails in this duty, he is liable for any injury he causes to another by such fault and is bound to make reparation for the injury, whether it be bodily, moral or material in nature.</w:t>
      </w:r>
    </w:p>
    <w:p w14:paraId="32FFA948" w14:textId="77777777" w:rsidR="00B32763" w:rsidRPr="004E1DE3" w:rsidRDefault="00573CA9" w:rsidP="00B32763">
      <w:pPr>
        <w:pStyle w:val="Citationenretrait"/>
        <w:rPr>
          <w:lang w:val="en-CA" w:eastAsia="fr-CA"/>
        </w:rPr>
      </w:pPr>
      <w:r w:rsidRPr="004E1DE3">
        <w:rPr>
          <w:lang w:val="en-CA" w:eastAsia="fr-CA"/>
        </w:rPr>
        <w:t>He is also bound, in certain cases, to make reparation for injury caused to another by the act, omission or fault of another person or by the act of things in his custody.</w:t>
      </w:r>
    </w:p>
    <w:p w14:paraId="150E0B8C" w14:textId="77777777" w:rsidR="00A3075A" w:rsidRPr="004E1DE3" w:rsidRDefault="00573CA9" w:rsidP="007D1A3F">
      <w:pPr>
        <w:pStyle w:val="Paragrdouble"/>
        <w:tabs>
          <w:tab w:val="num" w:pos="851"/>
        </w:tabs>
        <w:spacing w:line="240" w:lineRule="auto"/>
        <w:ind w:left="0"/>
        <w:rPr>
          <w:i/>
          <w:iCs/>
          <w:lang w:val="en-CA"/>
        </w:rPr>
      </w:pPr>
      <w:r w:rsidRPr="004E1DE3">
        <w:rPr>
          <w:lang w:val="en-CA"/>
        </w:rPr>
        <w:t xml:space="preserve">The plaintiffs allege that in addition to their right to the protection of their </w:t>
      </w:r>
      <w:r w:rsidR="0009177D" w:rsidRPr="004E1DE3">
        <w:rPr>
          <w:lang w:val="en-CA"/>
        </w:rPr>
        <w:t>privacy</w:t>
      </w:r>
      <w:r w:rsidRPr="004E1DE3">
        <w:rPr>
          <w:lang w:val="en-CA"/>
        </w:rPr>
        <w:t xml:space="preserve"> guaranteed by section 5 of the </w:t>
      </w:r>
      <w:r w:rsidRPr="004E1DE3">
        <w:rPr>
          <w:i/>
          <w:iCs/>
          <w:lang w:val="en-CA"/>
        </w:rPr>
        <w:t>Charter</w:t>
      </w:r>
      <w:r w:rsidRPr="004E1DE3">
        <w:rPr>
          <w:lang w:val="en-CA"/>
        </w:rPr>
        <w:t xml:space="preserve">, the </w:t>
      </w:r>
      <w:r w:rsidR="00940EDA" w:rsidRPr="004E1DE3">
        <w:rPr>
          <w:lang w:val="en-CA"/>
        </w:rPr>
        <w:t>defendants</w:t>
      </w:r>
      <w:r w:rsidRPr="004E1DE3">
        <w:rPr>
          <w:lang w:val="en-CA"/>
        </w:rPr>
        <w:t xml:space="preserve"> also violated </w:t>
      </w:r>
      <w:r w:rsidR="00114A1F" w:rsidRPr="004E1DE3">
        <w:rPr>
          <w:lang w:val="en-CA"/>
        </w:rPr>
        <w:t xml:space="preserve">articles 35 </w:t>
      </w:r>
      <w:r w:rsidRPr="004E1DE3">
        <w:rPr>
          <w:lang w:val="en-CA"/>
        </w:rPr>
        <w:t>to</w:t>
      </w:r>
      <w:r w:rsidR="00114A1F" w:rsidRPr="004E1DE3">
        <w:rPr>
          <w:lang w:val="en-CA"/>
        </w:rPr>
        <w:t xml:space="preserve"> 37 </w:t>
      </w:r>
      <w:r w:rsidRPr="004E1DE3">
        <w:rPr>
          <w:lang w:val="en-CA"/>
        </w:rPr>
        <w:t>CCQ</w:t>
      </w:r>
      <w:r w:rsidR="00403DBF" w:rsidRPr="004E1DE3">
        <w:rPr>
          <w:lang w:val="en-CA"/>
        </w:rPr>
        <w:t xml:space="preserve"> and</w:t>
      </w:r>
      <w:r w:rsidRPr="004E1DE3">
        <w:rPr>
          <w:lang w:val="en-CA"/>
        </w:rPr>
        <w:t xml:space="preserve"> the relevant </w:t>
      </w:r>
      <w:r w:rsidR="00114A1F" w:rsidRPr="004E1DE3">
        <w:rPr>
          <w:lang w:val="en-CA"/>
        </w:rPr>
        <w:t>provisions</w:t>
      </w:r>
      <w:r w:rsidRPr="004E1DE3">
        <w:rPr>
          <w:lang w:val="en-CA"/>
        </w:rPr>
        <w:t xml:space="preserve"> of the</w:t>
      </w:r>
      <w:r w:rsidR="00403DBF" w:rsidRPr="004E1DE3">
        <w:rPr>
          <w:lang w:val="en-CA"/>
        </w:rPr>
        <w:t xml:space="preserve"> </w:t>
      </w:r>
      <w:r w:rsidR="00403DBF" w:rsidRPr="004E1DE3">
        <w:rPr>
          <w:lang w:val="en-CA"/>
        </w:rPr>
        <w:br/>
      </w:r>
      <w:r w:rsidR="00403DBF" w:rsidRPr="004E1DE3">
        <w:rPr>
          <w:i/>
          <w:iCs/>
          <w:lang w:val="en-CA"/>
        </w:rPr>
        <w:t>Personal Information Protection and Electronic Documents Act</w:t>
      </w:r>
      <w:r>
        <w:rPr>
          <w:rStyle w:val="Appelnotedebasdep"/>
          <w:lang w:val="en-CA"/>
        </w:rPr>
        <w:footnoteReference w:id="20"/>
      </w:r>
      <w:r w:rsidR="00114A1F" w:rsidRPr="004E1DE3">
        <w:rPr>
          <w:lang w:val="en-CA"/>
        </w:rPr>
        <w:t xml:space="preserve"> [</w:t>
      </w:r>
      <w:r w:rsidR="00403DBF" w:rsidRPr="00C2414F">
        <w:rPr>
          <w:i/>
          <w:iCs/>
          <w:lang w:val="en-CA"/>
        </w:rPr>
        <w:t>PIPEDA</w:t>
      </w:r>
      <w:r w:rsidR="00403DBF" w:rsidRPr="004E1DE3">
        <w:rPr>
          <w:lang w:val="en-CA"/>
        </w:rPr>
        <w:t xml:space="preserve"> </w:t>
      </w:r>
      <w:r w:rsidR="00114A1F" w:rsidRPr="004E1DE3">
        <w:rPr>
          <w:lang w:val="en-CA"/>
        </w:rPr>
        <w:t>o</w:t>
      </w:r>
      <w:r w:rsidR="00403DBF" w:rsidRPr="004E1DE3">
        <w:rPr>
          <w:lang w:val="en-CA"/>
        </w:rPr>
        <w:t>r</w:t>
      </w:r>
      <w:r w:rsidR="00114A1F" w:rsidRPr="004E1DE3">
        <w:rPr>
          <w:lang w:val="en-CA"/>
        </w:rPr>
        <w:t xml:space="preserve"> </w:t>
      </w:r>
      <w:r w:rsidR="00403DBF" w:rsidRPr="004E1DE3">
        <w:rPr>
          <w:lang w:val="en-CA"/>
        </w:rPr>
        <w:t xml:space="preserve">the </w:t>
      </w:r>
      <w:r w:rsidR="002C4F7B" w:rsidRPr="004E1DE3">
        <w:rPr>
          <w:i/>
          <w:iCs/>
          <w:lang w:val="en-CA"/>
        </w:rPr>
        <w:t>Federal</w:t>
      </w:r>
      <w:r w:rsidR="00403DBF" w:rsidRPr="004E1DE3">
        <w:rPr>
          <w:i/>
          <w:iCs/>
          <w:lang w:val="en-CA"/>
        </w:rPr>
        <w:t xml:space="preserve"> Act</w:t>
      </w:r>
      <w:r w:rsidR="00114A1F" w:rsidRPr="004E1DE3">
        <w:rPr>
          <w:lang w:val="en-CA"/>
        </w:rPr>
        <w:t>]</w:t>
      </w:r>
      <w:r w:rsidR="00403DBF" w:rsidRPr="004E1DE3">
        <w:rPr>
          <w:lang w:val="en-CA"/>
        </w:rPr>
        <w:t xml:space="preserve"> and of the </w:t>
      </w:r>
      <w:r w:rsidR="00403DBF" w:rsidRPr="004E1DE3">
        <w:rPr>
          <w:i/>
          <w:iCs/>
          <w:lang w:val="en-CA"/>
        </w:rPr>
        <w:t>Act respecting the protection of personal information in the private sector</w:t>
      </w:r>
      <w:r>
        <w:rPr>
          <w:rStyle w:val="Appelnotedebasdep"/>
          <w:lang w:val="en-CA"/>
        </w:rPr>
        <w:footnoteReference w:id="21"/>
      </w:r>
      <w:r w:rsidR="00114A1F" w:rsidRPr="004E1DE3">
        <w:rPr>
          <w:rFonts w:cs="Arial"/>
          <w:lang w:val="en-CA"/>
        </w:rPr>
        <w:t xml:space="preserve"> [</w:t>
      </w:r>
      <w:r w:rsidR="00403DBF" w:rsidRPr="004E1DE3">
        <w:rPr>
          <w:rFonts w:cs="Arial"/>
          <w:lang w:val="en-CA"/>
        </w:rPr>
        <w:t xml:space="preserve">the </w:t>
      </w:r>
      <w:r w:rsidR="00403DBF" w:rsidRPr="004E1DE3">
        <w:rPr>
          <w:rFonts w:cs="Arial"/>
          <w:i/>
          <w:iCs/>
          <w:lang w:val="en-CA"/>
        </w:rPr>
        <w:t>Quebec Act</w:t>
      </w:r>
      <w:r w:rsidR="00114A1F" w:rsidRPr="004E1DE3">
        <w:rPr>
          <w:rFonts w:cs="Arial"/>
          <w:lang w:val="en-CA"/>
        </w:rPr>
        <w:t>].</w:t>
      </w:r>
    </w:p>
    <w:p w14:paraId="56DDABE9" w14:textId="77777777" w:rsidR="008245AC" w:rsidRPr="004E1DE3" w:rsidRDefault="00573CA9" w:rsidP="007D1A3F">
      <w:pPr>
        <w:pStyle w:val="Paragrdouble"/>
        <w:tabs>
          <w:tab w:val="num" w:pos="851"/>
        </w:tabs>
        <w:spacing w:line="240" w:lineRule="auto"/>
        <w:ind w:left="0"/>
        <w:rPr>
          <w:i/>
          <w:iCs/>
          <w:lang w:val="en-CA"/>
        </w:rPr>
      </w:pPr>
      <w:r w:rsidRPr="004E1DE3">
        <w:rPr>
          <w:lang w:val="en-CA"/>
        </w:rPr>
        <w:t>Indeed, s</w:t>
      </w:r>
      <w:r w:rsidR="008C1178" w:rsidRPr="004E1DE3">
        <w:rPr>
          <w:lang w:val="en-CA"/>
        </w:rPr>
        <w:t xml:space="preserve">ection 5 </w:t>
      </w:r>
      <w:r w:rsidRPr="004E1DE3">
        <w:rPr>
          <w:lang w:val="en-CA"/>
        </w:rPr>
        <w:t xml:space="preserve">of the </w:t>
      </w:r>
      <w:r w:rsidR="008C1178" w:rsidRPr="004E1DE3">
        <w:rPr>
          <w:i/>
          <w:iCs/>
          <w:lang w:val="en-CA"/>
        </w:rPr>
        <w:t>Charter</w:t>
      </w:r>
      <w:r w:rsidRPr="004E1DE3">
        <w:rPr>
          <w:lang w:val="en-CA"/>
        </w:rPr>
        <w:t xml:space="preserve"> states that every </w:t>
      </w:r>
      <w:r w:rsidR="008C1178" w:rsidRPr="004E1DE3">
        <w:rPr>
          <w:lang w:val="en-CA"/>
        </w:rPr>
        <w:t>person</w:t>
      </w:r>
      <w:r w:rsidRPr="004E1DE3">
        <w:rPr>
          <w:lang w:val="en-CA"/>
        </w:rPr>
        <w:t xml:space="preserve"> has a right to respect for his private life</w:t>
      </w:r>
      <w:r w:rsidR="0009177D" w:rsidRPr="004E1DE3">
        <w:rPr>
          <w:lang w:val="en-CA"/>
        </w:rPr>
        <w:t>,</w:t>
      </w:r>
      <w:r w:rsidRPr="004E1DE3">
        <w:rPr>
          <w:lang w:val="en-CA"/>
        </w:rPr>
        <w:t xml:space="preserve"> and this section applies to the </w:t>
      </w:r>
      <w:r w:rsidR="008C1178" w:rsidRPr="004E1DE3">
        <w:rPr>
          <w:lang w:val="en-CA"/>
        </w:rPr>
        <w:t>defendants</w:t>
      </w:r>
      <w:r w:rsidRPr="004E1DE3">
        <w:rPr>
          <w:lang w:val="en-CA"/>
        </w:rPr>
        <w:t xml:space="preserve"> in </w:t>
      </w:r>
      <w:r w:rsidR="008C1178" w:rsidRPr="004E1DE3">
        <w:rPr>
          <w:lang w:val="en-CA"/>
        </w:rPr>
        <w:t>Qu</w:t>
      </w:r>
      <w:r w:rsidRPr="004E1DE3">
        <w:rPr>
          <w:lang w:val="en-CA"/>
        </w:rPr>
        <w:t>e</w:t>
      </w:r>
      <w:r w:rsidR="008C1178" w:rsidRPr="004E1DE3">
        <w:rPr>
          <w:lang w:val="en-CA"/>
        </w:rPr>
        <w:t>bec.</w:t>
      </w:r>
    </w:p>
    <w:p w14:paraId="1118F060" w14:textId="77777777" w:rsidR="00791A54" w:rsidRPr="004E1DE3" w:rsidRDefault="00573CA9" w:rsidP="007D1A3F">
      <w:pPr>
        <w:pStyle w:val="Paragrdouble"/>
        <w:tabs>
          <w:tab w:val="num" w:pos="851"/>
        </w:tabs>
        <w:spacing w:line="240" w:lineRule="auto"/>
        <w:ind w:left="0"/>
        <w:rPr>
          <w:lang w:val="en-CA"/>
        </w:rPr>
      </w:pPr>
      <w:r w:rsidRPr="004E1DE3">
        <w:rPr>
          <w:lang w:val="en-CA"/>
        </w:rPr>
        <w:lastRenderedPageBreak/>
        <w:t xml:space="preserve">The Quebec </w:t>
      </w:r>
      <w:r w:rsidRPr="004E1DE3">
        <w:rPr>
          <w:i/>
          <w:iCs/>
          <w:lang w:val="en-CA"/>
        </w:rPr>
        <w:t>Act respecting the protection of personal information in the private sector</w:t>
      </w:r>
      <w:r w:rsidRPr="004E1DE3">
        <w:rPr>
          <w:lang w:val="en-CA"/>
        </w:rPr>
        <w:t xml:space="preserve"> defines the scope of its </w:t>
      </w:r>
      <w:r w:rsidR="00940EDA" w:rsidRPr="004E1DE3">
        <w:rPr>
          <w:lang w:val="en-CA"/>
        </w:rPr>
        <w:t>application</w:t>
      </w:r>
      <w:r w:rsidRPr="004E1DE3">
        <w:rPr>
          <w:lang w:val="en-CA"/>
        </w:rPr>
        <w:t xml:space="preserve"> as follows</w:t>
      </w:r>
      <w:r w:rsidR="00940EDA" w:rsidRPr="004E1DE3">
        <w:rPr>
          <w:lang w:val="en-CA"/>
        </w:rPr>
        <w:t>:</w:t>
      </w:r>
    </w:p>
    <w:p w14:paraId="04CA477B" w14:textId="77777777" w:rsidR="00791A54" w:rsidRPr="004E1DE3" w:rsidRDefault="00940EDA" w:rsidP="00AF1274">
      <w:pPr>
        <w:pStyle w:val="Citationenretrait"/>
        <w:rPr>
          <w:u w:val="single"/>
          <w:lang w:val="en-CA"/>
        </w:rPr>
      </w:pPr>
      <w:r w:rsidRPr="004E1DE3">
        <w:rPr>
          <w:rStyle w:val="label-section"/>
          <w:rFonts w:cs="Arial"/>
          <w:b/>
          <w:bCs/>
          <w:lang w:val="en-CA"/>
        </w:rPr>
        <w:t>1.</w:t>
      </w:r>
      <w:r w:rsidRPr="004E1DE3">
        <w:rPr>
          <w:lang w:val="en-CA"/>
        </w:rPr>
        <w:t> </w:t>
      </w:r>
      <w:r w:rsidR="00D323AE" w:rsidRPr="004E1DE3">
        <w:rPr>
          <w:rStyle w:val="subsection"/>
          <w:u w:val="single"/>
          <w:lang w:val="en-CA"/>
        </w:rPr>
        <w:t>The object of this Act is to establish, for the exercise of the rights conferred by articles 35 to 40 of the Civil Code concerning the protection of personal information, particular rules with respect to personal information relating to other persons which a person collects, holds, uses or communicates to third persons in the course of carrying on an enterprise within the meaning of article 1525 of the Civil Code.</w:t>
      </w:r>
    </w:p>
    <w:p w14:paraId="5F24DA6D" w14:textId="77777777" w:rsidR="00791A54" w:rsidRPr="004E1DE3" w:rsidRDefault="00573CA9" w:rsidP="00AF1630">
      <w:pPr>
        <w:pStyle w:val="Citationenretrait"/>
        <w:ind w:left="993"/>
        <w:rPr>
          <w:lang w:val="en-CA"/>
        </w:rPr>
      </w:pPr>
      <w:r w:rsidRPr="004E1DE3">
        <w:rPr>
          <w:rStyle w:val="subsection"/>
          <w:lang w:val="en-CA"/>
        </w:rPr>
        <w:t>The Act applies to such information whatever the nature of its medium and whatever the form in which it is accessible, whether written, graphic, taped, filmed, computerized, or other.</w:t>
      </w:r>
    </w:p>
    <w:p w14:paraId="23DC6FE6" w14:textId="77777777" w:rsidR="00791A54" w:rsidRPr="004E1DE3" w:rsidRDefault="00573CA9" w:rsidP="00AF1630">
      <w:pPr>
        <w:pStyle w:val="Citationenretrait"/>
        <w:ind w:left="993"/>
        <w:rPr>
          <w:lang w:val="en-CA"/>
        </w:rPr>
      </w:pPr>
      <w:r w:rsidRPr="004E1DE3">
        <w:rPr>
          <w:rStyle w:val="subsection"/>
          <w:lang w:val="en-CA"/>
        </w:rPr>
        <w:t>This Act also applies to personal information held by a professional order to the extent provided for by the Professional Code (chapter C-26).</w:t>
      </w:r>
    </w:p>
    <w:p w14:paraId="5ABD9E66" w14:textId="77777777" w:rsidR="00791A54" w:rsidRPr="004E1DE3" w:rsidRDefault="00573CA9" w:rsidP="00AF1630">
      <w:pPr>
        <w:pStyle w:val="Citationenretrait"/>
        <w:ind w:left="993"/>
        <w:rPr>
          <w:lang w:val="en-CA"/>
        </w:rPr>
      </w:pPr>
      <w:r w:rsidRPr="004E1DE3">
        <w:rPr>
          <w:rStyle w:val="subsection"/>
          <w:lang w:val="en-CA"/>
        </w:rPr>
        <w:t>This Act does not apply to journalistic, historical or genealogical material collected, held, used or communicated for the legitimate information of the public.</w:t>
      </w:r>
    </w:p>
    <w:p w14:paraId="377292B6" w14:textId="77777777" w:rsidR="00791A54" w:rsidRPr="004E1DE3" w:rsidRDefault="00573CA9" w:rsidP="00AF1630">
      <w:pPr>
        <w:pStyle w:val="Citationenretrait"/>
        <w:ind w:left="993"/>
        <w:rPr>
          <w:lang w:val="en-CA"/>
        </w:rPr>
      </w:pPr>
      <w:r w:rsidRPr="004E1DE3">
        <w:rPr>
          <w:rStyle w:val="subsection"/>
          <w:lang w:val="en-CA"/>
        </w:rPr>
        <w:t>Divisions II and III of this Act do not apply to personal information which by law is public.</w:t>
      </w:r>
    </w:p>
    <w:p w14:paraId="417319EC" w14:textId="77777777" w:rsidR="00791A54" w:rsidRPr="004E1DE3" w:rsidRDefault="00940EDA" w:rsidP="00AF1274">
      <w:pPr>
        <w:pStyle w:val="Citationenretrait"/>
        <w:rPr>
          <w:u w:val="single"/>
          <w:lang w:val="en-CA"/>
        </w:rPr>
      </w:pPr>
      <w:r w:rsidRPr="004E1DE3">
        <w:rPr>
          <w:rStyle w:val="label-section"/>
          <w:rFonts w:cs="Arial"/>
          <w:b/>
          <w:bCs/>
          <w:lang w:val="en-CA"/>
        </w:rPr>
        <w:t>2.</w:t>
      </w:r>
      <w:r w:rsidRPr="004E1DE3">
        <w:rPr>
          <w:lang w:val="en-CA"/>
        </w:rPr>
        <w:t> </w:t>
      </w:r>
      <w:r w:rsidR="00D323AE" w:rsidRPr="004E1DE3">
        <w:rPr>
          <w:rStyle w:val="subsection"/>
          <w:u w:val="single"/>
          <w:lang w:val="en-CA"/>
        </w:rPr>
        <w:t>Personal information is any information which relates to a natural person and allows that person to be identified.</w:t>
      </w:r>
    </w:p>
    <w:p w14:paraId="77B64959" w14:textId="77777777" w:rsidR="00791A54" w:rsidRPr="004E1DE3" w:rsidRDefault="00940EDA" w:rsidP="00AF1274">
      <w:pPr>
        <w:pStyle w:val="Citationenretrait"/>
        <w:rPr>
          <w:lang w:val="en-CA"/>
        </w:rPr>
      </w:pPr>
      <w:r w:rsidRPr="004E1DE3">
        <w:rPr>
          <w:rStyle w:val="label-section"/>
          <w:rFonts w:cs="Arial"/>
          <w:b/>
          <w:bCs/>
          <w:lang w:val="en-CA"/>
        </w:rPr>
        <w:t>3.</w:t>
      </w:r>
      <w:r w:rsidRPr="004E1DE3">
        <w:rPr>
          <w:lang w:val="en-CA"/>
        </w:rPr>
        <w:t> </w:t>
      </w:r>
      <w:r w:rsidR="00D323AE" w:rsidRPr="004E1DE3">
        <w:rPr>
          <w:rStyle w:val="subsection"/>
          <w:lang w:val="en-CA"/>
        </w:rPr>
        <w:t>This Act does not apply</w:t>
      </w:r>
    </w:p>
    <w:p w14:paraId="2728DAA3" w14:textId="77777777" w:rsidR="00791A54" w:rsidRPr="004E1DE3" w:rsidRDefault="00573CA9" w:rsidP="00AF1630">
      <w:pPr>
        <w:pStyle w:val="Citationenretrait"/>
        <w:ind w:left="993"/>
        <w:rPr>
          <w:lang w:val="en-CA"/>
        </w:rPr>
      </w:pPr>
      <w:r w:rsidRPr="004E1DE3">
        <w:rPr>
          <w:rStyle w:val="label-z"/>
          <w:lang w:val="en-CA"/>
        </w:rPr>
        <w:t>(1) to a public body within the meaning of the Act respecting Access to documents held by public bodies and the Protection of personal information (chapter A</w:t>
      </w:r>
      <w:r w:rsidRPr="004E1DE3">
        <w:rPr>
          <w:rStyle w:val="label-z"/>
          <w:rFonts w:ascii="Cambria Math" w:hAnsi="Cambria Math" w:cs="Cambria Math"/>
          <w:lang w:val="en-CA"/>
        </w:rPr>
        <w:t>‐</w:t>
      </w:r>
      <w:r w:rsidRPr="004E1DE3">
        <w:rPr>
          <w:rStyle w:val="label-z"/>
          <w:lang w:val="en-CA"/>
        </w:rPr>
        <w:t>2.1);</w:t>
      </w:r>
    </w:p>
    <w:p w14:paraId="65586A11" w14:textId="77777777" w:rsidR="00791A54" w:rsidRPr="004E1DE3" w:rsidRDefault="00573CA9" w:rsidP="00AF1630">
      <w:pPr>
        <w:pStyle w:val="Citationenretrait"/>
        <w:ind w:left="993"/>
        <w:rPr>
          <w:lang w:val="en-CA"/>
        </w:rPr>
      </w:pPr>
      <w:r w:rsidRPr="004E1DE3">
        <w:rPr>
          <w:rStyle w:val="label-z"/>
          <w:lang w:val="en-CA"/>
        </w:rPr>
        <w:t>(2) to information held on behalf of a public body by a person other than a public body.</w:t>
      </w:r>
    </w:p>
    <w:p w14:paraId="0BE9F9A0" w14:textId="77777777" w:rsidR="00791A54" w:rsidRPr="004E1DE3" w:rsidRDefault="00940EDA" w:rsidP="00AF1274">
      <w:pPr>
        <w:pStyle w:val="Citationenretrait"/>
        <w:rPr>
          <w:u w:val="single"/>
          <w:lang w:val="en-CA"/>
        </w:rPr>
      </w:pPr>
      <w:r w:rsidRPr="004E1DE3">
        <w:rPr>
          <w:rStyle w:val="label-section"/>
          <w:rFonts w:cs="Arial"/>
          <w:b/>
          <w:bCs/>
          <w:lang w:val="en-CA"/>
        </w:rPr>
        <w:t>3.1.</w:t>
      </w:r>
      <w:r w:rsidRPr="004E1DE3">
        <w:rPr>
          <w:lang w:val="en-CA"/>
        </w:rPr>
        <w:t> </w:t>
      </w:r>
      <w:r w:rsidR="00D323AE" w:rsidRPr="004E1DE3">
        <w:rPr>
          <w:rFonts w:cs="Arial"/>
          <w:color w:val="000000"/>
          <w:szCs w:val="22"/>
          <w:u w:val="single"/>
          <w:lang w:val="en-CA"/>
        </w:rPr>
        <w:t>Any person carrying on an enterprise is responsible for protecting the personal information held by the person</w:t>
      </w:r>
      <w:r w:rsidRPr="004E1DE3">
        <w:rPr>
          <w:rStyle w:val="subsection"/>
          <w:rFonts w:cs="Arial"/>
          <w:szCs w:val="22"/>
          <w:u w:val="single"/>
          <w:lang w:val="en-CA"/>
        </w:rPr>
        <w:t>.</w:t>
      </w:r>
    </w:p>
    <w:p w14:paraId="2A1A34BC" w14:textId="77777777" w:rsidR="00791A54" w:rsidRPr="004E1DE3" w:rsidRDefault="00573CA9" w:rsidP="00AF1630">
      <w:pPr>
        <w:pStyle w:val="Citationenretrait"/>
        <w:ind w:left="993"/>
        <w:rPr>
          <w:lang w:val="en-CA"/>
        </w:rPr>
      </w:pPr>
      <w:r w:rsidRPr="004E1DE3">
        <w:rPr>
          <w:rStyle w:val="subsection"/>
          <w:rFonts w:cs="Arial"/>
          <w:szCs w:val="22"/>
          <w:lang w:val="en-CA"/>
        </w:rPr>
        <w:t xml:space="preserve">Within the enterprise, the person exercising the highest authority shall see to ensuring that this Act is implemented and complied with. </w:t>
      </w:r>
      <w:r w:rsidRPr="004E1DE3">
        <w:rPr>
          <w:rFonts w:cs="Arial"/>
          <w:color w:val="000000"/>
          <w:szCs w:val="22"/>
          <w:lang w:val="en-CA"/>
        </w:rPr>
        <w:t>That person shall exercise the function of person in charge of the protection of personal information; he may delegate all or part of that function in writing to any person.</w:t>
      </w:r>
    </w:p>
    <w:p w14:paraId="4A65E052" w14:textId="77777777" w:rsidR="00791A54" w:rsidRPr="004E1DE3" w:rsidRDefault="00573CA9" w:rsidP="00AF1630">
      <w:pPr>
        <w:pStyle w:val="Citationenretrait"/>
        <w:ind w:left="993"/>
        <w:rPr>
          <w:rStyle w:val="subsection"/>
          <w:rFonts w:cs="Arial"/>
          <w:szCs w:val="22"/>
          <w:lang w:val="en-CA"/>
        </w:rPr>
      </w:pPr>
      <w:r w:rsidRPr="004E1DE3">
        <w:rPr>
          <w:rFonts w:cs="Arial"/>
          <w:color w:val="000000"/>
          <w:szCs w:val="22"/>
          <w:lang w:val="en-CA"/>
        </w:rPr>
        <w:t>The title and contact information of the person in charge of the protection of personal information must be published on the enterprise’s website or, if the enterprise does not have a website, be made available by any other appropriate means.</w:t>
      </w:r>
    </w:p>
    <w:p w14:paraId="415B8354" w14:textId="77777777" w:rsidR="00AF1630" w:rsidRPr="004E1DE3" w:rsidRDefault="00573CA9" w:rsidP="00AF1630">
      <w:pPr>
        <w:pStyle w:val="Citationenretrait"/>
        <w:ind w:left="993"/>
        <w:jc w:val="right"/>
        <w:rPr>
          <w:sz w:val="24"/>
          <w:szCs w:val="24"/>
          <w:lang w:val="en-CA"/>
        </w:rPr>
      </w:pPr>
      <w:r w:rsidRPr="004E1DE3">
        <w:rPr>
          <w:rStyle w:val="subsection"/>
          <w:rFonts w:cs="Arial"/>
          <w:sz w:val="24"/>
          <w:szCs w:val="24"/>
          <w:lang w:val="en-CA"/>
        </w:rPr>
        <w:lastRenderedPageBreak/>
        <w:t>[Emphasis added.]</w:t>
      </w:r>
    </w:p>
    <w:p w14:paraId="6ECA09AD" w14:textId="77777777" w:rsidR="00362428" w:rsidRPr="004E1DE3" w:rsidRDefault="00573CA9" w:rsidP="00362428">
      <w:pPr>
        <w:pStyle w:val="Paragrdouble"/>
        <w:tabs>
          <w:tab w:val="num" w:pos="851"/>
        </w:tabs>
        <w:spacing w:line="240" w:lineRule="auto"/>
        <w:ind w:left="0"/>
        <w:rPr>
          <w:i/>
          <w:iCs/>
          <w:szCs w:val="24"/>
          <w:lang w:val="en-CA"/>
        </w:rPr>
      </w:pPr>
      <w:r w:rsidRPr="004E1DE3">
        <w:rPr>
          <w:rFonts w:cs="Arial"/>
          <w:lang w:val="en-CA"/>
        </w:rPr>
        <w:t xml:space="preserve">This Quebec statute thus applies to any person carrying on an </w:t>
      </w:r>
      <w:r w:rsidR="00940EDA" w:rsidRPr="004E1DE3">
        <w:rPr>
          <w:rFonts w:cs="Arial"/>
          <w:lang w:val="en-CA"/>
        </w:rPr>
        <w:t>ent</w:t>
      </w:r>
      <w:r w:rsidRPr="004E1DE3">
        <w:rPr>
          <w:rFonts w:cs="Arial"/>
          <w:lang w:val="en-CA"/>
        </w:rPr>
        <w:t>e</w:t>
      </w:r>
      <w:r w:rsidR="00940EDA" w:rsidRPr="004E1DE3">
        <w:rPr>
          <w:rFonts w:cs="Arial"/>
          <w:lang w:val="en-CA"/>
        </w:rPr>
        <w:t>rprise</w:t>
      </w:r>
      <w:r w:rsidRPr="004E1DE3">
        <w:rPr>
          <w:rFonts w:cs="Arial"/>
          <w:lang w:val="en-CA"/>
        </w:rPr>
        <w:t xml:space="preserve"> in</w:t>
      </w:r>
      <w:r w:rsidR="00940EDA" w:rsidRPr="004E1DE3">
        <w:rPr>
          <w:rFonts w:cs="Arial"/>
          <w:lang w:val="en-CA"/>
        </w:rPr>
        <w:t xml:space="preserve"> Qu</w:t>
      </w:r>
      <w:r w:rsidRPr="004E1DE3">
        <w:rPr>
          <w:rFonts w:cs="Arial"/>
          <w:lang w:val="en-CA"/>
        </w:rPr>
        <w:t>e</w:t>
      </w:r>
      <w:r w:rsidR="00940EDA" w:rsidRPr="004E1DE3">
        <w:rPr>
          <w:rFonts w:cs="Arial"/>
          <w:lang w:val="en-CA"/>
        </w:rPr>
        <w:t>bec</w:t>
      </w:r>
      <w:r w:rsidR="00D644A8" w:rsidRPr="004E1DE3">
        <w:rPr>
          <w:rFonts w:cs="Arial"/>
          <w:lang w:val="en-CA"/>
        </w:rPr>
        <w:t xml:space="preserve"> who holds </w:t>
      </w:r>
      <w:r w:rsidR="00940EDA" w:rsidRPr="004E1DE3">
        <w:rPr>
          <w:rFonts w:cs="Arial"/>
          <w:lang w:val="en-CA"/>
        </w:rPr>
        <w:t>personal</w:t>
      </w:r>
      <w:r w:rsidR="00D644A8" w:rsidRPr="004E1DE3">
        <w:rPr>
          <w:rFonts w:cs="Arial"/>
          <w:lang w:val="en-CA"/>
        </w:rPr>
        <w:t xml:space="preserve"> </w:t>
      </w:r>
      <w:r w:rsidR="00940EDA" w:rsidRPr="004E1DE3">
        <w:rPr>
          <w:rFonts w:cs="Arial"/>
          <w:lang w:val="en-CA"/>
        </w:rPr>
        <w:t xml:space="preserve">information </w:t>
      </w:r>
      <w:r w:rsidR="00D644A8" w:rsidRPr="004E1DE3">
        <w:rPr>
          <w:rFonts w:cs="Arial"/>
          <w:lang w:val="en-CA"/>
        </w:rPr>
        <w:t xml:space="preserve">on a natural </w:t>
      </w:r>
      <w:r w:rsidR="00940EDA" w:rsidRPr="004E1DE3">
        <w:rPr>
          <w:rFonts w:cs="Arial"/>
          <w:lang w:val="en-CA"/>
        </w:rPr>
        <w:t xml:space="preserve">person </w:t>
      </w:r>
      <w:r w:rsidR="00D644A8" w:rsidRPr="004E1DE3">
        <w:rPr>
          <w:rFonts w:cs="Arial"/>
          <w:lang w:val="en-CA"/>
        </w:rPr>
        <w:t>allowing the person to be identified</w:t>
      </w:r>
      <w:r w:rsidR="00940EDA" w:rsidRPr="004E1DE3">
        <w:rPr>
          <w:rFonts w:cs="Arial"/>
          <w:lang w:val="en-CA"/>
        </w:rPr>
        <w:t>.</w:t>
      </w:r>
    </w:p>
    <w:p w14:paraId="57E21BB8" w14:textId="77777777" w:rsidR="00362428" w:rsidRPr="004E1DE3" w:rsidRDefault="00573CA9" w:rsidP="00362428">
      <w:pPr>
        <w:pStyle w:val="Paragrdouble"/>
        <w:tabs>
          <w:tab w:val="num" w:pos="851"/>
        </w:tabs>
        <w:spacing w:line="240" w:lineRule="auto"/>
        <w:ind w:left="0"/>
        <w:rPr>
          <w:i/>
          <w:iCs/>
          <w:szCs w:val="24"/>
          <w:lang w:val="en-CA"/>
        </w:rPr>
      </w:pPr>
      <w:r w:rsidRPr="004E1DE3">
        <w:rPr>
          <w:rFonts w:cs="Arial"/>
          <w:lang w:val="en-CA"/>
        </w:rPr>
        <w:t>S</w:t>
      </w:r>
      <w:r w:rsidR="00940EDA" w:rsidRPr="004E1DE3">
        <w:rPr>
          <w:rFonts w:cs="Arial"/>
          <w:lang w:val="en-CA"/>
        </w:rPr>
        <w:t>ections 3.5, 10, 28</w:t>
      </w:r>
      <w:r w:rsidRPr="004E1DE3">
        <w:rPr>
          <w:rFonts w:cs="Arial"/>
          <w:lang w:val="en-CA"/>
        </w:rPr>
        <w:t>, and</w:t>
      </w:r>
      <w:r w:rsidR="00940EDA" w:rsidRPr="004E1DE3">
        <w:rPr>
          <w:rFonts w:cs="Arial"/>
          <w:lang w:val="en-CA"/>
        </w:rPr>
        <w:t xml:space="preserve"> 29 </w:t>
      </w:r>
      <w:r w:rsidRPr="004E1DE3">
        <w:rPr>
          <w:rFonts w:cs="Arial"/>
          <w:lang w:val="en-CA"/>
        </w:rPr>
        <w:t xml:space="preserve">of the </w:t>
      </w:r>
      <w:r w:rsidRPr="004E1DE3">
        <w:rPr>
          <w:rFonts w:cs="Arial"/>
          <w:i/>
          <w:iCs/>
          <w:lang w:val="en-CA"/>
        </w:rPr>
        <w:t xml:space="preserve">Quebec Act </w:t>
      </w:r>
      <w:r w:rsidRPr="004E1DE3">
        <w:rPr>
          <w:rFonts w:cs="Arial"/>
          <w:lang w:val="en-CA"/>
        </w:rPr>
        <w:t xml:space="preserve">also set out specific </w:t>
      </w:r>
      <w:r w:rsidR="00940EDA" w:rsidRPr="004E1DE3">
        <w:rPr>
          <w:rFonts w:cs="Arial"/>
          <w:lang w:val="en-CA"/>
        </w:rPr>
        <w:t>obligations</w:t>
      </w:r>
      <w:r w:rsidRPr="004E1DE3">
        <w:rPr>
          <w:rFonts w:cs="Arial"/>
          <w:lang w:val="en-CA"/>
        </w:rPr>
        <w:t xml:space="preserve"> regar</w:t>
      </w:r>
      <w:r w:rsidR="00B46984" w:rsidRPr="004E1DE3">
        <w:rPr>
          <w:rFonts w:cs="Arial"/>
          <w:lang w:val="en-CA"/>
        </w:rPr>
        <w:t>d</w:t>
      </w:r>
      <w:r w:rsidRPr="004E1DE3">
        <w:rPr>
          <w:rFonts w:cs="Arial"/>
          <w:lang w:val="en-CA"/>
        </w:rPr>
        <w:t xml:space="preserve">ing the </w:t>
      </w:r>
      <w:r w:rsidR="00940EDA" w:rsidRPr="004E1DE3">
        <w:rPr>
          <w:rFonts w:cs="Arial"/>
          <w:lang w:val="en-CA"/>
        </w:rPr>
        <w:t>protection, s</w:t>
      </w:r>
      <w:r w:rsidR="00B46984" w:rsidRPr="004E1DE3">
        <w:rPr>
          <w:rFonts w:cs="Arial"/>
          <w:lang w:val="en-CA"/>
        </w:rPr>
        <w:t>e</w:t>
      </w:r>
      <w:r w:rsidR="00940EDA" w:rsidRPr="004E1DE3">
        <w:rPr>
          <w:rFonts w:cs="Arial"/>
          <w:lang w:val="en-CA"/>
        </w:rPr>
        <w:t>curit</w:t>
      </w:r>
      <w:r w:rsidR="00B46984" w:rsidRPr="004E1DE3">
        <w:rPr>
          <w:rFonts w:cs="Arial"/>
          <w:lang w:val="en-CA"/>
        </w:rPr>
        <w:t>y</w:t>
      </w:r>
      <w:r w:rsidR="00940EDA" w:rsidRPr="004E1DE3">
        <w:rPr>
          <w:rFonts w:cs="Arial"/>
          <w:lang w:val="en-CA"/>
        </w:rPr>
        <w:t>, pr</w:t>
      </w:r>
      <w:r w:rsidR="00B46984" w:rsidRPr="004E1DE3">
        <w:rPr>
          <w:rFonts w:cs="Arial"/>
          <w:lang w:val="en-CA"/>
        </w:rPr>
        <w:t>e</w:t>
      </w:r>
      <w:r w:rsidR="00940EDA" w:rsidRPr="004E1DE3">
        <w:rPr>
          <w:rFonts w:cs="Arial"/>
          <w:lang w:val="en-CA"/>
        </w:rPr>
        <w:t xml:space="preserve">vention, </w:t>
      </w:r>
      <w:r w:rsidR="00B46984" w:rsidRPr="004E1DE3">
        <w:rPr>
          <w:rFonts w:cs="Arial"/>
          <w:lang w:val="en-CA"/>
        </w:rPr>
        <w:t xml:space="preserve">and </w:t>
      </w:r>
      <w:r w:rsidR="00940EDA" w:rsidRPr="004E1DE3">
        <w:rPr>
          <w:rFonts w:cs="Arial"/>
          <w:lang w:val="en-CA"/>
        </w:rPr>
        <w:t xml:space="preserve">diligence </w:t>
      </w:r>
      <w:r w:rsidR="00601FF3" w:rsidRPr="004E1DE3">
        <w:rPr>
          <w:rFonts w:cs="Arial"/>
          <w:lang w:val="en-CA"/>
        </w:rPr>
        <w:t xml:space="preserve">incumbent on </w:t>
      </w:r>
      <w:r w:rsidR="00940EDA" w:rsidRPr="004E1DE3">
        <w:rPr>
          <w:rFonts w:cs="Arial"/>
          <w:lang w:val="en-CA"/>
        </w:rPr>
        <w:t>ent</w:t>
      </w:r>
      <w:r w:rsidR="00601FF3" w:rsidRPr="004E1DE3">
        <w:rPr>
          <w:rFonts w:cs="Arial"/>
          <w:lang w:val="en-CA"/>
        </w:rPr>
        <w:t>e</w:t>
      </w:r>
      <w:r w:rsidR="00940EDA" w:rsidRPr="004E1DE3">
        <w:rPr>
          <w:rFonts w:cs="Arial"/>
          <w:lang w:val="en-CA"/>
        </w:rPr>
        <w:t>rprise</w:t>
      </w:r>
      <w:r w:rsidR="00C2414F">
        <w:rPr>
          <w:rFonts w:cs="Arial"/>
          <w:lang w:val="en-CA"/>
        </w:rPr>
        <w:t>s</w:t>
      </w:r>
      <w:r w:rsidR="00940EDA" w:rsidRPr="004E1DE3">
        <w:rPr>
          <w:rFonts w:cs="Arial"/>
          <w:lang w:val="en-CA"/>
        </w:rPr>
        <w:t xml:space="preserve"> </w:t>
      </w:r>
      <w:r w:rsidR="00601FF3" w:rsidRPr="004E1DE3">
        <w:rPr>
          <w:rFonts w:cs="Arial"/>
          <w:lang w:val="en-CA"/>
        </w:rPr>
        <w:t xml:space="preserve">subject to the </w:t>
      </w:r>
      <w:r w:rsidR="00601FF3" w:rsidRPr="004E1DE3">
        <w:rPr>
          <w:rFonts w:cs="Arial"/>
          <w:i/>
          <w:iCs/>
          <w:lang w:val="en-CA"/>
        </w:rPr>
        <w:t xml:space="preserve">Act </w:t>
      </w:r>
      <w:r w:rsidR="00601FF3" w:rsidRPr="004E1DE3">
        <w:rPr>
          <w:rFonts w:cs="Arial"/>
          <w:lang w:val="en-CA"/>
        </w:rPr>
        <w:t xml:space="preserve">when a </w:t>
      </w:r>
      <w:r w:rsidR="00940EDA" w:rsidRPr="004E1DE3">
        <w:rPr>
          <w:rFonts w:cs="Arial"/>
          <w:lang w:val="en-CA"/>
        </w:rPr>
        <w:t>confidentialit</w:t>
      </w:r>
      <w:r w:rsidR="00601FF3" w:rsidRPr="004E1DE3">
        <w:rPr>
          <w:rFonts w:cs="Arial"/>
          <w:lang w:val="en-CA"/>
        </w:rPr>
        <w:t>y incident occurs</w:t>
      </w:r>
      <w:r w:rsidR="00940EDA" w:rsidRPr="004E1DE3">
        <w:rPr>
          <w:rFonts w:cs="Arial"/>
          <w:lang w:val="en-CA"/>
        </w:rPr>
        <w:t>:</w:t>
      </w:r>
    </w:p>
    <w:p w14:paraId="184E5503" w14:textId="77777777" w:rsidR="00362428" w:rsidRPr="004E1DE3" w:rsidRDefault="00573CA9" w:rsidP="00362428">
      <w:pPr>
        <w:pStyle w:val="Citationenretrait"/>
        <w:contextualSpacing/>
        <w:rPr>
          <w:rStyle w:val="subsection"/>
          <w:rFonts w:cs="Arial"/>
          <w:szCs w:val="22"/>
          <w:u w:val="single"/>
          <w:lang w:val="en-CA"/>
        </w:rPr>
      </w:pPr>
      <w:r w:rsidRPr="004E1DE3">
        <w:rPr>
          <w:rStyle w:val="subsection"/>
          <w:rFonts w:cs="Arial"/>
          <w:b/>
          <w:bCs/>
          <w:szCs w:val="22"/>
          <w:lang w:val="en-CA"/>
        </w:rPr>
        <w:t>3.5</w:t>
      </w:r>
      <w:r w:rsidRPr="004E1DE3">
        <w:rPr>
          <w:rStyle w:val="subsection"/>
          <w:rFonts w:cs="Arial"/>
          <w:szCs w:val="22"/>
          <w:lang w:val="en-CA"/>
        </w:rPr>
        <w:t xml:space="preserve"> </w:t>
      </w:r>
      <w:r w:rsidR="00D323AE" w:rsidRPr="004E1DE3">
        <w:rPr>
          <w:rFonts w:cs="Arial"/>
          <w:color w:val="000000"/>
          <w:szCs w:val="22"/>
          <w:u w:val="single"/>
          <w:lang w:val="en-CA"/>
        </w:rPr>
        <w:t>Any person carrying on an enterprise who has cause to believe that a confidentiality incident involving personal information the person holds has occurred must take reasonable measures to reduce the risk of injury and to prevent new incidents of the same nature.</w:t>
      </w:r>
    </w:p>
    <w:p w14:paraId="10200E8A" w14:textId="77777777" w:rsidR="00362428" w:rsidRPr="004E1DE3" w:rsidRDefault="00362428" w:rsidP="00362428">
      <w:pPr>
        <w:pStyle w:val="Citationenretrait"/>
        <w:contextualSpacing/>
        <w:rPr>
          <w:szCs w:val="22"/>
          <w:u w:val="single"/>
          <w:lang w:val="en-CA" w:eastAsia="fr-CA"/>
        </w:rPr>
      </w:pPr>
    </w:p>
    <w:p w14:paraId="38DA6B52" w14:textId="77777777" w:rsidR="00D323AE" w:rsidRPr="004E1DE3" w:rsidRDefault="00573CA9" w:rsidP="00362428">
      <w:pPr>
        <w:pStyle w:val="Citationenretrait"/>
        <w:contextualSpacing/>
        <w:rPr>
          <w:rStyle w:val="subsection"/>
          <w:rFonts w:cs="Arial"/>
          <w:szCs w:val="22"/>
          <w:lang w:val="en-CA"/>
        </w:rPr>
      </w:pPr>
      <w:r w:rsidRPr="004E1DE3">
        <w:rPr>
          <w:rFonts w:cs="Arial"/>
          <w:color w:val="000000"/>
          <w:szCs w:val="22"/>
          <w:lang w:val="en-CA"/>
        </w:rPr>
        <w:t>If the incident presents a risk of serious injury, the person carrying on an enterprise must promptly notify the Commission d’accès à l’information established by </w:t>
      </w:r>
      <w:r w:rsidRPr="004E1DE3">
        <w:rPr>
          <w:rFonts w:cs="Arial"/>
          <w:szCs w:val="22"/>
          <w:lang w:val="en-CA"/>
        </w:rPr>
        <w:t>section 103</w:t>
      </w:r>
      <w:r w:rsidRPr="004E1DE3">
        <w:rPr>
          <w:rFonts w:cs="Arial"/>
          <w:color w:val="000000"/>
          <w:szCs w:val="22"/>
          <w:lang w:val="en-CA"/>
        </w:rPr>
        <w:t> of the </w:t>
      </w:r>
      <w:r w:rsidRPr="004E1DE3">
        <w:rPr>
          <w:rFonts w:cs="Arial"/>
          <w:szCs w:val="22"/>
          <w:lang w:val="en-CA"/>
        </w:rPr>
        <w:t>Act respecting Access to documents held by public bodies and the Protection of personal information (</w:t>
      </w:r>
      <w:r w:rsidRPr="004E1DE3">
        <w:rPr>
          <w:rFonts w:cs="Arial"/>
          <w:color w:val="000000"/>
          <w:szCs w:val="22"/>
          <w:lang w:val="en-CA"/>
        </w:rPr>
        <w:t xml:space="preserve">chapter A-2.1). </w:t>
      </w:r>
      <w:r w:rsidRPr="004E1DE3">
        <w:rPr>
          <w:rFonts w:cs="Arial"/>
          <w:color w:val="000000"/>
          <w:szCs w:val="22"/>
          <w:u w:val="single"/>
          <w:lang w:val="en-CA"/>
        </w:rPr>
        <w:t>He must also notify any person whose personal information is concerned by the incident, failing which the Commission may order him to do so.</w:t>
      </w:r>
      <w:r w:rsidRPr="004E1DE3">
        <w:rPr>
          <w:rFonts w:cs="Arial"/>
          <w:color w:val="000000"/>
          <w:szCs w:val="22"/>
          <w:lang w:val="en-CA"/>
        </w:rPr>
        <w:t xml:space="preserve"> He may also notify any person or body that could reduce the risk, by communicating to the person or body only the personal information necessary for that purpose without the consent of the person concerned. In the latter case, the person in charge of the protection of personal information must record the communication of the information.</w:t>
      </w:r>
    </w:p>
    <w:p w14:paraId="2E54028E" w14:textId="77777777" w:rsidR="00362428" w:rsidRPr="004E1DE3" w:rsidRDefault="00362428" w:rsidP="00362428">
      <w:pPr>
        <w:pStyle w:val="Citationenretrait"/>
        <w:contextualSpacing/>
        <w:rPr>
          <w:rStyle w:val="subsection"/>
          <w:rFonts w:cs="Arial"/>
          <w:szCs w:val="22"/>
          <w:lang w:val="en-CA"/>
        </w:rPr>
      </w:pPr>
    </w:p>
    <w:p w14:paraId="67F2CC4A" w14:textId="77777777" w:rsidR="00362428" w:rsidRPr="004E1DE3" w:rsidRDefault="00362428" w:rsidP="00362428">
      <w:pPr>
        <w:pStyle w:val="Citationenretrait"/>
        <w:contextualSpacing/>
        <w:rPr>
          <w:rStyle w:val="subsection"/>
          <w:rFonts w:cs="Arial"/>
          <w:szCs w:val="22"/>
          <w:lang w:val="en-CA"/>
        </w:rPr>
      </w:pPr>
    </w:p>
    <w:p w14:paraId="68941064" w14:textId="77777777" w:rsidR="00362428" w:rsidRPr="004E1DE3" w:rsidRDefault="00940EDA" w:rsidP="00362428">
      <w:pPr>
        <w:pStyle w:val="Citationenretrait"/>
        <w:contextualSpacing/>
        <w:rPr>
          <w:rStyle w:val="subsection"/>
          <w:rFonts w:cs="Arial"/>
          <w:szCs w:val="22"/>
          <w:u w:val="single"/>
          <w:shd w:val="clear" w:color="auto" w:fill="FFFFFF"/>
          <w:lang w:val="en-CA"/>
        </w:rPr>
      </w:pPr>
      <w:r w:rsidRPr="004E1DE3">
        <w:rPr>
          <w:rStyle w:val="label-section"/>
          <w:rFonts w:cs="Arial"/>
          <w:b/>
          <w:bCs/>
          <w:szCs w:val="22"/>
          <w:shd w:val="clear" w:color="auto" w:fill="FFFFFF"/>
          <w:lang w:val="en-CA"/>
        </w:rPr>
        <w:t>10.</w:t>
      </w:r>
      <w:r w:rsidRPr="004E1DE3">
        <w:rPr>
          <w:rFonts w:cs="Arial"/>
          <w:szCs w:val="22"/>
          <w:shd w:val="clear" w:color="auto" w:fill="FFFFFF"/>
          <w:lang w:val="en-CA"/>
        </w:rPr>
        <w:t> </w:t>
      </w:r>
      <w:r w:rsidR="00D323AE" w:rsidRPr="004E1DE3">
        <w:rPr>
          <w:rStyle w:val="subsection"/>
          <w:rFonts w:cs="Arial"/>
          <w:szCs w:val="22"/>
          <w:u w:val="single"/>
          <w:shd w:val="clear" w:color="auto" w:fill="FFFFFF"/>
          <w:lang w:val="en-CA"/>
        </w:rPr>
        <w:t>A person carrying on an enterprise must take the security measures necessary to ensure the protection of the personal information collected, used, communicated, kept or destroyed and that are reasonable given the sensitivity of the information, the purposes for which it is to be used, the quantity and distribution of the information and the medium on which it is stored.</w:t>
      </w:r>
    </w:p>
    <w:p w14:paraId="1345C08C" w14:textId="77777777" w:rsidR="00362428" w:rsidRPr="004E1DE3" w:rsidRDefault="00362428" w:rsidP="00362428">
      <w:pPr>
        <w:pStyle w:val="Citationenretrait"/>
        <w:spacing w:after="0"/>
        <w:contextualSpacing/>
        <w:rPr>
          <w:rStyle w:val="subsection"/>
          <w:rFonts w:cs="Arial"/>
          <w:szCs w:val="22"/>
          <w:shd w:val="clear" w:color="auto" w:fill="FFFFFF"/>
          <w:lang w:val="en-CA"/>
        </w:rPr>
      </w:pPr>
    </w:p>
    <w:p w14:paraId="75F863C4" w14:textId="77777777" w:rsidR="00362428" w:rsidRPr="004E1DE3" w:rsidRDefault="00573CA9" w:rsidP="00362428">
      <w:pPr>
        <w:shd w:val="clear" w:color="auto" w:fill="FFFFFF"/>
        <w:spacing w:before="120" w:after="120"/>
        <w:ind w:left="720" w:right="822"/>
        <w:contextualSpacing/>
        <w:jc w:val="both"/>
        <w:rPr>
          <w:rFonts w:cs="Arial"/>
          <w:sz w:val="22"/>
          <w:szCs w:val="22"/>
          <w:lang w:val="en-CA" w:eastAsia="fr-CA"/>
        </w:rPr>
      </w:pPr>
      <w:r w:rsidRPr="004E1DE3">
        <w:rPr>
          <w:rFonts w:cs="Arial"/>
          <w:b/>
          <w:bCs/>
          <w:sz w:val="22"/>
          <w:szCs w:val="22"/>
          <w:lang w:val="en-CA" w:eastAsia="fr-CA"/>
        </w:rPr>
        <w:t>28.</w:t>
      </w:r>
      <w:r w:rsidRPr="004E1DE3">
        <w:rPr>
          <w:rFonts w:cs="Arial"/>
          <w:sz w:val="22"/>
          <w:szCs w:val="22"/>
          <w:lang w:val="en-CA" w:eastAsia="fr-CA"/>
        </w:rPr>
        <w:t xml:space="preserve"> </w:t>
      </w:r>
      <w:r w:rsidR="00D323AE" w:rsidRPr="004E1DE3">
        <w:rPr>
          <w:rFonts w:cs="Arial"/>
          <w:sz w:val="22"/>
          <w:szCs w:val="22"/>
          <w:lang w:val="en-CA" w:eastAsia="fr-CA"/>
        </w:rPr>
        <w:t>In addition to the rights provided under the first paragraph of article 40 of the Civil Code, the person concerned is entitled to obtain that any personal information collected otherwise than according to law be deleted.</w:t>
      </w:r>
    </w:p>
    <w:p w14:paraId="55185D26" w14:textId="77777777" w:rsidR="00362428" w:rsidRPr="004E1DE3" w:rsidRDefault="00362428" w:rsidP="00362428">
      <w:pPr>
        <w:shd w:val="clear" w:color="auto" w:fill="FFFFFF"/>
        <w:spacing w:before="120" w:after="120"/>
        <w:ind w:right="822" w:firstLine="731"/>
        <w:contextualSpacing/>
        <w:jc w:val="both"/>
        <w:rPr>
          <w:rFonts w:cs="Arial"/>
          <w:sz w:val="22"/>
          <w:szCs w:val="22"/>
          <w:lang w:val="en-CA" w:eastAsia="fr-CA"/>
        </w:rPr>
      </w:pPr>
    </w:p>
    <w:p w14:paraId="22BA59E4" w14:textId="77777777" w:rsidR="00362428" w:rsidRPr="004E1DE3" w:rsidRDefault="00940EDA" w:rsidP="00362428">
      <w:pPr>
        <w:shd w:val="clear" w:color="auto" w:fill="FFFFFF"/>
        <w:spacing w:before="120" w:after="120"/>
        <w:ind w:left="720" w:right="822"/>
        <w:contextualSpacing/>
        <w:jc w:val="both"/>
        <w:rPr>
          <w:rFonts w:cs="Arial"/>
          <w:sz w:val="22"/>
          <w:szCs w:val="22"/>
          <w:lang w:val="en-CA" w:eastAsia="fr-CA"/>
        </w:rPr>
      </w:pPr>
      <w:r w:rsidRPr="004E1DE3">
        <w:rPr>
          <w:rFonts w:cs="Arial"/>
          <w:b/>
          <w:bCs/>
          <w:sz w:val="22"/>
          <w:szCs w:val="22"/>
          <w:lang w:val="en-CA" w:eastAsia="fr-CA"/>
        </w:rPr>
        <w:t>29.</w:t>
      </w:r>
      <w:r w:rsidRPr="004E1DE3">
        <w:rPr>
          <w:rFonts w:cs="Arial"/>
          <w:sz w:val="22"/>
          <w:szCs w:val="22"/>
          <w:lang w:val="en-CA" w:eastAsia="fr-CA"/>
        </w:rPr>
        <w:t> </w:t>
      </w:r>
      <w:r w:rsidR="00D323AE" w:rsidRPr="004E1DE3">
        <w:rPr>
          <w:rFonts w:cs="Arial"/>
          <w:sz w:val="22"/>
          <w:szCs w:val="22"/>
          <w:lang w:val="en-CA" w:eastAsia="fr-CA"/>
        </w:rPr>
        <w:t>Every person carrying on an enterprise who holds files on other persons must take the necessary steps to ensure the exercise by a person concerned of the rights provided under articles 37 to 40 of the Civil Code and the rights conferred by this Act.</w:t>
      </w:r>
      <w:r w:rsidRPr="004E1DE3">
        <w:rPr>
          <w:rFonts w:cs="Arial"/>
          <w:sz w:val="22"/>
          <w:szCs w:val="22"/>
          <w:lang w:val="en-CA" w:eastAsia="fr-CA"/>
        </w:rPr>
        <w:t xml:space="preserve"> </w:t>
      </w:r>
      <w:r w:rsidR="00D323AE" w:rsidRPr="004E1DE3">
        <w:rPr>
          <w:rFonts w:cs="Arial"/>
          <w:sz w:val="22"/>
          <w:szCs w:val="22"/>
          <w:lang w:val="en-CA" w:eastAsia="fr-CA"/>
        </w:rPr>
        <w:t>In particular, he must inform the public of the place where, and manner in which, access to the files may be granted.</w:t>
      </w:r>
    </w:p>
    <w:p w14:paraId="6217468F" w14:textId="77777777" w:rsidR="00362428" w:rsidRPr="004E1DE3" w:rsidRDefault="00573CA9" w:rsidP="00131625">
      <w:pPr>
        <w:pStyle w:val="Citationenretrait"/>
        <w:ind w:left="993"/>
        <w:jc w:val="right"/>
        <w:rPr>
          <w:sz w:val="24"/>
          <w:szCs w:val="24"/>
          <w:lang w:val="en-CA"/>
        </w:rPr>
      </w:pPr>
      <w:r w:rsidRPr="004E1DE3">
        <w:rPr>
          <w:rStyle w:val="subsection"/>
          <w:rFonts w:cs="Arial"/>
          <w:sz w:val="24"/>
          <w:szCs w:val="24"/>
          <w:lang w:val="en-CA"/>
        </w:rPr>
        <w:t>[Emphasis added.]</w:t>
      </w:r>
    </w:p>
    <w:p w14:paraId="31FAC7C6" w14:textId="77777777" w:rsidR="009D4E30" w:rsidRPr="004E1DE3" w:rsidRDefault="00573CA9" w:rsidP="00537DC2">
      <w:pPr>
        <w:pStyle w:val="Paragrsimple"/>
        <w:tabs>
          <w:tab w:val="clear" w:pos="2062"/>
          <w:tab w:val="clear" w:pos="4755"/>
          <w:tab w:val="num" w:pos="284"/>
          <w:tab w:val="num" w:pos="851"/>
        </w:tabs>
        <w:ind w:left="0"/>
        <w:rPr>
          <w:szCs w:val="24"/>
          <w:lang w:val="en-CA"/>
        </w:rPr>
      </w:pPr>
      <w:r w:rsidRPr="004E1DE3">
        <w:rPr>
          <w:szCs w:val="24"/>
          <w:lang w:val="en-CA"/>
        </w:rPr>
        <w:lastRenderedPageBreak/>
        <w:t xml:space="preserve">As the </w:t>
      </w:r>
      <w:r w:rsidR="00EC590D" w:rsidRPr="004E1DE3">
        <w:rPr>
          <w:szCs w:val="24"/>
          <w:lang w:val="en-CA"/>
        </w:rPr>
        <w:t>provision</w:t>
      </w:r>
      <w:r w:rsidR="006630F2" w:rsidRPr="004E1DE3">
        <w:rPr>
          <w:szCs w:val="24"/>
          <w:lang w:val="en-CA"/>
        </w:rPr>
        <w:t>s cited</w:t>
      </w:r>
      <w:r w:rsidRPr="004E1DE3">
        <w:rPr>
          <w:szCs w:val="24"/>
          <w:lang w:val="en-CA"/>
        </w:rPr>
        <w:t xml:space="preserve"> above reveal, this </w:t>
      </w:r>
      <w:r w:rsidR="00EC590D" w:rsidRPr="004E1DE3">
        <w:rPr>
          <w:szCs w:val="24"/>
          <w:lang w:val="en-CA"/>
        </w:rPr>
        <w:t xml:space="preserve">legislation </w:t>
      </w:r>
      <w:r w:rsidR="009B66DD" w:rsidRPr="004E1DE3">
        <w:rPr>
          <w:szCs w:val="24"/>
          <w:lang w:val="en-CA"/>
        </w:rPr>
        <w:t xml:space="preserve">implements the </w:t>
      </w:r>
      <w:r w:rsidR="00EC590D" w:rsidRPr="004E1DE3">
        <w:rPr>
          <w:szCs w:val="24"/>
          <w:lang w:val="en-CA"/>
        </w:rPr>
        <w:t>exerci</w:t>
      </w:r>
      <w:r w:rsidR="009B66DD" w:rsidRPr="004E1DE3">
        <w:rPr>
          <w:szCs w:val="24"/>
          <w:lang w:val="en-CA"/>
        </w:rPr>
        <w:t>s</w:t>
      </w:r>
      <w:r w:rsidR="00EC590D" w:rsidRPr="004E1DE3">
        <w:rPr>
          <w:szCs w:val="24"/>
          <w:lang w:val="en-CA"/>
        </w:rPr>
        <w:t xml:space="preserve">e </w:t>
      </w:r>
      <w:r w:rsidR="009B66DD" w:rsidRPr="004E1DE3">
        <w:rPr>
          <w:szCs w:val="24"/>
          <w:lang w:val="en-CA"/>
        </w:rPr>
        <w:t xml:space="preserve">of the </w:t>
      </w:r>
      <w:r w:rsidR="00EC590D" w:rsidRPr="004E1DE3">
        <w:rPr>
          <w:szCs w:val="24"/>
          <w:lang w:val="en-CA"/>
        </w:rPr>
        <w:t>rights conf</w:t>
      </w:r>
      <w:r w:rsidR="009B66DD" w:rsidRPr="004E1DE3">
        <w:rPr>
          <w:szCs w:val="24"/>
          <w:lang w:val="en-CA"/>
        </w:rPr>
        <w:t xml:space="preserve">erred by </w:t>
      </w:r>
      <w:r w:rsidR="00EC590D" w:rsidRPr="004E1DE3">
        <w:rPr>
          <w:szCs w:val="24"/>
          <w:lang w:val="en-CA"/>
        </w:rPr>
        <w:t xml:space="preserve">articles 35 </w:t>
      </w:r>
      <w:r w:rsidR="009B66DD" w:rsidRPr="004E1DE3">
        <w:rPr>
          <w:szCs w:val="24"/>
          <w:lang w:val="en-CA"/>
        </w:rPr>
        <w:t>to</w:t>
      </w:r>
      <w:r w:rsidR="00EC590D" w:rsidRPr="004E1DE3">
        <w:rPr>
          <w:szCs w:val="24"/>
          <w:lang w:val="en-CA"/>
        </w:rPr>
        <w:t xml:space="preserve"> 40 </w:t>
      </w:r>
      <w:r w:rsidR="009B66DD" w:rsidRPr="004E1DE3">
        <w:rPr>
          <w:szCs w:val="24"/>
          <w:lang w:val="en-CA"/>
        </w:rPr>
        <w:t xml:space="preserve">CCQ with respect to the </w:t>
      </w:r>
      <w:r w:rsidR="00EC590D" w:rsidRPr="004E1DE3">
        <w:rPr>
          <w:szCs w:val="24"/>
          <w:lang w:val="en-CA"/>
        </w:rPr>
        <w:t xml:space="preserve">protection </w:t>
      </w:r>
      <w:r w:rsidR="009B66DD" w:rsidRPr="004E1DE3">
        <w:rPr>
          <w:szCs w:val="24"/>
          <w:lang w:val="en-CA"/>
        </w:rPr>
        <w:t xml:space="preserve">of </w:t>
      </w:r>
      <w:r w:rsidR="00EC590D" w:rsidRPr="004E1DE3">
        <w:rPr>
          <w:szCs w:val="24"/>
          <w:lang w:val="en-CA"/>
        </w:rPr>
        <w:t>personal</w:t>
      </w:r>
      <w:r w:rsidR="009B66DD" w:rsidRPr="004E1DE3">
        <w:rPr>
          <w:szCs w:val="24"/>
          <w:lang w:val="en-CA"/>
        </w:rPr>
        <w:t xml:space="preserve"> </w:t>
      </w:r>
      <w:r w:rsidR="00EC590D" w:rsidRPr="004E1DE3">
        <w:rPr>
          <w:szCs w:val="24"/>
          <w:lang w:val="en-CA"/>
        </w:rPr>
        <w:t>information</w:t>
      </w:r>
      <w:r w:rsidR="009B66DD" w:rsidRPr="004E1DE3">
        <w:rPr>
          <w:szCs w:val="24"/>
          <w:lang w:val="en-CA"/>
        </w:rPr>
        <w:t xml:space="preserve"> by setting out </w:t>
      </w:r>
      <w:r w:rsidR="00EC590D" w:rsidRPr="004E1DE3">
        <w:rPr>
          <w:szCs w:val="24"/>
          <w:lang w:val="en-CA"/>
        </w:rPr>
        <w:t>specific</w:t>
      </w:r>
      <w:r w:rsidR="009B66DD" w:rsidRPr="004E1DE3">
        <w:rPr>
          <w:szCs w:val="24"/>
          <w:lang w:val="en-CA"/>
        </w:rPr>
        <w:t xml:space="preserve"> </w:t>
      </w:r>
      <w:r w:rsidR="00EC590D" w:rsidRPr="004E1DE3">
        <w:rPr>
          <w:szCs w:val="24"/>
          <w:lang w:val="en-CA"/>
        </w:rPr>
        <w:t>rules</w:t>
      </w:r>
      <w:r w:rsidR="009B66DD" w:rsidRPr="004E1DE3">
        <w:rPr>
          <w:szCs w:val="24"/>
          <w:lang w:val="en-CA"/>
        </w:rPr>
        <w:t xml:space="preserve"> regarding the </w:t>
      </w:r>
      <w:r w:rsidR="00EC590D" w:rsidRPr="004E1DE3">
        <w:rPr>
          <w:szCs w:val="24"/>
          <w:lang w:val="en-CA"/>
        </w:rPr>
        <w:t>personal</w:t>
      </w:r>
      <w:r w:rsidR="009B66DD" w:rsidRPr="004E1DE3">
        <w:rPr>
          <w:szCs w:val="24"/>
          <w:lang w:val="en-CA"/>
        </w:rPr>
        <w:t xml:space="preserve"> </w:t>
      </w:r>
      <w:r w:rsidR="00EC590D" w:rsidRPr="004E1DE3">
        <w:rPr>
          <w:szCs w:val="24"/>
          <w:lang w:val="en-CA"/>
        </w:rPr>
        <w:t>information</w:t>
      </w:r>
      <w:r w:rsidR="009B66DD" w:rsidRPr="004E1DE3">
        <w:rPr>
          <w:szCs w:val="24"/>
          <w:lang w:val="en-CA"/>
        </w:rPr>
        <w:t xml:space="preserve"> relating to other persons that a person collects</w:t>
      </w:r>
      <w:r w:rsidR="00EC590D" w:rsidRPr="004E1DE3">
        <w:rPr>
          <w:szCs w:val="24"/>
          <w:lang w:val="en-CA"/>
        </w:rPr>
        <w:t>,</w:t>
      </w:r>
      <w:r w:rsidR="009B66DD" w:rsidRPr="004E1DE3">
        <w:rPr>
          <w:szCs w:val="24"/>
          <w:lang w:val="en-CA"/>
        </w:rPr>
        <w:t xml:space="preserve"> holds, uses, or </w:t>
      </w:r>
      <w:r w:rsidR="00EC590D" w:rsidRPr="004E1DE3">
        <w:rPr>
          <w:szCs w:val="24"/>
          <w:lang w:val="en-CA"/>
        </w:rPr>
        <w:t>communi</w:t>
      </w:r>
      <w:r w:rsidR="009B66DD" w:rsidRPr="004E1DE3">
        <w:rPr>
          <w:szCs w:val="24"/>
          <w:lang w:val="en-CA"/>
        </w:rPr>
        <w:t xml:space="preserve">cates to third persons in the course of carrying on an enterprise </w:t>
      </w:r>
      <w:r w:rsidR="00EC590D" w:rsidRPr="004E1DE3">
        <w:rPr>
          <w:szCs w:val="24"/>
          <w:lang w:val="en-CA"/>
        </w:rPr>
        <w:t>within</w:t>
      </w:r>
      <w:r w:rsidR="009B66DD" w:rsidRPr="004E1DE3">
        <w:rPr>
          <w:szCs w:val="24"/>
          <w:lang w:val="en-CA"/>
        </w:rPr>
        <w:t xml:space="preserve"> </w:t>
      </w:r>
      <w:r w:rsidR="00EC590D" w:rsidRPr="004E1DE3">
        <w:rPr>
          <w:szCs w:val="24"/>
          <w:lang w:val="en-CA"/>
        </w:rPr>
        <w:t>the</w:t>
      </w:r>
      <w:r w:rsidR="009B66DD" w:rsidRPr="004E1DE3">
        <w:rPr>
          <w:szCs w:val="24"/>
          <w:lang w:val="en-CA"/>
        </w:rPr>
        <w:t xml:space="preserve"> </w:t>
      </w:r>
      <w:r w:rsidR="00EC590D" w:rsidRPr="004E1DE3">
        <w:rPr>
          <w:szCs w:val="24"/>
          <w:lang w:val="en-CA"/>
        </w:rPr>
        <w:t>meaning</w:t>
      </w:r>
      <w:r w:rsidR="009B66DD" w:rsidRPr="004E1DE3">
        <w:rPr>
          <w:szCs w:val="24"/>
          <w:lang w:val="en-CA"/>
        </w:rPr>
        <w:t xml:space="preserve"> </w:t>
      </w:r>
      <w:r w:rsidR="00EC590D" w:rsidRPr="004E1DE3">
        <w:rPr>
          <w:szCs w:val="24"/>
          <w:lang w:val="en-CA"/>
        </w:rPr>
        <w:t>of</w:t>
      </w:r>
      <w:r w:rsidR="009B66DD" w:rsidRPr="004E1DE3">
        <w:rPr>
          <w:szCs w:val="24"/>
          <w:lang w:val="en-CA"/>
        </w:rPr>
        <w:t xml:space="preserve"> article</w:t>
      </w:r>
      <w:r w:rsidR="00EC590D" w:rsidRPr="004E1DE3">
        <w:rPr>
          <w:szCs w:val="24"/>
          <w:lang w:val="en-CA"/>
        </w:rPr>
        <w:t xml:space="preserve"> 1525 CCQ.</w:t>
      </w:r>
    </w:p>
    <w:p w14:paraId="7CCEB903" w14:textId="77777777" w:rsidR="004573AB" w:rsidRPr="004E1DE3" w:rsidRDefault="00573CA9" w:rsidP="00B421FC">
      <w:pPr>
        <w:pStyle w:val="Paragrsimple"/>
        <w:tabs>
          <w:tab w:val="clear" w:pos="2062"/>
          <w:tab w:val="clear" w:pos="4755"/>
          <w:tab w:val="num" w:pos="0"/>
        </w:tabs>
        <w:ind w:left="0"/>
        <w:rPr>
          <w:lang w:val="en-CA"/>
        </w:rPr>
      </w:pPr>
      <w:r w:rsidRPr="004E1DE3">
        <w:rPr>
          <w:lang w:val="en-CA"/>
        </w:rPr>
        <w:t xml:space="preserve">It seems quite obvious that these </w:t>
      </w:r>
      <w:r w:rsidR="00940EDA" w:rsidRPr="004E1DE3">
        <w:rPr>
          <w:lang w:val="en-CA"/>
        </w:rPr>
        <w:t>statutory</w:t>
      </w:r>
      <w:r w:rsidRPr="004E1DE3">
        <w:rPr>
          <w:lang w:val="en-CA"/>
        </w:rPr>
        <w:t xml:space="preserve"> </w:t>
      </w:r>
      <w:r w:rsidR="00940EDA" w:rsidRPr="004E1DE3">
        <w:rPr>
          <w:lang w:val="en-CA"/>
        </w:rPr>
        <w:t>provisions</w:t>
      </w:r>
      <w:r w:rsidRPr="004E1DE3">
        <w:rPr>
          <w:lang w:val="en-CA"/>
        </w:rPr>
        <w:t xml:space="preserve"> provide a </w:t>
      </w:r>
      <w:r w:rsidR="006F5D11" w:rsidRPr="004E1DE3">
        <w:rPr>
          <w:lang w:val="en-CA"/>
        </w:rPr>
        <w:t>l</w:t>
      </w:r>
      <w:r w:rsidR="00940EDA" w:rsidRPr="004E1DE3">
        <w:rPr>
          <w:lang w:val="en-CA"/>
        </w:rPr>
        <w:t>egal</w:t>
      </w:r>
      <w:r w:rsidR="006F5D11" w:rsidRPr="004E1DE3">
        <w:rPr>
          <w:lang w:val="en-CA"/>
        </w:rPr>
        <w:t xml:space="preserve"> </w:t>
      </w:r>
      <w:r w:rsidR="00940EDA" w:rsidRPr="004E1DE3">
        <w:rPr>
          <w:lang w:val="en-CA"/>
        </w:rPr>
        <w:t>framework</w:t>
      </w:r>
      <w:r w:rsidR="006F5D11" w:rsidRPr="004E1DE3">
        <w:rPr>
          <w:lang w:val="en-CA"/>
        </w:rPr>
        <w:t xml:space="preserve"> of standards that enterprises such as the one operated by the </w:t>
      </w:r>
      <w:r w:rsidR="00940EDA" w:rsidRPr="004E1DE3">
        <w:rPr>
          <w:lang w:val="en-CA"/>
        </w:rPr>
        <w:t>defendants</w:t>
      </w:r>
      <w:r w:rsidR="006F5D11" w:rsidRPr="004E1DE3">
        <w:rPr>
          <w:lang w:val="en-CA"/>
        </w:rPr>
        <w:t xml:space="preserve"> in </w:t>
      </w:r>
      <w:r w:rsidR="00940EDA" w:rsidRPr="004E1DE3">
        <w:rPr>
          <w:lang w:val="en-CA"/>
        </w:rPr>
        <w:t>Qu</w:t>
      </w:r>
      <w:r w:rsidR="006F5D11" w:rsidRPr="004E1DE3">
        <w:rPr>
          <w:lang w:val="en-CA"/>
        </w:rPr>
        <w:t>e</w:t>
      </w:r>
      <w:r w:rsidR="00940EDA" w:rsidRPr="004E1DE3">
        <w:rPr>
          <w:lang w:val="en-CA"/>
        </w:rPr>
        <w:t>bec</w:t>
      </w:r>
      <w:r w:rsidR="006F5D11" w:rsidRPr="004E1DE3">
        <w:rPr>
          <w:lang w:val="en-CA"/>
        </w:rPr>
        <w:t xml:space="preserve"> must comply with</w:t>
      </w:r>
      <w:r w:rsidR="00940EDA" w:rsidRPr="004E1DE3">
        <w:rPr>
          <w:lang w:val="en-CA"/>
        </w:rPr>
        <w:t>.</w:t>
      </w:r>
    </w:p>
    <w:p w14:paraId="219CB03D" w14:textId="77777777" w:rsidR="00362428" w:rsidRPr="004E1DE3" w:rsidRDefault="00573CA9" w:rsidP="006F5D11">
      <w:pPr>
        <w:pStyle w:val="Paragrdouble"/>
        <w:keepNext/>
        <w:tabs>
          <w:tab w:val="clear" w:pos="2062"/>
          <w:tab w:val="num" w:pos="851"/>
        </w:tabs>
        <w:ind w:left="0"/>
        <w:rPr>
          <w:szCs w:val="24"/>
          <w:lang w:val="en-CA"/>
        </w:rPr>
      </w:pPr>
      <w:r w:rsidRPr="004E1DE3">
        <w:rPr>
          <w:lang w:val="en-CA"/>
        </w:rPr>
        <w:t>Moreover</w:t>
      </w:r>
      <w:r w:rsidR="006F5D11" w:rsidRPr="004E1DE3">
        <w:rPr>
          <w:lang w:val="en-CA"/>
        </w:rPr>
        <w:t xml:space="preserve">, </w:t>
      </w:r>
      <w:r w:rsidR="00940EDA" w:rsidRPr="004E1DE3">
        <w:rPr>
          <w:lang w:val="en-CA"/>
        </w:rPr>
        <w:t xml:space="preserve">articles 35 </w:t>
      </w:r>
      <w:r w:rsidR="006F5D11" w:rsidRPr="004E1DE3">
        <w:rPr>
          <w:lang w:val="en-CA"/>
        </w:rPr>
        <w:t>to</w:t>
      </w:r>
      <w:r w:rsidR="00940EDA" w:rsidRPr="004E1DE3">
        <w:rPr>
          <w:lang w:val="en-CA"/>
        </w:rPr>
        <w:t xml:space="preserve"> 37 </w:t>
      </w:r>
      <w:r w:rsidR="006F5D11" w:rsidRPr="004E1DE3">
        <w:rPr>
          <w:lang w:val="en-CA"/>
        </w:rPr>
        <w:t>CCQ state</w:t>
      </w:r>
      <w:r w:rsidR="00940EDA" w:rsidRPr="004E1DE3">
        <w:rPr>
          <w:lang w:val="en-CA"/>
        </w:rPr>
        <w:t>:</w:t>
      </w:r>
    </w:p>
    <w:p w14:paraId="1321C94A" w14:textId="77777777" w:rsidR="00362428" w:rsidRPr="004E1DE3" w:rsidRDefault="00940EDA" w:rsidP="006F5D11">
      <w:pPr>
        <w:pStyle w:val="Citationenretrait"/>
        <w:keepNext/>
        <w:rPr>
          <w:lang w:val="en-CA" w:eastAsia="fr-CA"/>
        </w:rPr>
      </w:pPr>
      <w:r w:rsidRPr="004E1DE3">
        <w:rPr>
          <w:b/>
          <w:bCs/>
          <w:szCs w:val="24"/>
          <w:lang w:val="en-CA" w:eastAsia="fr-CA"/>
        </w:rPr>
        <w:t>35.</w:t>
      </w:r>
      <w:r w:rsidRPr="004E1DE3">
        <w:rPr>
          <w:lang w:val="en-CA" w:eastAsia="fr-CA"/>
        </w:rPr>
        <w:t> </w:t>
      </w:r>
      <w:r w:rsidR="00D323AE" w:rsidRPr="004E1DE3">
        <w:rPr>
          <w:lang w:val="en-CA" w:eastAsia="fr-CA"/>
        </w:rPr>
        <w:t>Every person has a right to the respect of his reputation and privacy.</w:t>
      </w:r>
    </w:p>
    <w:p w14:paraId="1233C70B" w14:textId="77777777" w:rsidR="00362428" w:rsidRPr="004E1DE3" w:rsidRDefault="00573CA9" w:rsidP="00362428">
      <w:pPr>
        <w:pStyle w:val="Citationenretrait"/>
        <w:rPr>
          <w:lang w:val="en-CA" w:eastAsia="fr-CA"/>
        </w:rPr>
      </w:pPr>
      <w:r w:rsidRPr="004E1DE3">
        <w:rPr>
          <w:lang w:val="en-CA" w:eastAsia="fr-CA"/>
        </w:rPr>
        <w:t>The privacy of a person may not be invaded without the consent of the person or without the invasion being authorized by law.</w:t>
      </w:r>
    </w:p>
    <w:p w14:paraId="6767BC72" w14:textId="77777777" w:rsidR="00362428" w:rsidRPr="004E1DE3" w:rsidRDefault="00940EDA" w:rsidP="00362428">
      <w:pPr>
        <w:pStyle w:val="Citationenretrait"/>
        <w:rPr>
          <w:lang w:val="en-CA" w:eastAsia="fr-CA"/>
        </w:rPr>
      </w:pPr>
      <w:r w:rsidRPr="004E1DE3">
        <w:rPr>
          <w:b/>
          <w:bCs/>
          <w:szCs w:val="24"/>
          <w:lang w:val="en-CA" w:eastAsia="fr-CA"/>
        </w:rPr>
        <w:t>36.</w:t>
      </w:r>
      <w:r w:rsidRPr="004E1DE3">
        <w:rPr>
          <w:lang w:val="en-CA" w:eastAsia="fr-CA"/>
        </w:rPr>
        <w:t> </w:t>
      </w:r>
      <w:r w:rsidR="00D323AE" w:rsidRPr="004E1DE3">
        <w:rPr>
          <w:lang w:val="en-CA" w:eastAsia="fr-CA"/>
        </w:rPr>
        <w:t>The following acts, in particular, may be considered as invasions of the privacy of a person:</w:t>
      </w:r>
    </w:p>
    <w:p w14:paraId="11B55E3F" w14:textId="77777777" w:rsidR="00362428" w:rsidRPr="004E1DE3" w:rsidRDefault="00573CA9" w:rsidP="00362428">
      <w:pPr>
        <w:pStyle w:val="Citationenretrait"/>
        <w:rPr>
          <w:lang w:val="en-CA" w:eastAsia="fr-CA"/>
        </w:rPr>
      </w:pPr>
      <w:r w:rsidRPr="004E1DE3">
        <w:rPr>
          <w:lang w:val="en-CA" w:eastAsia="fr-CA"/>
        </w:rPr>
        <w:t>(1)  entering or taking anything in his dwelling;</w:t>
      </w:r>
    </w:p>
    <w:p w14:paraId="75ED61E3" w14:textId="77777777" w:rsidR="00362428" w:rsidRPr="004E1DE3" w:rsidRDefault="00573CA9" w:rsidP="00362428">
      <w:pPr>
        <w:pStyle w:val="Citationenretrait"/>
        <w:rPr>
          <w:lang w:val="en-CA" w:eastAsia="fr-CA"/>
        </w:rPr>
      </w:pPr>
      <w:r w:rsidRPr="004E1DE3">
        <w:rPr>
          <w:lang w:val="en-CA" w:eastAsia="fr-CA"/>
        </w:rPr>
        <w:t>(2)  intentionally intercepting or using his private communications;</w:t>
      </w:r>
    </w:p>
    <w:p w14:paraId="2ED13ADA" w14:textId="77777777" w:rsidR="00362428" w:rsidRPr="004E1DE3" w:rsidRDefault="00573CA9" w:rsidP="00362428">
      <w:pPr>
        <w:pStyle w:val="Citationenretrait"/>
        <w:rPr>
          <w:lang w:val="en-CA" w:eastAsia="fr-CA"/>
        </w:rPr>
      </w:pPr>
      <w:r w:rsidRPr="004E1DE3">
        <w:rPr>
          <w:lang w:val="en-CA" w:eastAsia="fr-CA"/>
        </w:rPr>
        <w:t>(3)  appropriating or using his image or voice while he is in private premises;</w:t>
      </w:r>
    </w:p>
    <w:p w14:paraId="2BCB7A90" w14:textId="77777777" w:rsidR="00362428" w:rsidRPr="004E1DE3" w:rsidRDefault="00573CA9" w:rsidP="00362428">
      <w:pPr>
        <w:pStyle w:val="Citationenretrait"/>
        <w:rPr>
          <w:lang w:val="en-CA" w:eastAsia="fr-CA"/>
        </w:rPr>
      </w:pPr>
      <w:r w:rsidRPr="004E1DE3">
        <w:rPr>
          <w:lang w:val="en-CA" w:eastAsia="fr-CA"/>
        </w:rPr>
        <w:t>(4)  keeping his private life under observation by any means;</w:t>
      </w:r>
    </w:p>
    <w:p w14:paraId="3829B716" w14:textId="77777777" w:rsidR="00362428" w:rsidRPr="004E1DE3" w:rsidRDefault="00573CA9" w:rsidP="00362428">
      <w:pPr>
        <w:pStyle w:val="Citationenretrait"/>
        <w:rPr>
          <w:lang w:val="en-CA" w:eastAsia="fr-CA"/>
        </w:rPr>
      </w:pPr>
      <w:r w:rsidRPr="004E1DE3">
        <w:rPr>
          <w:lang w:val="en-CA" w:eastAsia="fr-CA"/>
        </w:rPr>
        <w:t>(5)  using his name, image, likeness or voice for a purpose other than the legitimate information of the public;</w:t>
      </w:r>
    </w:p>
    <w:p w14:paraId="3361997D" w14:textId="77777777" w:rsidR="00362428" w:rsidRPr="004E1DE3" w:rsidRDefault="00573CA9" w:rsidP="00362428">
      <w:pPr>
        <w:pStyle w:val="Citationenretrait"/>
        <w:rPr>
          <w:lang w:val="en-CA" w:eastAsia="fr-CA"/>
        </w:rPr>
      </w:pPr>
      <w:r w:rsidRPr="004E1DE3">
        <w:rPr>
          <w:lang w:val="en-CA" w:eastAsia="fr-CA"/>
        </w:rPr>
        <w:t>(6)  using his correspondence, manuscripts or other personal documents.</w:t>
      </w:r>
    </w:p>
    <w:p w14:paraId="424A29BA" w14:textId="77777777" w:rsidR="00362428" w:rsidRPr="004E1DE3" w:rsidRDefault="00940EDA" w:rsidP="00362428">
      <w:pPr>
        <w:pStyle w:val="Citationenretrait"/>
        <w:rPr>
          <w:lang w:val="en-CA" w:eastAsia="fr-CA"/>
        </w:rPr>
      </w:pPr>
      <w:r w:rsidRPr="004E1DE3">
        <w:rPr>
          <w:b/>
          <w:bCs/>
          <w:szCs w:val="24"/>
          <w:lang w:val="en-CA" w:eastAsia="fr-CA"/>
        </w:rPr>
        <w:t>37.</w:t>
      </w:r>
      <w:r w:rsidRPr="004E1DE3">
        <w:rPr>
          <w:lang w:val="en-CA" w:eastAsia="fr-CA"/>
        </w:rPr>
        <w:t> </w:t>
      </w:r>
      <w:r w:rsidR="00D323AE" w:rsidRPr="004E1DE3">
        <w:rPr>
          <w:lang w:val="en-CA" w:eastAsia="fr-CA"/>
        </w:rPr>
        <w:t>Every person who establishes a file on another person shall have a serious and legitimate reason for doing so.</w:t>
      </w:r>
      <w:r w:rsidRPr="004E1DE3">
        <w:rPr>
          <w:lang w:val="en-CA" w:eastAsia="fr-CA"/>
        </w:rPr>
        <w:t xml:space="preserve"> </w:t>
      </w:r>
      <w:r w:rsidR="00D323AE" w:rsidRPr="004E1DE3">
        <w:rPr>
          <w:lang w:val="en-CA" w:eastAsia="fr-CA"/>
        </w:rPr>
        <w:t>He may gather only information which is relevant to the stated objective of the file, and may not, without the consent of the person concerned or authorization by law, communicate such information to third persons or use it for purposes that are inconsistent with the purposes for which the file was established. In addition, he may not, when establishing or using the file, otherwise invade the privacy or injure the reputation of the person concerned.</w:t>
      </w:r>
    </w:p>
    <w:p w14:paraId="322F8BD4" w14:textId="77777777" w:rsidR="00CB369E" w:rsidRPr="004E1DE3" w:rsidRDefault="00573CA9" w:rsidP="007D1A3F">
      <w:pPr>
        <w:pStyle w:val="Paragrdouble"/>
        <w:tabs>
          <w:tab w:val="num" w:pos="851"/>
        </w:tabs>
        <w:spacing w:line="240" w:lineRule="auto"/>
        <w:ind w:left="0"/>
        <w:rPr>
          <w:i/>
          <w:iCs/>
          <w:szCs w:val="24"/>
          <w:lang w:val="en-CA"/>
        </w:rPr>
      </w:pPr>
      <w:r w:rsidRPr="004E1DE3">
        <w:rPr>
          <w:rFonts w:cs="Arial"/>
          <w:szCs w:val="24"/>
          <w:lang w:val="en-CA"/>
        </w:rPr>
        <w:t xml:space="preserve">As we will see below, </w:t>
      </w:r>
      <w:r w:rsidR="00940EDA" w:rsidRPr="004E1DE3">
        <w:rPr>
          <w:rFonts w:cs="Arial"/>
          <w:szCs w:val="24"/>
          <w:lang w:val="en-CA"/>
        </w:rPr>
        <w:t>article 1525 </w:t>
      </w:r>
      <w:r w:rsidRPr="004E1DE3">
        <w:rPr>
          <w:rFonts w:cs="Arial"/>
          <w:szCs w:val="24"/>
          <w:lang w:val="en-CA"/>
        </w:rPr>
        <w:t>CCQ addresses the presumed solidarity between debtors</w:t>
      </w:r>
      <w:r w:rsidR="004152B1" w:rsidRPr="004E1DE3">
        <w:rPr>
          <w:rFonts w:cs="Arial"/>
          <w:szCs w:val="24"/>
          <w:lang w:val="en-CA"/>
        </w:rPr>
        <w:t xml:space="preserve"> where an </w:t>
      </w:r>
      <w:r w:rsidR="00940EDA" w:rsidRPr="004E1DE3">
        <w:rPr>
          <w:rFonts w:cs="Arial"/>
          <w:szCs w:val="24"/>
          <w:shd w:val="clear" w:color="auto" w:fill="FFFFFF"/>
          <w:lang w:val="en-CA"/>
        </w:rPr>
        <w:t>obligation</w:t>
      </w:r>
      <w:r w:rsidR="004152B1" w:rsidRPr="004E1DE3">
        <w:rPr>
          <w:rFonts w:cs="Arial"/>
          <w:szCs w:val="24"/>
          <w:shd w:val="clear" w:color="auto" w:fill="FFFFFF"/>
          <w:lang w:val="en-CA"/>
        </w:rPr>
        <w:t xml:space="preserve"> is contracted for the </w:t>
      </w:r>
      <w:r w:rsidR="00940EDA" w:rsidRPr="004E1DE3">
        <w:rPr>
          <w:rFonts w:cs="Arial"/>
          <w:szCs w:val="24"/>
          <w:shd w:val="clear" w:color="auto" w:fill="FFFFFF"/>
          <w:lang w:val="en-CA"/>
        </w:rPr>
        <w:t xml:space="preserve">service </w:t>
      </w:r>
      <w:r w:rsidR="004152B1" w:rsidRPr="004E1DE3">
        <w:rPr>
          <w:rFonts w:cs="Arial"/>
          <w:szCs w:val="24"/>
          <w:shd w:val="clear" w:color="auto" w:fill="FFFFFF"/>
          <w:lang w:val="en-CA"/>
        </w:rPr>
        <w:t xml:space="preserve">or operation of an </w:t>
      </w:r>
      <w:r w:rsidR="00940EDA" w:rsidRPr="004E1DE3">
        <w:rPr>
          <w:rFonts w:cs="Arial"/>
          <w:szCs w:val="24"/>
          <w:shd w:val="clear" w:color="auto" w:fill="FFFFFF"/>
          <w:lang w:val="en-CA"/>
        </w:rPr>
        <w:t>ent</w:t>
      </w:r>
      <w:r w:rsidR="00141921" w:rsidRPr="004E1DE3">
        <w:rPr>
          <w:rFonts w:cs="Arial"/>
          <w:szCs w:val="24"/>
          <w:shd w:val="clear" w:color="auto" w:fill="FFFFFF"/>
          <w:lang w:val="en-CA"/>
        </w:rPr>
        <w:t>e</w:t>
      </w:r>
      <w:r w:rsidR="00940EDA" w:rsidRPr="004E1DE3">
        <w:rPr>
          <w:rFonts w:cs="Arial"/>
          <w:szCs w:val="24"/>
          <w:shd w:val="clear" w:color="auto" w:fill="FFFFFF"/>
          <w:lang w:val="en-CA"/>
        </w:rPr>
        <w:t>rprise.</w:t>
      </w:r>
    </w:p>
    <w:p w14:paraId="651413E3" w14:textId="77777777" w:rsidR="00B97759" w:rsidRPr="004E1DE3" w:rsidRDefault="00573CA9" w:rsidP="00912E94">
      <w:pPr>
        <w:pStyle w:val="Paragrdouble"/>
        <w:tabs>
          <w:tab w:val="num" w:pos="851"/>
        </w:tabs>
        <w:spacing w:line="240" w:lineRule="auto"/>
        <w:ind w:left="0"/>
        <w:rPr>
          <w:rFonts w:ascii="Helvetica" w:hAnsi="Helvetica" w:cs="Helvetica"/>
          <w:color w:val="333333"/>
          <w:lang w:val="en-CA" w:eastAsia="fr-CA"/>
        </w:rPr>
      </w:pPr>
      <w:r w:rsidRPr="004E1DE3">
        <w:rPr>
          <w:lang w:val="en-CA"/>
        </w:rPr>
        <w:lastRenderedPageBreak/>
        <w:t xml:space="preserve">The </w:t>
      </w:r>
      <w:r w:rsidR="002C4F7B" w:rsidRPr="004E1DE3">
        <w:rPr>
          <w:i/>
          <w:iCs/>
          <w:lang w:val="en-CA"/>
        </w:rPr>
        <w:t>Federal</w:t>
      </w:r>
      <w:r w:rsidRPr="004E1DE3">
        <w:rPr>
          <w:i/>
          <w:iCs/>
          <w:lang w:val="en-CA"/>
        </w:rPr>
        <w:t xml:space="preserve"> Act</w:t>
      </w:r>
      <w:r w:rsidRPr="004E1DE3">
        <w:rPr>
          <w:lang w:val="en-CA"/>
        </w:rPr>
        <w:t xml:space="preserve">, for its part, concerns the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and electronic </w:t>
      </w:r>
      <w:r w:rsidR="00940EDA" w:rsidRPr="004E1DE3">
        <w:rPr>
          <w:lang w:val="en-CA"/>
        </w:rPr>
        <w:t xml:space="preserve">documents </w:t>
      </w:r>
      <w:r w:rsidRPr="004E1DE3">
        <w:rPr>
          <w:lang w:val="en-CA"/>
        </w:rPr>
        <w:t xml:space="preserve">handled by an </w:t>
      </w:r>
      <w:r w:rsidR="00940EDA" w:rsidRPr="004E1DE3">
        <w:rPr>
          <w:lang w:val="en-CA"/>
        </w:rPr>
        <w:t>ent</w:t>
      </w:r>
      <w:r w:rsidRPr="004E1DE3">
        <w:rPr>
          <w:lang w:val="en-CA"/>
        </w:rPr>
        <w:t>e</w:t>
      </w:r>
      <w:r w:rsidR="00940EDA" w:rsidRPr="004E1DE3">
        <w:rPr>
          <w:lang w:val="en-CA"/>
        </w:rPr>
        <w:t xml:space="preserve">rprise </w:t>
      </w:r>
      <w:r w:rsidRPr="004E1DE3">
        <w:rPr>
          <w:lang w:val="en-CA"/>
        </w:rPr>
        <w:t xml:space="preserve">subject to that </w:t>
      </w:r>
      <w:r w:rsidRPr="004E1DE3">
        <w:rPr>
          <w:i/>
          <w:iCs/>
          <w:lang w:val="en-CA"/>
        </w:rPr>
        <w:t>Act</w:t>
      </w:r>
      <w:r w:rsidRPr="004E1DE3">
        <w:rPr>
          <w:lang w:val="en-CA"/>
        </w:rPr>
        <w:t>.</w:t>
      </w:r>
    </w:p>
    <w:p w14:paraId="4E4BDD6E" w14:textId="77777777" w:rsidR="00131625" w:rsidRPr="004E1DE3" w:rsidRDefault="00573CA9" w:rsidP="00912E94">
      <w:pPr>
        <w:pStyle w:val="Paragrdouble"/>
        <w:tabs>
          <w:tab w:val="num" w:pos="851"/>
        </w:tabs>
        <w:spacing w:line="240" w:lineRule="auto"/>
        <w:ind w:left="0"/>
        <w:rPr>
          <w:rFonts w:ascii="Helvetica" w:hAnsi="Helvetica" w:cs="Helvetica"/>
          <w:color w:val="333333"/>
          <w:lang w:val="en-CA" w:eastAsia="fr-CA"/>
        </w:rPr>
      </w:pPr>
      <w:r w:rsidRPr="004E1DE3">
        <w:rPr>
          <w:lang w:val="en-CA"/>
        </w:rPr>
        <w:t xml:space="preserve">In this case, as set out in its section 30, it could apply to the extent that the </w:t>
      </w:r>
      <w:r w:rsidR="00912E94" w:rsidRPr="004E1DE3">
        <w:rPr>
          <w:lang w:val="en-CA"/>
        </w:rPr>
        <w:t>National</w:t>
      </w:r>
      <w:r w:rsidRPr="004E1DE3">
        <w:rPr>
          <w:lang w:val="en-CA"/>
        </w:rPr>
        <w:t xml:space="preserve"> </w:t>
      </w:r>
      <w:r w:rsidR="00912E94" w:rsidRPr="004E1DE3">
        <w:rPr>
          <w:lang w:val="en-CA"/>
        </w:rPr>
        <w:t>Assembly</w:t>
      </w:r>
      <w:r w:rsidRPr="004E1DE3">
        <w:rPr>
          <w:lang w:val="en-CA"/>
        </w:rPr>
        <w:t xml:space="preserve"> </w:t>
      </w:r>
      <w:r w:rsidR="00912E94" w:rsidRPr="004E1DE3">
        <w:rPr>
          <w:lang w:val="en-CA"/>
        </w:rPr>
        <w:t>of</w:t>
      </w:r>
      <w:r w:rsidRPr="004E1DE3">
        <w:rPr>
          <w:lang w:val="en-CA"/>
        </w:rPr>
        <w:t xml:space="preserve"> </w:t>
      </w:r>
      <w:r w:rsidR="00912E94" w:rsidRPr="004E1DE3">
        <w:rPr>
          <w:lang w:val="en-CA"/>
        </w:rPr>
        <w:t xml:space="preserve">Quebec </w:t>
      </w:r>
      <w:r w:rsidR="0072489C" w:rsidRPr="004E1DE3">
        <w:rPr>
          <w:lang w:val="en-CA"/>
        </w:rPr>
        <w:t xml:space="preserve">does not have the power to enact a statute on the collection, use, or disclosure of </w:t>
      </w:r>
      <w:r w:rsidR="00B421FC" w:rsidRPr="004E1DE3">
        <w:rPr>
          <w:lang w:val="en-CA"/>
        </w:rPr>
        <w:t>personal</w:t>
      </w:r>
      <w:r w:rsidR="0072489C" w:rsidRPr="004E1DE3">
        <w:rPr>
          <w:lang w:val="en-CA"/>
        </w:rPr>
        <w:t xml:space="preserve"> </w:t>
      </w:r>
      <w:r w:rsidR="00B421FC" w:rsidRPr="004E1DE3">
        <w:rPr>
          <w:lang w:val="en-CA"/>
        </w:rPr>
        <w:t>information</w:t>
      </w:r>
      <w:r w:rsidR="0072489C" w:rsidRPr="004E1DE3">
        <w:rPr>
          <w:lang w:val="en-CA"/>
        </w:rPr>
        <w:t xml:space="preserve"> or if a </w:t>
      </w:r>
      <w:r w:rsidR="00B421FC" w:rsidRPr="004E1DE3">
        <w:rPr>
          <w:lang w:val="en-CA"/>
        </w:rPr>
        <w:t>person</w:t>
      </w:r>
      <w:r w:rsidR="0072489C" w:rsidRPr="004E1DE3">
        <w:rPr>
          <w:lang w:val="en-CA"/>
        </w:rPr>
        <w:t xml:space="preserve"> discloses the information outside the province for consideration</w:t>
      </w:r>
      <w:r w:rsidR="00B421FC" w:rsidRPr="004E1DE3">
        <w:rPr>
          <w:lang w:val="en-CA"/>
        </w:rPr>
        <w:t xml:space="preserve">, </w:t>
      </w:r>
      <w:r w:rsidR="00092F59" w:rsidRPr="004E1DE3">
        <w:rPr>
          <w:lang w:val="en-CA"/>
        </w:rPr>
        <w:t xml:space="preserve">which could be the case for the </w:t>
      </w:r>
      <w:r w:rsidR="00B421FC" w:rsidRPr="004E1DE3">
        <w:rPr>
          <w:lang w:val="en-CA"/>
        </w:rPr>
        <w:t>defendants</w:t>
      </w:r>
      <w:r w:rsidR="00092F59" w:rsidRPr="004E1DE3">
        <w:rPr>
          <w:lang w:val="en-CA"/>
        </w:rPr>
        <w:t xml:space="preserve">, but the </w:t>
      </w:r>
      <w:r w:rsidR="00B421FC" w:rsidRPr="004E1DE3">
        <w:rPr>
          <w:lang w:val="en-CA"/>
        </w:rPr>
        <w:t>evidence</w:t>
      </w:r>
      <w:r w:rsidR="00092F59" w:rsidRPr="004E1DE3">
        <w:rPr>
          <w:lang w:val="en-CA"/>
        </w:rPr>
        <w:t xml:space="preserve"> is not sufficiently e</w:t>
      </w:r>
      <w:r w:rsidR="00B421FC" w:rsidRPr="004E1DE3">
        <w:rPr>
          <w:lang w:val="en-CA"/>
        </w:rPr>
        <w:t>loquent</w:t>
      </w:r>
      <w:r w:rsidR="00092F59" w:rsidRPr="004E1DE3">
        <w:rPr>
          <w:lang w:val="en-CA"/>
        </w:rPr>
        <w:t xml:space="preserve"> on this</w:t>
      </w:r>
      <w:r w:rsidR="00B421FC" w:rsidRPr="004E1DE3">
        <w:rPr>
          <w:lang w:val="en-CA"/>
        </w:rPr>
        <w:t xml:space="preserve"> point:</w:t>
      </w:r>
    </w:p>
    <w:p w14:paraId="4F7AA95D" w14:textId="77777777" w:rsidR="00092F59" w:rsidRPr="004E1DE3" w:rsidRDefault="00573CA9" w:rsidP="00092F59">
      <w:pPr>
        <w:pStyle w:val="Citationenretrait"/>
        <w:rPr>
          <w:lang w:val="en-CA" w:eastAsia="fr-CA"/>
        </w:rPr>
      </w:pPr>
      <w:r w:rsidRPr="004E1DE3">
        <w:rPr>
          <w:b/>
          <w:bCs/>
          <w:lang w:val="en-CA" w:eastAsia="fr-CA"/>
        </w:rPr>
        <w:t>30.</w:t>
      </w:r>
      <w:r w:rsidRPr="004E1DE3">
        <w:rPr>
          <w:lang w:val="en-CA" w:eastAsia="fr-CA"/>
        </w:rPr>
        <w:t xml:space="preserve"> </w:t>
      </w:r>
      <w:r w:rsidRPr="004E1DE3">
        <w:rPr>
          <w:u w:val="single"/>
          <w:lang w:val="en-CA" w:eastAsia="fr-CA"/>
        </w:rPr>
        <w:t>This Part does not apply to any organization</w:t>
      </w:r>
      <w:r w:rsidRPr="004E1DE3">
        <w:rPr>
          <w:lang w:val="en-CA" w:eastAsia="fr-CA"/>
        </w:rPr>
        <w:t xml:space="preserve"> in respect of personal information that it collects, uses or discloses </w:t>
      </w:r>
      <w:r w:rsidRPr="004E1DE3">
        <w:rPr>
          <w:u w:val="single"/>
          <w:lang w:val="en-CA" w:eastAsia="fr-CA"/>
        </w:rPr>
        <w:t>within a province whose legislature has the power to regulate the collection</w:t>
      </w:r>
      <w:r w:rsidRPr="004E1DE3">
        <w:rPr>
          <w:lang w:val="en-CA" w:eastAsia="fr-CA"/>
        </w:rPr>
        <w:t xml:space="preserve">, use or disclosure of the information, </w:t>
      </w:r>
      <w:r w:rsidRPr="004E1DE3">
        <w:rPr>
          <w:u w:val="single"/>
          <w:lang w:val="en-CA" w:eastAsia="fr-CA"/>
        </w:rPr>
        <w:t>unless the organization does it</w:t>
      </w:r>
      <w:r w:rsidRPr="004E1DE3">
        <w:rPr>
          <w:lang w:val="en-CA" w:eastAsia="fr-CA"/>
        </w:rPr>
        <w:t xml:space="preserve"> in connection with the operation of a federal work, undertaking or business or </w:t>
      </w:r>
      <w:r w:rsidRPr="004E1DE3">
        <w:rPr>
          <w:u w:val="single"/>
          <w:lang w:val="en-CA" w:eastAsia="fr-CA"/>
        </w:rPr>
        <w:t>the organization discloses the information outside the province for consideration</w:t>
      </w:r>
      <w:r w:rsidRPr="004E1DE3">
        <w:rPr>
          <w:lang w:val="en-CA" w:eastAsia="fr-CA"/>
        </w:rPr>
        <w:t xml:space="preserve">. </w:t>
      </w:r>
    </w:p>
    <w:p w14:paraId="2FC03DE9" w14:textId="77777777" w:rsidR="00AF55DB" w:rsidRPr="004E1DE3" w:rsidRDefault="00573CA9" w:rsidP="000A016A">
      <w:pPr>
        <w:pStyle w:val="Paragrdouble"/>
        <w:numPr>
          <w:ilvl w:val="0"/>
          <w:numId w:val="0"/>
        </w:numPr>
        <w:ind w:left="1702" w:right="680"/>
        <w:jc w:val="right"/>
        <w:rPr>
          <w:lang w:val="en-CA"/>
        </w:rPr>
      </w:pPr>
      <w:r w:rsidRPr="004E1DE3">
        <w:rPr>
          <w:rStyle w:val="subsection"/>
          <w:rFonts w:cs="Arial"/>
          <w:szCs w:val="24"/>
          <w:lang w:val="en-CA"/>
        </w:rPr>
        <w:tab/>
      </w:r>
      <w:r w:rsidRPr="004E1DE3">
        <w:rPr>
          <w:rStyle w:val="subsection"/>
          <w:rFonts w:cs="Arial"/>
          <w:szCs w:val="24"/>
          <w:lang w:val="en-CA"/>
        </w:rPr>
        <w:tab/>
      </w:r>
      <w:r w:rsidRPr="004E1DE3">
        <w:rPr>
          <w:rStyle w:val="subsection"/>
          <w:rFonts w:cs="Arial"/>
          <w:szCs w:val="24"/>
          <w:lang w:val="en-CA"/>
        </w:rPr>
        <w:tab/>
      </w:r>
      <w:r w:rsidR="00D323AE" w:rsidRPr="004E1DE3">
        <w:rPr>
          <w:rStyle w:val="subsection"/>
          <w:rFonts w:cs="Arial"/>
          <w:szCs w:val="24"/>
          <w:lang w:val="en-CA"/>
        </w:rPr>
        <w:t>[Emphasis added.]</w:t>
      </w:r>
    </w:p>
    <w:p w14:paraId="7D13E769" w14:textId="77777777" w:rsidR="00912E94" w:rsidRPr="004E1DE3" w:rsidRDefault="00573CA9" w:rsidP="00912E94">
      <w:pPr>
        <w:pStyle w:val="Paragrdouble"/>
        <w:tabs>
          <w:tab w:val="num" w:pos="851"/>
        </w:tabs>
        <w:spacing w:line="240" w:lineRule="auto"/>
        <w:ind w:left="0"/>
        <w:rPr>
          <w:rFonts w:ascii="Helvetica" w:hAnsi="Helvetica" w:cs="Helvetica"/>
          <w:color w:val="333333"/>
          <w:lang w:val="en-CA" w:eastAsia="fr-CA"/>
        </w:rPr>
      </w:pPr>
      <w:r w:rsidRPr="004E1DE3">
        <w:rPr>
          <w:lang w:val="en-CA"/>
        </w:rPr>
        <w:t xml:space="preserve">The </w:t>
      </w:r>
      <w:r w:rsidR="00940EDA" w:rsidRPr="004E1DE3">
        <w:rPr>
          <w:lang w:val="en-CA"/>
        </w:rPr>
        <w:t>National</w:t>
      </w:r>
      <w:r w:rsidRPr="004E1DE3">
        <w:rPr>
          <w:lang w:val="en-CA"/>
        </w:rPr>
        <w:t xml:space="preserve"> </w:t>
      </w:r>
      <w:r w:rsidR="00940EDA" w:rsidRPr="004E1DE3">
        <w:rPr>
          <w:lang w:val="en-CA"/>
        </w:rPr>
        <w:t>Assembly</w:t>
      </w:r>
      <w:r w:rsidRPr="004E1DE3">
        <w:rPr>
          <w:lang w:val="en-CA"/>
        </w:rPr>
        <w:t xml:space="preserve"> has the power to regulate this </w:t>
      </w:r>
      <w:r w:rsidR="00940EDA" w:rsidRPr="004E1DE3">
        <w:rPr>
          <w:lang w:val="en-CA"/>
        </w:rPr>
        <w:t>activit</w:t>
      </w:r>
      <w:r w:rsidRPr="004E1DE3">
        <w:rPr>
          <w:lang w:val="en-CA"/>
        </w:rPr>
        <w:t xml:space="preserve">y and in fact exercised that power when it enacted the </w:t>
      </w:r>
      <w:r w:rsidRPr="004E1DE3">
        <w:rPr>
          <w:i/>
          <w:iCs/>
          <w:lang w:val="en-CA"/>
        </w:rPr>
        <w:t xml:space="preserve">Quebec Act </w:t>
      </w:r>
      <w:r w:rsidRPr="004E1DE3">
        <w:rPr>
          <w:lang w:val="en-CA"/>
        </w:rPr>
        <w:t>cited above</w:t>
      </w:r>
      <w:r w:rsidR="00940EDA" w:rsidRPr="004E1DE3">
        <w:rPr>
          <w:lang w:val="en-CA"/>
        </w:rPr>
        <w:t>. </w:t>
      </w:r>
    </w:p>
    <w:p w14:paraId="7FA1AA31" w14:textId="77777777" w:rsidR="00B97759" w:rsidRPr="004E1DE3" w:rsidRDefault="00573CA9" w:rsidP="00933419">
      <w:pPr>
        <w:pStyle w:val="Paragrsimple"/>
        <w:tabs>
          <w:tab w:val="clear" w:pos="4755"/>
          <w:tab w:val="num" w:pos="709"/>
        </w:tabs>
        <w:ind w:left="0"/>
        <w:rPr>
          <w:lang w:val="en-CA" w:eastAsia="fr-CA"/>
        </w:rPr>
      </w:pPr>
      <w:r w:rsidRPr="004E1DE3">
        <w:rPr>
          <w:lang w:val="en-CA" w:eastAsia="fr-CA"/>
        </w:rPr>
        <w:t xml:space="preserve">The </w:t>
      </w:r>
      <w:r w:rsidR="002C4F7B" w:rsidRPr="004E1DE3">
        <w:rPr>
          <w:i/>
          <w:iCs/>
          <w:lang w:val="en-CA" w:eastAsia="fr-CA"/>
        </w:rPr>
        <w:t>Federal</w:t>
      </w:r>
      <w:r w:rsidRPr="004E1DE3">
        <w:rPr>
          <w:i/>
          <w:iCs/>
          <w:lang w:val="en-CA" w:eastAsia="fr-CA"/>
        </w:rPr>
        <w:t xml:space="preserve"> Act </w:t>
      </w:r>
      <w:r w:rsidRPr="004E1DE3">
        <w:rPr>
          <w:lang w:val="en-CA" w:eastAsia="fr-CA"/>
        </w:rPr>
        <w:t>may also app</w:t>
      </w:r>
      <w:r w:rsidR="003D29D1" w:rsidRPr="004E1DE3">
        <w:rPr>
          <w:lang w:val="en-CA" w:eastAsia="fr-CA"/>
        </w:rPr>
        <w:t>l</w:t>
      </w:r>
      <w:r w:rsidRPr="004E1DE3">
        <w:rPr>
          <w:lang w:val="en-CA" w:eastAsia="fr-CA"/>
        </w:rPr>
        <w:t xml:space="preserve">y to </w:t>
      </w:r>
      <w:r w:rsidR="00D63B19" w:rsidRPr="004E1DE3">
        <w:rPr>
          <w:lang w:val="en-CA" w:eastAsia="fr-CA"/>
        </w:rPr>
        <w:t xml:space="preserve">Capital One </w:t>
      </w:r>
      <w:r w:rsidR="008C15DD" w:rsidRPr="004E1DE3">
        <w:rPr>
          <w:lang w:val="en-CA" w:eastAsia="fr-CA"/>
        </w:rPr>
        <w:t xml:space="preserve">and to </w:t>
      </w:r>
      <w:r w:rsidR="00D63B19" w:rsidRPr="004E1DE3">
        <w:rPr>
          <w:lang w:val="en-CA" w:eastAsia="fr-CA"/>
        </w:rPr>
        <w:t xml:space="preserve">Amazon </w:t>
      </w:r>
      <w:r w:rsidR="008C15DD" w:rsidRPr="004E1DE3">
        <w:rPr>
          <w:lang w:val="en-CA" w:eastAsia="fr-CA"/>
        </w:rPr>
        <w:t>if they are considered to be federal</w:t>
      </w:r>
      <w:r w:rsidR="00D53FF1">
        <w:rPr>
          <w:lang w:val="en-CA" w:eastAsia="fr-CA"/>
        </w:rPr>
        <w:t xml:space="preserve"> works, undertakings, or businesses,</w:t>
      </w:r>
      <w:r w:rsidR="008C15DD" w:rsidRPr="004E1DE3">
        <w:rPr>
          <w:lang w:val="en-CA" w:eastAsia="fr-CA"/>
        </w:rPr>
        <w:t xml:space="preserve"> or if in this case they have disclosed the </w:t>
      </w:r>
      <w:r w:rsidR="00D63B19" w:rsidRPr="004E1DE3">
        <w:rPr>
          <w:lang w:val="en-CA" w:eastAsia="fr-CA"/>
        </w:rPr>
        <w:t>personal</w:t>
      </w:r>
      <w:r w:rsidR="008C15DD" w:rsidRPr="004E1DE3">
        <w:rPr>
          <w:lang w:val="en-CA" w:eastAsia="fr-CA"/>
        </w:rPr>
        <w:t xml:space="preserve"> </w:t>
      </w:r>
      <w:r w:rsidR="00D63B19" w:rsidRPr="004E1DE3">
        <w:rPr>
          <w:lang w:val="en-CA" w:eastAsia="fr-CA"/>
        </w:rPr>
        <w:t>information</w:t>
      </w:r>
      <w:r w:rsidR="008C15DD" w:rsidRPr="004E1DE3">
        <w:rPr>
          <w:lang w:val="en-CA" w:eastAsia="fr-CA"/>
        </w:rPr>
        <w:t xml:space="preserve"> they</w:t>
      </w:r>
      <w:r w:rsidR="00FE5591" w:rsidRPr="004E1DE3">
        <w:rPr>
          <w:lang w:val="en-CA" w:eastAsia="fr-CA"/>
        </w:rPr>
        <w:t xml:space="preserve"> hold in another </w:t>
      </w:r>
      <w:r w:rsidR="00D63B19" w:rsidRPr="004E1DE3">
        <w:rPr>
          <w:lang w:val="en-CA" w:eastAsia="fr-CA"/>
        </w:rPr>
        <w:t>Canadian</w:t>
      </w:r>
      <w:r w:rsidR="00FE5591" w:rsidRPr="004E1DE3">
        <w:rPr>
          <w:lang w:val="en-CA" w:eastAsia="fr-CA"/>
        </w:rPr>
        <w:t xml:space="preserve"> </w:t>
      </w:r>
      <w:r w:rsidR="00D63B19" w:rsidRPr="004E1DE3">
        <w:rPr>
          <w:lang w:val="en-CA" w:eastAsia="fr-CA"/>
        </w:rPr>
        <w:t>province</w:t>
      </w:r>
      <w:r w:rsidR="00FE5591" w:rsidRPr="004E1DE3">
        <w:rPr>
          <w:lang w:val="en-CA" w:eastAsia="fr-CA"/>
        </w:rPr>
        <w:t xml:space="preserve"> for consideration</w:t>
      </w:r>
      <w:r w:rsidR="00D63B19" w:rsidRPr="004E1DE3">
        <w:rPr>
          <w:lang w:val="en-CA" w:eastAsia="fr-CA"/>
        </w:rPr>
        <w:t>.</w:t>
      </w:r>
    </w:p>
    <w:p w14:paraId="780B0E29" w14:textId="77777777" w:rsidR="00B97759" w:rsidRPr="004E1DE3" w:rsidRDefault="00573CA9" w:rsidP="00933419">
      <w:pPr>
        <w:pStyle w:val="Paragrsimple"/>
        <w:tabs>
          <w:tab w:val="clear" w:pos="4755"/>
          <w:tab w:val="num" w:pos="709"/>
        </w:tabs>
        <w:ind w:left="0"/>
        <w:rPr>
          <w:lang w:val="en-CA" w:eastAsia="fr-CA"/>
        </w:rPr>
      </w:pPr>
      <w:r w:rsidRPr="004E1DE3">
        <w:rPr>
          <w:lang w:val="en-CA" w:eastAsia="fr-CA"/>
        </w:rPr>
        <w:t xml:space="preserve">The </w:t>
      </w:r>
      <w:r w:rsidR="00AF55DB" w:rsidRPr="004E1DE3">
        <w:rPr>
          <w:lang w:val="en-CA" w:eastAsia="fr-CA"/>
        </w:rPr>
        <w:t>evidence</w:t>
      </w:r>
      <w:r w:rsidRPr="004E1DE3">
        <w:rPr>
          <w:lang w:val="en-CA" w:eastAsia="fr-CA"/>
        </w:rPr>
        <w:t xml:space="preserve"> adduced at this stage does not allow the Court to rule definitively on this issue, which must be the subject of </w:t>
      </w:r>
      <w:r w:rsidR="00AF55DB" w:rsidRPr="004E1DE3">
        <w:rPr>
          <w:lang w:val="en-CA" w:eastAsia="fr-CA"/>
        </w:rPr>
        <w:t>debate</w:t>
      </w:r>
      <w:r w:rsidRPr="004E1DE3">
        <w:rPr>
          <w:lang w:val="en-CA" w:eastAsia="fr-CA"/>
        </w:rPr>
        <w:t xml:space="preserve"> before the </w:t>
      </w:r>
      <w:r w:rsidR="00AF55DB" w:rsidRPr="004E1DE3">
        <w:rPr>
          <w:lang w:val="en-CA" w:eastAsia="fr-CA"/>
        </w:rPr>
        <w:t>judge</w:t>
      </w:r>
      <w:r w:rsidRPr="004E1DE3">
        <w:rPr>
          <w:lang w:val="en-CA" w:eastAsia="fr-CA"/>
        </w:rPr>
        <w:t xml:space="preserve"> hearing this case on the merits</w:t>
      </w:r>
      <w:r w:rsidR="00AF55DB" w:rsidRPr="004E1DE3">
        <w:rPr>
          <w:lang w:val="en-CA" w:eastAsia="fr-CA"/>
        </w:rPr>
        <w:t>.</w:t>
      </w:r>
    </w:p>
    <w:p w14:paraId="5B2B3E8B" w14:textId="77777777" w:rsidR="00912E94" w:rsidRPr="004E1DE3" w:rsidRDefault="00573CA9" w:rsidP="00933419">
      <w:pPr>
        <w:pStyle w:val="Paragrsimple"/>
        <w:tabs>
          <w:tab w:val="clear" w:pos="4755"/>
          <w:tab w:val="num" w:pos="709"/>
        </w:tabs>
        <w:ind w:left="0"/>
        <w:rPr>
          <w:lang w:val="en-CA" w:eastAsia="fr-CA"/>
        </w:rPr>
      </w:pPr>
      <w:r w:rsidRPr="004E1DE3">
        <w:rPr>
          <w:lang w:val="en-CA" w:eastAsia="fr-CA"/>
        </w:rPr>
        <w:t xml:space="preserve">The </w:t>
      </w:r>
      <w:r w:rsidR="002C4F7B" w:rsidRPr="004E1DE3">
        <w:rPr>
          <w:i/>
          <w:iCs/>
          <w:lang w:val="en-CA" w:eastAsia="fr-CA"/>
        </w:rPr>
        <w:t>Federal</w:t>
      </w:r>
      <w:r w:rsidRPr="004E1DE3">
        <w:rPr>
          <w:i/>
          <w:iCs/>
          <w:lang w:val="en-CA" w:eastAsia="fr-CA"/>
        </w:rPr>
        <w:t xml:space="preserve"> Act </w:t>
      </w:r>
      <w:r w:rsidRPr="004E1DE3">
        <w:rPr>
          <w:lang w:val="en-CA" w:eastAsia="fr-CA"/>
        </w:rPr>
        <w:t xml:space="preserve">specifically provides for the possibility of filing a </w:t>
      </w:r>
      <w:r w:rsidR="00933419" w:rsidRPr="004E1DE3">
        <w:rPr>
          <w:lang w:val="en-CA" w:eastAsia="fr-CA"/>
        </w:rPr>
        <w:t>complaint</w:t>
      </w:r>
      <w:r w:rsidRPr="004E1DE3">
        <w:rPr>
          <w:lang w:val="en-CA" w:eastAsia="fr-CA"/>
        </w:rPr>
        <w:t xml:space="preserve"> with the Privacy C</w:t>
      </w:r>
      <w:r w:rsidR="00933419" w:rsidRPr="004E1DE3">
        <w:rPr>
          <w:lang w:val="en-CA" w:eastAsia="fr-CA"/>
        </w:rPr>
        <w:t>ommissioner</w:t>
      </w:r>
      <w:r w:rsidRPr="004E1DE3">
        <w:rPr>
          <w:lang w:val="en-CA" w:eastAsia="fr-CA"/>
        </w:rPr>
        <w:t xml:space="preserve"> of </w:t>
      </w:r>
      <w:r w:rsidR="00933419" w:rsidRPr="004E1DE3">
        <w:rPr>
          <w:lang w:val="en-CA" w:eastAsia="fr-CA"/>
        </w:rPr>
        <w:t>Canada</w:t>
      </w:r>
      <w:r w:rsidRPr="004E1DE3">
        <w:rPr>
          <w:lang w:val="en-CA" w:eastAsia="fr-CA"/>
        </w:rPr>
        <w:t xml:space="preserve"> and states that the </w:t>
      </w:r>
      <w:r w:rsidR="00933419" w:rsidRPr="004E1DE3">
        <w:rPr>
          <w:lang w:val="en-CA" w:eastAsia="fr-CA"/>
        </w:rPr>
        <w:t>Federal</w:t>
      </w:r>
      <w:r w:rsidRPr="004E1DE3">
        <w:rPr>
          <w:lang w:val="en-CA" w:eastAsia="fr-CA"/>
        </w:rPr>
        <w:t xml:space="preserve"> </w:t>
      </w:r>
      <w:r w:rsidR="00933419" w:rsidRPr="004E1DE3">
        <w:rPr>
          <w:lang w:val="en-CA" w:eastAsia="fr-CA"/>
        </w:rPr>
        <w:t>Court</w:t>
      </w:r>
      <w:r w:rsidRPr="004E1DE3">
        <w:rPr>
          <w:lang w:val="en-CA" w:eastAsia="fr-CA"/>
        </w:rPr>
        <w:t xml:space="preserve"> of</w:t>
      </w:r>
      <w:r w:rsidR="00933419" w:rsidRPr="004E1DE3">
        <w:rPr>
          <w:lang w:val="en-CA" w:eastAsia="fr-CA"/>
        </w:rPr>
        <w:t xml:space="preserve"> Canada </w:t>
      </w:r>
      <w:r w:rsidR="00874AC1" w:rsidRPr="004E1DE3">
        <w:rPr>
          <w:lang w:val="en-CA" w:eastAsia="fr-CA"/>
        </w:rPr>
        <w:t xml:space="preserve">has jurisdiction in such matters to hear any issue in respect of which a </w:t>
      </w:r>
      <w:r w:rsidR="00933419" w:rsidRPr="004E1DE3">
        <w:rPr>
          <w:lang w:val="en-CA" w:eastAsia="fr-CA"/>
        </w:rPr>
        <w:t>complaint</w:t>
      </w:r>
      <w:r w:rsidR="00874AC1" w:rsidRPr="004E1DE3">
        <w:rPr>
          <w:lang w:val="en-CA" w:eastAsia="fr-CA"/>
        </w:rPr>
        <w:t xml:space="preserve"> was made or to grant a </w:t>
      </w:r>
      <w:r w:rsidR="00933419" w:rsidRPr="004E1DE3">
        <w:rPr>
          <w:lang w:val="en-CA" w:eastAsia="fr-CA"/>
        </w:rPr>
        <w:t>remedy</w:t>
      </w:r>
      <w:r w:rsidR="00874AC1" w:rsidRPr="004E1DE3">
        <w:rPr>
          <w:lang w:val="en-CA" w:eastAsia="fr-CA"/>
        </w:rPr>
        <w:t>, including an award of damages.</w:t>
      </w:r>
      <w:r>
        <w:rPr>
          <w:rStyle w:val="Appelnotedebasdep"/>
          <w:lang w:val="en-CA" w:eastAsia="fr-CA"/>
        </w:rPr>
        <w:footnoteReference w:id="22"/>
      </w:r>
    </w:p>
    <w:p w14:paraId="250B39E2" w14:textId="77777777" w:rsidR="00933419" w:rsidRPr="004E1DE3" w:rsidRDefault="00573CA9" w:rsidP="00131625">
      <w:pPr>
        <w:pStyle w:val="Paragrsimple"/>
        <w:tabs>
          <w:tab w:val="clear" w:pos="2062"/>
          <w:tab w:val="clear" w:pos="4755"/>
          <w:tab w:val="num" w:pos="709"/>
        </w:tabs>
        <w:ind w:left="0"/>
        <w:rPr>
          <w:lang w:val="en-CA" w:eastAsia="fr-CA"/>
        </w:rPr>
      </w:pPr>
      <w:r w:rsidRPr="004E1DE3">
        <w:rPr>
          <w:lang w:val="en-CA" w:eastAsia="fr-CA"/>
        </w:rPr>
        <w:t xml:space="preserve">The </w:t>
      </w:r>
      <w:r w:rsidR="00940EDA" w:rsidRPr="004E1DE3">
        <w:rPr>
          <w:lang w:val="en-CA" w:eastAsia="fr-CA"/>
        </w:rPr>
        <w:t>provisions</w:t>
      </w:r>
      <w:r w:rsidRPr="004E1DE3">
        <w:rPr>
          <w:lang w:val="en-CA" w:eastAsia="fr-CA"/>
        </w:rPr>
        <w:t xml:space="preserve"> of the </w:t>
      </w:r>
      <w:r w:rsidR="00940EDA" w:rsidRPr="004E1DE3">
        <w:rPr>
          <w:i/>
          <w:iCs/>
          <w:lang w:val="en-CA" w:eastAsia="fr-CA"/>
        </w:rPr>
        <w:t>Charter</w:t>
      </w:r>
      <w:r w:rsidR="00940EDA" w:rsidRPr="004E1DE3">
        <w:rPr>
          <w:lang w:val="en-CA" w:eastAsia="fr-CA"/>
        </w:rPr>
        <w:t xml:space="preserve">, </w:t>
      </w:r>
      <w:r w:rsidRPr="004E1DE3">
        <w:rPr>
          <w:lang w:val="en-CA" w:eastAsia="fr-CA"/>
        </w:rPr>
        <w:t xml:space="preserve">the </w:t>
      </w:r>
      <w:r w:rsidRPr="004E1DE3">
        <w:rPr>
          <w:i/>
          <w:iCs/>
          <w:lang w:val="en-CA" w:eastAsia="fr-CA"/>
        </w:rPr>
        <w:t>Quebec Act</w:t>
      </w:r>
      <w:r w:rsidRPr="004E1DE3">
        <w:rPr>
          <w:lang w:val="en-CA" w:eastAsia="fr-CA"/>
        </w:rPr>
        <w:t xml:space="preserve"> on </w:t>
      </w:r>
      <w:r w:rsidR="00940EDA" w:rsidRPr="004E1DE3">
        <w:rPr>
          <w:lang w:val="en-CA" w:eastAsia="fr-CA"/>
        </w:rPr>
        <w:t>personal</w:t>
      </w:r>
      <w:r w:rsidRPr="004E1DE3">
        <w:rPr>
          <w:lang w:val="en-CA" w:eastAsia="fr-CA"/>
        </w:rPr>
        <w:t xml:space="preserve"> </w:t>
      </w:r>
      <w:r w:rsidR="00940EDA" w:rsidRPr="004E1DE3">
        <w:rPr>
          <w:lang w:val="en-CA" w:eastAsia="fr-CA"/>
        </w:rPr>
        <w:t>information</w:t>
      </w:r>
      <w:r w:rsidRPr="004E1DE3">
        <w:rPr>
          <w:lang w:val="en-CA" w:eastAsia="fr-CA"/>
        </w:rPr>
        <w:t xml:space="preserve">, and the </w:t>
      </w:r>
      <w:r w:rsidR="00940EDA" w:rsidRPr="004E1DE3">
        <w:rPr>
          <w:i/>
          <w:iCs/>
          <w:lang w:val="en-CA" w:eastAsia="fr-CA"/>
        </w:rPr>
        <w:t>Civil</w:t>
      </w:r>
      <w:r w:rsidRPr="004E1DE3">
        <w:rPr>
          <w:i/>
          <w:iCs/>
          <w:lang w:val="en-CA" w:eastAsia="fr-CA"/>
        </w:rPr>
        <w:t xml:space="preserve"> </w:t>
      </w:r>
      <w:r w:rsidR="00940EDA" w:rsidRPr="004E1DE3">
        <w:rPr>
          <w:i/>
          <w:iCs/>
          <w:lang w:val="en-CA" w:eastAsia="fr-CA"/>
        </w:rPr>
        <w:t>Code</w:t>
      </w:r>
      <w:r w:rsidRPr="004E1DE3">
        <w:rPr>
          <w:i/>
          <w:iCs/>
          <w:lang w:val="en-CA" w:eastAsia="fr-CA"/>
        </w:rPr>
        <w:t xml:space="preserve"> </w:t>
      </w:r>
      <w:r w:rsidR="00940EDA" w:rsidRPr="004E1DE3">
        <w:rPr>
          <w:i/>
          <w:iCs/>
          <w:lang w:val="en-CA" w:eastAsia="fr-CA"/>
        </w:rPr>
        <w:t>of</w:t>
      </w:r>
      <w:r w:rsidRPr="004E1DE3">
        <w:rPr>
          <w:i/>
          <w:iCs/>
          <w:lang w:val="en-CA" w:eastAsia="fr-CA"/>
        </w:rPr>
        <w:t xml:space="preserve"> </w:t>
      </w:r>
      <w:r w:rsidR="00940EDA" w:rsidRPr="004E1DE3">
        <w:rPr>
          <w:i/>
          <w:iCs/>
          <w:lang w:val="en-CA" w:eastAsia="fr-CA"/>
        </w:rPr>
        <w:t>Québec</w:t>
      </w:r>
      <w:r w:rsidRPr="004E1DE3">
        <w:rPr>
          <w:i/>
          <w:iCs/>
          <w:lang w:val="en-CA" w:eastAsia="fr-CA"/>
        </w:rPr>
        <w:t xml:space="preserve"> </w:t>
      </w:r>
      <w:r w:rsidRPr="004E1DE3">
        <w:rPr>
          <w:lang w:val="en-CA" w:eastAsia="fr-CA"/>
        </w:rPr>
        <w:t xml:space="preserve">cited above are therefore </w:t>
      </w:r>
      <w:r w:rsidR="00F40C66" w:rsidRPr="004E1DE3">
        <w:rPr>
          <w:lang w:val="en-CA" w:eastAsia="fr-CA"/>
        </w:rPr>
        <w:t xml:space="preserve">certainly </w:t>
      </w:r>
      <w:r w:rsidR="00CE4B63" w:rsidRPr="004E1DE3">
        <w:rPr>
          <w:lang w:val="en-CA" w:eastAsia="fr-CA"/>
        </w:rPr>
        <w:t>applicable</w:t>
      </w:r>
      <w:r w:rsidR="00F40C66" w:rsidRPr="004E1DE3">
        <w:rPr>
          <w:lang w:val="en-CA" w:eastAsia="fr-CA"/>
        </w:rPr>
        <w:t xml:space="preserve"> to the </w:t>
      </w:r>
      <w:r w:rsidR="00CE4B63" w:rsidRPr="004E1DE3">
        <w:rPr>
          <w:lang w:val="en-CA" w:eastAsia="fr-CA"/>
        </w:rPr>
        <w:t>defendant</w:t>
      </w:r>
      <w:r w:rsidR="00F40C66" w:rsidRPr="004E1DE3">
        <w:rPr>
          <w:lang w:val="en-CA" w:eastAsia="fr-CA"/>
        </w:rPr>
        <w:t xml:space="preserve">s in this case, at least at first glance, with respect to the statutory </w:t>
      </w:r>
      <w:r w:rsidR="00CE4B63" w:rsidRPr="004E1DE3">
        <w:rPr>
          <w:lang w:val="en-CA" w:eastAsia="fr-CA"/>
        </w:rPr>
        <w:t>obligations</w:t>
      </w:r>
      <w:r w:rsidR="00F40C66" w:rsidRPr="004E1DE3">
        <w:rPr>
          <w:lang w:val="en-CA" w:eastAsia="fr-CA"/>
        </w:rPr>
        <w:t xml:space="preserve"> that may be incumbent on them in matters of </w:t>
      </w:r>
      <w:r w:rsidR="00CE4B63" w:rsidRPr="004E1DE3">
        <w:rPr>
          <w:lang w:val="en-CA" w:eastAsia="fr-CA"/>
        </w:rPr>
        <w:t>personal</w:t>
      </w:r>
      <w:r w:rsidR="00F40C66" w:rsidRPr="004E1DE3">
        <w:rPr>
          <w:lang w:val="en-CA" w:eastAsia="fr-CA"/>
        </w:rPr>
        <w:t xml:space="preserve"> </w:t>
      </w:r>
      <w:r w:rsidR="00CE4B63" w:rsidRPr="004E1DE3">
        <w:rPr>
          <w:lang w:val="en-CA" w:eastAsia="fr-CA"/>
        </w:rPr>
        <w:t>information</w:t>
      </w:r>
      <w:r w:rsidR="00F40C66" w:rsidRPr="004E1DE3">
        <w:rPr>
          <w:lang w:val="en-CA" w:eastAsia="fr-CA"/>
        </w:rPr>
        <w:t xml:space="preserve">; the provisions of the </w:t>
      </w:r>
      <w:r w:rsidR="002C4F7B" w:rsidRPr="004E1DE3">
        <w:rPr>
          <w:i/>
          <w:iCs/>
          <w:lang w:val="en-CA" w:eastAsia="fr-CA"/>
        </w:rPr>
        <w:t>Federal</w:t>
      </w:r>
      <w:r w:rsidR="00F40C66" w:rsidRPr="004E1DE3">
        <w:rPr>
          <w:i/>
          <w:iCs/>
          <w:lang w:val="en-CA" w:eastAsia="fr-CA"/>
        </w:rPr>
        <w:t xml:space="preserve"> Act </w:t>
      </w:r>
      <w:r w:rsidR="00F40C66" w:rsidRPr="004E1DE3">
        <w:rPr>
          <w:lang w:val="en-CA" w:eastAsia="fr-CA"/>
        </w:rPr>
        <w:t>may also apply, but this will have to be established at the hearing on the merits of this case</w:t>
      </w:r>
      <w:r w:rsidR="00CE4B63" w:rsidRPr="004E1DE3">
        <w:rPr>
          <w:lang w:val="en-CA" w:eastAsia="fr-CA"/>
        </w:rPr>
        <w:t>.</w:t>
      </w:r>
    </w:p>
    <w:p w14:paraId="3AB84F58" w14:textId="77777777" w:rsidR="008D4EA1" w:rsidRPr="004E1DE3" w:rsidRDefault="00573CA9" w:rsidP="00131625">
      <w:pPr>
        <w:pStyle w:val="Paragrsimple"/>
        <w:tabs>
          <w:tab w:val="clear" w:pos="2062"/>
          <w:tab w:val="clear" w:pos="4755"/>
          <w:tab w:val="num" w:pos="0"/>
        </w:tabs>
        <w:ind w:left="0"/>
        <w:rPr>
          <w:lang w:val="en-CA" w:eastAsia="fr-CA"/>
        </w:rPr>
      </w:pPr>
      <w:r w:rsidRPr="004E1DE3">
        <w:rPr>
          <w:lang w:val="en-CA" w:eastAsia="fr-CA"/>
        </w:rPr>
        <w:lastRenderedPageBreak/>
        <w:t xml:space="preserve">As mentioned above, the plaintiffs also claim </w:t>
      </w:r>
      <w:r w:rsidR="00303108" w:rsidRPr="004E1DE3">
        <w:rPr>
          <w:lang w:val="en-CA" w:eastAsia="fr-CA"/>
        </w:rPr>
        <w:t>punitive</w:t>
      </w:r>
      <w:r w:rsidRPr="004E1DE3">
        <w:rPr>
          <w:lang w:val="en-CA" w:eastAsia="fr-CA"/>
        </w:rPr>
        <w:t xml:space="preserve"> </w:t>
      </w:r>
      <w:r w:rsidR="00303108" w:rsidRPr="004E1DE3">
        <w:rPr>
          <w:lang w:val="en-CA" w:eastAsia="fr-CA"/>
        </w:rPr>
        <w:t>damages</w:t>
      </w:r>
      <w:r w:rsidRPr="004E1DE3">
        <w:rPr>
          <w:lang w:val="en-CA" w:eastAsia="fr-CA"/>
        </w:rPr>
        <w:t xml:space="preserve"> under </w:t>
      </w:r>
      <w:r w:rsidR="00303108" w:rsidRPr="004E1DE3">
        <w:rPr>
          <w:lang w:val="en-CA" w:eastAsia="fr-CA"/>
        </w:rPr>
        <w:t xml:space="preserve">section 49 </w:t>
      </w:r>
      <w:r w:rsidRPr="004E1DE3">
        <w:rPr>
          <w:lang w:val="en-CA" w:eastAsia="fr-CA"/>
        </w:rPr>
        <w:t xml:space="preserve">of the </w:t>
      </w:r>
      <w:r w:rsidR="00303108" w:rsidRPr="004E1DE3">
        <w:rPr>
          <w:i/>
          <w:iCs/>
          <w:lang w:val="en-CA" w:eastAsia="fr-CA"/>
        </w:rPr>
        <w:t>Charter</w:t>
      </w:r>
      <w:r w:rsidRPr="004E1DE3">
        <w:rPr>
          <w:i/>
          <w:iCs/>
          <w:lang w:val="en-CA" w:eastAsia="fr-CA"/>
        </w:rPr>
        <w:t xml:space="preserve"> </w:t>
      </w:r>
      <w:r w:rsidR="00303108" w:rsidRPr="004E1DE3">
        <w:rPr>
          <w:i/>
          <w:iCs/>
          <w:lang w:val="en-CA" w:eastAsia="fr-CA"/>
        </w:rPr>
        <w:t>of</w:t>
      </w:r>
      <w:r w:rsidRPr="004E1DE3">
        <w:rPr>
          <w:i/>
          <w:iCs/>
          <w:lang w:val="en-CA" w:eastAsia="fr-CA"/>
        </w:rPr>
        <w:t xml:space="preserve"> </w:t>
      </w:r>
      <w:r w:rsidR="00303108" w:rsidRPr="004E1DE3">
        <w:rPr>
          <w:i/>
          <w:iCs/>
          <w:lang w:val="en-CA" w:eastAsia="fr-CA"/>
        </w:rPr>
        <w:t>human</w:t>
      </w:r>
      <w:r w:rsidRPr="004E1DE3">
        <w:rPr>
          <w:i/>
          <w:iCs/>
          <w:lang w:val="en-CA" w:eastAsia="fr-CA"/>
        </w:rPr>
        <w:t xml:space="preserve"> </w:t>
      </w:r>
      <w:r w:rsidR="00303108" w:rsidRPr="004E1DE3">
        <w:rPr>
          <w:i/>
          <w:iCs/>
          <w:lang w:val="en-CA" w:eastAsia="fr-CA"/>
        </w:rPr>
        <w:t>rights</w:t>
      </w:r>
      <w:r w:rsidRPr="004E1DE3">
        <w:rPr>
          <w:i/>
          <w:iCs/>
          <w:lang w:val="en-CA" w:eastAsia="fr-CA"/>
        </w:rPr>
        <w:t xml:space="preserve"> </w:t>
      </w:r>
      <w:r w:rsidR="00303108" w:rsidRPr="004E1DE3">
        <w:rPr>
          <w:i/>
          <w:iCs/>
          <w:lang w:val="en-CA" w:eastAsia="fr-CA"/>
        </w:rPr>
        <w:t>and</w:t>
      </w:r>
      <w:r w:rsidRPr="004E1DE3">
        <w:rPr>
          <w:i/>
          <w:iCs/>
          <w:lang w:val="en-CA" w:eastAsia="fr-CA"/>
        </w:rPr>
        <w:t xml:space="preserve"> </w:t>
      </w:r>
      <w:r w:rsidR="00303108" w:rsidRPr="004E1DE3">
        <w:rPr>
          <w:i/>
          <w:iCs/>
          <w:lang w:val="en-CA" w:eastAsia="fr-CA"/>
        </w:rPr>
        <w:t>freedoms</w:t>
      </w:r>
      <w:r w:rsidRPr="004E1DE3">
        <w:rPr>
          <w:i/>
          <w:iCs/>
          <w:lang w:val="en-CA" w:eastAsia="fr-CA"/>
        </w:rPr>
        <w:t xml:space="preserve"> </w:t>
      </w:r>
      <w:r w:rsidRPr="004E1DE3">
        <w:rPr>
          <w:lang w:val="en-CA" w:eastAsia="fr-CA"/>
        </w:rPr>
        <w:t xml:space="preserve">and </w:t>
      </w:r>
      <w:r w:rsidR="00940EDA" w:rsidRPr="004E1DE3">
        <w:rPr>
          <w:lang w:val="en-CA" w:eastAsia="fr-CA"/>
        </w:rPr>
        <w:t xml:space="preserve">section 272 </w:t>
      </w:r>
      <w:r w:rsidRPr="004E1DE3">
        <w:rPr>
          <w:i/>
          <w:iCs/>
          <w:lang w:val="en-CA" w:eastAsia="fr-CA"/>
        </w:rPr>
        <w:t>C</w:t>
      </w:r>
      <w:r w:rsidR="00940EDA" w:rsidRPr="004E1DE3">
        <w:rPr>
          <w:i/>
          <w:iCs/>
          <w:lang w:val="en-CA" w:eastAsia="fr-CA"/>
        </w:rPr>
        <w:t>P</w:t>
      </w:r>
      <w:r w:rsidRPr="004E1DE3">
        <w:rPr>
          <w:i/>
          <w:iCs/>
          <w:lang w:val="en-CA" w:eastAsia="fr-CA"/>
        </w:rPr>
        <w:t>A</w:t>
      </w:r>
      <w:r w:rsidR="00940EDA" w:rsidRPr="004E1DE3">
        <w:rPr>
          <w:lang w:val="en-CA" w:eastAsia="fr-CA"/>
        </w:rPr>
        <w:t>.</w:t>
      </w:r>
    </w:p>
    <w:p w14:paraId="4BC8BE4E" w14:textId="77777777" w:rsidR="001010ED" w:rsidRPr="004E1DE3" w:rsidRDefault="00573CA9" w:rsidP="00131625">
      <w:pPr>
        <w:pStyle w:val="Paragrsimple"/>
        <w:tabs>
          <w:tab w:val="clear" w:pos="2062"/>
          <w:tab w:val="clear" w:pos="4755"/>
          <w:tab w:val="num" w:pos="0"/>
        </w:tabs>
        <w:ind w:left="0"/>
        <w:rPr>
          <w:lang w:val="en-CA" w:eastAsia="fr-CA"/>
        </w:rPr>
      </w:pPr>
      <w:r w:rsidRPr="004E1DE3">
        <w:rPr>
          <w:lang w:val="en-CA" w:eastAsia="fr-CA"/>
        </w:rPr>
        <w:t xml:space="preserve">With </w:t>
      </w:r>
      <w:r w:rsidR="000E2C13" w:rsidRPr="004E1DE3">
        <w:rPr>
          <w:lang w:val="en-CA" w:eastAsia="fr-CA"/>
        </w:rPr>
        <w:t xml:space="preserve">respect to the </w:t>
      </w:r>
      <w:r w:rsidR="00940EDA" w:rsidRPr="004E1DE3">
        <w:rPr>
          <w:lang w:val="en-CA" w:eastAsia="fr-CA"/>
        </w:rPr>
        <w:t>application</w:t>
      </w:r>
      <w:r w:rsidR="003020C9" w:rsidRPr="004E1DE3">
        <w:rPr>
          <w:lang w:val="en-CA" w:eastAsia="fr-CA"/>
        </w:rPr>
        <w:t xml:space="preserve"> </w:t>
      </w:r>
      <w:r w:rsidR="00940EDA" w:rsidRPr="004E1DE3">
        <w:rPr>
          <w:lang w:val="en-CA" w:eastAsia="fr-CA"/>
        </w:rPr>
        <w:t>of</w:t>
      </w:r>
      <w:r w:rsidR="003020C9" w:rsidRPr="004E1DE3">
        <w:rPr>
          <w:lang w:val="en-CA" w:eastAsia="fr-CA"/>
        </w:rPr>
        <w:t xml:space="preserve"> section </w:t>
      </w:r>
      <w:r w:rsidR="00940EDA" w:rsidRPr="004E1DE3">
        <w:rPr>
          <w:lang w:val="en-CA" w:eastAsia="fr-CA"/>
        </w:rPr>
        <w:t xml:space="preserve">272 </w:t>
      </w:r>
      <w:r w:rsidR="003020C9" w:rsidRPr="004E1DE3">
        <w:rPr>
          <w:i/>
          <w:iCs/>
          <w:lang w:val="en-CA" w:eastAsia="fr-CA"/>
        </w:rPr>
        <w:t>CPA</w:t>
      </w:r>
      <w:r w:rsidR="00940EDA" w:rsidRPr="004E1DE3">
        <w:rPr>
          <w:lang w:val="en-CA" w:eastAsia="fr-CA"/>
        </w:rPr>
        <w:t xml:space="preserve"> </w:t>
      </w:r>
      <w:r w:rsidR="003020C9" w:rsidRPr="004E1DE3">
        <w:rPr>
          <w:lang w:val="en-CA" w:eastAsia="fr-CA"/>
        </w:rPr>
        <w:t xml:space="preserve">to this case, the plaintiffs rely on </w:t>
      </w:r>
      <w:r w:rsidR="00940EDA" w:rsidRPr="004E1DE3">
        <w:rPr>
          <w:lang w:val="en-CA" w:eastAsia="fr-CA"/>
        </w:rPr>
        <w:t xml:space="preserve">sections 34, 40 </w:t>
      </w:r>
      <w:r w:rsidR="003020C9" w:rsidRPr="004E1DE3">
        <w:rPr>
          <w:lang w:val="en-CA" w:eastAsia="fr-CA"/>
        </w:rPr>
        <w:t xml:space="preserve">to </w:t>
      </w:r>
      <w:r w:rsidR="00940EDA" w:rsidRPr="004E1DE3">
        <w:rPr>
          <w:lang w:val="en-CA" w:eastAsia="fr-CA"/>
        </w:rPr>
        <w:t xml:space="preserve">42, 215 </w:t>
      </w:r>
      <w:r w:rsidR="003020C9" w:rsidRPr="004E1DE3">
        <w:rPr>
          <w:lang w:val="en-CA" w:eastAsia="fr-CA"/>
        </w:rPr>
        <w:t>to</w:t>
      </w:r>
      <w:r w:rsidR="00940EDA" w:rsidRPr="004E1DE3">
        <w:rPr>
          <w:lang w:val="en-CA" w:eastAsia="fr-CA"/>
        </w:rPr>
        <w:t xml:space="preserve"> 219, 228, 253</w:t>
      </w:r>
      <w:r w:rsidR="003020C9" w:rsidRPr="004E1DE3">
        <w:rPr>
          <w:lang w:val="en-CA" w:eastAsia="fr-CA"/>
        </w:rPr>
        <w:t>, and</w:t>
      </w:r>
      <w:r w:rsidR="00940EDA" w:rsidRPr="004E1DE3">
        <w:rPr>
          <w:lang w:val="en-CA" w:eastAsia="fr-CA"/>
        </w:rPr>
        <w:t xml:space="preserve"> 271 </w:t>
      </w:r>
      <w:r w:rsidR="003020C9" w:rsidRPr="004E1DE3">
        <w:rPr>
          <w:lang w:val="en-CA" w:eastAsia="fr-CA"/>
        </w:rPr>
        <w:t xml:space="preserve">of the </w:t>
      </w:r>
      <w:r w:rsidR="003020C9" w:rsidRPr="004E1DE3">
        <w:rPr>
          <w:i/>
          <w:iCs/>
          <w:lang w:val="en-CA" w:eastAsia="fr-CA"/>
        </w:rPr>
        <w:t>CPA</w:t>
      </w:r>
      <w:r w:rsidR="003020C9" w:rsidRPr="004E1DE3">
        <w:rPr>
          <w:lang w:val="en-CA" w:eastAsia="fr-CA"/>
        </w:rPr>
        <w:t xml:space="preserve"> to assert that the </w:t>
      </w:r>
      <w:r w:rsidR="00940EDA" w:rsidRPr="004E1DE3">
        <w:rPr>
          <w:lang w:val="en-CA" w:eastAsia="fr-CA"/>
        </w:rPr>
        <w:t>defendants</w:t>
      </w:r>
      <w:r w:rsidR="003020C9" w:rsidRPr="004E1DE3">
        <w:rPr>
          <w:lang w:val="en-CA" w:eastAsia="fr-CA"/>
        </w:rPr>
        <w:t xml:space="preserve"> engaged in a </w:t>
      </w:r>
      <w:r w:rsidR="00940EDA" w:rsidRPr="004E1DE3">
        <w:rPr>
          <w:lang w:val="en-CA" w:eastAsia="fr-CA"/>
        </w:rPr>
        <w:t>prohibited</w:t>
      </w:r>
      <w:r w:rsidR="003020C9" w:rsidRPr="004E1DE3">
        <w:rPr>
          <w:lang w:val="en-CA" w:eastAsia="fr-CA"/>
        </w:rPr>
        <w:t xml:space="preserve"> </w:t>
      </w:r>
      <w:r w:rsidR="00940EDA" w:rsidRPr="004E1DE3">
        <w:rPr>
          <w:lang w:val="en-CA" w:eastAsia="fr-CA"/>
        </w:rPr>
        <w:t>practice</w:t>
      </w:r>
      <w:r w:rsidR="003020C9" w:rsidRPr="004E1DE3">
        <w:rPr>
          <w:lang w:val="en-CA" w:eastAsia="fr-CA"/>
        </w:rPr>
        <w:t xml:space="preserve"> under that </w:t>
      </w:r>
      <w:r w:rsidR="003020C9" w:rsidRPr="004E1DE3">
        <w:rPr>
          <w:i/>
          <w:iCs/>
          <w:lang w:val="en-CA" w:eastAsia="fr-CA"/>
        </w:rPr>
        <w:t>Act</w:t>
      </w:r>
      <w:r w:rsidR="003020C9" w:rsidRPr="004E1DE3">
        <w:rPr>
          <w:lang w:val="en-CA" w:eastAsia="fr-CA"/>
        </w:rPr>
        <w:t xml:space="preserve">. These </w:t>
      </w:r>
      <w:r w:rsidR="00940EDA" w:rsidRPr="004E1DE3">
        <w:rPr>
          <w:lang w:val="en-CA" w:eastAsia="fr-CA"/>
        </w:rPr>
        <w:t>provisions</w:t>
      </w:r>
      <w:r w:rsidR="003020C9" w:rsidRPr="004E1DE3">
        <w:rPr>
          <w:lang w:val="en-CA" w:eastAsia="fr-CA"/>
        </w:rPr>
        <w:t xml:space="preserve"> state</w:t>
      </w:r>
      <w:r w:rsidR="00940EDA" w:rsidRPr="004E1DE3">
        <w:rPr>
          <w:lang w:val="en-CA" w:eastAsia="fr-CA"/>
        </w:rPr>
        <w:t>:</w:t>
      </w:r>
    </w:p>
    <w:p w14:paraId="6F39A048" w14:textId="77777777" w:rsidR="001010ED" w:rsidRPr="004E1DE3" w:rsidRDefault="00940EDA" w:rsidP="001010ED">
      <w:pPr>
        <w:pStyle w:val="Citationenretrait"/>
        <w:rPr>
          <w:szCs w:val="22"/>
          <w:lang w:val="en-CA" w:eastAsia="fr-CA"/>
        </w:rPr>
      </w:pPr>
      <w:r w:rsidRPr="004E1DE3">
        <w:rPr>
          <w:rFonts w:cs="Arial"/>
          <w:b/>
          <w:bCs/>
          <w:szCs w:val="22"/>
          <w:lang w:val="en-CA" w:eastAsia="fr-CA"/>
        </w:rPr>
        <w:t>34.</w:t>
      </w:r>
      <w:r w:rsidRPr="004E1DE3">
        <w:rPr>
          <w:szCs w:val="22"/>
          <w:lang w:val="en-CA" w:eastAsia="fr-CA"/>
        </w:rPr>
        <w:t> </w:t>
      </w:r>
      <w:r w:rsidR="00F57DBB" w:rsidRPr="004E1DE3">
        <w:rPr>
          <w:szCs w:val="22"/>
          <w:lang w:val="en-CA" w:eastAsia="fr-CA"/>
        </w:rPr>
        <w:t>This division applies to contracts of sale or lease of goods and to contracts of service.</w:t>
      </w:r>
    </w:p>
    <w:p w14:paraId="10C6E438" w14:textId="77777777" w:rsidR="00921945" w:rsidRPr="004E1DE3" w:rsidRDefault="00573CA9" w:rsidP="001010ED">
      <w:pPr>
        <w:pStyle w:val="Citationenretrait"/>
        <w:rPr>
          <w:szCs w:val="22"/>
          <w:lang w:val="en-CA" w:eastAsia="fr-CA"/>
        </w:rPr>
      </w:pPr>
      <w:r w:rsidRPr="004E1DE3">
        <w:rPr>
          <w:rFonts w:cs="Arial"/>
          <w:b/>
          <w:bCs/>
          <w:szCs w:val="22"/>
          <w:lang w:val="en-CA" w:eastAsia="fr-CA"/>
        </w:rPr>
        <w:t>…</w:t>
      </w:r>
    </w:p>
    <w:p w14:paraId="392DE7C6" w14:textId="77777777" w:rsidR="001010ED" w:rsidRPr="004E1DE3" w:rsidRDefault="00940EDA" w:rsidP="001010ED">
      <w:pPr>
        <w:pStyle w:val="Citationenretrait"/>
        <w:rPr>
          <w:szCs w:val="22"/>
          <w:lang w:val="en-CA" w:eastAsia="fr-CA"/>
        </w:rPr>
      </w:pPr>
      <w:r w:rsidRPr="004E1DE3">
        <w:rPr>
          <w:rFonts w:cs="Arial"/>
          <w:b/>
          <w:bCs/>
          <w:szCs w:val="22"/>
          <w:lang w:val="en-CA" w:eastAsia="fr-CA"/>
        </w:rPr>
        <w:t>40.</w:t>
      </w:r>
      <w:r w:rsidRPr="004E1DE3">
        <w:rPr>
          <w:szCs w:val="22"/>
          <w:lang w:val="en-CA" w:eastAsia="fr-CA"/>
        </w:rPr>
        <w:t> </w:t>
      </w:r>
      <w:r w:rsidR="00F57DBB" w:rsidRPr="004E1DE3">
        <w:rPr>
          <w:szCs w:val="22"/>
          <w:lang w:val="en-CA" w:eastAsia="fr-CA"/>
        </w:rPr>
        <w:t>The goods or services provided must conform to the description made of them in the contract.</w:t>
      </w:r>
    </w:p>
    <w:p w14:paraId="31216FF2" w14:textId="77777777" w:rsidR="001010ED" w:rsidRPr="004E1DE3" w:rsidRDefault="00940EDA" w:rsidP="001010ED">
      <w:pPr>
        <w:pStyle w:val="Citationenretrait"/>
        <w:rPr>
          <w:szCs w:val="22"/>
          <w:lang w:val="en-CA" w:eastAsia="fr-CA"/>
        </w:rPr>
      </w:pPr>
      <w:r w:rsidRPr="004E1DE3">
        <w:rPr>
          <w:rFonts w:cs="Arial"/>
          <w:b/>
          <w:bCs/>
          <w:szCs w:val="22"/>
          <w:lang w:val="en-CA" w:eastAsia="fr-CA"/>
        </w:rPr>
        <w:t>41.</w:t>
      </w:r>
      <w:r w:rsidRPr="004E1DE3">
        <w:rPr>
          <w:szCs w:val="22"/>
          <w:lang w:val="en-CA" w:eastAsia="fr-CA"/>
        </w:rPr>
        <w:t> </w:t>
      </w:r>
      <w:r w:rsidR="00F57DBB" w:rsidRPr="004E1DE3">
        <w:rPr>
          <w:szCs w:val="22"/>
          <w:lang w:val="en-CA" w:eastAsia="fr-CA"/>
        </w:rPr>
        <w:t>The goods or services provided must conform to the statements or advertisements regarding them made by the merchant or the manufacturer.</w:t>
      </w:r>
      <w:r w:rsidRPr="004E1DE3">
        <w:rPr>
          <w:szCs w:val="22"/>
          <w:lang w:val="en-CA" w:eastAsia="fr-CA"/>
        </w:rPr>
        <w:t xml:space="preserve"> </w:t>
      </w:r>
      <w:r w:rsidR="00F57DBB" w:rsidRPr="004E1DE3">
        <w:rPr>
          <w:szCs w:val="22"/>
          <w:lang w:val="en-CA" w:eastAsia="fr-CA"/>
        </w:rPr>
        <w:t>The statements or advertisements are binding on that merchant or that manufacturer.</w:t>
      </w:r>
    </w:p>
    <w:p w14:paraId="6AD068A9" w14:textId="77777777" w:rsidR="001010ED" w:rsidRPr="004E1DE3" w:rsidRDefault="00940EDA" w:rsidP="001010ED">
      <w:pPr>
        <w:pStyle w:val="Citationenretrait"/>
        <w:rPr>
          <w:szCs w:val="22"/>
          <w:lang w:val="en-CA" w:eastAsia="fr-CA"/>
        </w:rPr>
      </w:pPr>
      <w:r w:rsidRPr="004E1DE3">
        <w:rPr>
          <w:rFonts w:cs="Arial"/>
          <w:b/>
          <w:bCs/>
          <w:szCs w:val="22"/>
          <w:lang w:val="en-CA" w:eastAsia="fr-CA"/>
        </w:rPr>
        <w:t>42.</w:t>
      </w:r>
      <w:r w:rsidRPr="004E1DE3">
        <w:rPr>
          <w:szCs w:val="22"/>
          <w:lang w:val="en-CA" w:eastAsia="fr-CA"/>
        </w:rPr>
        <w:t> </w:t>
      </w:r>
      <w:r w:rsidR="00F57DBB" w:rsidRPr="004E1DE3">
        <w:rPr>
          <w:szCs w:val="22"/>
          <w:lang w:val="en-CA" w:eastAsia="fr-CA"/>
        </w:rPr>
        <w:t>A written or verbal statement by the representative of a merchant or of a manufacturer respecting goods or services is binding on that merchant or manufacturer.</w:t>
      </w:r>
    </w:p>
    <w:p w14:paraId="584BFBC0" w14:textId="77777777" w:rsidR="001010ED" w:rsidRPr="004E1DE3" w:rsidRDefault="00940EDA" w:rsidP="001010ED">
      <w:pPr>
        <w:pStyle w:val="Citationenretrait"/>
        <w:rPr>
          <w:szCs w:val="22"/>
          <w:lang w:val="en-CA" w:eastAsia="fr-CA"/>
        </w:rPr>
      </w:pPr>
      <w:r w:rsidRPr="004E1DE3">
        <w:rPr>
          <w:rFonts w:cs="Arial"/>
          <w:b/>
          <w:bCs/>
          <w:szCs w:val="22"/>
          <w:lang w:val="en-CA" w:eastAsia="fr-CA"/>
        </w:rPr>
        <w:t>43.</w:t>
      </w:r>
      <w:r w:rsidRPr="004E1DE3">
        <w:rPr>
          <w:szCs w:val="22"/>
          <w:lang w:val="en-CA" w:eastAsia="fr-CA"/>
        </w:rPr>
        <w:t> </w:t>
      </w:r>
      <w:r w:rsidR="00F57DBB" w:rsidRPr="004E1DE3">
        <w:rPr>
          <w:szCs w:val="22"/>
          <w:lang w:val="en-CA" w:eastAsia="fr-CA"/>
        </w:rPr>
        <w:t>A warranty respecting goods or services that is mentioned in a statement or advertisement of the merchant or the manufacturer is binding on that merchant or that manufacturer.</w:t>
      </w:r>
      <w:r w:rsidRPr="004E1DE3">
        <w:rPr>
          <w:szCs w:val="22"/>
          <w:lang w:val="en-CA" w:eastAsia="fr-CA"/>
        </w:rPr>
        <w:t xml:space="preserve"> </w:t>
      </w:r>
      <w:r w:rsidR="00F57DBB" w:rsidRPr="004E1DE3">
        <w:rPr>
          <w:szCs w:val="22"/>
          <w:lang w:val="en-CA" w:eastAsia="fr-CA"/>
        </w:rPr>
        <w:t>This rule applies to the written warranties of the merchant or the manufacturer not written in the contract.</w:t>
      </w:r>
    </w:p>
    <w:p w14:paraId="7605E55D" w14:textId="77777777" w:rsidR="001010ED" w:rsidRPr="004E1DE3" w:rsidRDefault="00573CA9" w:rsidP="001010ED">
      <w:pPr>
        <w:pStyle w:val="Citationenretrait"/>
        <w:rPr>
          <w:szCs w:val="22"/>
          <w:lang w:val="en-CA" w:eastAsia="fr-CA"/>
        </w:rPr>
      </w:pPr>
      <w:r w:rsidRPr="004E1DE3">
        <w:rPr>
          <w:szCs w:val="22"/>
          <w:lang w:val="en-CA" w:eastAsia="fr-CA"/>
        </w:rPr>
        <w:t>…</w:t>
      </w:r>
    </w:p>
    <w:p w14:paraId="5B3D2136" w14:textId="77777777" w:rsidR="001010ED" w:rsidRPr="004E1DE3" w:rsidRDefault="00573CA9" w:rsidP="001010ED">
      <w:pPr>
        <w:shd w:val="clear" w:color="auto" w:fill="FFFFFF"/>
        <w:ind w:left="709"/>
        <w:jc w:val="both"/>
        <w:rPr>
          <w:rStyle w:val="subsection"/>
          <w:rFonts w:cs="Arial"/>
          <w:sz w:val="22"/>
          <w:szCs w:val="22"/>
          <w:lang w:val="en-CA"/>
        </w:rPr>
      </w:pPr>
      <w:r w:rsidRPr="004E1DE3">
        <w:rPr>
          <w:rStyle w:val="subsection"/>
          <w:rFonts w:cs="Arial"/>
          <w:b/>
          <w:bCs/>
          <w:sz w:val="22"/>
          <w:szCs w:val="22"/>
          <w:lang w:val="en-CA"/>
        </w:rPr>
        <w:t>215.</w:t>
      </w:r>
      <w:r w:rsidR="00940EDA" w:rsidRPr="004E1DE3">
        <w:rPr>
          <w:rStyle w:val="subsection"/>
          <w:rFonts w:cs="Arial"/>
          <w:sz w:val="22"/>
          <w:szCs w:val="22"/>
          <w:lang w:val="en-CA"/>
        </w:rPr>
        <w:t xml:space="preserve"> </w:t>
      </w:r>
      <w:r w:rsidR="00F57DBB" w:rsidRPr="004E1DE3">
        <w:rPr>
          <w:rStyle w:val="subsection"/>
          <w:rFonts w:cs="Arial"/>
          <w:sz w:val="22"/>
          <w:szCs w:val="22"/>
          <w:lang w:val="en-CA"/>
        </w:rPr>
        <w:t>Any practice contemplated in sections 219 to 251.2 or, in case of the sale, lease or construction of an immovable, in sections 219 to 222, 224 to 230, 232, 235, 236 and 238 to 243 constitutes a prohibited practice for the purposes of this title.</w:t>
      </w:r>
    </w:p>
    <w:p w14:paraId="532FFB58" w14:textId="77777777" w:rsidR="00921945" w:rsidRPr="004E1DE3" w:rsidRDefault="00921945" w:rsidP="001010ED">
      <w:pPr>
        <w:shd w:val="clear" w:color="auto" w:fill="FFFFFF"/>
        <w:ind w:left="709"/>
        <w:jc w:val="both"/>
        <w:rPr>
          <w:rFonts w:cs="Arial"/>
          <w:sz w:val="22"/>
          <w:szCs w:val="22"/>
          <w:lang w:val="en-CA" w:eastAsia="fr-CA"/>
        </w:rPr>
      </w:pPr>
    </w:p>
    <w:p w14:paraId="72CA39EE" w14:textId="77777777" w:rsidR="001010ED" w:rsidRPr="004E1DE3" w:rsidRDefault="00940EDA" w:rsidP="001010ED">
      <w:pPr>
        <w:shd w:val="clear" w:color="auto" w:fill="FFFFFF"/>
        <w:ind w:left="709"/>
        <w:jc w:val="both"/>
        <w:rPr>
          <w:rStyle w:val="subsection"/>
          <w:rFonts w:cs="Arial"/>
          <w:sz w:val="22"/>
          <w:szCs w:val="22"/>
          <w:lang w:val="en-CA"/>
        </w:rPr>
      </w:pPr>
      <w:r w:rsidRPr="004E1DE3">
        <w:rPr>
          <w:rStyle w:val="label-section"/>
          <w:rFonts w:cs="Arial"/>
          <w:b/>
          <w:bCs/>
          <w:sz w:val="22"/>
          <w:szCs w:val="22"/>
          <w:lang w:val="en-CA"/>
        </w:rPr>
        <w:t>216.</w:t>
      </w:r>
      <w:r w:rsidRPr="004E1DE3">
        <w:rPr>
          <w:rFonts w:cs="Arial"/>
          <w:sz w:val="22"/>
          <w:szCs w:val="22"/>
          <w:lang w:val="en-CA"/>
        </w:rPr>
        <w:t> </w:t>
      </w:r>
      <w:r w:rsidR="00F57DBB" w:rsidRPr="004E1DE3">
        <w:rPr>
          <w:rStyle w:val="subsection"/>
          <w:rFonts w:cs="Arial"/>
          <w:sz w:val="22"/>
          <w:szCs w:val="22"/>
          <w:lang w:val="en-CA"/>
        </w:rPr>
        <w:t>For the purposes of this title, representation includes an affirmation, a behaviour or an omission.</w:t>
      </w:r>
    </w:p>
    <w:p w14:paraId="531D4CEE" w14:textId="77777777" w:rsidR="00921945" w:rsidRPr="004E1DE3" w:rsidRDefault="00921945" w:rsidP="001010ED">
      <w:pPr>
        <w:shd w:val="clear" w:color="auto" w:fill="FFFFFF"/>
        <w:ind w:left="709"/>
        <w:jc w:val="both"/>
        <w:rPr>
          <w:rFonts w:cs="Arial"/>
          <w:sz w:val="22"/>
          <w:szCs w:val="22"/>
          <w:lang w:val="en-CA"/>
        </w:rPr>
      </w:pPr>
    </w:p>
    <w:p w14:paraId="261D2ED7" w14:textId="77777777" w:rsidR="001010ED" w:rsidRPr="004E1DE3" w:rsidRDefault="00940EDA" w:rsidP="001010ED">
      <w:pPr>
        <w:shd w:val="clear" w:color="auto" w:fill="FFFFFF"/>
        <w:ind w:left="709"/>
        <w:jc w:val="both"/>
        <w:rPr>
          <w:rStyle w:val="subsection"/>
          <w:rFonts w:cs="Arial"/>
          <w:sz w:val="22"/>
          <w:szCs w:val="22"/>
          <w:lang w:val="en-CA"/>
        </w:rPr>
      </w:pPr>
      <w:r w:rsidRPr="004E1DE3">
        <w:rPr>
          <w:rStyle w:val="label-section"/>
          <w:rFonts w:cs="Arial"/>
          <w:b/>
          <w:bCs/>
          <w:sz w:val="22"/>
          <w:szCs w:val="22"/>
          <w:lang w:val="en-CA"/>
        </w:rPr>
        <w:t>217.</w:t>
      </w:r>
      <w:r w:rsidRPr="004E1DE3">
        <w:rPr>
          <w:rFonts w:cs="Arial"/>
          <w:sz w:val="22"/>
          <w:szCs w:val="22"/>
          <w:lang w:val="en-CA"/>
        </w:rPr>
        <w:t> </w:t>
      </w:r>
      <w:r w:rsidR="00F57DBB" w:rsidRPr="004E1DE3">
        <w:rPr>
          <w:rStyle w:val="subsection"/>
          <w:rFonts w:cs="Arial"/>
          <w:sz w:val="22"/>
          <w:szCs w:val="22"/>
          <w:lang w:val="en-CA"/>
        </w:rPr>
        <w:t>The fact that a prohibited practice has been used is not subordinate to whether or not a contract has been made.</w:t>
      </w:r>
    </w:p>
    <w:p w14:paraId="489AA28E" w14:textId="77777777" w:rsidR="00921945" w:rsidRPr="004E1DE3" w:rsidRDefault="00921945" w:rsidP="001010ED">
      <w:pPr>
        <w:shd w:val="clear" w:color="auto" w:fill="FFFFFF"/>
        <w:ind w:left="709"/>
        <w:jc w:val="both"/>
        <w:rPr>
          <w:rFonts w:cs="Arial"/>
          <w:sz w:val="22"/>
          <w:szCs w:val="22"/>
          <w:lang w:val="en-CA"/>
        </w:rPr>
      </w:pPr>
    </w:p>
    <w:p w14:paraId="6F5B011E" w14:textId="77777777" w:rsidR="001010ED" w:rsidRPr="004E1DE3" w:rsidRDefault="00940EDA" w:rsidP="001010ED">
      <w:pPr>
        <w:shd w:val="clear" w:color="auto" w:fill="FFFFFF"/>
        <w:ind w:left="709"/>
        <w:jc w:val="both"/>
        <w:rPr>
          <w:rFonts w:cs="Arial"/>
          <w:sz w:val="22"/>
          <w:szCs w:val="22"/>
          <w:lang w:val="en-CA"/>
        </w:rPr>
      </w:pPr>
      <w:r w:rsidRPr="004E1DE3">
        <w:rPr>
          <w:rStyle w:val="label-section"/>
          <w:rFonts w:cs="Arial"/>
          <w:b/>
          <w:bCs/>
          <w:sz w:val="22"/>
          <w:szCs w:val="22"/>
          <w:lang w:val="en-CA"/>
        </w:rPr>
        <w:t>218.</w:t>
      </w:r>
      <w:r w:rsidRPr="004E1DE3">
        <w:rPr>
          <w:rFonts w:cs="Arial"/>
          <w:sz w:val="22"/>
          <w:szCs w:val="22"/>
          <w:lang w:val="en-CA"/>
        </w:rPr>
        <w:t> </w:t>
      </w:r>
      <w:r w:rsidR="00F57DBB" w:rsidRPr="004E1DE3">
        <w:rPr>
          <w:rStyle w:val="subsection"/>
          <w:rFonts w:cs="Arial"/>
          <w:sz w:val="22"/>
          <w:szCs w:val="22"/>
          <w:lang w:val="en-CA"/>
        </w:rPr>
        <w:t>To determine whether or not a representation constitutes a prohibited practice, the general impression it gives, and, as the case may be, the literal meaning of the terms used therein must be taken into account.</w:t>
      </w:r>
    </w:p>
    <w:p w14:paraId="1146CC72" w14:textId="77777777" w:rsidR="001010ED" w:rsidRPr="004E1DE3" w:rsidRDefault="001010ED" w:rsidP="001010ED">
      <w:pPr>
        <w:shd w:val="clear" w:color="auto" w:fill="FFFFFF"/>
        <w:ind w:left="709"/>
        <w:jc w:val="both"/>
        <w:rPr>
          <w:rFonts w:cs="Arial"/>
          <w:sz w:val="22"/>
          <w:szCs w:val="22"/>
          <w:lang w:val="en-CA"/>
        </w:rPr>
      </w:pPr>
    </w:p>
    <w:p w14:paraId="641DDE4B" w14:textId="77777777" w:rsidR="001010ED" w:rsidRPr="004E1DE3" w:rsidRDefault="00940EDA" w:rsidP="001010ED">
      <w:pPr>
        <w:shd w:val="clear" w:color="auto" w:fill="FFFFFF"/>
        <w:ind w:left="709"/>
        <w:jc w:val="both"/>
        <w:rPr>
          <w:rStyle w:val="subsection"/>
          <w:rFonts w:cs="Arial"/>
          <w:sz w:val="22"/>
          <w:szCs w:val="22"/>
          <w:lang w:val="en-CA"/>
        </w:rPr>
      </w:pPr>
      <w:r w:rsidRPr="004E1DE3">
        <w:rPr>
          <w:rStyle w:val="label-section"/>
          <w:rFonts w:cs="Arial"/>
          <w:b/>
          <w:bCs/>
          <w:sz w:val="22"/>
          <w:szCs w:val="22"/>
          <w:lang w:val="en-CA"/>
        </w:rPr>
        <w:t>219.</w:t>
      </w:r>
      <w:r w:rsidRPr="004E1DE3">
        <w:rPr>
          <w:rFonts w:cs="Arial"/>
          <w:sz w:val="22"/>
          <w:szCs w:val="22"/>
          <w:lang w:val="en-CA"/>
        </w:rPr>
        <w:t> </w:t>
      </w:r>
      <w:r w:rsidR="00F57DBB" w:rsidRPr="004E1DE3">
        <w:rPr>
          <w:rStyle w:val="subsection"/>
          <w:rFonts w:cs="Arial"/>
          <w:sz w:val="22"/>
          <w:szCs w:val="22"/>
          <w:lang w:val="en-CA"/>
        </w:rPr>
        <w:t>No merchant, manufacturer or advertiser may, by any means whatever, make false or misleading representations to a consumer.</w:t>
      </w:r>
    </w:p>
    <w:p w14:paraId="68E5DBE1" w14:textId="77777777" w:rsidR="00921945" w:rsidRPr="004E1DE3" w:rsidRDefault="00921945" w:rsidP="001010ED">
      <w:pPr>
        <w:shd w:val="clear" w:color="auto" w:fill="FFFFFF"/>
        <w:ind w:left="709"/>
        <w:jc w:val="both"/>
        <w:rPr>
          <w:rStyle w:val="subsection"/>
          <w:rFonts w:cs="Arial"/>
          <w:sz w:val="22"/>
          <w:szCs w:val="22"/>
          <w:lang w:val="en-CA"/>
        </w:rPr>
      </w:pPr>
    </w:p>
    <w:p w14:paraId="55313183" w14:textId="77777777" w:rsidR="00921945" w:rsidRPr="004E1DE3" w:rsidRDefault="00573CA9" w:rsidP="001010ED">
      <w:pPr>
        <w:shd w:val="clear" w:color="auto" w:fill="FFFFFF"/>
        <w:ind w:left="709"/>
        <w:jc w:val="both"/>
        <w:rPr>
          <w:rStyle w:val="subsection"/>
          <w:rFonts w:cs="Arial"/>
          <w:sz w:val="22"/>
          <w:szCs w:val="22"/>
          <w:lang w:val="en-CA"/>
        </w:rPr>
      </w:pPr>
      <w:r w:rsidRPr="004E1DE3">
        <w:rPr>
          <w:rStyle w:val="subsection"/>
          <w:rFonts w:cs="Arial"/>
          <w:sz w:val="22"/>
          <w:szCs w:val="22"/>
          <w:lang w:val="en-CA"/>
        </w:rPr>
        <w:t>…</w:t>
      </w:r>
    </w:p>
    <w:p w14:paraId="5B454235" w14:textId="77777777" w:rsidR="001010ED" w:rsidRPr="004E1DE3" w:rsidRDefault="001010ED" w:rsidP="001010ED">
      <w:pPr>
        <w:shd w:val="clear" w:color="auto" w:fill="FFFFFF"/>
        <w:ind w:left="709"/>
        <w:jc w:val="both"/>
        <w:rPr>
          <w:rFonts w:cs="Arial"/>
          <w:sz w:val="22"/>
          <w:szCs w:val="22"/>
          <w:lang w:val="en-CA"/>
        </w:rPr>
      </w:pPr>
    </w:p>
    <w:p w14:paraId="0B09E05F" w14:textId="77777777" w:rsidR="001010ED" w:rsidRPr="004E1DE3" w:rsidRDefault="00940EDA" w:rsidP="001010ED">
      <w:pPr>
        <w:shd w:val="clear" w:color="auto" w:fill="FFFFFF"/>
        <w:ind w:left="709"/>
        <w:jc w:val="both"/>
        <w:rPr>
          <w:rStyle w:val="subsection"/>
          <w:rFonts w:cs="Arial"/>
          <w:sz w:val="22"/>
          <w:szCs w:val="22"/>
          <w:lang w:val="en-CA"/>
        </w:rPr>
      </w:pPr>
      <w:r w:rsidRPr="004E1DE3">
        <w:rPr>
          <w:rStyle w:val="label-section"/>
          <w:rFonts w:cs="Arial"/>
          <w:b/>
          <w:bCs/>
          <w:sz w:val="22"/>
          <w:szCs w:val="22"/>
          <w:lang w:val="en-CA"/>
        </w:rPr>
        <w:lastRenderedPageBreak/>
        <w:t>228.</w:t>
      </w:r>
      <w:r w:rsidRPr="004E1DE3">
        <w:rPr>
          <w:rFonts w:cs="Arial"/>
          <w:sz w:val="22"/>
          <w:szCs w:val="22"/>
          <w:lang w:val="en-CA"/>
        </w:rPr>
        <w:t> </w:t>
      </w:r>
      <w:r w:rsidR="00F57DBB" w:rsidRPr="004E1DE3">
        <w:rPr>
          <w:rStyle w:val="subsection"/>
          <w:rFonts w:cs="Arial"/>
          <w:sz w:val="22"/>
          <w:szCs w:val="22"/>
          <w:lang w:val="en-CA"/>
        </w:rPr>
        <w:t>No merchant, manufacturer or advertiser may fail to mention an important fact in any representation made to a consumer.</w:t>
      </w:r>
    </w:p>
    <w:p w14:paraId="14F14C52" w14:textId="77777777" w:rsidR="00921945" w:rsidRPr="004E1DE3" w:rsidRDefault="00921945" w:rsidP="001010ED">
      <w:pPr>
        <w:shd w:val="clear" w:color="auto" w:fill="FFFFFF"/>
        <w:ind w:left="709"/>
        <w:jc w:val="both"/>
        <w:rPr>
          <w:rStyle w:val="label-l"/>
          <w:rFonts w:cs="Arial"/>
          <w:sz w:val="22"/>
          <w:szCs w:val="22"/>
          <w:lang w:val="en-CA"/>
        </w:rPr>
      </w:pPr>
    </w:p>
    <w:p w14:paraId="080994EC" w14:textId="77777777" w:rsidR="00921945" w:rsidRPr="004E1DE3" w:rsidRDefault="00573CA9" w:rsidP="001010ED">
      <w:pPr>
        <w:shd w:val="clear" w:color="auto" w:fill="FFFFFF"/>
        <w:ind w:left="709"/>
        <w:jc w:val="both"/>
        <w:rPr>
          <w:rFonts w:cs="Arial"/>
          <w:sz w:val="22"/>
          <w:szCs w:val="22"/>
          <w:lang w:val="en-CA"/>
        </w:rPr>
      </w:pPr>
      <w:r w:rsidRPr="004E1DE3">
        <w:rPr>
          <w:rStyle w:val="label-l"/>
          <w:rFonts w:cs="Arial"/>
          <w:sz w:val="22"/>
          <w:szCs w:val="22"/>
          <w:lang w:val="en-CA"/>
        </w:rPr>
        <w:t>…</w:t>
      </w:r>
    </w:p>
    <w:p w14:paraId="72A2DEE0" w14:textId="77777777" w:rsidR="00921945" w:rsidRPr="004E1DE3" w:rsidRDefault="00921945" w:rsidP="00921945">
      <w:pPr>
        <w:shd w:val="clear" w:color="auto" w:fill="FFFFFF"/>
        <w:jc w:val="both"/>
        <w:rPr>
          <w:rFonts w:cs="Arial"/>
          <w:sz w:val="22"/>
          <w:szCs w:val="22"/>
          <w:u w:val="single"/>
          <w:lang w:val="en-CA"/>
        </w:rPr>
      </w:pPr>
    </w:p>
    <w:p w14:paraId="6D4D199B" w14:textId="77777777" w:rsidR="001010ED" w:rsidRPr="004E1DE3" w:rsidRDefault="00940EDA" w:rsidP="001010ED">
      <w:pPr>
        <w:shd w:val="clear" w:color="auto" w:fill="FFFFFF"/>
        <w:ind w:left="709"/>
        <w:jc w:val="both"/>
        <w:rPr>
          <w:rFonts w:cs="Arial"/>
          <w:sz w:val="22"/>
          <w:szCs w:val="22"/>
          <w:u w:val="single"/>
          <w:lang w:val="en-CA"/>
        </w:rPr>
      </w:pPr>
      <w:r w:rsidRPr="004E1DE3">
        <w:rPr>
          <w:rStyle w:val="label-section"/>
          <w:rFonts w:cs="Arial"/>
          <w:b/>
          <w:bCs/>
          <w:sz w:val="22"/>
          <w:szCs w:val="22"/>
          <w:lang w:val="en-CA"/>
        </w:rPr>
        <w:t>253.</w:t>
      </w:r>
      <w:r w:rsidRPr="004E1DE3">
        <w:rPr>
          <w:rFonts w:cs="Arial"/>
          <w:sz w:val="22"/>
          <w:szCs w:val="22"/>
          <w:lang w:val="en-CA"/>
        </w:rPr>
        <w:t> </w:t>
      </w:r>
      <w:r w:rsidR="00F57DBB" w:rsidRPr="004E1DE3">
        <w:rPr>
          <w:rStyle w:val="subsection"/>
          <w:rFonts w:cs="Arial"/>
          <w:sz w:val="22"/>
          <w:szCs w:val="22"/>
          <w:lang w:val="en-CA"/>
        </w:rPr>
        <w:t xml:space="preserve">Where a merchant, manufacturer or advertiser makes use of a prohibited practice in case of the sale, lease or construction of an immovable or, in any other case, of a prohibited practice referred to in paragraph a or b of section 220, a, b, c, d, e or g of section 221, d, e or f of section 222, c of section 224 or a or b of section 225, or in section 227, 228, 229, 237 or 239, </w:t>
      </w:r>
      <w:r w:rsidR="00F57DBB" w:rsidRPr="004E1DE3">
        <w:rPr>
          <w:rStyle w:val="subsection"/>
          <w:rFonts w:cs="Arial"/>
          <w:sz w:val="22"/>
          <w:szCs w:val="22"/>
          <w:u w:val="single"/>
          <w:lang w:val="en-CA"/>
        </w:rPr>
        <w:t>it is presumed that had the consumer been aware of such practice, he would not have agreed to the contract or would not have paid such a high price</w:t>
      </w:r>
      <w:r w:rsidR="00F57DBB" w:rsidRPr="004E1DE3">
        <w:rPr>
          <w:rStyle w:val="subsection"/>
          <w:rFonts w:cs="Arial"/>
          <w:sz w:val="22"/>
          <w:szCs w:val="22"/>
          <w:lang w:val="en-CA"/>
        </w:rPr>
        <w:t>.</w:t>
      </w:r>
    </w:p>
    <w:p w14:paraId="41DC2E3E" w14:textId="77777777" w:rsidR="001010ED" w:rsidRPr="004E1DE3" w:rsidRDefault="00573CA9" w:rsidP="001010ED">
      <w:pPr>
        <w:pStyle w:val="Citationenretrait"/>
        <w:ind w:left="709"/>
        <w:rPr>
          <w:szCs w:val="22"/>
          <w:lang w:val="en-CA" w:eastAsia="fr-CA"/>
        </w:rPr>
      </w:pPr>
      <w:r w:rsidRPr="004E1DE3">
        <w:rPr>
          <w:szCs w:val="22"/>
          <w:lang w:val="en-CA" w:eastAsia="fr-CA"/>
        </w:rPr>
        <w:t>…</w:t>
      </w:r>
    </w:p>
    <w:p w14:paraId="36E6DFC2" w14:textId="77777777" w:rsidR="00921945" w:rsidRPr="004E1DE3" w:rsidRDefault="00573CA9" w:rsidP="00921945">
      <w:pPr>
        <w:pStyle w:val="Citationenretrait"/>
        <w:rPr>
          <w:szCs w:val="22"/>
          <w:lang w:val="en-CA" w:eastAsia="fr-CA"/>
        </w:rPr>
      </w:pPr>
      <w:r w:rsidRPr="004E1DE3">
        <w:rPr>
          <w:b/>
          <w:bCs/>
          <w:szCs w:val="22"/>
          <w:lang w:val="en-CA" w:eastAsia="fr-CA"/>
        </w:rPr>
        <w:t>271.</w:t>
      </w:r>
      <w:r w:rsidRPr="004E1DE3">
        <w:rPr>
          <w:szCs w:val="22"/>
          <w:lang w:val="en-CA" w:eastAsia="fr-CA"/>
        </w:rPr>
        <w:t xml:space="preserve"> </w:t>
      </w:r>
      <w:r w:rsidR="00F030F6" w:rsidRPr="004E1DE3">
        <w:rPr>
          <w:szCs w:val="22"/>
          <w:lang w:val="en-CA" w:eastAsia="fr-CA"/>
        </w:rPr>
        <w:t>If any rule provided in sections 25 to 28 governing the making of contracts is not observed or if a contract does not conform to the requirements of this Act or the regulations, the consumer may demand the nullity of the contract.</w:t>
      </w:r>
    </w:p>
    <w:p w14:paraId="5222EA25" w14:textId="77777777" w:rsidR="00921945" w:rsidRPr="004E1DE3" w:rsidRDefault="00573CA9" w:rsidP="00921945">
      <w:pPr>
        <w:pStyle w:val="Citationenretrait"/>
        <w:rPr>
          <w:szCs w:val="22"/>
          <w:lang w:val="en-CA" w:eastAsia="fr-CA"/>
        </w:rPr>
      </w:pPr>
      <w:r w:rsidRPr="004E1DE3">
        <w:rPr>
          <w:szCs w:val="22"/>
          <w:lang w:val="en-CA" w:eastAsia="fr-CA"/>
        </w:rPr>
        <w:t>In the case of a contract of credit, if any of the terms and conditions of payment, or the computation or any indication of the credit charges or the credit rate does not conform to this Act or the regulations, the consumer may at his option demand the nullity of the contract or demand that the credit charges be cancelled and that any part of them already paid be restored.</w:t>
      </w:r>
    </w:p>
    <w:p w14:paraId="207D7106" w14:textId="77777777" w:rsidR="00921945" w:rsidRPr="004E1DE3" w:rsidRDefault="00573CA9" w:rsidP="00BD01E0">
      <w:pPr>
        <w:pStyle w:val="Citationenretrait"/>
        <w:rPr>
          <w:szCs w:val="22"/>
          <w:u w:val="single"/>
          <w:lang w:val="en-CA" w:eastAsia="fr-CA"/>
        </w:rPr>
      </w:pPr>
      <w:r w:rsidRPr="00D53FF1">
        <w:rPr>
          <w:szCs w:val="22"/>
          <w:u w:val="single"/>
          <w:lang w:val="en-CA" w:eastAsia="fr-CA"/>
        </w:rPr>
        <w:t>The court shall grant the demand of the consumer unless the merchant shows that the consumer suffered no prejudice from the fact that one of the above mentioned rules or requirements was not respected</w:t>
      </w:r>
      <w:r w:rsidRPr="004E1DE3">
        <w:rPr>
          <w:szCs w:val="22"/>
          <w:lang w:val="en-CA" w:eastAsia="fr-CA"/>
        </w:rPr>
        <w:t>.</w:t>
      </w:r>
    </w:p>
    <w:p w14:paraId="0765B605" w14:textId="77777777" w:rsidR="008D4EA1" w:rsidRPr="004E1DE3" w:rsidRDefault="00573CA9" w:rsidP="008D4EA1">
      <w:pPr>
        <w:pStyle w:val="Citationenretrait"/>
        <w:rPr>
          <w:szCs w:val="22"/>
          <w:lang w:val="en-CA" w:eastAsia="fr-CA"/>
        </w:rPr>
      </w:pPr>
      <w:r w:rsidRPr="004E1DE3">
        <w:rPr>
          <w:b/>
          <w:bCs/>
          <w:szCs w:val="22"/>
          <w:lang w:val="en-CA"/>
        </w:rPr>
        <w:t>272.</w:t>
      </w:r>
      <w:r w:rsidR="00940EDA" w:rsidRPr="004E1DE3">
        <w:rPr>
          <w:szCs w:val="22"/>
          <w:lang w:val="en-CA"/>
        </w:rPr>
        <w:t xml:space="preserve"> </w:t>
      </w:r>
      <w:r w:rsidR="00F030F6" w:rsidRPr="004E1DE3">
        <w:rPr>
          <w:szCs w:val="22"/>
          <w:lang w:val="en-CA"/>
        </w:rPr>
        <w:t>272. If the merchant or the manufacturer fails to fulfil an obligation imposed on him by this Act, by the regulations or by a voluntary undertaking made under section 314 or whose application has been extended by an order under section 315.1, the consumer may demand, as the case may be, subject to the other recourses provided by this Act,</w:t>
      </w:r>
    </w:p>
    <w:p w14:paraId="64049230" w14:textId="77777777" w:rsidR="008D4EA1" w:rsidRPr="004E1DE3" w:rsidRDefault="00573CA9" w:rsidP="008D4EA1">
      <w:pPr>
        <w:pStyle w:val="Citationenretrait"/>
        <w:rPr>
          <w:szCs w:val="22"/>
          <w:lang w:val="en-CA"/>
        </w:rPr>
      </w:pPr>
      <w:r w:rsidRPr="004E1DE3">
        <w:rPr>
          <w:szCs w:val="22"/>
          <w:lang w:val="en-CA"/>
        </w:rPr>
        <w:t>(a)  the specific performance of the obligation;</w:t>
      </w:r>
    </w:p>
    <w:p w14:paraId="1E693A5E" w14:textId="77777777" w:rsidR="008D4EA1" w:rsidRPr="004E1DE3" w:rsidRDefault="00573CA9" w:rsidP="008D4EA1">
      <w:pPr>
        <w:pStyle w:val="Citationenretrait"/>
        <w:rPr>
          <w:szCs w:val="22"/>
          <w:lang w:val="en-CA"/>
        </w:rPr>
      </w:pPr>
      <w:r w:rsidRPr="004E1DE3">
        <w:rPr>
          <w:szCs w:val="22"/>
          <w:lang w:val="en-CA"/>
        </w:rPr>
        <w:t>(b)  the authorization to execute it at the merchant's or manufacturer's expense;</w:t>
      </w:r>
    </w:p>
    <w:p w14:paraId="45F0F673" w14:textId="77777777" w:rsidR="008D4EA1" w:rsidRPr="004E1DE3" w:rsidRDefault="00573CA9" w:rsidP="008D4EA1">
      <w:pPr>
        <w:pStyle w:val="Citationenretrait"/>
        <w:rPr>
          <w:szCs w:val="22"/>
          <w:lang w:val="en-CA"/>
        </w:rPr>
      </w:pPr>
      <w:r w:rsidRPr="004E1DE3">
        <w:rPr>
          <w:szCs w:val="22"/>
          <w:lang w:val="en-CA"/>
        </w:rPr>
        <w:t>(c)  that his obligations be reduced;</w:t>
      </w:r>
    </w:p>
    <w:p w14:paraId="482B6C7F" w14:textId="77777777" w:rsidR="008D4EA1" w:rsidRPr="004E1DE3" w:rsidRDefault="00573CA9" w:rsidP="008D4EA1">
      <w:pPr>
        <w:pStyle w:val="Citationenretrait"/>
        <w:rPr>
          <w:szCs w:val="22"/>
          <w:lang w:val="en-CA"/>
        </w:rPr>
      </w:pPr>
      <w:r w:rsidRPr="004E1DE3">
        <w:rPr>
          <w:szCs w:val="22"/>
          <w:lang w:val="en-CA"/>
        </w:rPr>
        <w:t>(d)  that the contract be rescinded;</w:t>
      </w:r>
    </w:p>
    <w:p w14:paraId="44EE325B" w14:textId="77777777" w:rsidR="008D4EA1" w:rsidRPr="004E1DE3" w:rsidRDefault="00573CA9" w:rsidP="008D4EA1">
      <w:pPr>
        <w:pStyle w:val="Citationenretrait"/>
        <w:rPr>
          <w:szCs w:val="22"/>
          <w:lang w:val="en-CA"/>
        </w:rPr>
      </w:pPr>
      <w:r w:rsidRPr="004E1DE3">
        <w:rPr>
          <w:szCs w:val="22"/>
          <w:lang w:val="en-CA"/>
        </w:rPr>
        <w:t>(e)  that the contract be set aside; or</w:t>
      </w:r>
    </w:p>
    <w:p w14:paraId="010EAE52" w14:textId="77777777" w:rsidR="008D4EA1" w:rsidRPr="004E1DE3" w:rsidRDefault="00573CA9" w:rsidP="008D4EA1">
      <w:pPr>
        <w:pStyle w:val="Citationenretrait"/>
        <w:rPr>
          <w:szCs w:val="22"/>
          <w:lang w:val="en-CA"/>
        </w:rPr>
      </w:pPr>
      <w:r w:rsidRPr="004E1DE3">
        <w:rPr>
          <w:szCs w:val="22"/>
          <w:lang w:val="en-CA"/>
        </w:rPr>
        <w:t>(f)  that the contract be annulled,</w:t>
      </w:r>
    </w:p>
    <w:p w14:paraId="2B422A6D" w14:textId="77777777" w:rsidR="008D4EA1" w:rsidRPr="004E1DE3" w:rsidRDefault="00573CA9" w:rsidP="008D4EA1">
      <w:pPr>
        <w:pStyle w:val="Citationenretrait"/>
        <w:rPr>
          <w:szCs w:val="22"/>
          <w:u w:val="single"/>
          <w:lang w:val="en-CA"/>
        </w:rPr>
      </w:pPr>
      <w:r w:rsidRPr="004E1DE3">
        <w:rPr>
          <w:szCs w:val="22"/>
          <w:u w:val="single"/>
          <w:lang w:val="en-CA"/>
        </w:rPr>
        <w:t>without prejudice to his claim in damages, in all cases.</w:t>
      </w:r>
      <w:r w:rsidR="00940EDA" w:rsidRPr="004E1DE3">
        <w:rPr>
          <w:szCs w:val="22"/>
          <w:u w:val="single"/>
          <w:lang w:val="en-CA"/>
        </w:rPr>
        <w:t xml:space="preserve"> </w:t>
      </w:r>
      <w:r w:rsidRPr="004E1DE3">
        <w:rPr>
          <w:szCs w:val="22"/>
          <w:u w:val="single"/>
          <w:lang w:val="en-CA"/>
        </w:rPr>
        <w:t>He may also claim punitive damages.</w:t>
      </w:r>
    </w:p>
    <w:p w14:paraId="246258A3" w14:textId="77777777" w:rsidR="0076565A" w:rsidRPr="004E1DE3" w:rsidRDefault="00573CA9" w:rsidP="00342089">
      <w:pPr>
        <w:pStyle w:val="Citationenretrait"/>
        <w:jc w:val="right"/>
        <w:rPr>
          <w:sz w:val="24"/>
          <w:szCs w:val="24"/>
          <w:lang w:val="en-CA"/>
        </w:rPr>
      </w:pPr>
      <w:r w:rsidRPr="004E1DE3">
        <w:rPr>
          <w:sz w:val="24"/>
          <w:szCs w:val="24"/>
          <w:lang w:val="en-CA"/>
        </w:rPr>
        <w:lastRenderedPageBreak/>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00D323AE" w:rsidRPr="004E1DE3">
        <w:rPr>
          <w:sz w:val="24"/>
          <w:szCs w:val="24"/>
          <w:lang w:val="en-CA"/>
        </w:rPr>
        <w:t>[Emphasis added.]</w:t>
      </w:r>
    </w:p>
    <w:p w14:paraId="6BEF3DAA" w14:textId="77777777" w:rsidR="00611B4C" w:rsidRPr="004E1DE3" w:rsidRDefault="00573CA9" w:rsidP="00611B4C">
      <w:pPr>
        <w:pStyle w:val="Paragrdouble"/>
        <w:tabs>
          <w:tab w:val="num" w:pos="851"/>
        </w:tabs>
        <w:spacing w:line="240" w:lineRule="auto"/>
        <w:ind w:left="0"/>
        <w:rPr>
          <w:lang w:val="en-CA"/>
        </w:rPr>
      </w:pPr>
      <w:r w:rsidRPr="004E1DE3">
        <w:rPr>
          <w:lang w:val="en-CA"/>
        </w:rPr>
        <w:t xml:space="preserve">As for the </w:t>
      </w:r>
      <w:r w:rsidR="00940EDA" w:rsidRPr="004E1DE3">
        <w:rPr>
          <w:lang w:val="en-CA"/>
        </w:rPr>
        <w:t>application</w:t>
      </w:r>
      <w:r w:rsidRPr="004E1DE3">
        <w:rPr>
          <w:lang w:val="en-CA"/>
        </w:rPr>
        <w:t xml:space="preserve"> of section </w:t>
      </w:r>
      <w:r w:rsidR="00940EDA" w:rsidRPr="004E1DE3">
        <w:rPr>
          <w:lang w:val="en-CA"/>
        </w:rPr>
        <w:t xml:space="preserve">272 </w:t>
      </w:r>
      <w:r w:rsidRPr="004E1DE3">
        <w:rPr>
          <w:i/>
          <w:iCs/>
          <w:lang w:val="en-CA"/>
        </w:rPr>
        <w:t>CPA</w:t>
      </w:r>
      <w:r w:rsidRPr="004E1DE3">
        <w:rPr>
          <w:lang w:val="en-CA"/>
        </w:rPr>
        <w:t xml:space="preserve">, the plaintiffs must first meet the four </w:t>
      </w:r>
      <w:r w:rsidR="00281883" w:rsidRPr="004E1DE3">
        <w:rPr>
          <w:lang w:val="en-CA"/>
        </w:rPr>
        <w:t>requirements</w:t>
      </w:r>
      <w:r w:rsidRPr="004E1DE3">
        <w:rPr>
          <w:lang w:val="en-CA"/>
        </w:rPr>
        <w:t xml:space="preserve"> set out by the </w:t>
      </w:r>
      <w:r w:rsidR="00940EDA" w:rsidRPr="004E1DE3">
        <w:rPr>
          <w:lang w:val="en-CA"/>
        </w:rPr>
        <w:t>Supreme</w:t>
      </w:r>
      <w:r w:rsidRPr="004E1DE3">
        <w:rPr>
          <w:lang w:val="en-CA"/>
        </w:rPr>
        <w:t xml:space="preserve"> </w:t>
      </w:r>
      <w:r w:rsidR="00940EDA" w:rsidRPr="004E1DE3">
        <w:rPr>
          <w:lang w:val="en-CA"/>
        </w:rPr>
        <w:t>Court</w:t>
      </w:r>
      <w:r w:rsidRPr="004E1DE3">
        <w:rPr>
          <w:lang w:val="en-CA"/>
        </w:rPr>
        <w:t xml:space="preserve"> in </w:t>
      </w:r>
      <w:r w:rsidR="00940EDA" w:rsidRPr="004E1DE3">
        <w:rPr>
          <w:i/>
          <w:iCs/>
          <w:lang w:val="en-CA"/>
        </w:rPr>
        <w:t>Richard</w:t>
      </w:r>
      <w:r w:rsidRPr="004E1DE3">
        <w:rPr>
          <w:i/>
          <w:iCs/>
          <w:lang w:val="en-CA"/>
        </w:rPr>
        <w:t xml:space="preserve"> v. </w:t>
      </w:r>
      <w:r w:rsidR="00940EDA" w:rsidRPr="004E1DE3">
        <w:rPr>
          <w:i/>
          <w:iCs/>
          <w:lang w:val="en-CA"/>
        </w:rPr>
        <w:t xml:space="preserve">Time </w:t>
      </w:r>
      <w:r w:rsidRPr="004E1DE3">
        <w:rPr>
          <w:i/>
          <w:iCs/>
          <w:lang w:val="en-CA"/>
        </w:rPr>
        <w:t>I</w:t>
      </w:r>
      <w:r w:rsidR="00940EDA" w:rsidRPr="004E1DE3">
        <w:rPr>
          <w:i/>
          <w:iCs/>
          <w:lang w:val="en-CA"/>
        </w:rPr>
        <w:t>nc</w:t>
      </w:r>
      <w:r w:rsidR="00940EDA" w:rsidRPr="004E1DE3">
        <w:rPr>
          <w:lang w:val="en-CA"/>
        </w:rPr>
        <w:t>.</w:t>
      </w:r>
      <w:r w:rsidRPr="004E1DE3">
        <w:rPr>
          <w:lang w:val="en-CA"/>
        </w:rPr>
        <w:t>,</w:t>
      </w:r>
      <w:r>
        <w:rPr>
          <w:rStyle w:val="Appelnotedebasdep"/>
          <w:lang w:val="en-CA"/>
        </w:rPr>
        <w:footnoteReference w:id="23"/>
      </w:r>
      <w:r w:rsidR="00940EDA" w:rsidRPr="004E1DE3">
        <w:rPr>
          <w:lang w:val="en-CA"/>
        </w:rPr>
        <w:t xml:space="preserve"> </w:t>
      </w:r>
      <w:r w:rsidR="00281883" w:rsidRPr="004E1DE3">
        <w:rPr>
          <w:lang w:val="en-CA"/>
        </w:rPr>
        <w:t xml:space="preserve">which provides an </w:t>
      </w:r>
      <w:r w:rsidR="00940EDA" w:rsidRPr="004E1DE3">
        <w:rPr>
          <w:lang w:val="en-CA"/>
        </w:rPr>
        <w:t>analytical</w:t>
      </w:r>
      <w:r w:rsidR="00281883" w:rsidRPr="004E1DE3">
        <w:rPr>
          <w:lang w:val="en-CA"/>
        </w:rPr>
        <w:t xml:space="preserve"> </w:t>
      </w:r>
      <w:r w:rsidR="00940EDA" w:rsidRPr="004E1DE3">
        <w:rPr>
          <w:lang w:val="en-CA"/>
        </w:rPr>
        <w:t>framework</w:t>
      </w:r>
      <w:r w:rsidR="00281883" w:rsidRPr="004E1DE3">
        <w:rPr>
          <w:lang w:val="en-CA"/>
        </w:rPr>
        <w:t xml:space="preserve"> to determine the </w:t>
      </w:r>
      <w:r w:rsidR="00940EDA" w:rsidRPr="004E1DE3">
        <w:rPr>
          <w:lang w:val="en-CA"/>
        </w:rPr>
        <w:t xml:space="preserve">application </w:t>
      </w:r>
      <w:r w:rsidR="00281883" w:rsidRPr="004E1DE3">
        <w:rPr>
          <w:lang w:val="en-CA"/>
        </w:rPr>
        <w:t xml:space="preserve">of the </w:t>
      </w:r>
      <w:r w:rsidR="00940EDA" w:rsidRPr="004E1DE3">
        <w:rPr>
          <w:lang w:val="en-CA"/>
        </w:rPr>
        <w:t>pr</w:t>
      </w:r>
      <w:r w:rsidR="00281883" w:rsidRPr="004E1DE3">
        <w:rPr>
          <w:lang w:val="en-CA"/>
        </w:rPr>
        <w:t xml:space="preserve">esumption of </w:t>
      </w:r>
      <w:r w:rsidR="00940EDA" w:rsidRPr="004E1DE3">
        <w:rPr>
          <w:lang w:val="en-CA"/>
        </w:rPr>
        <w:t>pr</w:t>
      </w:r>
      <w:r w:rsidR="00281883" w:rsidRPr="004E1DE3">
        <w:rPr>
          <w:lang w:val="en-CA"/>
        </w:rPr>
        <w:t>e</w:t>
      </w:r>
      <w:r w:rsidR="00940EDA" w:rsidRPr="004E1DE3">
        <w:rPr>
          <w:lang w:val="en-CA"/>
        </w:rPr>
        <w:t xml:space="preserve">judice </w:t>
      </w:r>
      <w:r w:rsidR="00281883" w:rsidRPr="004E1DE3">
        <w:rPr>
          <w:lang w:val="en-CA"/>
        </w:rPr>
        <w:t xml:space="preserve">set out in the </w:t>
      </w:r>
      <w:r w:rsidR="00281883" w:rsidRPr="004E1DE3">
        <w:rPr>
          <w:i/>
          <w:iCs/>
          <w:lang w:val="en-CA"/>
        </w:rPr>
        <w:t>CPA</w:t>
      </w:r>
      <w:r w:rsidR="00281883" w:rsidRPr="004E1DE3">
        <w:rPr>
          <w:lang w:val="en-CA"/>
        </w:rPr>
        <w:t xml:space="preserve"> in the event of a </w:t>
      </w:r>
      <w:r w:rsidR="00940EDA" w:rsidRPr="004E1DE3">
        <w:rPr>
          <w:lang w:val="en-CA"/>
        </w:rPr>
        <w:t>prohibited</w:t>
      </w:r>
      <w:r w:rsidR="00281883" w:rsidRPr="004E1DE3">
        <w:rPr>
          <w:lang w:val="en-CA"/>
        </w:rPr>
        <w:t xml:space="preserve"> </w:t>
      </w:r>
      <w:r w:rsidR="00940EDA" w:rsidRPr="004E1DE3">
        <w:rPr>
          <w:lang w:val="en-CA"/>
        </w:rPr>
        <w:t xml:space="preserve">practice: </w:t>
      </w:r>
    </w:p>
    <w:p w14:paraId="541DA026" w14:textId="77777777" w:rsidR="00611B4C" w:rsidRPr="004E1DE3" w:rsidRDefault="00573CA9" w:rsidP="00BD01E0">
      <w:pPr>
        <w:pStyle w:val="Paragrdouble"/>
        <w:numPr>
          <w:ilvl w:val="0"/>
          <w:numId w:val="0"/>
        </w:numPr>
        <w:tabs>
          <w:tab w:val="clear" w:pos="4755"/>
        </w:tabs>
        <w:spacing w:line="240" w:lineRule="auto"/>
        <w:ind w:left="709" w:right="715"/>
        <w:rPr>
          <w:sz w:val="23"/>
          <w:szCs w:val="23"/>
          <w:lang w:val="en-CA"/>
        </w:rPr>
      </w:pPr>
      <w:r w:rsidRPr="004E1DE3">
        <w:rPr>
          <w:color w:val="000000"/>
          <w:sz w:val="23"/>
          <w:szCs w:val="23"/>
          <w:lang w:val="en-CA"/>
        </w:rPr>
        <w:t>[124] This absolute presumption of prejudice presupposes a rational connection between the prohibited practice and the contractual relationship governed by the Act. It is therefore important to define the requirements that must be met for the presumption to apply in cases in which a prohibited practice has been used.</w:t>
      </w:r>
      <w:r w:rsidR="00940EDA" w:rsidRPr="004E1DE3">
        <w:rPr>
          <w:color w:val="000000"/>
          <w:sz w:val="23"/>
          <w:szCs w:val="23"/>
          <w:lang w:val="en-CA"/>
        </w:rPr>
        <w:t xml:space="preserve"> </w:t>
      </w:r>
      <w:r w:rsidRPr="004E1DE3">
        <w:rPr>
          <w:color w:val="000000"/>
          <w:sz w:val="23"/>
          <w:szCs w:val="23"/>
          <w:u w:val="single"/>
          <w:lang w:val="en-CA"/>
        </w:rPr>
        <w:t>In our opinion, a consumer who wishes to benefit from the presumption must prove the following: (1) that the merchant or manufacturer failed to fulfil one of the obligations imposed by Title II of the Act; (2) that the consumer saw the representation that constituted a prohibited practice; (3) that the consumer’s seeing that representation resulted in the formation, amendment or performance of a consumer contract; and (4) that a sufficient nexus existed between the content of the representation and the goods or services covered by the contract.</w:t>
      </w:r>
      <w:r w:rsidR="00940EDA" w:rsidRPr="004E1DE3">
        <w:rPr>
          <w:color w:val="000000"/>
          <w:sz w:val="23"/>
          <w:szCs w:val="23"/>
          <w:u w:val="single"/>
          <w:lang w:val="en-CA"/>
        </w:rPr>
        <w:t xml:space="preserve"> </w:t>
      </w:r>
      <w:r w:rsidRPr="004E1DE3">
        <w:rPr>
          <w:color w:val="000000"/>
          <w:sz w:val="23"/>
          <w:szCs w:val="23"/>
          <w:u w:val="single"/>
          <w:lang w:val="en-CA"/>
        </w:rPr>
        <w:t>This last requirement means that the prohibited practice must be one that was capable of influencing a consumer’s behaviour with respect to the formation, amendment or performance of the contract.</w:t>
      </w:r>
      <w:r w:rsidR="00940EDA" w:rsidRPr="004E1DE3">
        <w:rPr>
          <w:color w:val="000000"/>
          <w:sz w:val="23"/>
          <w:szCs w:val="23"/>
          <w:u w:val="single"/>
          <w:lang w:val="en-CA"/>
        </w:rPr>
        <w:t xml:space="preserve"> </w:t>
      </w:r>
      <w:r w:rsidRPr="004E1DE3">
        <w:rPr>
          <w:color w:val="000000"/>
          <w:sz w:val="23"/>
          <w:szCs w:val="23"/>
          <w:u w:val="single"/>
          <w:lang w:val="en-CA"/>
        </w:rPr>
        <w:t>Where these four requirements are met, the court can conclude that the prohibited practice is deemed to have had a fraudulent effect on the consumer</w:t>
      </w:r>
      <w:r w:rsidRPr="004E1DE3">
        <w:rPr>
          <w:color w:val="000000"/>
          <w:sz w:val="23"/>
          <w:szCs w:val="23"/>
          <w:lang w:val="en-CA"/>
        </w:rPr>
        <w:t>.</w:t>
      </w:r>
      <w:r w:rsidR="00940EDA" w:rsidRPr="004E1DE3">
        <w:rPr>
          <w:color w:val="000000"/>
          <w:sz w:val="23"/>
          <w:szCs w:val="23"/>
          <w:lang w:val="en-CA"/>
        </w:rPr>
        <w:t> </w:t>
      </w:r>
      <w:r w:rsidRPr="004E1DE3">
        <w:rPr>
          <w:color w:val="000000"/>
          <w:sz w:val="23"/>
          <w:szCs w:val="23"/>
          <w:lang w:val="en-CA"/>
        </w:rPr>
        <w:t>In such a case, the contract so formed, amended or performed constitutes, in itself, a prejudice suffered by the consumer.</w:t>
      </w:r>
      <w:r w:rsidR="00940EDA" w:rsidRPr="004E1DE3">
        <w:rPr>
          <w:color w:val="000000"/>
          <w:sz w:val="23"/>
          <w:szCs w:val="23"/>
          <w:lang w:val="en-CA"/>
        </w:rPr>
        <w:t xml:space="preserve"> </w:t>
      </w:r>
      <w:r w:rsidRPr="004E1DE3">
        <w:rPr>
          <w:color w:val="000000"/>
          <w:sz w:val="23"/>
          <w:szCs w:val="23"/>
          <w:lang w:val="en-CA"/>
        </w:rPr>
        <w:t xml:space="preserve">This presumption thus enables the consumer to demand, in the manner described above, one of the contractual remedies provided for in s. 272 </w:t>
      </w:r>
      <w:r w:rsidRPr="004E1DE3">
        <w:rPr>
          <w:i/>
          <w:color w:val="000000"/>
          <w:sz w:val="23"/>
          <w:szCs w:val="23"/>
          <w:lang w:val="en-CA"/>
        </w:rPr>
        <w:t>C.P.A.</w:t>
      </w:r>
      <w:r w:rsidR="00940EDA" w:rsidRPr="004E1DE3">
        <w:rPr>
          <w:color w:val="000000"/>
          <w:sz w:val="23"/>
          <w:szCs w:val="23"/>
          <w:lang w:val="en-CA"/>
        </w:rPr>
        <w:t xml:space="preserve"> </w:t>
      </w:r>
    </w:p>
    <w:p w14:paraId="0F95BDEE" w14:textId="77777777" w:rsidR="00342089" w:rsidRPr="004E1DE3" w:rsidRDefault="00573CA9" w:rsidP="00342089">
      <w:pPr>
        <w:pStyle w:val="Citationenretrait"/>
        <w:jc w:val="right"/>
        <w:rPr>
          <w:sz w:val="24"/>
          <w:szCs w:val="24"/>
          <w:lang w:val="en-CA"/>
        </w:rPr>
      </w:pP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00D323AE" w:rsidRPr="004E1DE3">
        <w:rPr>
          <w:sz w:val="24"/>
          <w:szCs w:val="24"/>
          <w:lang w:val="en-CA"/>
        </w:rPr>
        <w:t>[Emphasis added.]</w:t>
      </w:r>
    </w:p>
    <w:p w14:paraId="7EA40B0E" w14:textId="77777777" w:rsidR="00A036B5" w:rsidRPr="004E1DE3" w:rsidRDefault="00573CA9" w:rsidP="00131625">
      <w:pPr>
        <w:pStyle w:val="Paragrsimple"/>
        <w:tabs>
          <w:tab w:val="clear" w:pos="2062"/>
          <w:tab w:val="clear" w:pos="4755"/>
        </w:tabs>
        <w:ind w:left="0"/>
        <w:rPr>
          <w:lang w:val="en-CA" w:eastAsia="fr-CA"/>
        </w:rPr>
      </w:pPr>
      <w:r w:rsidRPr="004E1DE3">
        <w:rPr>
          <w:lang w:val="en-CA" w:eastAsia="fr-CA"/>
        </w:rPr>
        <w:t xml:space="preserve">However, </w:t>
      </w:r>
      <w:r w:rsidR="00233678" w:rsidRPr="004E1DE3">
        <w:rPr>
          <w:lang w:val="en-CA" w:eastAsia="fr-CA"/>
        </w:rPr>
        <w:t>once a person’s negligent and reckless</w:t>
      </w:r>
      <w:r w:rsidR="00940EDA" w:rsidRPr="004E1DE3">
        <w:rPr>
          <w:lang w:val="en-CA" w:eastAsia="fr-CA"/>
        </w:rPr>
        <w:t xml:space="preserve"> attitude </w:t>
      </w:r>
      <w:r w:rsidR="00233678" w:rsidRPr="004E1DE3">
        <w:rPr>
          <w:lang w:val="en-CA" w:eastAsia="fr-CA"/>
        </w:rPr>
        <w:t xml:space="preserve">towards others, the public, or a consumer is established, such conduct can essentially be assimilated to </w:t>
      </w:r>
      <w:r w:rsidR="009D6BB2" w:rsidRPr="004E1DE3">
        <w:rPr>
          <w:lang w:val="en-CA" w:eastAsia="fr-CA"/>
        </w:rPr>
        <w:t>an intentional interference or violation;</w:t>
      </w:r>
      <w:r>
        <w:rPr>
          <w:rStyle w:val="Appelnotedebasdep"/>
          <w:lang w:val="en-CA" w:eastAsia="fr-CA"/>
        </w:rPr>
        <w:footnoteReference w:id="24"/>
      </w:r>
      <w:r w:rsidR="009D6BB2" w:rsidRPr="004E1DE3">
        <w:rPr>
          <w:lang w:val="en-CA" w:eastAsia="fr-CA"/>
        </w:rPr>
        <w:t xml:space="preserve"> the same is true when that person</w:t>
      </w:r>
      <w:r w:rsidR="003859A0" w:rsidRPr="004E1DE3">
        <w:rPr>
          <w:lang w:val="en-CA" w:eastAsia="fr-CA"/>
        </w:rPr>
        <w:t xml:space="preserve"> acts with full knowledge of the immediate and natural or at least extremely probable consequences that his or her conduct will cause.</w:t>
      </w:r>
      <w:r>
        <w:rPr>
          <w:rStyle w:val="Appelnotedebasdep"/>
          <w:lang w:val="en-CA" w:eastAsia="fr-CA"/>
        </w:rPr>
        <w:footnoteReference w:id="25"/>
      </w:r>
    </w:p>
    <w:p w14:paraId="76490FBE" w14:textId="77777777" w:rsidR="00FA7AFB" w:rsidRPr="004E1DE3" w:rsidRDefault="00573CA9" w:rsidP="00131625">
      <w:pPr>
        <w:pStyle w:val="Paragrsimple"/>
        <w:tabs>
          <w:tab w:val="clear" w:pos="2062"/>
          <w:tab w:val="clear" w:pos="4755"/>
          <w:tab w:val="num" w:pos="0"/>
        </w:tabs>
        <w:ind w:left="0"/>
        <w:rPr>
          <w:lang w:val="en-CA" w:eastAsia="fr-CA"/>
        </w:rPr>
      </w:pPr>
      <w:r w:rsidRPr="004E1DE3">
        <w:rPr>
          <w:lang w:val="en-CA" w:eastAsia="fr-CA"/>
        </w:rPr>
        <w:t xml:space="preserve">According to the plaintiffs, the defendants acted with such negligence towards the plaintiffs and the putative </w:t>
      </w:r>
      <w:r w:rsidR="00FE1E9B">
        <w:rPr>
          <w:lang w:val="en-CA" w:eastAsia="fr-CA"/>
        </w:rPr>
        <w:t xml:space="preserve">class </w:t>
      </w:r>
      <w:r w:rsidRPr="004E1DE3">
        <w:rPr>
          <w:lang w:val="en-CA" w:eastAsia="fr-CA"/>
        </w:rPr>
        <w:t xml:space="preserve">members in this case, </w:t>
      </w:r>
      <w:r w:rsidR="0057718E" w:rsidRPr="004E1DE3">
        <w:rPr>
          <w:lang w:val="en-CA" w:eastAsia="fr-CA"/>
        </w:rPr>
        <w:t xml:space="preserve">because they made representations on the reliability of their information security system with full knowledge </w:t>
      </w:r>
      <w:r w:rsidR="0057718E" w:rsidRPr="004E1DE3">
        <w:rPr>
          <w:lang w:val="en-CA" w:eastAsia="fr-CA"/>
        </w:rPr>
        <w:lastRenderedPageBreak/>
        <w:t xml:space="preserve">of the </w:t>
      </w:r>
      <w:r w:rsidR="00940EDA" w:rsidRPr="004E1DE3">
        <w:rPr>
          <w:lang w:val="en-CA" w:eastAsia="fr-CA"/>
        </w:rPr>
        <w:t>vuln</w:t>
      </w:r>
      <w:r w:rsidR="0057718E" w:rsidRPr="004E1DE3">
        <w:rPr>
          <w:lang w:val="en-CA" w:eastAsia="fr-CA"/>
        </w:rPr>
        <w:t>e</w:t>
      </w:r>
      <w:r w:rsidR="00940EDA" w:rsidRPr="004E1DE3">
        <w:rPr>
          <w:lang w:val="en-CA" w:eastAsia="fr-CA"/>
        </w:rPr>
        <w:t>rabilit</w:t>
      </w:r>
      <w:r w:rsidR="0057718E" w:rsidRPr="004E1DE3">
        <w:rPr>
          <w:lang w:val="en-CA" w:eastAsia="fr-CA"/>
        </w:rPr>
        <w:t xml:space="preserve">y of that </w:t>
      </w:r>
      <w:r w:rsidR="00511306" w:rsidRPr="004E1DE3">
        <w:rPr>
          <w:lang w:val="en-CA" w:eastAsia="fr-CA"/>
        </w:rPr>
        <w:t xml:space="preserve">hosting system used to </w:t>
      </w:r>
      <w:r w:rsidR="00B06E1F" w:rsidRPr="004E1DE3">
        <w:rPr>
          <w:lang w:val="en-CA" w:eastAsia="fr-CA"/>
        </w:rPr>
        <w:t xml:space="preserve">keep the members’ </w:t>
      </w:r>
      <w:r w:rsidR="00940EDA" w:rsidRPr="004E1DE3">
        <w:rPr>
          <w:lang w:val="en-CA" w:eastAsia="fr-CA"/>
        </w:rPr>
        <w:t>personal</w:t>
      </w:r>
      <w:r w:rsidR="00B06E1F" w:rsidRPr="004E1DE3">
        <w:rPr>
          <w:lang w:val="en-CA" w:eastAsia="fr-CA"/>
        </w:rPr>
        <w:t xml:space="preserve"> </w:t>
      </w:r>
      <w:r w:rsidR="00940EDA" w:rsidRPr="004E1DE3">
        <w:rPr>
          <w:lang w:val="en-CA" w:eastAsia="fr-CA"/>
        </w:rPr>
        <w:t>information</w:t>
      </w:r>
      <w:r w:rsidR="00B06E1F" w:rsidRPr="004E1DE3">
        <w:rPr>
          <w:lang w:val="en-CA" w:eastAsia="fr-CA"/>
        </w:rPr>
        <w:t xml:space="preserve"> since at least </w:t>
      </w:r>
      <w:r w:rsidR="00940EDA" w:rsidRPr="004E1DE3">
        <w:rPr>
          <w:lang w:val="en-CA" w:eastAsia="fr-CA"/>
        </w:rPr>
        <w:t>2015.</w:t>
      </w:r>
    </w:p>
    <w:p w14:paraId="6BEDEF5F" w14:textId="77777777" w:rsidR="00D07CD3" w:rsidRPr="004E1DE3" w:rsidRDefault="00573CA9" w:rsidP="00131625">
      <w:pPr>
        <w:pStyle w:val="Paragrsimple"/>
        <w:tabs>
          <w:tab w:val="clear" w:pos="2062"/>
          <w:tab w:val="clear" w:pos="4755"/>
          <w:tab w:val="num" w:pos="0"/>
        </w:tabs>
        <w:ind w:left="0"/>
        <w:rPr>
          <w:lang w:val="en-CA" w:eastAsia="fr-CA"/>
        </w:rPr>
      </w:pPr>
      <w:r w:rsidRPr="004E1DE3">
        <w:rPr>
          <w:lang w:val="en-CA" w:eastAsia="fr-CA"/>
        </w:rPr>
        <w:t xml:space="preserve">The plaintiffs add that </w:t>
      </w:r>
      <w:r w:rsidR="0069494B" w:rsidRPr="004E1DE3">
        <w:rPr>
          <w:lang w:val="en-CA" w:eastAsia="fr-CA"/>
        </w:rPr>
        <w:t xml:space="preserve">the defendants, </w:t>
      </w:r>
      <w:r w:rsidRPr="004E1DE3">
        <w:rPr>
          <w:lang w:val="en-CA" w:eastAsia="fr-CA"/>
        </w:rPr>
        <w:t xml:space="preserve">through their public </w:t>
      </w:r>
      <w:r w:rsidR="00971D3C" w:rsidRPr="004E1DE3">
        <w:rPr>
          <w:lang w:val="en-CA" w:eastAsia="fr-CA"/>
        </w:rPr>
        <w:t>repr</w:t>
      </w:r>
      <w:r w:rsidR="0069494B" w:rsidRPr="004E1DE3">
        <w:rPr>
          <w:lang w:val="en-CA" w:eastAsia="fr-CA"/>
        </w:rPr>
        <w:t>e</w:t>
      </w:r>
      <w:r w:rsidR="00971D3C" w:rsidRPr="004E1DE3">
        <w:rPr>
          <w:lang w:val="en-CA" w:eastAsia="fr-CA"/>
        </w:rPr>
        <w:t xml:space="preserve">sentations </w:t>
      </w:r>
      <w:r w:rsidR="0069494B" w:rsidRPr="004E1DE3">
        <w:rPr>
          <w:lang w:val="en-CA" w:eastAsia="fr-CA"/>
        </w:rPr>
        <w:t xml:space="preserve">and their advertising in general, on both their </w:t>
      </w:r>
      <w:r w:rsidR="007A2FB9" w:rsidRPr="004E1DE3">
        <w:rPr>
          <w:lang w:val="en-CA" w:eastAsia="fr-CA"/>
        </w:rPr>
        <w:t>application</w:t>
      </w:r>
      <w:r w:rsidR="0069494B" w:rsidRPr="004E1DE3">
        <w:rPr>
          <w:lang w:val="en-CA" w:eastAsia="fr-CA"/>
        </w:rPr>
        <w:t xml:space="preserve"> form and their respective websites, in particular with respect to </w:t>
      </w:r>
      <w:r w:rsidR="00971D3C" w:rsidRPr="004E1DE3">
        <w:rPr>
          <w:lang w:val="en-CA" w:eastAsia="fr-CA"/>
        </w:rPr>
        <w:t xml:space="preserve">Capital One </w:t>
      </w:r>
      <w:r w:rsidR="0069494B" w:rsidRPr="004E1DE3">
        <w:rPr>
          <w:lang w:val="en-CA" w:eastAsia="fr-CA"/>
        </w:rPr>
        <w:t xml:space="preserve">and its </w:t>
      </w:r>
      <w:r w:rsidR="00971D3C" w:rsidRPr="004E1DE3">
        <w:rPr>
          <w:lang w:val="en-CA" w:eastAsia="fr-CA"/>
        </w:rPr>
        <w:t>confidentialit</w:t>
      </w:r>
      <w:r w:rsidR="0069494B" w:rsidRPr="004E1DE3">
        <w:rPr>
          <w:lang w:val="en-CA" w:eastAsia="fr-CA"/>
        </w:rPr>
        <w:t xml:space="preserve">y policy discussed below, and </w:t>
      </w:r>
      <w:r w:rsidR="00971D3C" w:rsidRPr="004E1DE3">
        <w:rPr>
          <w:lang w:val="en-CA" w:eastAsia="fr-CA"/>
        </w:rPr>
        <w:t xml:space="preserve">Amazon, </w:t>
      </w:r>
      <w:r w:rsidR="0069494B" w:rsidRPr="004E1DE3">
        <w:rPr>
          <w:lang w:val="en-CA" w:eastAsia="fr-CA"/>
        </w:rPr>
        <w:t>perhaps to a different extent</w:t>
      </w:r>
      <w:r w:rsidR="00971D3C" w:rsidRPr="004E1DE3">
        <w:rPr>
          <w:lang w:val="en-CA" w:eastAsia="fr-CA"/>
        </w:rPr>
        <w:t xml:space="preserve">, </w:t>
      </w:r>
      <w:r w:rsidR="0069494B" w:rsidRPr="004E1DE3">
        <w:rPr>
          <w:lang w:val="en-CA" w:eastAsia="fr-CA"/>
        </w:rPr>
        <w:t xml:space="preserve">made </w:t>
      </w:r>
      <w:r w:rsidR="00971D3C" w:rsidRPr="004E1DE3">
        <w:rPr>
          <w:lang w:val="en-CA" w:eastAsia="fr-CA"/>
        </w:rPr>
        <w:t>false</w:t>
      </w:r>
      <w:r w:rsidR="0069494B" w:rsidRPr="004E1DE3">
        <w:rPr>
          <w:lang w:val="en-CA" w:eastAsia="fr-CA"/>
        </w:rPr>
        <w:t xml:space="preserve"> </w:t>
      </w:r>
      <w:r w:rsidR="00971D3C" w:rsidRPr="004E1DE3">
        <w:rPr>
          <w:lang w:val="en-CA" w:eastAsia="fr-CA"/>
        </w:rPr>
        <w:t>or</w:t>
      </w:r>
      <w:r w:rsidR="0069494B" w:rsidRPr="004E1DE3">
        <w:rPr>
          <w:lang w:val="en-CA" w:eastAsia="fr-CA"/>
        </w:rPr>
        <w:t xml:space="preserve"> </w:t>
      </w:r>
      <w:r w:rsidR="00971D3C" w:rsidRPr="004E1DE3">
        <w:rPr>
          <w:lang w:val="en-CA" w:eastAsia="fr-CA"/>
        </w:rPr>
        <w:t>misleading</w:t>
      </w:r>
      <w:r w:rsidR="0069494B" w:rsidRPr="004E1DE3">
        <w:rPr>
          <w:lang w:val="en-CA" w:eastAsia="fr-CA"/>
        </w:rPr>
        <w:t xml:space="preserve"> </w:t>
      </w:r>
      <w:r w:rsidR="00971D3C" w:rsidRPr="004E1DE3">
        <w:rPr>
          <w:lang w:val="en-CA" w:eastAsia="fr-CA"/>
        </w:rPr>
        <w:t>representation</w:t>
      </w:r>
      <w:r w:rsidR="0069494B" w:rsidRPr="004E1DE3">
        <w:rPr>
          <w:lang w:val="en-CA" w:eastAsia="fr-CA"/>
        </w:rPr>
        <w:t xml:space="preserve">s to the plaintiffs and to the </w:t>
      </w:r>
      <w:r w:rsidR="00D02AD1">
        <w:rPr>
          <w:lang w:val="en-CA" w:eastAsia="fr-CA"/>
        </w:rPr>
        <w:t xml:space="preserve">class </w:t>
      </w:r>
      <w:r w:rsidR="0069494B" w:rsidRPr="004E1DE3">
        <w:rPr>
          <w:lang w:val="en-CA" w:eastAsia="fr-CA"/>
        </w:rPr>
        <w:t xml:space="preserve">members, which </w:t>
      </w:r>
      <w:r w:rsidR="00971D3C" w:rsidRPr="004E1DE3">
        <w:rPr>
          <w:lang w:val="en-CA" w:eastAsia="fr-CA"/>
        </w:rPr>
        <w:t>constitu</w:t>
      </w:r>
      <w:r w:rsidR="0069494B" w:rsidRPr="004E1DE3">
        <w:rPr>
          <w:lang w:val="en-CA" w:eastAsia="fr-CA"/>
        </w:rPr>
        <w:t>t</w:t>
      </w:r>
      <w:r w:rsidR="00971D3C" w:rsidRPr="004E1DE3">
        <w:rPr>
          <w:lang w:val="en-CA" w:eastAsia="fr-CA"/>
        </w:rPr>
        <w:t>e</w:t>
      </w:r>
      <w:r w:rsidR="0069494B" w:rsidRPr="004E1DE3">
        <w:rPr>
          <w:lang w:val="en-CA" w:eastAsia="fr-CA"/>
        </w:rPr>
        <w:t xml:space="preserve"> </w:t>
      </w:r>
      <w:r w:rsidR="00971D3C" w:rsidRPr="004E1DE3">
        <w:rPr>
          <w:lang w:val="en-CA" w:eastAsia="fr-CA"/>
        </w:rPr>
        <w:t>prohibited</w:t>
      </w:r>
      <w:r w:rsidR="0069494B" w:rsidRPr="004E1DE3">
        <w:rPr>
          <w:lang w:val="en-CA" w:eastAsia="fr-CA"/>
        </w:rPr>
        <w:t xml:space="preserve"> </w:t>
      </w:r>
      <w:r w:rsidR="00971D3C" w:rsidRPr="004E1DE3">
        <w:rPr>
          <w:lang w:val="en-CA" w:eastAsia="fr-CA"/>
        </w:rPr>
        <w:t>practices</w:t>
      </w:r>
      <w:r w:rsidR="0069494B" w:rsidRPr="004E1DE3">
        <w:rPr>
          <w:lang w:val="en-CA" w:eastAsia="fr-CA"/>
        </w:rPr>
        <w:t xml:space="preserve"> under </w:t>
      </w:r>
      <w:r w:rsidR="00971D3C" w:rsidRPr="004E1DE3">
        <w:rPr>
          <w:lang w:val="en-CA" w:eastAsia="fr-CA"/>
        </w:rPr>
        <w:t xml:space="preserve">section 215 et </w:t>
      </w:r>
      <w:r w:rsidR="0069494B" w:rsidRPr="004E1DE3">
        <w:rPr>
          <w:i/>
          <w:iCs/>
          <w:lang w:val="en-CA" w:eastAsia="fr-CA"/>
        </w:rPr>
        <w:t>seq</w:t>
      </w:r>
      <w:r w:rsidR="0069494B" w:rsidRPr="004E1DE3">
        <w:rPr>
          <w:lang w:val="en-CA" w:eastAsia="fr-CA"/>
        </w:rPr>
        <w:t xml:space="preserve">. of the </w:t>
      </w:r>
      <w:r w:rsidR="0069494B" w:rsidRPr="004E1DE3">
        <w:rPr>
          <w:i/>
          <w:iCs/>
          <w:lang w:val="en-CA" w:eastAsia="fr-CA"/>
        </w:rPr>
        <w:t>CPA</w:t>
      </w:r>
      <w:r w:rsidR="0069494B" w:rsidRPr="004E1DE3">
        <w:rPr>
          <w:lang w:val="en-CA" w:eastAsia="fr-CA"/>
        </w:rPr>
        <w:t>, cited above</w:t>
      </w:r>
      <w:r w:rsidR="00971D3C" w:rsidRPr="004E1DE3">
        <w:rPr>
          <w:lang w:val="en-CA" w:eastAsia="fr-CA"/>
        </w:rPr>
        <w:t>.</w:t>
      </w:r>
    </w:p>
    <w:p w14:paraId="2204F963" w14:textId="77777777" w:rsidR="00971D3C" w:rsidRPr="004E1DE3" w:rsidRDefault="00573CA9" w:rsidP="00131625">
      <w:pPr>
        <w:pStyle w:val="Paragrsimple"/>
        <w:tabs>
          <w:tab w:val="clear" w:pos="2062"/>
          <w:tab w:val="clear" w:pos="4755"/>
        </w:tabs>
        <w:ind w:left="0"/>
        <w:rPr>
          <w:lang w:val="en-CA" w:eastAsia="fr-CA"/>
        </w:rPr>
      </w:pPr>
      <w:r w:rsidRPr="004E1DE3">
        <w:rPr>
          <w:lang w:val="en-CA" w:eastAsia="fr-CA"/>
        </w:rPr>
        <w:t xml:space="preserve">The plaintiffs </w:t>
      </w:r>
      <w:r w:rsidR="00F375C2" w:rsidRPr="004E1DE3">
        <w:rPr>
          <w:lang w:val="en-CA" w:eastAsia="fr-CA"/>
        </w:rPr>
        <w:t>conclu</w:t>
      </w:r>
      <w:r w:rsidRPr="004E1DE3">
        <w:rPr>
          <w:lang w:val="en-CA" w:eastAsia="fr-CA"/>
        </w:rPr>
        <w:t>d</w:t>
      </w:r>
      <w:r w:rsidR="00F375C2" w:rsidRPr="004E1DE3">
        <w:rPr>
          <w:lang w:val="en-CA" w:eastAsia="fr-CA"/>
        </w:rPr>
        <w:t>e</w:t>
      </w:r>
      <w:r w:rsidRPr="004E1DE3">
        <w:rPr>
          <w:lang w:val="en-CA" w:eastAsia="fr-CA"/>
        </w:rPr>
        <w:t xml:space="preserve"> that pursuant to </w:t>
      </w:r>
      <w:r w:rsidR="00F375C2" w:rsidRPr="004E1DE3">
        <w:rPr>
          <w:lang w:val="en-CA" w:eastAsia="fr-CA"/>
        </w:rPr>
        <w:t xml:space="preserve">sections 253 </w:t>
      </w:r>
      <w:r w:rsidR="00737982" w:rsidRPr="004E1DE3">
        <w:rPr>
          <w:lang w:val="en-CA" w:eastAsia="fr-CA"/>
        </w:rPr>
        <w:t>and</w:t>
      </w:r>
      <w:r w:rsidR="00F375C2" w:rsidRPr="004E1DE3">
        <w:rPr>
          <w:lang w:val="en-CA" w:eastAsia="fr-CA"/>
        </w:rPr>
        <w:t xml:space="preserve"> 271 </w:t>
      </w:r>
      <w:r w:rsidR="00737982" w:rsidRPr="004E1DE3">
        <w:rPr>
          <w:lang w:val="en-CA" w:eastAsia="fr-CA"/>
        </w:rPr>
        <w:t xml:space="preserve">of the </w:t>
      </w:r>
      <w:r w:rsidR="00737982" w:rsidRPr="004E1DE3">
        <w:rPr>
          <w:i/>
          <w:iCs/>
          <w:lang w:val="en-CA" w:eastAsia="fr-CA"/>
        </w:rPr>
        <w:t>CPA</w:t>
      </w:r>
      <w:r w:rsidR="00737982" w:rsidRPr="004E1DE3">
        <w:rPr>
          <w:lang w:val="en-CA" w:eastAsia="fr-CA"/>
        </w:rPr>
        <w:t xml:space="preserve">, the </w:t>
      </w:r>
      <w:r w:rsidR="00D02AD1">
        <w:rPr>
          <w:lang w:val="en-CA" w:eastAsia="fr-CA"/>
        </w:rPr>
        <w:t xml:space="preserve">class </w:t>
      </w:r>
      <w:r w:rsidR="00737982" w:rsidRPr="004E1DE3">
        <w:rPr>
          <w:lang w:val="en-CA" w:eastAsia="fr-CA"/>
        </w:rPr>
        <w:t xml:space="preserve">members benefit from both this presumption of the </w:t>
      </w:r>
      <w:r w:rsidR="00F375C2" w:rsidRPr="004E1DE3">
        <w:rPr>
          <w:lang w:val="en-CA" w:eastAsia="fr-CA"/>
        </w:rPr>
        <w:t xml:space="preserve">existence </w:t>
      </w:r>
      <w:r w:rsidR="00737982" w:rsidRPr="004E1DE3">
        <w:rPr>
          <w:lang w:val="en-CA" w:eastAsia="fr-CA"/>
        </w:rPr>
        <w:t xml:space="preserve">of a </w:t>
      </w:r>
      <w:r w:rsidR="00F375C2" w:rsidRPr="004E1DE3">
        <w:rPr>
          <w:lang w:val="en-CA" w:eastAsia="fr-CA"/>
        </w:rPr>
        <w:t>prohibited</w:t>
      </w:r>
      <w:r w:rsidR="00737982" w:rsidRPr="004E1DE3">
        <w:rPr>
          <w:lang w:val="en-CA" w:eastAsia="fr-CA"/>
        </w:rPr>
        <w:t xml:space="preserve"> </w:t>
      </w:r>
      <w:r w:rsidR="00F375C2" w:rsidRPr="004E1DE3">
        <w:rPr>
          <w:lang w:val="en-CA" w:eastAsia="fr-CA"/>
        </w:rPr>
        <w:t>practice</w:t>
      </w:r>
      <w:r w:rsidR="00737982" w:rsidRPr="004E1DE3">
        <w:rPr>
          <w:lang w:val="en-CA" w:eastAsia="fr-CA"/>
        </w:rPr>
        <w:t xml:space="preserve"> that led to their </w:t>
      </w:r>
      <w:r w:rsidR="001F54A1">
        <w:rPr>
          <w:lang w:val="en-CA"/>
        </w:rPr>
        <w:t xml:space="preserve">membership </w:t>
      </w:r>
      <w:r w:rsidR="00737982" w:rsidRPr="004E1DE3">
        <w:rPr>
          <w:lang w:val="en-CA" w:eastAsia="fr-CA"/>
        </w:rPr>
        <w:t xml:space="preserve">with </w:t>
      </w:r>
      <w:r w:rsidR="00F375C2" w:rsidRPr="004E1DE3">
        <w:rPr>
          <w:lang w:val="en-CA" w:eastAsia="fr-CA"/>
        </w:rPr>
        <w:t>Capital One</w:t>
      </w:r>
      <w:r w:rsidR="00343112" w:rsidRPr="004E1DE3">
        <w:rPr>
          <w:lang w:val="en-CA" w:eastAsia="fr-CA"/>
        </w:rPr>
        <w:t xml:space="preserve"> and the presumption that the </w:t>
      </w:r>
      <w:r w:rsidR="00A804A3">
        <w:rPr>
          <w:lang w:val="en-CA" w:eastAsia="fr-CA"/>
        </w:rPr>
        <w:t xml:space="preserve">class </w:t>
      </w:r>
      <w:r w:rsidR="00343112" w:rsidRPr="004E1DE3">
        <w:rPr>
          <w:lang w:val="en-CA" w:eastAsia="fr-CA"/>
        </w:rPr>
        <w:t xml:space="preserve">members suffered </w:t>
      </w:r>
      <w:r w:rsidR="00F375C2" w:rsidRPr="004E1DE3">
        <w:rPr>
          <w:lang w:val="en-CA" w:eastAsia="fr-CA"/>
        </w:rPr>
        <w:t>pr</w:t>
      </w:r>
      <w:r w:rsidR="00343112" w:rsidRPr="004E1DE3">
        <w:rPr>
          <w:lang w:val="en-CA" w:eastAsia="fr-CA"/>
        </w:rPr>
        <w:t>e</w:t>
      </w:r>
      <w:r w:rsidR="00F375C2" w:rsidRPr="004E1DE3">
        <w:rPr>
          <w:lang w:val="en-CA" w:eastAsia="fr-CA"/>
        </w:rPr>
        <w:t xml:space="preserve">judice </w:t>
      </w:r>
      <w:r w:rsidR="00343112" w:rsidRPr="004E1DE3">
        <w:rPr>
          <w:lang w:val="en-CA" w:eastAsia="fr-CA"/>
        </w:rPr>
        <w:t xml:space="preserve">without it being necessary for them to prove it, such that the </w:t>
      </w:r>
      <w:r w:rsidR="00F375C2" w:rsidRPr="004E1DE3">
        <w:rPr>
          <w:lang w:val="en-CA" w:eastAsia="fr-CA"/>
        </w:rPr>
        <w:t>defendants</w:t>
      </w:r>
      <w:r w:rsidR="00343112" w:rsidRPr="004E1DE3">
        <w:rPr>
          <w:lang w:val="en-CA" w:eastAsia="fr-CA"/>
        </w:rPr>
        <w:t xml:space="preserve"> must pay </w:t>
      </w:r>
      <w:r w:rsidR="00F375C2" w:rsidRPr="004E1DE3">
        <w:rPr>
          <w:lang w:val="en-CA" w:eastAsia="fr-CA"/>
        </w:rPr>
        <w:t>punitive</w:t>
      </w:r>
      <w:r w:rsidR="00343112" w:rsidRPr="004E1DE3">
        <w:rPr>
          <w:lang w:val="en-CA" w:eastAsia="fr-CA"/>
        </w:rPr>
        <w:t xml:space="preserve"> </w:t>
      </w:r>
      <w:r w:rsidR="00F375C2" w:rsidRPr="004E1DE3">
        <w:rPr>
          <w:lang w:val="en-CA" w:eastAsia="fr-CA"/>
        </w:rPr>
        <w:t>damages</w:t>
      </w:r>
      <w:r w:rsidR="00343112" w:rsidRPr="004E1DE3">
        <w:rPr>
          <w:lang w:val="en-CA" w:eastAsia="fr-CA"/>
        </w:rPr>
        <w:t xml:space="preserve"> under </w:t>
      </w:r>
      <w:r w:rsidR="00F375C2" w:rsidRPr="004E1DE3">
        <w:rPr>
          <w:lang w:val="en-CA" w:eastAsia="fr-CA"/>
        </w:rPr>
        <w:t xml:space="preserve">section 272 </w:t>
      </w:r>
      <w:r w:rsidR="00343112" w:rsidRPr="004E1DE3">
        <w:rPr>
          <w:i/>
          <w:iCs/>
          <w:lang w:val="en-CA" w:eastAsia="fr-CA"/>
        </w:rPr>
        <w:t>CPA</w:t>
      </w:r>
      <w:r w:rsidR="00F375C2" w:rsidRPr="004E1DE3">
        <w:rPr>
          <w:lang w:val="en-CA" w:eastAsia="fr-CA"/>
        </w:rPr>
        <w:t xml:space="preserve">, </w:t>
      </w:r>
      <w:r w:rsidR="00343112" w:rsidRPr="004E1DE3">
        <w:rPr>
          <w:lang w:val="en-CA" w:eastAsia="fr-CA"/>
        </w:rPr>
        <w:t xml:space="preserve">and the plaintiffs need only prove the existence of </w:t>
      </w:r>
      <w:r w:rsidR="00F375C2" w:rsidRPr="004E1DE3">
        <w:rPr>
          <w:lang w:val="en-CA" w:eastAsia="fr-CA"/>
        </w:rPr>
        <w:t>false</w:t>
      </w:r>
      <w:r w:rsidR="00343112" w:rsidRPr="004E1DE3">
        <w:rPr>
          <w:lang w:val="en-CA" w:eastAsia="fr-CA"/>
        </w:rPr>
        <w:t xml:space="preserve"> </w:t>
      </w:r>
      <w:r w:rsidR="00F375C2" w:rsidRPr="004E1DE3">
        <w:rPr>
          <w:lang w:val="en-CA" w:eastAsia="fr-CA"/>
        </w:rPr>
        <w:t>or</w:t>
      </w:r>
      <w:r w:rsidR="00343112" w:rsidRPr="004E1DE3">
        <w:rPr>
          <w:lang w:val="en-CA" w:eastAsia="fr-CA"/>
        </w:rPr>
        <w:t xml:space="preserve"> </w:t>
      </w:r>
      <w:r w:rsidR="00F375C2" w:rsidRPr="004E1DE3">
        <w:rPr>
          <w:lang w:val="en-CA" w:eastAsia="fr-CA"/>
        </w:rPr>
        <w:t>misleading</w:t>
      </w:r>
      <w:r w:rsidR="00343112" w:rsidRPr="004E1DE3">
        <w:rPr>
          <w:lang w:val="en-CA" w:eastAsia="fr-CA"/>
        </w:rPr>
        <w:t xml:space="preserve"> </w:t>
      </w:r>
      <w:r w:rsidR="00F375C2" w:rsidRPr="004E1DE3">
        <w:rPr>
          <w:lang w:val="en-CA" w:eastAsia="fr-CA"/>
        </w:rPr>
        <w:t>representation</w:t>
      </w:r>
      <w:r w:rsidR="00343112" w:rsidRPr="004E1DE3">
        <w:rPr>
          <w:lang w:val="en-CA" w:eastAsia="fr-CA"/>
        </w:rPr>
        <w:t>s</w:t>
      </w:r>
      <w:r w:rsidR="00F375C2" w:rsidRPr="004E1DE3">
        <w:rPr>
          <w:lang w:val="en-CA" w:eastAsia="fr-CA"/>
        </w:rPr>
        <w:t>,</w:t>
      </w:r>
      <w:r w:rsidR="00343112" w:rsidRPr="004E1DE3">
        <w:rPr>
          <w:lang w:val="en-CA" w:eastAsia="fr-CA"/>
        </w:rPr>
        <w:t xml:space="preserve"> without having to establish prejudice</w:t>
      </w:r>
      <w:r w:rsidR="00F375C2" w:rsidRPr="004E1DE3">
        <w:rPr>
          <w:lang w:val="en-CA" w:eastAsia="fr-CA"/>
        </w:rPr>
        <w:t>.</w:t>
      </w:r>
    </w:p>
    <w:p w14:paraId="33E017C4" w14:textId="77777777" w:rsidR="00971D3C" w:rsidRPr="004E1DE3" w:rsidRDefault="00573CA9" w:rsidP="00131625">
      <w:pPr>
        <w:pStyle w:val="Paragrsimple"/>
        <w:tabs>
          <w:tab w:val="clear" w:pos="2062"/>
          <w:tab w:val="clear" w:pos="4755"/>
          <w:tab w:val="num" w:pos="0"/>
        </w:tabs>
        <w:ind w:left="0"/>
        <w:rPr>
          <w:lang w:val="en-CA"/>
        </w:rPr>
      </w:pPr>
      <w:r w:rsidRPr="004E1DE3">
        <w:rPr>
          <w:lang w:val="en-CA"/>
        </w:rPr>
        <w:t xml:space="preserve">According to the </w:t>
      </w:r>
      <w:r w:rsidR="00CE4B63" w:rsidRPr="004E1DE3">
        <w:rPr>
          <w:lang w:val="en-CA"/>
        </w:rPr>
        <w:t>defendants,</w:t>
      </w:r>
      <w:r w:rsidRPr="004E1DE3">
        <w:rPr>
          <w:lang w:val="en-CA"/>
        </w:rPr>
        <w:t xml:space="preserve"> these </w:t>
      </w:r>
      <w:r w:rsidR="00CE4B63" w:rsidRPr="004E1DE3">
        <w:rPr>
          <w:lang w:val="en-CA"/>
        </w:rPr>
        <w:t>provisions</w:t>
      </w:r>
      <w:r w:rsidR="00597D8B" w:rsidRPr="004E1DE3">
        <w:rPr>
          <w:lang w:val="en-CA"/>
        </w:rPr>
        <w:t xml:space="preserve"> are not </w:t>
      </w:r>
      <w:r w:rsidR="00CE4B63" w:rsidRPr="004E1DE3">
        <w:rPr>
          <w:lang w:val="en-CA"/>
        </w:rPr>
        <w:t>applicable</w:t>
      </w:r>
      <w:r w:rsidR="00597D8B" w:rsidRPr="004E1DE3">
        <w:rPr>
          <w:lang w:val="en-CA"/>
        </w:rPr>
        <w:t xml:space="preserve"> to the credit </w:t>
      </w:r>
      <w:r w:rsidR="00CE4B63" w:rsidRPr="004E1DE3">
        <w:rPr>
          <w:lang w:val="en-CA"/>
        </w:rPr>
        <w:t>contract</w:t>
      </w:r>
      <w:r w:rsidR="00597D8B" w:rsidRPr="004E1DE3">
        <w:rPr>
          <w:lang w:val="en-CA"/>
        </w:rPr>
        <w:t xml:space="preserve"> that may bind the plaintiffs and the </w:t>
      </w:r>
      <w:r w:rsidR="00D02AD1">
        <w:rPr>
          <w:lang w:val="en-CA"/>
        </w:rPr>
        <w:t xml:space="preserve">class </w:t>
      </w:r>
      <w:r w:rsidR="00597D8B" w:rsidRPr="004E1DE3">
        <w:rPr>
          <w:lang w:val="en-CA"/>
        </w:rPr>
        <w:t xml:space="preserve">members to the </w:t>
      </w:r>
      <w:r w:rsidR="00CE4B63" w:rsidRPr="004E1DE3">
        <w:rPr>
          <w:lang w:val="en-CA"/>
        </w:rPr>
        <w:t>Capital One</w:t>
      </w:r>
      <w:r w:rsidR="00597D8B" w:rsidRPr="004E1DE3">
        <w:rPr>
          <w:lang w:val="en-CA"/>
        </w:rPr>
        <w:t xml:space="preserve"> group defendants</w:t>
      </w:r>
      <w:r w:rsidR="00CE4B63" w:rsidRPr="004E1DE3">
        <w:rPr>
          <w:lang w:val="en-CA"/>
        </w:rPr>
        <w:t>,</w:t>
      </w:r>
      <w:r w:rsidR="00597D8B" w:rsidRPr="004E1DE3">
        <w:rPr>
          <w:lang w:val="en-CA"/>
        </w:rPr>
        <w:t xml:space="preserve"> because </w:t>
      </w:r>
      <w:r w:rsidR="00CE4B63" w:rsidRPr="004E1DE3">
        <w:rPr>
          <w:lang w:val="en-CA"/>
        </w:rPr>
        <w:t>section</w:t>
      </w:r>
      <w:r w:rsidR="00597D8B" w:rsidRPr="004E1DE3">
        <w:rPr>
          <w:lang w:val="en-CA"/>
        </w:rPr>
        <w:t>s</w:t>
      </w:r>
      <w:r w:rsidR="00CE4B63" w:rsidRPr="004E1DE3">
        <w:rPr>
          <w:lang w:val="en-CA"/>
        </w:rPr>
        <w:t xml:space="preserve"> 40 </w:t>
      </w:r>
      <w:r w:rsidR="00597D8B" w:rsidRPr="004E1DE3">
        <w:rPr>
          <w:lang w:val="en-CA"/>
        </w:rPr>
        <w:t>to</w:t>
      </w:r>
      <w:r w:rsidR="00CE4B63" w:rsidRPr="004E1DE3">
        <w:rPr>
          <w:lang w:val="en-CA"/>
        </w:rPr>
        <w:t xml:space="preserve"> 42 </w:t>
      </w:r>
      <w:r w:rsidR="00597D8B" w:rsidRPr="004E1DE3">
        <w:rPr>
          <w:lang w:val="en-CA"/>
        </w:rPr>
        <w:t xml:space="preserve">of the </w:t>
      </w:r>
      <w:r w:rsidR="00597D8B" w:rsidRPr="004E1DE3">
        <w:rPr>
          <w:i/>
          <w:iCs/>
          <w:lang w:val="en-CA"/>
        </w:rPr>
        <w:t xml:space="preserve">CPA </w:t>
      </w:r>
      <w:r w:rsidR="00597D8B" w:rsidRPr="004E1DE3">
        <w:rPr>
          <w:lang w:val="en-CA"/>
        </w:rPr>
        <w:t xml:space="preserve">are found in a specific section of the statute dealing solely with </w:t>
      </w:r>
      <w:r w:rsidR="00CE4B63" w:rsidRPr="004E1DE3">
        <w:rPr>
          <w:lang w:val="en-CA"/>
        </w:rPr>
        <w:t>contract</w:t>
      </w:r>
      <w:r w:rsidR="00597D8B" w:rsidRPr="004E1DE3">
        <w:rPr>
          <w:lang w:val="en-CA"/>
        </w:rPr>
        <w:t xml:space="preserve">s </w:t>
      </w:r>
      <w:r w:rsidR="00CE4B63" w:rsidRPr="004E1DE3">
        <w:rPr>
          <w:lang w:val="en-CA"/>
        </w:rPr>
        <w:t>of</w:t>
      </w:r>
      <w:r w:rsidR="00597D8B" w:rsidRPr="004E1DE3">
        <w:rPr>
          <w:lang w:val="en-CA"/>
        </w:rPr>
        <w:t xml:space="preserve"> </w:t>
      </w:r>
      <w:r w:rsidR="00CE4B63" w:rsidRPr="004E1DE3">
        <w:rPr>
          <w:lang w:val="en-CA"/>
        </w:rPr>
        <w:t>sale</w:t>
      </w:r>
      <w:r w:rsidR="00597D8B" w:rsidRPr="004E1DE3">
        <w:rPr>
          <w:lang w:val="en-CA"/>
        </w:rPr>
        <w:t xml:space="preserve"> or lease of goods and to contracts of </w:t>
      </w:r>
      <w:r w:rsidR="00CE4B63" w:rsidRPr="004E1DE3">
        <w:rPr>
          <w:lang w:val="en-CA"/>
        </w:rPr>
        <w:t xml:space="preserve">service, </w:t>
      </w:r>
      <w:r w:rsidR="00934DCA" w:rsidRPr="004E1DE3">
        <w:rPr>
          <w:lang w:val="en-CA"/>
        </w:rPr>
        <w:t xml:space="preserve">not credit </w:t>
      </w:r>
      <w:r w:rsidR="00CE4B63" w:rsidRPr="004E1DE3">
        <w:rPr>
          <w:lang w:val="en-CA"/>
        </w:rPr>
        <w:t>contra</w:t>
      </w:r>
      <w:r w:rsidR="00934DCA" w:rsidRPr="004E1DE3">
        <w:rPr>
          <w:lang w:val="en-CA"/>
        </w:rPr>
        <w:t>c</w:t>
      </w:r>
      <w:r w:rsidR="00CE4B63" w:rsidRPr="004E1DE3">
        <w:rPr>
          <w:lang w:val="en-CA"/>
        </w:rPr>
        <w:t>t</w:t>
      </w:r>
      <w:r w:rsidR="00934DCA" w:rsidRPr="004E1DE3">
        <w:rPr>
          <w:lang w:val="en-CA"/>
        </w:rPr>
        <w:t>s</w:t>
      </w:r>
      <w:r w:rsidR="00CE4B63" w:rsidRPr="004E1DE3">
        <w:rPr>
          <w:lang w:val="en-CA"/>
        </w:rPr>
        <w:t>.</w:t>
      </w:r>
    </w:p>
    <w:p w14:paraId="36FC9B03" w14:textId="77777777" w:rsidR="00C10F93" w:rsidRPr="004E1DE3" w:rsidRDefault="00573CA9" w:rsidP="00C10F93">
      <w:pPr>
        <w:pStyle w:val="Paragrsimple"/>
        <w:tabs>
          <w:tab w:val="clear" w:pos="2062"/>
          <w:tab w:val="clear" w:pos="4755"/>
          <w:tab w:val="num" w:pos="502"/>
          <w:tab w:val="num" w:pos="709"/>
        </w:tabs>
        <w:ind w:left="0"/>
        <w:rPr>
          <w:rFonts w:cs="Arial"/>
          <w:color w:val="212529"/>
          <w:szCs w:val="24"/>
          <w:shd w:val="clear" w:color="auto" w:fill="FFFFFF"/>
          <w:lang w:val="en-CA"/>
        </w:rPr>
      </w:pPr>
      <w:r w:rsidRPr="004E1DE3">
        <w:rPr>
          <w:lang w:val="en-CA" w:eastAsia="fr-CA"/>
        </w:rPr>
        <w:t xml:space="preserve">They refer in particular to </w:t>
      </w:r>
      <w:r w:rsidR="00F05EDB" w:rsidRPr="004E1DE3">
        <w:rPr>
          <w:lang w:val="en-CA" w:eastAsia="fr-CA"/>
        </w:rPr>
        <w:t>section</w:t>
      </w:r>
      <w:r w:rsidRPr="004E1DE3">
        <w:rPr>
          <w:lang w:val="en-CA" w:eastAsia="fr-CA"/>
        </w:rPr>
        <w:t xml:space="preserve"> </w:t>
      </w:r>
      <w:r w:rsidR="00F05EDB" w:rsidRPr="004E1DE3">
        <w:rPr>
          <w:lang w:val="en-CA" w:eastAsia="fr-CA"/>
        </w:rPr>
        <w:t xml:space="preserve">36 </w:t>
      </w:r>
      <w:r w:rsidR="00F05EDB" w:rsidRPr="004E1DE3">
        <w:rPr>
          <w:i/>
          <w:iCs/>
          <w:lang w:val="en-CA" w:eastAsia="fr-CA"/>
        </w:rPr>
        <w:t xml:space="preserve">et </w:t>
      </w:r>
      <w:r w:rsidRPr="004E1DE3">
        <w:rPr>
          <w:i/>
          <w:iCs/>
          <w:lang w:val="en-CA" w:eastAsia="fr-CA"/>
        </w:rPr>
        <w:t>seq</w:t>
      </w:r>
      <w:r w:rsidRPr="004E1DE3">
        <w:rPr>
          <w:lang w:val="en-CA" w:eastAsia="fr-CA"/>
        </w:rPr>
        <w:t xml:space="preserve">. of the </w:t>
      </w:r>
      <w:r w:rsidRPr="004E1DE3">
        <w:rPr>
          <w:i/>
          <w:iCs/>
          <w:lang w:val="en-CA" w:eastAsia="fr-CA"/>
        </w:rPr>
        <w:t>CPA</w:t>
      </w:r>
      <w:r w:rsidRPr="004E1DE3">
        <w:rPr>
          <w:lang w:val="en-CA" w:eastAsia="fr-CA"/>
        </w:rPr>
        <w:t xml:space="preserve">, in Chapter III, concerning contracts </w:t>
      </w:r>
      <w:r w:rsidR="00F05EDB" w:rsidRPr="004E1DE3">
        <w:rPr>
          <w:rFonts w:cs="Arial"/>
          <w:szCs w:val="24"/>
          <w:shd w:val="clear" w:color="auto" w:fill="FFFFFF"/>
          <w:lang w:val="en-CA"/>
        </w:rPr>
        <w:t>of</w:t>
      </w:r>
      <w:r w:rsidRPr="004E1DE3">
        <w:rPr>
          <w:rFonts w:cs="Arial"/>
          <w:szCs w:val="24"/>
          <w:shd w:val="clear" w:color="auto" w:fill="FFFFFF"/>
          <w:lang w:val="en-CA"/>
        </w:rPr>
        <w:t xml:space="preserve"> </w:t>
      </w:r>
      <w:r w:rsidR="00F05EDB" w:rsidRPr="004E1DE3">
        <w:rPr>
          <w:rFonts w:cs="Arial"/>
          <w:szCs w:val="24"/>
          <w:shd w:val="clear" w:color="auto" w:fill="FFFFFF"/>
          <w:lang w:val="en-CA"/>
        </w:rPr>
        <w:t>sale</w:t>
      </w:r>
      <w:r w:rsidRPr="004E1DE3">
        <w:rPr>
          <w:rFonts w:cs="Arial"/>
          <w:szCs w:val="24"/>
          <w:shd w:val="clear" w:color="auto" w:fill="FFFFFF"/>
          <w:lang w:val="en-CA"/>
        </w:rPr>
        <w:t xml:space="preserve"> or lease of goods</w:t>
      </w:r>
      <w:r w:rsidR="00460F47" w:rsidRPr="004E1DE3">
        <w:rPr>
          <w:rFonts w:cs="Arial"/>
          <w:szCs w:val="24"/>
          <w:shd w:val="clear" w:color="auto" w:fill="FFFFFF"/>
          <w:lang w:val="en-CA"/>
        </w:rPr>
        <w:t xml:space="preserve"> and contracts of </w:t>
      </w:r>
      <w:r w:rsidR="00F05EDB" w:rsidRPr="004E1DE3">
        <w:rPr>
          <w:rFonts w:cs="Arial"/>
          <w:szCs w:val="24"/>
          <w:shd w:val="clear" w:color="auto" w:fill="FFFFFF"/>
          <w:lang w:val="en-CA"/>
        </w:rPr>
        <w:t>service</w:t>
      </w:r>
      <w:r w:rsidR="00F05EDB" w:rsidRPr="004E1DE3">
        <w:rPr>
          <w:rFonts w:cs="Arial"/>
          <w:color w:val="212529"/>
          <w:szCs w:val="24"/>
          <w:shd w:val="clear" w:color="auto" w:fill="FFFFFF"/>
          <w:lang w:val="en-CA"/>
        </w:rPr>
        <w:t>.</w:t>
      </w:r>
    </w:p>
    <w:p w14:paraId="13D38FA5" w14:textId="77777777" w:rsidR="00D931D8" w:rsidRPr="004E1DE3" w:rsidRDefault="00573CA9" w:rsidP="007D1A3F">
      <w:pPr>
        <w:pStyle w:val="Paragrsimple"/>
        <w:tabs>
          <w:tab w:val="clear" w:pos="4755"/>
          <w:tab w:val="num" w:pos="709"/>
        </w:tabs>
        <w:ind w:left="0"/>
        <w:rPr>
          <w:lang w:val="en-CA"/>
        </w:rPr>
      </w:pPr>
      <w:r w:rsidRPr="004E1DE3">
        <w:rPr>
          <w:lang w:val="en-CA"/>
        </w:rPr>
        <w:t>First, t</w:t>
      </w:r>
      <w:r w:rsidR="001D300F" w:rsidRPr="004E1DE3">
        <w:rPr>
          <w:lang w:val="en-CA"/>
        </w:rPr>
        <w:t>he</w:t>
      </w:r>
      <w:r w:rsidR="00441322" w:rsidRPr="004E1DE3">
        <w:rPr>
          <w:lang w:val="en-CA"/>
        </w:rPr>
        <w:t xml:space="preserve"> </w:t>
      </w:r>
      <w:r w:rsidR="001D300F" w:rsidRPr="004E1DE3">
        <w:rPr>
          <w:lang w:val="en-CA"/>
        </w:rPr>
        <w:t>Court</w:t>
      </w:r>
      <w:r w:rsidR="00441322" w:rsidRPr="004E1DE3">
        <w:rPr>
          <w:lang w:val="en-CA"/>
        </w:rPr>
        <w:t xml:space="preserve"> notes that </w:t>
      </w:r>
      <w:r w:rsidR="001D300F" w:rsidRPr="004E1DE3">
        <w:rPr>
          <w:lang w:val="en-CA"/>
        </w:rPr>
        <w:t>Tit</w:t>
      </w:r>
      <w:r w:rsidR="00441322" w:rsidRPr="004E1DE3">
        <w:rPr>
          <w:lang w:val="en-CA"/>
        </w:rPr>
        <w:t>l</w:t>
      </w:r>
      <w:r w:rsidR="001D300F" w:rsidRPr="004E1DE3">
        <w:rPr>
          <w:lang w:val="en-CA"/>
        </w:rPr>
        <w:t xml:space="preserve">e 1 </w:t>
      </w:r>
      <w:r w:rsidR="00441322" w:rsidRPr="004E1DE3">
        <w:rPr>
          <w:lang w:val="en-CA"/>
        </w:rPr>
        <w:t xml:space="preserve">of the </w:t>
      </w:r>
      <w:r w:rsidR="001D300F" w:rsidRPr="004E1DE3">
        <w:rPr>
          <w:i/>
          <w:iCs/>
          <w:lang w:val="en-CA"/>
        </w:rPr>
        <w:t>C</w:t>
      </w:r>
      <w:r w:rsidR="00441322" w:rsidRPr="004E1DE3">
        <w:rPr>
          <w:i/>
          <w:iCs/>
          <w:lang w:val="en-CA"/>
        </w:rPr>
        <w:t>PA</w:t>
      </w:r>
      <w:r w:rsidR="00441322" w:rsidRPr="004E1DE3">
        <w:rPr>
          <w:lang w:val="en-CA"/>
        </w:rPr>
        <w:t xml:space="preserve"> applies to all </w:t>
      </w:r>
      <w:r w:rsidR="001D300F" w:rsidRPr="004E1DE3">
        <w:rPr>
          <w:lang w:val="en-CA"/>
        </w:rPr>
        <w:t>contra</w:t>
      </w:r>
      <w:r w:rsidR="00441322" w:rsidRPr="004E1DE3">
        <w:rPr>
          <w:lang w:val="en-CA"/>
        </w:rPr>
        <w:t>c</w:t>
      </w:r>
      <w:r w:rsidR="001D300F" w:rsidRPr="004E1DE3">
        <w:rPr>
          <w:lang w:val="en-CA"/>
        </w:rPr>
        <w:t xml:space="preserve">ts </w:t>
      </w:r>
      <w:r w:rsidR="00441322" w:rsidRPr="004E1DE3">
        <w:rPr>
          <w:lang w:val="en-CA"/>
        </w:rPr>
        <w:t xml:space="preserve">concerning a good or a </w:t>
      </w:r>
      <w:r w:rsidR="001D300F" w:rsidRPr="004E1DE3">
        <w:rPr>
          <w:lang w:val="en-CA"/>
        </w:rPr>
        <w:t>service,</w:t>
      </w:r>
      <w:r w:rsidR="00441322" w:rsidRPr="004E1DE3">
        <w:rPr>
          <w:lang w:val="en-CA"/>
        </w:rPr>
        <w:t xml:space="preserve"> and that Chapter </w:t>
      </w:r>
      <w:r w:rsidR="001D300F" w:rsidRPr="004E1DE3">
        <w:rPr>
          <w:lang w:val="en-CA"/>
        </w:rPr>
        <w:t xml:space="preserve">I </w:t>
      </w:r>
      <w:r w:rsidR="00441322" w:rsidRPr="004E1DE3">
        <w:rPr>
          <w:lang w:val="en-CA"/>
        </w:rPr>
        <w:t xml:space="preserve">sets outs the </w:t>
      </w:r>
      <w:r w:rsidR="001D300F" w:rsidRPr="004E1DE3">
        <w:rPr>
          <w:lang w:val="en-CA"/>
        </w:rPr>
        <w:t>provisions</w:t>
      </w:r>
      <w:r w:rsidR="00441322" w:rsidRPr="004E1DE3">
        <w:rPr>
          <w:lang w:val="en-CA"/>
        </w:rPr>
        <w:t xml:space="preserve"> that are generally </w:t>
      </w:r>
      <w:r w:rsidR="001D300F" w:rsidRPr="004E1DE3">
        <w:rPr>
          <w:lang w:val="en-CA"/>
        </w:rPr>
        <w:t>applicable</w:t>
      </w:r>
      <w:r w:rsidR="00AA298B" w:rsidRPr="004E1DE3">
        <w:rPr>
          <w:lang w:val="en-CA"/>
        </w:rPr>
        <w:t xml:space="preserve"> to all these </w:t>
      </w:r>
      <w:r w:rsidR="001D300F" w:rsidRPr="004E1DE3">
        <w:rPr>
          <w:lang w:val="en-CA"/>
        </w:rPr>
        <w:t>contra</w:t>
      </w:r>
      <w:r w:rsidR="00AA298B" w:rsidRPr="004E1DE3">
        <w:rPr>
          <w:lang w:val="en-CA"/>
        </w:rPr>
        <w:t>c</w:t>
      </w:r>
      <w:r w:rsidR="001D300F" w:rsidRPr="004E1DE3">
        <w:rPr>
          <w:lang w:val="en-CA"/>
        </w:rPr>
        <w:t>ts.</w:t>
      </w:r>
    </w:p>
    <w:p w14:paraId="363A6058" w14:textId="77777777" w:rsidR="00BE7690" w:rsidRPr="004E1DE3" w:rsidRDefault="00573CA9" w:rsidP="007D1A3F">
      <w:pPr>
        <w:pStyle w:val="Paragrsimple"/>
        <w:tabs>
          <w:tab w:val="clear" w:pos="4755"/>
          <w:tab w:val="num" w:pos="709"/>
        </w:tabs>
        <w:ind w:left="0"/>
        <w:rPr>
          <w:lang w:val="en-CA"/>
        </w:rPr>
      </w:pPr>
      <w:r w:rsidRPr="004E1DE3">
        <w:rPr>
          <w:lang w:val="en-CA"/>
        </w:rPr>
        <w:t xml:space="preserve">In Chapter </w:t>
      </w:r>
      <w:r w:rsidR="00940EDA" w:rsidRPr="004E1DE3">
        <w:rPr>
          <w:lang w:val="en-CA"/>
        </w:rPr>
        <w:t xml:space="preserve">III, </w:t>
      </w:r>
      <w:r w:rsidRPr="004E1DE3">
        <w:rPr>
          <w:lang w:val="en-CA"/>
        </w:rPr>
        <w:t xml:space="preserve">still under </w:t>
      </w:r>
      <w:r w:rsidR="00940EDA" w:rsidRPr="004E1DE3">
        <w:rPr>
          <w:lang w:val="en-CA"/>
        </w:rPr>
        <w:t>Tit</w:t>
      </w:r>
      <w:r w:rsidRPr="004E1DE3">
        <w:rPr>
          <w:lang w:val="en-CA"/>
        </w:rPr>
        <w:t>l</w:t>
      </w:r>
      <w:r w:rsidR="00940EDA" w:rsidRPr="004E1DE3">
        <w:rPr>
          <w:lang w:val="en-CA"/>
        </w:rPr>
        <w:t xml:space="preserve">e 1, </w:t>
      </w:r>
      <w:r w:rsidRPr="004E1DE3">
        <w:rPr>
          <w:lang w:val="en-CA"/>
        </w:rPr>
        <w:t xml:space="preserve">the </w:t>
      </w:r>
      <w:r w:rsidR="00940EDA" w:rsidRPr="004E1DE3">
        <w:rPr>
          <w:i/>
          <w:iCs/>
          <w:lang w:val="en-CA"/>
        </w:rPr>
        <w:t>C</w:t>
      </w:r>
      <w:r w:rsidRPr="004E1DE3">
        <w:rPr>
          <w:i/>
          <w:iCs/>
          <w:lang w:val="en-CA"/>
        </w:rPr>
        <w:t>PA</w:t>
      </w:r>
      <w:r w:rsidR="00940EDA" w:rsidRPr="004E1DE3">
        <w:rPr>
          <w:lang w:val="en-CA"/>
        </w:rPr>
        <w:t xml:space="preserve"> deals</w:t>
      </w:r>
      <w:r w:rsidRPr="004E1DE3">
        <w:rPr>
          <w:lang w:val="en-CA"/>
        </w:rPr>
        <w:t xml:space="preserve"> generally </w:t>
      </w:r>
      <w:r w:rsidR="00940EDA" w:rsidRPr="004E1DE3">
        <w:rPr>
          <w:lang w:val="en-CA"/>
        </w:rPr>
        <w:t>with</w:t>
      </w:r>
      <w:r w:rsidR="002A4091" w:rsidRPr="004E1DE3">
        <w:rPr>
          <w:lang w:val="en-CA"/>
        </w:rPr>
        <w:t xml:space="preserve"> </w:t>
      </w:r>
      <w:r w:rsidR="00940EDA" w:rsidRPr="004E1DE3">
        <w:rPr>
          <w:lang w:val="en-CA"/>
        </w:rPr>
        <w:t>contra</w:t>
      </w:r>
      <w:r w:rsidR="002A4091" w:rsidRPr="004E1DE3">
        <w:rPr>
          <w:lang w:val="en-CA"/>
        </w:rPr>
        <w:t>c</w:t>
      </w:r>
      <w:r w:rsidR="00940EDA" w:rsidRPr="004E1DE3">
        <w:rPr>
          <w:lang w:val="en-CA"/>
        </w:rPr>
        <w:t>ts</w:t>
      </w:r>
      <w:r w:rsidR="002A4091" w:rsidRPr="004E1DE3">
        <w:rPr>
          <w:lang w:val="en-CA"/>
        </w:rPr>
        <w:t xml:space="preserve"> involving </w:t>
      </w:r>
      <w:r w:rsidR="00CA7A89">
        <w:rPr>
          <w:lang w:val="en-CA"/>
        </w:rPr>
        <w:t xml:space="preserve">the </w:t>
      </w:r>
      <w:r w:rsidR="002A4091" w:rsidRPr="004E1DE3">
        <w:rPr>
          <w:lang w:val="en-CA"/>
        </w:rPr>
        <w:t>sale or lease of good</w:t>
      </w:r>
      <w:r w:rsidR="00394778" w:rsidRPr="004E1DE3">
        <w:rPr>
          <w:lang w:val="en-CA"/>
        </w:rPr>
        <w:t xml:space="preserve">s </w:t>
      </w:r>
      <w:r w:rsidR="002A4091" w:rsidRPr="004E1DE3">
        <w:rPr>
          <w:lang w:val="en-CA"/>
        </w:rPr>
        <w:t>or services and provides,</w:t>
      </w:r>
      <w:r w:rsidR="00940EDA" w:rsidRPr="004E1DE3">
        <w:rPr>
          <w:lang w:val="en-CA"/>
        </w:rPr>
        <w:t xml:space="preserve"> </w:t>
      </w:r>
      <w:r w:rsidR="002A4091" w:rsidRPr="004E1DE3">
        <w:rPr>
          <w:lang w:val="en-CA"/>
        </w:rPr>
        <w:t xml:space="preserve">in Division I, general </w:t>
      </w:r>
      <w:r w:rsidR="00940EDA" w:rsidRPr="004E1DE3">
        <w:rPr>
          <w:lang w:val="en-CA"/>
        </w:rPr>
        <w:t>obligations</w:t>
      </w:r>
      <w:r w:rsidR="002A4091" w:rsidRPr="004E1DE3">
        <w:rPr>
          <w:lang w:val="en-CA"/>
        </w:rPr>
        <w:t xml:space="preserve"> </w:t>
      </w:r>
      <w:r w:rsidR="00940EDA" w:rsidRPr="004E1DE3">
        <w:rPr>
          <w:lang w:val="en-CA"/>
        </w:rPr>
        <w:t>applicable</w:t>
      </w:r>
      <w:r w:rsidR="002A4091" w:rsidRPr="004E1DE3">
        <w:rPr>
          <w:lang w:val="en-CA"/>
        </w:rPr>
        <w:t xml:space="preserve"> to these </w:t>
      </w:r>
      <w:r w:rsidR="00940EDA" w:rsidRPr="004E1DE3">
        <w:rPr>
          <w:lang w:val="en-CA"/>
        </w:rPr>
        <w:t>contra</w:t>
      </w:r>
      <w:r w:rsidR="002A4091" w:rsidRPr="004E1DE3">
        <w:rPr>
          <w:lang w:val="en-CA"/>
        </w:rPr>
        <w:t>c</w:t>
      </w:r>
      <w:r w:rsidR="00940EDA" w:rsidRPr="004E1DE3">
        <w:rPr>
          <w:lang w:val="en-CA"/>
        </w:rPr>
        <w:t>ts</w:t>
      </w:r>
      <w:r w:rsidR="002A4091" w:rsidRPr="004E1DE3">
        <w:rPr>
          <w:lang w:val="en-CA"/>
        </w:rPr>
        <w:t xml:space="preserve"> that are necessarily in addition to those set out in Chapter I discussed above</w:t>
      </w:r>
      <w:r w:rsidR="00940EDA" w:rsidRPr="004E1DE3">
        <w:rPr>
          <w:lang w:val="en-CA"/>
        </w:rPr>
        <w:t xml:space="preserve">. </w:t>
      </w:r>
    </w:p>
    <w:p w14:paraId="788EDAAB" w14:textId="77777777" w:rsidR="00BE7690" w:rsidRPr="004E1DE3" w:rsidRDefault="00573CA9" w:rsidP="007D1A3F">
      <w:pPr>
        <w:pStyle w:val="Paragrsimple"/>
        <w:tabs>
          <w:tab w:val="clear" w:pos="4755"/>
          <w:tab w:val="num" w:pos="709"/>
        </w:tabs>
        <w:ind w:left="0"/>
        <w:rPr>
          <w:lang w:val="en-CA"/>
        </w:rPr>
      </w:pPr>
      <w:r w:rsidRPr="004E1DE3">
        <w:rPr>
          <w:lang w:val="en-CA"/>
        </w:rPr>
        <w:t>Next, C</w:t>
      </w:r>
      <w:r w:rsidR="00940EDA" w:rsidRPr="004E1DE3">
        <w:rPr>
          <w:lang w:val="en-CA"/>
        </w:rPr>
        <w:t>hapt</w:t>
      </w:r>
      <w:r w:rsidRPr="004E1DE3">
        <w:rPr>
          <w:lang w:val="en-CA"/>
        </w:rPr>
        <w:t>e</w:t>
      </w:r>
      <w:r w:rsidR="00940EDA" w:rsidRPr="004E1DE3">
        <w:rPr>
          <w:lang w:val="en-CA"/>
        </w:rPr>
        <w:t xml:space="preserve">r III </w:t>
      </w:r>
      <w:r w:rsidR="001770B9" w:rsidRPr="004E1DE3">
        <w:rPr>
          <w:lang w:val="en-CA"/>
        </w:rPr>
        <w:t>focusses on specific</w:t>
      </w:r>
      <w:r w:rsidR="00901095">
        <w:rPr>
          <w:lang w:val="en-CA"/>
        </w:rPr>
        <w:t xml:space="preserve">, and again additional, </w:t>
      </w:r>
      <w:r w:rsidR="001770B9" w:rsidRPr="004E1DE3">
        <w:rPr>
          <w:lang w:val="en-CA"/>
        </w:rPr>
        <w:t xml:space="preserve"> </w:t>
      </w:r>
      <w:r w:rsidR="00940EDA" w:rsidRPr="004E1DE3">
        <w:rPr>
          <w:lang w:val="en-CA"/>
        </w:rPr>
        <w:t>obligations</w:t>
      </w:r>
      <w:r w:rsidR="001770B9" w:rsidRPr="004E1DE3">
        <w:rPr>
          <w:lang w:val="en-CA"/>
        </w:rPr>
        <w:t xml:space="preserve"> in different divisions, including Division III on contracts of credit, to be applied to various </w:t>
      </w:r>
      <w:r w:rsidR="00940EDA" w:rsidRPr="004E1DE3">
        <w:rPr>
          <w:lang w:val="en-CA"/>
        </w:rPr>
        <w:t xml:space="preserve">types </w:t>
      </w:r>
      <w:r w:rsidR="001770B9" w:rsidRPr="004E1DE3">
        <w:rPr>
          <w:lang w:val="en-CA"/>
        </w:rPr>
        <w:t xml:space="preserve">of consumer </w:t>
      </w:r>
      <w:r w:rsidR="00940EDA" w:rsidRPr="004E1DE3">
        <w:rPr>
          <w:lang w:val="en-CA"/>
        </w:rPr>
        <w:t>contra</w:t>
      </w:r>
      <w:r w:rsidR="00050688" w:rsidRPr="004E1DE3">
        <w:rPr>
          <w:lang w:val="en-CA"/>
        </w:rPr>
        <w:t>c</w:t>
      </w:r>
      <w:r w:rsidR="00940EDA" w:rsidRPr="004E1DE3">
        <w:rPr>
          <w:lang w:val="en-CA"/>
        </w:rPr>
        <w:t>t</w:t>
      </w:r>
      <w:r w:rsidR="00394778" w:rsidRPr="004E1DE3">
        <w:rPr>
          <w:lang w:val="en-CA"/>
        </w:rPr>
        <w:t>s</w:t>
      </w:r>
      <w:r w:rsidR="00940EDA" w:rsidRPr="004E1DE3">
        <w:rPr>
          <w:lang w:val="en-CA"/>
        </w:rPr>
        <w:t>,</w:t>
      </w:r>
      <w:r w:rsidR="00394778" w:rsidRPr="004E1DE3">
        <w:rPr>
          <w:lang w:val="en-CA"/>
        </w:rPr>
        <w:t xml:space="preserve"> according to the </w:t>
      </w:r>
      <w:r w:rsidR="00940EDA" w:rsidRPr="004E1DE3">
        <w:rPr>
          <w:lang w:val="en-CA"/>
        </w:rPr>
        <w:t xml:space="preserve">nature </w:t>
      </w:r>
      <w:r w:rsidR="00394778" w:rsidRPr="004E1DE3">
        <w:rPr>
          <w:lang w:val="en-CA"/>
        </w:rPr>
        <w:t xml:space="preserve">of the specific </w:t>
      </w:r>
      <w:r w:rsidR="00940EDA" w:rsidRPr="004E1DE3">
        <w:rPr>
          <w:lang w:val="en-CA"/>
        </w:rPr>
        <w:t>contra</w:t>
      </w:r>
      <w:r w:rsidR="00394778" w:rsidRPr="004E1DE3">
        <w:rPr>
          <w:lang w:val="en-CA"/>
        </w:rPr>
        <w:t>c</w:t>
      </w:r>
      <w:r w:rsidR="00940EDA" w:rsidRPr="004E1DE3">
        <w:rPr>
          <w:lang w:val="en-CA"/>
        </w:rPr>
        <w:t xml:space="preserve">t </w:t>
      </w:r>
      <w:r w:rsidR="000A76D6">
        <w:rPr>
          <w:lang w:val="en-CA"/>
        </w:rPr>
        <w:t>referred to in</w:t>
      </w:r>
      <w:r w:rsidR="00394778" w:rsidRPr="004E1DE3">
        <w:rPr>
          <w:lang w:val="en-CA"/>
        </w:rPr>
        <w:t xml:space="preserve"> each of these divisions, including credit </w:t>
      </w:r>
      <w:r w:rsidR="00940EDA" w:rsidRPr="004E1DE3">
        <w:rPr>
          <w:lang w:val="en-CA"/>
        </w:rPr>
        <w:t>contracts,</w:t>
      </w:r>
      <w:r w:rsidR="00394778" w:rsidRPr="004E1DE3">
        <w:rPr>
          <w:lang w:val="en-CA"/>
        </w:rPr>
        <w:t xml:space="preserve"> which nevertheless remain subject to the general </w:t>
      </w:r>
      <w:r w:rsidR="00940EDA" w:rsidRPr="004E1DE3">
        <w:rPr>
          <w:lang w:val="en-CA"/>
        </w:rPr>
        <w:t>obligations</w:t>
      </w:r>
      <w:r w:rsidR="00394778" w:rsidRPr="004E1DE3">
        <w:rPr>
          <w:lang w:val="en-CA"/>
        </w:rPr>
        <w:t xml:space="preserve"> </w:t>
      </w:r>
      <w:r w:rsidR="00940EDA" w:rsidRPr="004E1DE3">
        <w:rPr>
          <w:lang w:val="en-CA"/>
        </w:rPr>
        <w:t>applicable</w:t>
      </w:r>
      <w:r w:rsidR="00394778" w:rsidRPr="004E1DE3">
        <w:rPr>
          <w:lang w:val="en-CA"/>
        </w:rPr>
        <w:t xml:space="preserve"> to </w:t>
      </w:r>
      <w:r w:rsidR="00940EDA" w:rsidRPr="004E1DE3">
        <w:rPr>
          <w:lang w:val="en-CA"/>
        </w:rPr>
        <w:t>contracts</w:t>
      </w:r>
      <w:r w:rsidR="00394778" w:rsidRPr="004E1DE3">
        <w:rPr>
          <w:lang w:val="en-CA"/>
        </w:rPr>
        <w:t xml:space="preserve"> </w:t>
      </w:r>
      <w:r w:rsidR="00940EDA" w:rsidRPr="004E1DE3">
        <w:rPr>
          <w:lang w:val="en-CA"/>
        </w:rPr>
        <w:t>of</w:t>
      </w:r>
      <w:r w:rsidR="00394778" w:rsidRPr="004E1DE3">
        <w:rPr>
          <w:lang w:val="en-CA"/>
        </w:rPr>
        <w:t xml:space="preserve"> </w:t>
      </w:r>
      <w:r w:rsidR="00940EDA" w:rsidRPr="004E1DE3">
        <w:rPr>
          <w:lang w:val="en-CA"/>
        </w:rPr>
        <w:t>sale</w:t>
      </w:r>
      <w:r w:rsidR="00394778" w:rsidRPr="004E1DE3">
        <w:rPr>
          <w:lang w:val="en-CA"/>
        </w:rPr>
        <w:t xml:space="preserve"> or lease of goods or </w:t>
      </w:r>
      <w:r w:rsidR="00940EDA" w:rsidRPr="004E1DE3">
        <w:rPr>
          <w:lang w:val="en-CA"/>
        </w:rPr>
        <w:t>service</w:t>
      </w:r>
      <w:r w:rsidR="00394778" w:rsidRPr="004E1DE3">
        <w:rPr>
          <w:lang w:val="en-CA"/>
        </w:rPr>
        <w:t xml:space="preserve">s set out in Chapter </w:t>
      </w:r>
      <w:r w:rsidR="00940EDA" w:rsidRPr="004E1DE3">
        <w:rPr>
          <w:lang w:val="en-CA"/>
        </w:rPr>
        <w:t>I.</w:t>
      </w:r>
    </w:p>
    <w:p w14:paraId="1B67D5FF" w14:textId="77777777" w:rsidR="001D1EBA" w:rsidRPr="004E1DE3" w:rsidRDefault="00573CA9" w:rsidP="007D1A3F">
      <w:pPr>
        <w:pStyle w:val="Paragrsimple"/>
        <w:tabs>
          <w:tab w:val="clear" w:pos="4755"/>
          <w:tab w:val="num" w:pos="709"/>
        </w:tabs>
        <w:ind w:left="0"/>
        <w:rPr>
          <w:lang w:val="en-CA"/>
        </w:rPr>
      </w:pPr>
      <w:r w:rsidRPr="004E1DE3">
        <w:rPr>
          <w:lang w:val="en-CA"/>
        </w:rPr>
        <w:t xml:space="preserve">In this case, the consumer contract binding the putative </w:t>
      </w:r>
      <w:r w:rsidR="00FE1E9B">
        <w:rPr>
          <w:lang w:val="en-CA"/>
        </w:rPr>
        <w:t xml:space="preserve">class </w:t>
      </w:r>
      <w:r w:rsidRPr="004E1DE3">
        <w:rPr>
          <w:lang w:val="en-CA"/>
        </w:rPr>
        <w:t xml:space="preserve">members and </w:t>
      </w:r>
      <w:r w:rsidR="00940EDA" w:rsidRPr="004E1DE3">
        <w:rPr>
          <w:lang w:val="en-CA"/>
        </w:rPr>
        <w:t xml:space="preserve">Capital One </w:t>
      </w:r>
      <w:r w:rsidRPr="004E1DE3">
        <w:rPr>
          <w:lang w:val="en-CA"/>
        </w:rPr>
        <w:t xml:space="preserve">is, according to the terms of the </w:t>
      </w:r>
      <w:r w:rsidRPr="004E1DE3">
        <w:rPr>
          <w:i/>
          <w:iCs/>
          <w:lang w:val="en-CA"/>
        </w:rPr>
        <w:t>CPA</w:t>
      </w:r>
      <w:r w:rsidRPr="004E1DE3">
        <w:rPr>
          <w:lang w:val="en-CA"/>
        </w:rPr>
        <w:t xml:space="preserve">, governed </w:t>
      </w:r>
      <w:r w:rsidR="00D52BED" w:rsidRPr="004E1DE3">
        <w:rPr>
          <w:lang w:val="en-CA"/>
        </w:rPr>
        <w:t xml:space="preserve">not only </w:t>
      </w:r>
      <w:r w:rsidRPr="004E1DE3">
        <w:rPr>
          <w:lang w:val="en-CA"/>
        </w:rPr>
        <w:t xml:space="preserve">by the specific </w:t>
      </w:r>
      <w:r w:rsidR="00940EDA" w:rsidRPr="004E1DE3">
        <w:rPr>
          <w:lang w:val="en-CA"/>
        </w:rPr>
        <w:t>provisions</w:t>
      </w:r>
      <w:r w:rsidR="00D52BED" w:rsidRPr="004E1DE3">
        <w:rPr>
          <w:lang w:val="en-CA"/>
        </w:rPr>
        <w:t xml:space="preserve"> regarding </w:t>
      </w:r>
      <w:r w:rsidR="00940EDA" w:rsidRPr="004E1DE3">
        <w:rPr>
          <w:lang w:val="en-CA"/>
        </w:rPr>
        <w:t>contra</w:t>
      </w:r>
      <w:r w:rsidR="00D52BED" w:rsidRPr="004E1DE3">
        <w:rPr>
          <w:lang w:val="en-CA"/>
        </w:rPr>
        <w:t>c</w:t>
      </w:r>
      <w:r w:rsidR="00940EDA" w:rsidRPr="004E1DE3">
        <w:rPr>
          <w:lang w:val="en-CA"/>
        </w:rPr>
        <w:t>ts</w:t>
      </w:r>
      <w:r w:rsidR="00D52BED" w:rsidRPr="004E1DE3">
        <w:rPr>
          <w:lang w:val="en-CA"/>
        </w:rPr>
        <w:t xml:space="preserve"> of credit set out in that </w:t>
      </w:r>
      <w:r w:rsidR="00D52BED" w:rsidRPr="004E1DE3">
        <w:rPr>
          <w:i/>
          <w:iCs/>
          <w:lang w:val="en-CA"/>
        </w:rPr>
        <w:t>Act</w:t>
      </w:r>
      <w:r w:rsidR="00D52BED" w:rsidRPr="004E1DE3">
        <w:rPr>
          <w:lang w:val="en-CA"/>
        </w:rPr>
        <w:t xml:space="preserve">, because the consumer </w:t>
      </w:r>
      <w:r w:rsidR="00D52BED" w:rsidRPr="004E1DE3">
        <w:rPr>
          <w:lang w:val="en-CA"/>
        </w:rPr>
        <w:lastRenderedPageBreak/>
        <w:t xml:space="preserve">contract invoked here is a </w:t>
      </w:r>
      <w:r w:rsidR="00940EDA" w:rsidRPr="004E1DE3">
        <w:rPr>
          <w:lang w:val="en-CA"/>
        </w:rPr>
        <w:t>contract</w:t>
      </w:r>
      <w:r w:rsidR="00D52BED" w:rsidRPr="004E1DE3">
        <w:rPr>
          <w:lang w:val="en-CA"/>
        </w:rPr>
        <w:t xml:space="preserve"> </w:t>
      </w:r>
      <w:r w:rsidR="00940EDA" w:rsidRPr="004E1DE3">
        <w:rPr>
          <w:lang w:val="en-CA"/>
        </w:rPr>
        <w:t>for</w:t>
      </w:r>
      <w:r w:rsidR="00D52BED" w:rsidRPr="004E1DE3">
        <w:rPr>
          <w:lang w:val="en-CA"/>
        </w:rPr>
        <w:t xml:space="preserve"> </w:t>
      </w:r>
      <w:r w:rsidR="00940EDA" w:rsidRPr="004E1DE3">
        <w:rPr>
          <w:lang w:val="en-CA"/>
        </w:rPr>
        <w:t>services</w:t>
      </w:r>
      <w:r w:rsidR="00D52BED" w:rsidRPr="004E1DE3">
        <w:rPr>
          <w:lang w:val="en-CA"/>
        </w:rPr>
        <w:t xml:space="preserve"> concerning various financial </w:t>
      </w:r>
      <w:r w:rsidR="00940EDA" w:rsidRPr="004E1DE3">
        <w:rPr>
          <w:lang w:val="en-CA"/>
        </w:rPr>
        <w:t>services</w:t>
      </w:r>
      <w:r w:rsidR="00D52BED" w:rsidRPr="004E1DE3">
        <w:rPr>
          <w:lang w:val="en-CA"/>
        </w:rPr>
        <w:t>, including credit,</w:t>
      </w:r>
      <w:r w:rsidR="00940EDA" w:rsidRPr="004E1DE3">
        <w:rPr>
          <w:lang w:val="en-CA"/>
        </w:rPr>
        <w:t xml:space="preserve"> </w:t>
      </w:r>
      <w:r w:rsidR="00D52BED" w:rsidRPr="004E1DE3">
        <w:rPr>
          <w:lang w:val="en-CA"/>
        </w:rPr>
        <w:t xml:space="preserve">but also by the general </w:t>
      </w:r>
      <w:r w:rsidR="00940EDA" w:rsidRPr="004E1DE3">
        <w:rPr>
          <w:lang w:val="en-CA"/>
        </w:rPr>
        <w:t>provisions</w:t>
      </w:r>
      <w:r w:rsidR="00D52BED" w:rsidRPr="004E1DE3">
        <w:rPr>
          <w:lang w:val="en-CA"/>
        </w:rPr>
        <w:t xml:space="preserve"> set out in Chapter I, Title I of the </w:t>
      </w:r>
      <w:r w:rsidR="00D52BED" w:rsidRPr="004E1DE3">
        <w:rPr>
          <w:i/>
          <w:iCs/>
          <w:lang w:val="en-CA"/>
        </w:rPr>
        <w:t>CPA</w:t>
      </w:r>
      <w:r w:rsidR="00D52BED" w:rsidRPr="004E1DE3">
        <w:rPr>
          <w:lang w:val="en-CA"/>
        </w:rPr>
        <w:t xml:space="preserve">, including </w:t>
      </w:r>
      <w:r w:rsidR="00940EDA" w:rsidRPr="004E1DE3">
        <w:rPr>
          <w:lang w:val="en-CA"/>
        </w:rPr>
        <w:t>section</w:t>
      </w:r>
      <w:r w:rsidR="003524C6">
        <w:rPr>
          <w:lang w:val="en-CA"/>
        </w:rPr>
        <w:t> </w:t>
      </w:r>
      <w:r w:rsidR="00940EDA" w:rsidRPr="004E1DE3">
        <w:rPr>
          <w:lang w:val="en-CA"/>
        </w:rPr>
        <w:t xml:space="preserve">40 </w:t>
      </w:r>
      <w:r w:rsidR="00940EDA" w:rsidRPr="004E1DE3">
        <w:rPr>
          <w:i/>
          <w:iCs/>
          <w:lang w:val="en-CA"/>
        </w:rPr>
        <w:t xml:space="preserve">et </w:t>
      </w:r>
      <w:r w:rsidR="00B90457" w:rsidRPr="004E1DE3">
        <w:rPr>
          <w:i/>
          <w:iCs/>
          <w:lang w:val="en-CA"/>
        </w:rPr>
        <w:t>seq</w:t>
      </w:r>
      <w:r w:rsidR="00B90457" w:rsidRPr="004E1DE3">
        <w:rPr>
          <w:lang w:val="en-CA"/>
        </w:rPr>
        <w:t xml:space="preserve">. of that </w:t>
      </w:r>
      <w:r w:rsidR="00B90457" w:rsidRPr="004E1DE3">
        <w:rPr>
          <w:i/>
          <w:iCs/>
          <w:lang w:val="en-CA"/>
        </w:rPr>
        <w:t>Act</w:t>
      </w:r>
      <w:r w:rsidR="00B90457" w:rsidRPr="004E1DE3">
        <w:rPr>
          <w:lang w:val="en-CA"/>
        </w:rPr>
        <w:t>.</w:t>
      </w:r>
    </w:p>
    <w:p w14:paraId="7989657C" w14:textId="77777777" w:rsidR="00D931D8" w:rsidRPr="004E1DE3" w:rsidRDefault="00573CA9" w:rsidP="007D1A3F">
      <w:pPr>
        <w:pStyle w:val="Paragrsimple"/>
        <w:tabs>
          <w:tab w:val="clear" w:pos="4755"/>
          <w:tab w:val="num" w:pos="709"/>
        </w:tabs>
        <w:ind w:left="0"/>
        <w:rPr>
          <w:lang w:val="en-CA"/>
        </w:rPr>
      </w:pPr>
      <w:r w:rsidRPr="004E1DE3">
        <w:rPr>
          <w:lang w:val="en-CA"/>
        </w:rPr>
        <w:t>I</w:t>
      </w:r>
      <w:r w:rsidR="00940EDA" w:rsidRPr="004E1DE3">
        <w:rPr>
          <w:lang w:val="en-CA"/>
        </w:rPr>
        <w:t>n</w:t>
      </w:r>
      <w:r w:rsidRPr="004E1DE3">
        <w:rPr>
          <w:lang w:val="en-CA"/>
        </w:rPr>
        <w:t xml:space="preserve"> </w:t>
      </w:r>
      <w:r w:rsidR="00940EDA" w:rsidRPr="004E1DE3">
        <w:rPr>
          <w:lang w:val="en-CA"/>
        </w:rPr>
        <w:t>addition,</w:t>
      </w:r>
      <w:r w:rsidRPr="004E1DE3">
        <w:rPr>
          <w:lang w:val="en-CA"/>
        </w:rPr>
        <w:t xml:space="preserve"> nothing in the authorities cited by the </w:t>
      </w:r>
      <w:r w:rsidR="00940EDA" w:rsidRPr="004E1DE3">
        <w:rPr>
          <w:lang w:val="en-CA"/>
        </w:rPr>
        <w:t xml:space="preserve">defendants </w:t>
      </w:r>
      <w:r w:rsidRPr="004E1DE3">
        <w:rPr>
          <w:lang w:val="en-CA"/>
        </w:rPr>
        <w:t xml:space="preserve">indicates that the general </w:t>
      </w:r>
      <w:r w:rsidR="00940EDA" w:rsidRPr="004E1DE3">
        <w:rPr>
          <w:lang w:val="en-CA"/>
        </w:rPr>
        <w:t>provisions</w:t>
      </w:r>
      <w:r w:rsidRPr="004E1DE3">
        <w:rPr>
          <w:lang w:val="en-CA"/>
        </w:rPr>
        <w:t xml:space="preserve"> set out in </w:t>
      </w:r>
      <w:r w:rsidR="00940EDA" w:rsidRPr="004E1DE3">
        <w:rPr>
          <w:lang w:val="en-CA"/>
        </w:rPr>
        <w:t xml:space="preserve">section 35 </w:t>
      </w:r>
      <w:r w:rsidR="00940EDA" w:rsidRPr="004E1DE3">
        <w:rPr>
          <w:i/>
          <w:iCs/>
          <w:lang w:val="en-CA"/>
        </w:rPr>
        <w:t>et s</w:t>
      </w:r>
      <w:r w:rsidRPr="004E1DE3">
        <w:rPr>
          <w:i/>
          <w:iCs/>
          <w:lang w:val="en-CA"/>
        </w:rPr>
        <w:t>eq</w:t>
      </w:r>
      <w:r w:rsidRPr="004E1DE3">
        <w:rPr>
          <w:lang w:val="en-CA"/>
        </w:rPr>
        <w:t xml:space="preserve">. of the </w:t>
      </w:r>
      <w:r w:rsidRPr="004E1DE3">
        <w:rPr>
          <w:i/>
          <w:iCs/>
          <w:lang w:val="en-CA"/>
        </w:rPr>
        <w:t xml:space="preserve">CPA </w:t>
      </w:r>
      <w:r w:rsidRPr="004E1DE3">
        <w:rPr>
          <w:lang w:val="en-CA"/>
        </w:rPr>
        <w:t xml:space="preserve">concerning </w:t>
      </w:r>
      <w:r w:rsidR="00940EDA" w:rsidRPr="004E1DE3">
        <w:rPr>
          <w:lang w:val="en-CA"/>
        </w:rPr>
        <w:t>contracts</w:t>
      </w:r>
      <w:r w:rsidRPr="004E1DE3">
        <w:rPr>
          <w:lang w:val="en-CA"/>
        </w:rPr>
        <w:t xml:space="preserve"> </w:t>
      </w:r>
      <w:r w:rsidR="00940EDA" w:rsidRPr="004E1DE3">
        <w:rPr>
          <w:lang w:val="en-CA"/>
        </w:rPr>
        <w:t>of</w:t>
      </w:r>
      <w:r w:rsidRPr="004E1DE3">
        <w:rPr>
          <w:lang w:val="en-CA"/>
        </w:rPr>
        <w:t xml:space="preserve"> </w:t>
      </w:r>
      <w:r w:rsidR="00940EDA" w:rsidRPr="004E1DE3">
        <w:rPr>
          <w:lang w:val="en-CA"/>
        </w:rPr>
        <w:t>sale</w:t>
      </w:r>
      <w:r w:rsidRPr="004E1DE3">
        <w:rPr>
          <w:lang w:val="en-CA"/>
        </w:rPr>
        <w:t xml:space="preserve">, lease of goods, and of </w:t>
      </w:r>
      <w:r w:rsidR="00940EDA" w:rsidRPr="004E1DE3">
        <w:rPr>
          <w:lang w:val="en-CA"/>
        </w:rPr>
        <w:t>service</w:t>
      </w:r>
      <w:r w:rsidRPr="004E1DE3">
        <w:rPr>
          <w:lang w:val="en-CA"/>
        </w:rPr>
        <w:t xml:space="preserve"> do not apply to the specific </w:t>
      </w:r>
      <w:r w:rsidR="00940EDA" w:rsidRPr="004E1DE3">
        <w:rPr>
          <w:lang w:val="en-CA"/>
        </w:rPr>
        <w:t>contract</w:t>
      </w:r>
      <w:r w:rsidRPr="004E1DE3">
        <w:rPr>
          <w:lang w:val="en-CA"/>
        </w:rPr>
        <w:t xml:space="preserve"> of </w:t>
      </w:r>
      <w:r w:rsidR="00940EDA" w:rsidRPr="004E1DE3">
        <w:rPr>
          <w:lang w:val="en-CA"/>
        </w:rPr>
        <w:t xml:space="preserve">service </w:t>
      </w:r>
      <w:r w:rsidRPr="004E1DE3">
        <w:rPr>
          <w:lang w:val="en-CA"/>
        </w:rPr>
        <w:t xml:space="preserve">relating to the issuance by </w:t>
      </w:r>
      <w:r w:rsidR="00940EDA" w:rsidRPr="004E1DE3">
        <w:rPr>
          <w:lang w:val="en-CA"/>
        </w:rPr>
        <w:t xml:space="preserve">Capital One </w:t>
      </w:r>
      <w:r w:rsidRPr="004E1DE3">
        <w:rPr>
          <w:lang w:val="en-CA"/>
        </w:rPr>
        <w:t>of a credit card to the members</w:t>
      </w:r>
      <w:r w:rsidR="00940EDA" w:rsidRPr="004E1DE3">
        <w:rPr>
          <w:lang w:val="en-CA"/>
        </w:rPr>
        <w:t xml:space="preserve">. </w:t>
      </w:r>
    </w:p>
    <w:p w14:paraId="27073BB0" w14:textId="77777777" w:rsidR="00CB71AF" w:rsidRPr="004E1DE3" w:rsidRDefault="00573CA9" w:rsidP="00CB71AF">
      <w:pPr>
        <w:pStyle w:val="Paragrsimple"/>
        <w:tabs>
          <w:tab w:val="clear" w:pos="2062"/>
          <w:tab w:val="clear" w:pos="4755"/>
        </w:tabs>
        <w:ind w:left="0"/>
        <w:rPr>
          <w:lang w:val="en-CA"/>
        </w:rPr>
      </w:pPr>
      <w:r w:rsidRPr="004E1DE3">
        <w:rPr>
          <w:lang w:val="en-CA"/>
        </w:rPr>
        <w:t xml:space="preserve">Accordingly, the consumer </w:t>
      </w:r>
      <w:r w:rsidR="00940EDA" w:rsidRPr="004E1DE3">
        <w:rPr>
          <w:lang w:val="en-CA"/>
        </w:rPr>
        <w:t>contra</w:t>
      </w:r>
      <w:r w:rsidRPr="004E1DE3">
        <w:rPr>
          <w:lang w:val="en-CA"/>
        </w:rPr>
        <w:t>c</w:t>
      </w:r>
      <w:r w:rsidR="00940EDA" w:rsidRPr="004E1DE3">
        <w:rPr>
          <w:lang w:val="en-CA"/>
        </w:rPr>
        <w:t>t</w:t>
      </w:r>
      <w:r w:rsidRPr="004E1DE3">
        <w:rPr>
          <w:lang w:val="en-CA"/>
        </w:rPr>
        <w:t xml:space="preserve"> entered into between the plaintiffs and the putative </w:t>
      </w:r>
      <w:r w:rsidR="00FE1E9B">
        <w:rPr>
          <w:lang w:val="en-CA"/>
        </w:rPr>
        <w:t xml:space="preserve">class </w:t>
      </w:r>
      <w:r w:rsidRPr="004E1DE3">
        <w:rPr>
          <w:lang w:val="en-CA"/>
        </w:rPr>
        <w:t xml:space="preserve">members on the one hand, and </w:t>
      </w:r>
      <w:r w:rsidR="00940EDA" w:rsidRPr="004E1DE3">
        <w:rPr>
          <w:lang w:val="en-CA"/>
        </w:rPr>
        <w:t xml:space="preserve">Capital One </w:t>
      </w:r>
      <w:r w:rsidRPr="004E1DE3">
        <w:rPr>
          <w:lang w:val="en-CA"/>
        </w:rPr>
        <w:t xml:space="preserve">on the other, may be </w:t>
      </w:r>
      <w:r w:rsidR="00356BBE" w:rsidRPr="004E1DE3">
        <w:rPr>
          <w:lang w:val="en-CA"/>
        </w:rPr>
        <w:t>governed</w:t>
      </w:r>
      <w:r w:rsidRPr="004E1DE3">
        <w:rPr>
          <w:lang w:val="en-CA"/>
        </w:rPr>
        <w:t xml:space="preserve"> by the </w:t>
      </w:r>
      <w:r w:rsidR="00940EDA" w:rsidRPr="004E1DE3">
        <w:rPr>
          <w:lang w:val="en-CA"/>
        </w:rPr>
        <w:t>provisions</w:t>
      </w:r>
      <w:r w:rsidRPr="004E1DE3">
        <w:rPr>
          <w:lang w:val="en-CA"/>
        </w:rPr>
        <w:t xml:space="preserve"> of the </w:t>
      </w:r>
      <w:r w:rsidRPr="004E1DE3">
        <w:rPr>
          <w:i/>
          <w:iCs/>
          <w:lang w:val="en-CA"/>
        </w:rPr>
        <w:t>CPA</w:t>
      </w:r>
      <w:r w:rsidR="00940EDA" w:rsidRPr="004E1DE3">
        <w:rPr>
          <w:lang w:val="en-CA"/>
        </w:rPr>
        <w:t xml:space="preserve">. </w:t>
      </w:r>
    </w:p>
    <w:p w14:paraId="5B89894E" w14:textId="77777777" w:rsidR="00244B4F" w:rsidRPr="004E1DE3" w:rsidRDefault="00573CA9" w:rsidP="002568D2">
      <w:pPr>
        <w:pStyle w:val="Titre3"/>
        <w:keepNext/>
        <w:rPr>
          <w:lang w:val="en-CA"/>
        </w:rPr>
      </w:pPr>
      <w:bookmarkStart w:id="12" w:name="_Toc256000005"/>
      <w:bookmarkStart w:id="13" w:name="_Toc148419868"/>
      <w:r w:rsidRPr="004E1DE3">
        <w:rPr>
          <w:lang w:val="en-CA"/>
        </w:rPr>
        <w:t xml:space="preserve">The plaintiff </w:t>
      </w:r>
      <w:r w:rsidR="00940EDA" w:rsidRPr="004E1DE3">
        <w:rPr>
          <w:lang w:val="en-CA"/>
        </w:rPr>
        <w:t>Abou-Khadra</w:t>
      </w:r>
      <w:bookmarkEnd w:id="12"/>
      <w:bookmarkEnd w:id="13"/>
    </w:p>
    <w:p w14:paraId="46656248" w14:textId="77777777" w:rsidR="00B51675" w:rsidRPr="004E1DE3" w:rsidRDefault="00573CA9" w:rsidP="002568D2">
      <w:pPr>
        <w:pStyle w:val="Paragrsimple"/>
        <w:keepNext/>
        <w:tabs>
          <w:tab w:val="clear" w:pos="2062"/>
          <w:tab w:val="clear" w:pos="4755"/>
          <w:tab w:val="num" w:pos="0"/>
          <w:tab w:val="num" w:pos="284"/>
        </w:tabs>
        <w:ind w:left="0"/>
        <w:rPr>
          <w:lang w:val="en-CA"/>
        </w:rPr>
      </w:pPr>
      <w:r w:rsidRPr="004E1DE3">
        <w:rPr>
          <w:lang w:val="en-CA"/>
        </w:rPr>
        <w:t xml:space="preserve">The plaintiff </w:t>
      </w:r>
      <w:r w:rsidR="0059619E" w:rsidRPr="004E1DE3">
        <w:rPr>
          <w:lang w:val="en-CA"/>
        </w:rPr>
        <w:t xml:space="preserve">Abou-Khadra </w:t>
      </w:r>
      <w:r w:rsidRPr="004E1DE3">
        <w:rPr>
          <w:lang w:val="en-CA"/>
        </w:rPr>
        <w:t xml:space="preserve">makes no allegation and adduces no </w:t>
      </w:r>
      <w:r w:rsidR="0059619E" w:rsidRPr="004E1DE3">
        <w:rPr>
          <w:lang w:val="en-CA"/>
        </w:rPr>
        <w:t>evidence</w:t>
      </w:r>
      <w:r w:rsidRPr="004E1DE3">
        <w:rPr>
          <w:lang w:val="en-CA"/>
        </w:rPr>
        <w:t xml:space="preserve"> permitting the Court to establish, even </w:t>
      </w:r>
      <w:r w:rsidR="0059619E" w:rsidRPr="004E1DE3">
        <w:rPr>
          <w:i/>
          <w:iCs/>
          <w:lang w:val="en-CA"/>
        </w:rPr>
        <w:t>prima facie</w:t>
      </w:r>
      <w:r w:rsidR="00FB465A" w:rsidRPr="004E1DE3">
        <w:rPr>
          <w:lang w:val="en-CA"/>
        </w:rPr>
        <w:t>,</w:t>
      </w:r>
      <w:r w:rsidR="0059619E" w:rsidRPr="004E1DE3">
        <w:rPr>
          <w:i/>
          <w:iCs/>
          <w:lang w:val="en-CA"/>
        </w:rPr>
        <w:t xml:space="preserve"> </w:t>
      </w:r>
      <w:r w:rsidRPr="004E1DE3">
        <w:rPr>
          <w:lang w:val="en-CA"/>
        </w:rPr>
        <w:t>that</w:t>
      </w:r>
      <w:r w:rsidR="006A6BE1" w:rsidRPr="004E1DE3">
        <w:rPr>
          <w:lang w:val="en-CA"/>
        </w:rPr>
        <w:t xml:space="preserve"> his</w:t>
      </w:r>
      <w:r w:rsidRPr="004E1DE3">
        <w:rPr>
          <w:lang w:val="en-CA"/>
        </w:rPr>
        <w:t xml:space="preserve"> </w:t>
      </w:r>
      <w:r w:rsidR="001D1EBA" w:rsidRPr="004E1DE3">
        <w:rPr>
          <w:lang w:val="en-CA"/>
        </w:rPr>
        <w:t>personal</w:t>
      </w:r>
      <w:r w:rsidR="006A6BE1" w:rsidRPr="004E1DE3">
        <w:rPr>
          <w:lang w:val="en-CA"/>
        </w:rPr>
        <w:t xml:space="preserve"> </w:t>
      </w:r>
      <w:r w:rsidR="001D1EBA" w:rsidRPr="004E1DE3">
        <w:rPr>
          <w:lang w:val="en-CA"/>
        </w:rPr>
        <w:t>information</w:t>
      </w:r>
      <w:r w:rsidR="006A6BE1" w:rsidRPr="004E1DE3">
        <w:rPr>
          <w:lang w:val="en-CA"/>
        </w:rPr>
        <w:t xml:space="preserve"> was the target of unauthorized access during this </w:t>
      </w:r>
      <w:r w:rsidR="001D1EBA" w:rsidRPr="004E1DE3">
        <w:rPr>
          <w:lang w:val="en-CA"/>
        </w:rPr>
        <w:t>confidentialit</w:t>
      </w:r>
      <w:r w:rsidR="006A6BE1" w:rsidRPr="004E1DE3">
        <w:rPr>
          <w:lang w:val="en-CA"/>
        </w:rPr>
        <w:t xml:space="preserve">y incident that occurred in </w:t>
      </w:r>
      <w:r w:rsidR="001D1EBA" w:rsidRPr="004E1DE3">
        <w:rPr>
          <w:lang w:val="en-CA"/>
        </w:rPr>
        <w:t>March 2019</w:t>
      </w:r>
      <w:r w:rsidR="006A6BE1" w:rsidRPr="004E1DE3">
        <w:rPr>
          <w:lang w:val="en-CA"/>
        </w:rPr>
        <w:t xml:space="preserve">. Moreover, it is established that he is not part of the </w:t>
      </w:r>
      <w:r w:rsidR="001D1EBA" w:rsidRPr="004E1DE3">
        <w:rPr>
          <w:lang w:val="en-CA"/>
        </w:rPr>
        <w:t>6</w:t>
      </w:r>
      <w:r w:rsidR="006A6BE1" w:rsidRPr="004E1DE3">
        <w:rPr>
          <w:lang w:val="en-CA"/>
        </w:rPr>
        <w:t>,</w:t>
      </w:r>
      <w:r w:rsidR="001D1EBA" w:rsidRPr="004E1DE3">
        <w:rPr>
          <w:lang w:val="en-CA"/>
        </w:rPr>
        <w:t>000</w:t>
      </w:r>
      <w:r w:rsidR="006A6BE1" w:rsidRPr="004E1DE3">
        <w:rPr>
          <w:lang w:val="en-CA"/>
        </w:rPr>
        <w:t>,</w:t>
      </w:r>
      <w:r w:rsidR="001D1EBA" w:rsidRPr="004E1DE3">
        <w:rPr>
          <w:lang w:val="en-CA"/>
        </w:rPr>
        <w:t>000 Canadian</w:t>
      </w:r>
      <w:r w:rsidR="006A6BE1" w:rsidRPr="004E1DE3">
        <w:rPr>
          <w:lang w:val="en-CA"/>
        </w:rPr>
        <w:t xml:space="preserve"> residents that were informed by the </w:t>
      </w:r>
      <w:r w:rsidR="001D1EBA" w:rsidRPr="004E1DE3">
        <w:rPr>
          <w:lang w:val="en-CA"/>
        </w:rPr>
        <w:t xml:space="preserve">Capital One </w:t>
      </w:r>
      <w:r w:rsidR="006A6BE1" w:rsidRPr="004E1DE3">
        <w:rPr>
          <w:lang w:val="en-CA"/>
        </w:rPr>
        <w:t>group defendants of this event</w:t>
      </w:r>
      <w:r w:rsidR="0025449D" w:rsidRPr="004E1DE3">
        <w:rPr>
          <w:lang w:val="en-CA"/>
        </w:rPr>
        <w:t>, to which another 51,000 Canadian residents were added</w:t>
      </w:r>
      <w:r w:rsidR="001D1EBA" w:rsidRPr="004E1DE3">
        <w:rPr>
          <w:lang w:val="en-CA"/>
        </w:rPr>
        <w:t>.</w:t>
      </w:r>
    </w:p>
    <w:p w14:paraId="3A78420B" w14:textId="77777777" w:rsidR="00B51675" w:rsidRPr="004E1DE3" w:rsidRDefault="00573CA9" w:rsidP="00C87C93">
      <w:pPr>
        <w:pStyle w:val="Paragrsimple"/>
        <w:tabs>
          <w:tab w:val="clear" w:pos="2062"/>
          <w:tab w:val="clear" w:pos="4755"/>
          <w:tab w:val="num" w:pos="0"/>
        </w:tabs>
        <w:ind w:left="0"/>
        <w:rPr>
          <w:lang w:val="en-CA"/>
        </w:rPr>
      </w:pPr>
      <w:r w:rsidRPr="004E1DE3">
        <w:rPr>
          <w:lang w:val="en-CA"/>
        </w:rPr>
        <w:t>The facts he alleges and those related by</w:t>
      </w:r>
      <w:r w:rsidR="00656A97" w:rsidRPr="004E1DE3">
        <w:rPr>
          <w:lang w:val="en-CA"/>
        </w:rPr>
        <w:t xml:space="preserve"> Capital One </w:t>
      </w:r>
      <w:r w:rsidRPr="004E1DE3">
        <w:rPr>
          <w:lang w:val="en-CA"/>
        </w:rPr>
        <w:t xml:space="preserve">in the context of the additional </w:t>
      </w:r>
      <w:r w:rsidR="00656A97" w:rsidRPr="004E1DE3">
        <w:rPr>
          <w:lang w:val="en-CA"/>
        </w:rPr>
        <w:t>evidence</w:t>
      </w:r>
      <w:r w:rsidRPr="004E1DE3">
        <w:rPr>
          <w:lang w:val="en-CA"/>
        </w:rPr>
        <w:t xml:space="preserve"> it was authorized to present by means of the </w:t>
      </w:r>
      <w:r w:rsidR="00656A97" w:rsidRPr="004E1DE3">
        <w:rPr>
          <w:lang w:val="en-CA"/>
        </w:rPr>
        <w:t>affidavit</w:t>
      </w:r>
      <w:r w:rsidRPr="004E1DE3">
        <w:rPr>
          <w:lang w:val="en-CA"/>
        </w:rPr>
        <w:t xml:space="preserve"> of </w:t>
      </w:r>
      <w:r w:rsidR="00656A97" w:rsidRPr="004E1DE3">
        <w:rPr>
          <w:lang w:val="en-CA"/>
        </w:rPr>
        <w:t xml:space="preserve">Jeffrey Behan </w:t>
      </w:r>
      <w:r w:rsidRPr="004E1DE3">
        <w:rPr>
          <w:lang w:val="en-CA"/>
        </w:rPr>
        <w:t xml:space="preserve">on </w:t>
      </w:r>
      <w:r w:rsidR="00656A97" w:rsidRPr="004E1DE3">
        <w:rPr>
          <w:lang w:val="en-CA"/>
        </w:rPr>
        <w:t>September</w:t>
      </w:r>
      <w:r w:rsidRPr="004E1DE3">
        <w:rPr>
          <w:lang w:val="en-CA"/>
        </w:rPr>
        <w:t xml:space="preserve"> 29,</w:t>
      </w:r>
      <w:r w:rsidR="00656A97" w:rsidRPr="004E1DE3">
        <w:rPr>
          <w:lang w:val="en-CA"/>
        </w:rPr>
        <w:t> 2021</w:t>
      </w:r>
      <w:r w:rsidR="00B26E27">
        <w:rPr>
          <w:lang w:val="en-CA"/>
        </w:rPr>
        <w:t>,</w:t>
      </w:r>
      <w:r w:rsidR="00B26E27" w:rsidRPr="00B26E27">
        <w:rPr>
          <w:lang w:val="en-CA"/>
        </w:rPr>
        <w:t xml:space="preserve"> </w:t>
      </w:r>
      <w:r w:rsidR="00B26E27" w:rsidRPr="004E1DE3">
        <w:rPr>
          <w:lang w:val="en-CA"/>
        </w:rPr>
        <w:t>referred to above</w:t>
      </w:r>
      <w:r w:rsidR="00656A97" w:rsidRPr="004E1DE3">
        <w:rPr>
          <w:lang w:val="en-CA"/>
        </w:rPr>
        <w:t xml:space="preserve">, </w:t>
      </w:r>
      <w:r w:rsidRPr="004E1DE3">
        <w:rPr>
          <w:lang w:val="en-CA"/>
        </w:rPr>
        <w:t xml:space="preserve">clearly and unambiguously reveal that these two unauthorized </w:t>
      </w:r>
      <w:r w:rsidR="00656A97" w:rsidRPr="004E1DE3">
        <w:rPr>
          <w:lang w:val="en-CA"/>
        </w:rPr>
        <w:t xml:space="preserve">transactions </w:t>
      </w:r>
      <w:r w:rsidR="00CE49C0">
        <w:rPr>
          <w:lang w:val="en-CA"/>
        </w:rPr>
        <w:t>on</w:t>
      </w:r>
      <w:r w:rsidR="0098452C" w:rsidRPr="004E1DE3">
        <w:rPr>
          <w:lang w:val="en-CA"/>
        </w:rPr>
        <w:t xml:space="preserve"> this plaintiff’s credit card statement, for amounts of $</w:t>
      </w:r>
      <w:r w:rsidR="00656A97" w:rsidRPr="004E1DE3">
        <w:rPr>
          <w:lang w:val="en-CA"/>
        </w:rPr>
        <w:t>267</w:t>
      </w:r>
      <w:r w:rsidR="0098452C" w:rsidRPr="004E1DE3">
        <w:rPr>
          <w:lang w:val="en-CA"/>
        </w:rPr>
        <w:t xml:space="preserve"> and $</w:t>
      </w:r>
      <w:r w:rsidR="00656A97" w:rsidRPr="004E1DE3">
        <w:rPr>
          <w:lang w:val="en-CA"/>
        </w:rPr>
        <w:t>2</w:t>
      </w:r>
      <w:r w:rsidR="00DD2A44">
        <w:rPr>
          <w:lang w:val="en-CA"/>
        </w:rPr>
        <w:t>.</w:t>
      </w:r>
      <w:r w:rsidR="00656A97" w:rsidRPr="004E1DE3">
        <w:rPr>
          <w:lang w:val="en-CA"/>
        </w:rPr>
        <w:t>55</w:t>
      </w:r>
      <w:r w:rsidR="0098452C" w:rsidRPr="004E1DE3">
        <w:rPr>
          <w:lang w:val="en-CA"/>
        </w:rPr>
        <w:t>,</w:t>
      </w:r>
      <w:r>
        <w:rPr>
          <w:rStyle w:val="Appelnotedebasdep"/>
          <w:lang w:val="en-CA"/>
        </w:rPr>
        <w:footnoteReference w:id="26"/>
      </w:r>
      <w:r w:rsidR="0098452C" w:rsidRPr="004E1DE3">
        <w:rPr>
          <w:lang w:val="en-CA"/>
        </w:rPr>
        <w:t xml:space="preserve"> are unrela</w:t>
      </w:r>
      <w:r w:rsidR="00157006" w:rsidRPr="004E1DE3">
        <w:rPr>
          <w:lang w:val="en-CA"/>
        </w:rPr>
        <w:t>t</w:t>
      </w:r>
      <w:r w:rsidR="0098452C" w:rsidRPr="004E1DE3">
        <w:rPr>
          <w:lang w:val="en-CA"/>
        </w:rPr>
        <w:t xml:space="preserve">ed to the </w:t>
      </w:r>
      <w:r w:rsidR="00940EDA" w:rsidRPr="004E1DE3">
        <w:rPr>
          <w:lang w:val="en-CA"/>
        </w:rPr>
        <w:t>confidentialit</w:t>
      </w:r>
      <w:r w:rsidR="0098452C" w:rsidRPr="004E1DE3">
        <w:rPr>
          <w:lang w:val="en-CA"/>
        </w:rPr>
        <w:t xml:space="preserve">y incident that occurred on </w:t>
      </w:r>
      <w:r w:rsidR="00940EDA" w:rsidRPr="004E1DE3">
        <w:rPr>
          <w:lang w:val="en-CA"/>
        </w:rPr>
        <w:t>March</w:t>
      </w:r>
      <w:r w:rsidR="0098452C" w:rsidRPr="004E1DE3">
        <w:rPr>
          <w:lang w:val="en-CA"/>
        </w:rPr>
        <w:t xml:space="preserve"> 22 and 23,</w:t>
      </w:r>
      <w:r w:rsidR="00940EDA" w:rsidRPr="004E1DE3">
        <w:rPr>
          <w:lang w:val="en-CA"/>
        </w:rPr>
        <w:t xml:space="preserve"> 2019. </w:t>
      </w:r>
    </w:p>
    <w:p w14:paraId="328A6A53" w14:textId="77777777" w:rsidR="00CE3397" w:rsidRPr="004E1DE3" w:rsidRDefault="00573CA9" w:rsidP="00FB465A">
      <w:pPr>
        <w:pStyle w:val="Paragrsimple"/>
        <w:tabs>
          <w:tab w:val="clear" w:pos="2062"/>
          <w:tab w:val="clear" w:pos="4755"/>
          <w:tab w:val="num" w:pos="0"/>
        </w:tabs>
        <w:ind w:left="0"/>
        <w:rPr>
          <w:lang w:val="en-CA"/>
        </w:rPr>
      </w:pPr>
      <w:r w:rsidRPr="004E1DE3">
        <w:rPr>
          <w:lang w:val="en-CA"/>
        </w:rPr>
        <w:t xml:space="preserve">According to </w:t>
      </w:r>
      <w:r w:rsidR="00940EDA" w:rsidRPr="004E1DE3">
        <w:rPr>
          <w:lang w:val="en-CA"/>
        </w:rPr>
        <w:t>M</w:t>
      </w:r>
      <w:r w:rsidRPr="004E1DE3">
        <w:rPr>
          <w:lang w:val="en-CA"/>
        </w:rPr>
        <w:t>r</w:t>
      </w:r>
      <w:r w:rsidR="00940EDA" w:rsidRPr="004E1DE3">
        <w:rPr>
          <w:lang w:val="en-CA"/>
        </w:rPr>
        <w:t>. Behan</w:t>
      </w:r>
      <w:r w:rsidRPr="004E1DE3">
        <w:rPr>
          <w:lang w:val="en-CA"/>
        </w:rPr>
        <w:t>’s affidavit</w:t>
      </w:r>
      <w:r w:rsidR="00940EDA" w:rsidRPr="004E1DE3">
        <w:rPr>
          <w:lang w:val="en-CA"/>
        </w:rPr>
        <w:t>,</w:t>
      </w:r>
      <w:r w:rsidRPr="004E1DE3">
        <w:rPr>
          <w:lang w:val="en-CA"/>
        </w:rPr>
        <w:t xml:space="preserve"> the two </w:t>
      </w:r>
      <w:r w:rsidR="00940EDA" w:rsidRPr="004E1DE3">
        <w:rPr>
          <w:lang w:val="en-CA"/>
        </w:rPr>
        <w:t xml:space="preserve">transactions </w:t>
      </w:r>
      <w:r w:rsidR="00CE49C0">
        <w:rPr>
          <w:lang w:val="en-CA"/>
        </w:rPr>
        <w:t>on</w:t>
      </w:r>
      <w:r w:rsidRPr="004E1DE3">
        <w:rPr>
          <w:lang w:val="en-CA"/>
        </w:rPr>
        <w:t xml:space="preserve"> the plaintiff </w:t>
      </w:r>
      <w:r w:rsidR="00940EDA" w:rsidRPr="004E1DE3">
        <w:rPr>
          <w:lang w:val="en-CA"/>
        </w:rPr>
        <w:t>Abou-Khadra</w:t>
      </w:r>
      <w:r w:rsidRPr="004E1DE3">
        <w:rPr>
          <w:lang w:val="en-CA"/>
        </w:rPr>
        <w:t>’s credit card statement</w:t>
      </w:r>
      <w:r>
        <w:rPr>
          <w:rStyle w:val="Appelnotedebasdep"/>
          <w:lang w:val="en-CA"/>
        </w:rPr>
        <w:footnoteReference w:id="27"/>
      </w:r>
      <w:r w:rsidR="00940EDA" w:rsidRPr="004E1DE3">
        <w:rPr>
          <w:lang w:val="en-CA"/>
        </w:rPr>
        <w:t xml:space="preserve"> </w:t>
      </w:r>
      <w:r w:rsidR="005055FD" w:rsidRPr="004E1DE3">
        <w:rPr>
          <w:lang w:val="en-CA"/>
        </w:rPr>
        <w:t xml:space="preserve">are the result of the use of his </w:t>
      </w:r>
      <w:r w:rsidR="00940EDA" w:rsidRPr="004E1DE3">
        <w:rPr>
          <w:lang w:val="en-CA"/>
        </w:rPr>
        <w:t>credit</w:t>
      </w:r>
      <w:r w:rsidR="005055FD" w:rsidRPr="004E1DE3">
        <w:rPr>
          <w:lang w:val="en-CA"/>
        </w:rPr>
        <w:t xml:space="preserve"> </w:t>
      </w:r>
      <w:r w:rsidR="00940EDA" w:rsidRPr="004E1DE3">
        <w:rPr>
          <w:lang w:val="en-CA"/>
        </w:rPr>
        <w:t>card</w:t>
      </w:r>
      <w:r w:rsidR="005055FD" w:rsidRPr="004E1DE3">
        <w:rPr>
          <w:lang w:val="en-CA"/>
        </w:rPr>
        <w:t xml:space="preserve"> number, given by </w:t>
      </w:r>
      <w:r w:rsidR="00940EDA" w:rsidRPr="004E1DE3">
        <w:rPr>
          <w:lang w:val="en-CA"/>
        </w:rPr>
        <w:t>telephone</w:t>
      </w:r>
      <w:r w:rsidR="005055FD" w:rsidRPr="004E1DE3">
        <w:rPr>
          <w:lang w:val="en-CA"/>
        </w:rPr>
        <w:t xml:space="preserve"> to the </w:t>
      </w:r>
      <w:r w:rsidR="00940EDA" w:rsidRPr="004E1DE3">
        <w:rPr>
          <w:lang w:val="en-CA"/>
        </w:rPr>
        <w:t>merchant</w:t>
      </w:r>
      <w:r w:rsidR="005055FD" w:rsidRPr="004E1DE3">
        <w:rPr>
          <w:lang w:val="en-CA"/>
        </w:rPr>
        <w:t xml:space="preserve"> in question</w:t>
      </w:r>
      <w:r w:rsidR="00940EDA" w:rsidRPr="004E1DE3">
        <w:rPr>
          <w:lang w:val="en-CA"/>
        </w:rPr>
        <w:t xml:space="preserve">, </w:t>
      </w:r>
      <w:r w:rsidR="007B313B" w:rsidRPr="004E1DE3">
        <w:rPr>
          <w:lang w:val="en-CA"/>
        </w:rPr>
        <w:t xml:space="preserve">in this case </w:t>
      </w:r>
      <w:r w:rsidR="00940EDA" w:rsidRPr="004E1DE3">
        <w:rPr>
          <w:lang w:val="en-CA"/>
        </w:rPr>
        <w:t xml:space="preserve">Power Keto, </w:t>
      </w:r>
      <w:r w:rsidR="007B313B" w:rsidRPr="004E1DE3">
        <w:rPr>
          <w:lang w:val="en-CA"/>
        </w:rPr>
        <w:t xml:space="preserve">as well as his secret code found on the back of his </w:t>
      </w:r>
      <w:r w:rsidR="00940EDA" w:rsidRPr="004E1DE3">
        <w:rPr>
          <w:lang w:val="en-CA"/>
        </w:rPr>
        <w:t>credit</w:t>
      </w:r>
      <w:r w:rsidR="007B313B" w:rsidRPr="004E1DE3">
        <w:rPr>
          <w:lang w:val="en-CA"/>
        </w:rPr>
        <w:t xml:space="preserve"> </w:t>
      </w:r>
      <w:r w:rsidR="00940EDA" w:rsidRPr="004E1DE3">
        <w:rPr>
          <w:lang w:val="en-CA"/>
        </w:rPr>
        <w:t>card</w:t>
      </w:r>
      <w:r w:rsidR="000531D4" w:rsidRPr="004E1DE3">
        <w:rPr>
          <w:lang w:val="en-CA"/>
        </w:rPr>
        <w:t xml:space="preserve">, which was also disclosed by </w:t>
      </w:r>
      <w:r w:rsidR="00940EDA" w:rsidRPr="004E1DE3">
        <w:rPr>
          <w:lang w:val="en-CA"/>
        </w:rPr>
        <w:t>telephone</w:t>
      </w:r>
      <w:r w:rsidR="000531D4" w:rsidRPr="004E1DE3">
        <w:rPr>
          <w:lang w:val="en-CA"/>
        </w:rPr>
        <w:t xml:space="preserve"> to this </w:t>
      </w:r>
      <w:r w:rsidR="00940EDA" w:rsidRPr="004E1DE3">
        <w:rPr>
          <w:lang w:val="en-CA"/>
        </w:rPr>
        <w:t>merchant.</w:t>
      </w:r>
    </w:p>
    <w:p w14:paraId="031DD330" w14:textId="77777777" w:rsidR="00656A97" w:rsidRPr="004E1DE3" w:rsidRDefault="00573CA9" w:rsidP="00FB465A">
      <w:pPr>
        <w:pStyle w:val="Paragrsimple"/>
        <w:tabs>
          <w:tab w:val="clear" w:pos="2062"/>
          <w:tab w:val="clear" w:pos="4755"/>
          <w:tab w:val="num" w:pos="0"/>
        </w:tabs>
        <w:ind w:left="0"/>
        <w:rPr>
          <w:lang w:val="en-CA"/>
        </w:rPr>
      </w:pPr>
      <w:r w:rsidRPr="004E1DE3">
        <w:rPr>
          <w:lang w:val="en-CA"/>
        </w:rPr>
        <w:t>Also according to Mr. Behan’s affidavit, however, no bank account, credit card, secret code, or social insura</w:t>
      </w:r>
      <w:r w:rsidR="001844F1" w:rsidRPr="004E1DE3">
        <w:rPr>
          <w:lang w:val="en-CA"/>
        </w:rPr>
        <w:t>n</w:t>
      </w:r>
      <w:r w:rsidRPr="004E1DE3">
        <w:rPr>
          <w:lang w:val="en-CA"/>
        </w:rPr>
        <w:t xml:space="preserve">ce number was the subject of this confidentiality breach on </w:t>
      </w:r>
      <w:r w:rsidR="00940EDA" w:rsidRPr="004E1DE3">
        <w:rPr>
          <w:lang w:val="en-CA"/>
        </w:rPr>
        <w:t>March</w:t>
      </w:r>
      <w:r w:rsidRPr="004E1DE3">
        <w:rPr>
          <w:lang w:val="en-CA"/>
        </w:rPr>
        <w:t xml:space="preserve"> 22 and 23,</w:t>
      </w:r>
      <w:r w:rsidR="00940EDA" w:rsidRPr="004E1DE3">
        <w:rPr>
          <w:lang w:val="en-CA"/>
        </w:rPr>
        <w:t xml:space="preserve"> 2019. </w:t>
      </w:r>
    </w:p>
    <w:p w14:paraId="2A3B9488" w14:textId="77777777" w:rsidR="0034347A" w:rsidRPr="004E1DE3" w:rsidRDefault="00573CA9" w:rsidP="00FB465A">
      <w:pPr>
        <w:pStyle w:val="Paragrsimple"/>
        <w:tabs>
          <w:tab w:val="clear" w:pos="2062"/>
          <w:tab w:val="clear" w:pos="4755"/>
          <w:tab w:val="num" w:pos="0"/>
          <w:tab w:val="num" w:pos="851"/>
        </w:tabs>
        <w:ind w:left="0"/>
        <w:rPr>
          <w:lang w:val="en-CA"/>
        </w:rPr>
      </w:pPr>
      <w:r w:rsidRPr="004E1DE3">
        <w:rPr>
          <w:lang w:val="en-CA"/>
        </w:rPr>
        <w:t xml:space="preserve">Last, it should also be noted that the facts alleged in </w:t>
      </w:r>
      <w:r w:rsidR="00940EDA" w:rsidRPr="004E1DE3">
        <w:rPr>
          <w:lang w:val="en-CA"/>
        </w:rPr>
        <w:t>M</w:t>
      </w:r>
      <w:r w:rsidRPr="004E1DE3">
        <w:rPr>
          <w:lang w:val="en-CA"/>
        </w:rPr>
        <w:t>r</w:t>
      </w:r>
      <w:r w:rsidR="00940EDA" w:rsidRPr="004E1DE3">
        <w:rPr>
          <w:lang w:val="en-CA"/>
        </w:rPr>
        <w:t>. Behan</w:t>
      </w:r>
      <w:r w:rsidRPr="004E1DE3">
        <w:rPr>
          <w:lang w:val="en-CA"/>
        </w:rPr>
        <w:t xml:space="preserve">’s affidavit provided by </w:t>
      </w:r>
      <w:r w:rsidR="00940EDA" w:rsidRPr="004E1DE3">
        <w:rPr>
          <w:lang w:val="en-CA"/>
        </w:rPr>
        <w:t xml:space="preserve">Capital One </w:t>
      </w:r>
      <w:r w:rsidRPr="004E1DE3">
        <w:rPr>
          <w:lang w:val="en-CA"/>
        </w:rPr>
        <w:t xml:space="preserve">are </w:t>
      </w:r>
      <w:r w:rsidR="006D2507">
        <w:rPr>
          <w:lang w:val="en-CA"/>
        </w:rPr>
        <w:t>un</w:t>
      </w:r>
      <w:r w:rsidR="00940EDA" w:rsidRPr="004E1DE3">
        <w:rPr>
          <w:lang w:val="en-CA"/>
        </w:rPr>
        <w:t>contr</w:t>
      </w:r>
      <w:r w:rsidRPr="004E1DE3">
        <w:rPr>
          <w:lang w:val="en-CA"/>
        </w:rPr>
        <w:t>a</w:t>
      </w:r>
      <w:r w:rsidR="00940EDA" w:rsidRPr="004E1DE3">
        <w:rPr>
          <w:lang w:val="en-CA"/>
        </w:rPr>
        <w:t>di</w:t>
      </w:r>
      <w:r w:rsidRPr="004E1DE3">
        <w:rPr>
          <w:lang w:val="en-CA"/>
        </w:rPr>
        <w:t>cted</w:t>
      </w:r>
      <w:r w:rsidR="00940EDA" w:rsidRPr="004E1DE3">
        <w:rPr>
          <w:lang w:val="en-CA"/>
        </w:rPr>
        <w:t>.</w:t>
      </w:r>
    </w:p>
    <w:p w14:paraId="4ABDF2CF" w14:textId="77777777" w:rsidR="0034347A" w:rsidRPr="004E1DE3" w:rsidRDefault="00573CA9" w:rsidP="00FB465A">
      <w:pPr>
        <w:pStyle w:val="Paragrsimple"/>
        <w:tabs>
          <w:tab w:val="clear" w:pos="2062"/>
          <w:tab w:val="clear" w:pos="4755"/>
          <w:tab w:val="num" w:pos="0"/>
        </w:tabs>
        <w:ind w:left="0"/>
        <w:rPr>
          <w:lang w:val="en-CA"/>
        </w:rPr>
      </w:pPr>
      <w:r w:rsidRPr="004E1DE3">
        <w:rPr>
          <w:lang w:val="en-CA"/>
        </w:rPr>
        <w:lastRenderedPageBreak/>
        <w:t xml:space="preserve">On the basis of this </w:t>
      </w:r>
      <w:r w:rsidR="00342089" w:rsidRPr="004E1DE3">
        <w:rPr>
          <w:lang w:val="en-CA"/>
        </w:rPr>
        <w:t>evidence, the</w:t>
      </w:r>
      <w:r w:rsidRPr="004E1DE3">
        <w:rPr>
          <w:lang w:val="en-CA"/>
        </w:rPr>
        <w:t xml:space="preserve"> </w:t>
      </w:r>
      <w:r w:rsidR="00342089" w:rsidRPr="004E1DE3">
        <w:rPr>
          <w:lang w:val="en-CA"/>
        </w:rPr>
        <w:t>Court</w:t>
      </w:r>
      <w:r w:rsidRPr="004E1DE3">
        <w:rPr>
          <w:lang w:val="en-CA"/>
        </w:rPr>
        <w:t xml:space="preserve"> cannot, as the plaintiffs propose, apply this notion of </w:t>
      </w:r>
      <w:r w:rsidR="00342089" w:rsidRPr="004E1DE3">
        <w:rPr>
          <w:lang w:val="en-CA"/>
        </w:rPr>
        <w:t>contemporan</w:t>
      </w:r>
      <w:r w:rsidRPr="004E1DE3">
        <w:rPr>
          <w:lang w:val="en-CA"/>
        </w:rPr>
        <w:t xml:space="preserve">eity or </w:t>
      </w:r>
      <w:r w:rsidR="00940EDA" w:rsidRPr="004E1DE3">
        <w:rPr>
          <w:lang w:val="en-CA"/>
        </w:rPr>
        <w:t>timing</w:t>
      </w:r>
      <w:r w:rsidRPr="004E1DE3">
        <w:rPr>
          <w:lang w:val="en-CA"/>
        </w:rPr>
        <w:t xml:space="preserve"> betwee</w:t>
      </w:r>
      <w:r w:rsidR="00523450" w:rsidRPr="004E1DE3">
        <w:rPr>
          <w:lang w:val="en-CA"/>
        </w:rPr>
        <w:t>n</w:t>
      </w:r>
      <w:r w:rsidRPr="004E1DE3">
        <w:rPr>
          <w:lang w:val="en-CA"/>
        </w:rPr>
        <w:t xml:space="preserve"> the events that occurred on </w:t>
      </w:r>
      <w:r w:rsidR="00940EDA" w:rsidRPr="004E1DE3">
        <w:rPr>
          <w:lang w:val="en-CA"/>
        </w:rPr>
        <w:t>March</w:t>
      </w:r>
      <w:r w:rsidRPr="004E1DE3">
        <w:rPr>
          <w:lang w:val="en-CA"/>
        </w:rPr>
        <w:t xml:space="preserve"> 22 and 23,</w:t>
      </w:r>
      <w:r w:rsidR="00940EDA" w:rsidRPr="004E1DE3">
        <w:rPr>
          <w:lang w:val="en-CA"/>
        </w:rPr>
        <w:t xml:space="preserve"> 2019</w:t>
      </w:r>
      <w:r w:rsidR="00523450" w:rsidRPr="004E1DE3">
        <w:rPr>
          <w:lang w:val="en-CA"/>
        </w:rPr>
        <w:t xml:space="preserve">, and the unauthorized </w:t>
      </w:r>
      <w:r w:rsidR="00940EDA" w:rsidRPr="004E1DE3">
        <w:rPr>
          <w:lang w:val="en-CA"/>
        </w:rPr>
        <w:t>transactions</w:t>
      </w:r>
      <w:r w:rsidR="00523450" w:rsidRPr="004E1DE3">
        <w:rPr>
          <w:lang w:val="en-CA"/>
        </w:rPr>
        <w:t xml:space="preserve"> added to </w:t>
      </w:r>
      <w:r w:rsidR="00940EDA" w:rsidRPr="004E1DE3">
        <w:rPr>
          <w:lang w:val="en-CA"/>
        </w:rPr>
        <w:t>Abou-Khadra</w:t>
      </w:r>
      <w:r w:rsidR="00523450" w:rsidRPr="004E1DE3">
        <w:rPr>
          <w:lang w:val="en-CA"/>
        </w:rPr>
        <w:t>’s account</w:t>
      </w:r>
      <w:r w:rsidR="00DD2A44">
        <w:rPr>
          <w:lang w:val="en-CA"/>
        </w:rPr>
        <w:t>,</w:t>
      </w:r>
      <w:r w:rsidR="00523450" w:rsidRPr="004E1DE3">
        <w:rPr>
          <w:lang w:val="en-CA"/>
        </w:rPr>
        <w:t xml:space="preserve"> because specific </w:t>
      </w:r>
      <w:r w:rsidR="00940EDA" w:rsidRPr="004E1DE3">
        <w:rPr>
          <w:lang w:val="en-CA"/>
        </w:rPr>
        <w:t>evidence</w:t>
      </w:r>
      <w:r w:rsidR="00523450" w:rsidRPr="004E1DE3">
        <w:rPr>
          <w:lang w:val="en-CA"/>
        </w:rPr>
        <w:t xml:space="preserve"> was presented in this case to set aside this </w:t>
      </w:r>
      <w:r w:rsidR="00940EDA" w:rsidRPr="004E1DE3">
        <w:rPr>
          <w:lang w:val="en-CA"/>
        </w:rPr>
        <w:t>possibilit</w:t>
      </w:r>
      <w:r w:rsidR="00523450" w:rsidRPr="004E1DE3">
        <w:rPr>
          <w:lang w:val="en-CA"/>
        </w:rPr>
        <w:t xml:space="preserve">y or </w:t>
      </w:r>
      <w:r w:rsidR="00940EDA" w:rsidRPr="004E1DE3">
        <w:rPr>
          <w:lang w:val="en-CA"/>
        </w:rPr>
        <w:t>hypoth</w:t>
      </w:r>
      <w:r w:rsidR="00523450" w:rsidRPr="004E1DE3">
        <w:rPr>
          <w:lang w:val="en-CA"/>
        </w:rPr>
        <w:t xml:space="preserve">esis in the form of a kind of presumption arising simply from the temporal </w:t>
      </w:r>
      <w:r w:rsidR="00940EDA" w:rsidRPr="004E1DE3">
        <w:rPr>
          <w:lang w:val="en-CA"/>
        </w:rPr>
        <w:t>proximit</w:t>
      </w:r>
      <w:r w:rsidR="00523450" w:rsidRPr="004E1DE3">
        <w:rPr>
          <w:lang w:val="en-CA"/>
        </w:rPr>
        <w:t>y of these two events</w:t>
      </w:r>
      <w:r w:rsidR="00940EDA" w:rsidRPr="004E1DE3">
        <w:rPr>
          <w:lang w:val="en-CA"/>
        </w:rPr>
        <w:t xml:space="preserve">. </w:t>
      </w:r>
    </w:p>
    <w:p w14:paraId="7418D207" w14:textId="77777777" w:rsidR="000E52CA" w:rsidRPr="004E1DE3" w:rsidRDefault="00573CA9" w:rsidP="00FB465A">
      <w:pPr>
        <w:pStyle w:val="Paragrsimple"/>
        <w:tabs>
          <w:tab w:val="clear" w:pos="2062"/>
          <w:tab w:val="clear" w:pos="4755"/>
          <w:tab w:val="num" w:pos="0"/>
        </w:tabs>
        <w:ind w:left="0"/>
        <w:rPr>
          <w:lang w:val="en-CA"/>
        </w:rPr>
      </w:pPr>
      <w:r w:rsidRPr="004E1DE3">
        <w:rPr>
          <w:lang w:val="en-CA"/>
        </w:rPr>
        <w:t xml:space="preserve">In addition, in the </w:t>
      </w:r>
      <w:r w:rsidR="00183AD1" w:rsidRPr="004E1DE3">
        <w:rPr>
          <w:lang w:val="en-CA"/>
        </w:rPr>
        <w:t xml:space="preserve">conclusions </w:t>
      </w:r>
      <w:r w:rsidRPr="004E1DE3">
        <w:rPr>
          <w:lang w:val="en-CA"/>
        </w:rPr>
        <w:t xml:space="preserve">of the proposed </w:t>
      </w:r>
      <w:r w:rsidR="00183AD1" w:rsidRPr="004E1DE3">
        <w:rPr>
          <w:lang w:val="en-CA"/>
        </w:rPr>
        <w:t>class</w:t>
      </w:r>
      <w:r w:rsidRPr="004E1DE3">
        <w:rPr>
          <w:lang w:val="en-CA"/>
        </w:rPr>
        <w:t xml:space="preserve"> </w:t>
      </w:r>
      <w:r w:rsidR="00183AD1" w:rsidRPr="004E1DE3">
        <w:rPr>
          <w:lang w:val="en-CA"/>
        </w:rPr>
        <w:t>action</w:t>
      </w:r>
      <w:r w:rsidR="00127D40" w:rsidRPr="004E1DE3">
        <w:rPr>
          <w:lang w:val="en-CA"/>
        </w:rPr>
        <w:t xml:space="preserve"> with respect to the </w:t>
      </w:r>
      <w:r w:rsidR="00404B92" w:rsidRPr="004E1DE3">
        <w:rPr>
          <w:lang w:val="en-CA"/>
        </w:rPr>
        <w:t>C</w:t>
      </w:r>
      <w:r w:rsidR="00127D40" w:rsidRPr="004E1DE3">
        <w:rPr>
          <w:lang w:val="en-CA"/>
        </w:rPr>
        <w:t xml:space="preserve">lass and in the notices to be given to the </w:t>
      </w:r>
      <w:r w:rsidR="00217F28">
        <w:rPr>
          <w:lang w:val="en-CA"/>
        </w:rPr>
        <w:t xml:space="preserve">class </w:t>
      </w:r>
      <w:r w:rsidR="00127D40" w:rsidRPr="004E1DE3">
        <w:rPr>
          <w:lang w:val="en-CA"/>
        </w:rPr>
        <w:t xml:space="preserve">members, the plaintiffs themselves </w:t>
      </w:r>
      <w:r w:rsidR="00183AD1" w:rsidRPr="004E1DE3">
        <w:rPr>
          <w:lang w:val="en-CA"/>
        </w:rPr>
        <w:t>exclu</w:t>
      </w:r>
      <w:r w:rsidR="00127D40" w:rsidRPr="004E1DE3">
        <w:rPr>
          <w:lang w:val="en-CA"/>
        </w:rPr>
        <w:t>de the persons</w:t>
      </w:r>
      <w:r w:rsidR="00183AD1" w:rsidRPr="004E1DE3">
        <w:rPr>
          <w:lang w:val="en-CA"/>
        </w:rPr>
        <w:t xml:space="preserve"> </w:t>
      </w:r>
      <w:r w:rsidR="00127D40" w:rsidRPr="004E1DE3">
        <w:rPr>
          <w:lang w:val="en-CA"/>
        </w:rPr>
        <w:t>in the same s</w:t>
      </w:r>
      <w:r w:rsidR="00183AD1" w:rsidRPr="004E1DE3">
        <w:rPr>
          <w:lang w:val="en-CA"/>
        </w:rPr>
        <w:t xml:space="preserve">ituation </w:t>
      </w:r>
      <w:r w:rsidR="00127D40" w:rsidRPr="004E1DE3">
        <w:rPr>
          <w:lang w:val="en-CA"/>
        </w:rPr>
        <w:t xml:space="preserve">as the plaintiff </w:t>
      </w:r>
      <w:r w:rsidR="00183AD1" w:rsidRPr="004E1DE3">
        <w:rPr>
          <w:lang w:val="en-CA"/>
        </w:rPr>
        <w:t xml:space="preserve">Abou-Khadra, </w:t>
      </w:r>
      <w:r w:rsidR="00127D40" w:rsidRPr="004E1DE3">
        <w:rPr>
          <w:lang w:val="en-CA"/>
        </w:rPr>
        <w:t xml:space="preserve">because these persons cannot be properly identified and because the designated </w:t>
      </w:r>
      <w:r w:rsidR="00404B92" w:rsidRPr="004E1DE3">
        <w:rPr>
          <w:lang w:val="en-CA"/>
        </w:rPr>
        <w:t>C</w:t>
      </w:r>
      <w:r w:rsidR="00127D40" w:rsidRPr="004E1DE3">
        <w:rPr>
          <w:lang w:val="en-CA"/>
        </w:rPr>
        <w:t xml:space="preserve">lass of members </w:t>
      </w:r>
      <w:r w:rsidR="00183AD1" w:rsidRPr="004E1DE3">
        <w:rPr>
          <w:lang w:val="en-CA"/>
        </w:rPr>
        <w:t>identifie</w:t>
      </w:r>
      <w:r w:rsidR="00127D40" w:rsidRPr="004E1DE3">
        <w:rPr>
          <w:lang w:val="en-CA"/>
        </w:rPr>
        <w:t xml:space="preserve">s those whose data was </w:t>
      </w:r>
      <w:r w:rsidR="00183AD1" w:rsidRPr="004E1DE3">
        <w:rPr>
          <w:lang w:val="en-CA"/>
        </w:rPr>
        <w:t>compromi</w:t>
      </w:r>
      <w:r w:rsidR="00127D40" w:rsidRPr="004E1DE3">
        <w:rPr>
          <w:lang w:val="en-CA"/>
        </w:rPr>
        <w:t>s</w:t>
      </w:r>
      <w:r w:rsidR="00183AD1" w:rsidRPr="004E1DE3">
        <w:rPr>
          <w:lang w:val="en-CA"/>
        </w:rPr>
        <w:t>e</w:t>
      </w:r>
      <w:r w:rsidR="00127D40" w:rsidRPr="004E1DE3">
        <w:rPr>
          <w:lang w:val="en-CA"/>
        </w:rPr>
        <w:t xml:space="preserve">d during the </w:t>
      </w:r>
      <w:r w:rsidR="00183AD1" w:rsidRPr="004E1DE3">
        <w:rPr>
          <w:lang w:val="en-CA"/>
        </w:rPr>
        <w:t>March 2019</w:t>
      </w:r>
      <w:r w:rsidR="00127D40" w:rsidRPr="004E1DE3">
        <w:rPr>
          <w:lang w:val="en-CA"/>
        </w:rPr>
        <w:t xml:space="preserve"> incident, which e</w:t>
      </w:r>
      <w:r w:rsidR="00183AD1" w:rsidRPr="004E1DE3">
        <w:rPr>
          <w:lang w:val="en-CA"/>
        </w:rPr>
        <w:t>xclu</w:t>
      </w:r>
      <w:r w:rsidR="00127D40" w:rsidRPr="004E1DE3">
        <w:rPr>
          <w:lang w:val="en-CA"/>
        </w:rPr>
        <w:t>des the plaintiff</w:t>
      </w:r>
      <w:r w:rsidR="00183AD1" w:rsidRPr="004E1DE3">
        <w:rPr>
          <w:lang w:val="en-CA"/>
        </w:rPr>
        <w:t xml:space="preserve"> Abou-Khadra.</w:t>
      </w:r>
    </w:p>
    <w:p w14:paraId="773E46C8" w14:textId="77777777" w:rsidR="00C640FA" w:rsidRPr="004E1DE3" w:rsidRDefault="00573CA9" w:rsidP="00C640FA">
      <w:pPr>
        <w:pStyle w:val="Paragrsimple"/>
        <w:tabs>
          <w:tab w:val="clear" w:pos="2062"/>
          <w:tab w:val="clear" w:pos="4755"/>
          <w:tab w:val="left" w:pos="0"/>
        </w:tabs>
        <w:ind w:left="142" w:hanging="142"/>
        <w:rPr>
          <w:lang w:val="en-CA"/>
        </w:rPr>
      </w:pPr>
      <w:r w:rsidRPr="004E1DE3">
        <w:rPr>
          <w:lang w:val="en-CA"/>
        </w:rPr>
        <w:t xml:space="preserve">Therefore, the proposed </w:t>
      </w:r>
      <w:r w:rsidR="00940EDA" w:rsidRPr="004E1DE3">
        <w:rPr>
          <w:lang w:val="en-CA"/>
        </w:rPr>
        <w:t>class</w:t>
      </w:r>
      <w:r w:rsidRPr="004E1DE3">
        <w:rPr>
          <w:lang w:val="en-CA"/>
        </w:rPr>
        <w:t xml:space="preserve"> </w:t>
      </w:r>
      <w:r w:rsidR="00940EDA" w:rsidRPr="004E1DE3">
        <w:rPr>
          <w:lang w:val="en-CA"/>
        </w:rPr>
        <w:t>action</w:t>
      </w:r>
      <w:r w:rsidRPr="004E1DE3">
        <w:rPr>
          <w:lang w:val="en-CA"/>
        </w:rPr>
        <w:t xml:space="preserve"> will not be authorized with respect to this plaintiff</w:t>
      </w:r>
      <w:r w:rsidR="00940EDA" w:rsidRPr="004E1DE3">
        <w:rPr>
          <w:lang w:val="en-CA"/>
        </w:rPr>
        <w:t>.</w:t>
      </w:r>
    </w:p>
    <w:p w14:paraId="2B2E6AC2" w14:textId="77777777" w:rsidR="001E5C20" w:rsidRPr="004E1DE3" w:rsidRDefault="00573CA9" w:rsidP="00DD2A44">
      <w:pPr>
        <w:pStyle w:val="Titre3"/>
        <w:keepNext/>
        <w:rPr>
          <w:lang w:val="en-CA"/>
        </w:rPr>
      </w:pPr>
      <w:bookmarkStart w:id="14" w:name="_Toc256000006"/>
      <w:bookmarkStart w:id="15" w:name="_Toc148419869"/>
      <w:r w:rsidRPr="004E1DE3">
        <w:rPr>
          <w:lang w:val="en-CA"/>
        </w:rPr>
        <w:t>Capital One</w:t>
      </w:r>
      <w:bookmarkEnd w:id="14"/>
      <w:bookmarkEnd w:id="15"/>
    </w:p>
    <w:p w14:paraId="2EC250F2" w14:textId="77777777" w:rsidR="0093592B" w:rsidRPr="004E1DE3" w:rsidRDefault="00573CA9" w:rsidP="00DD2A44">
      <w:pPr>
        <w:pStyle w:val="Titre4"/>
        <w:keepNext/>
        <w:rPr>
          <w:lang w:val="en-CA"/>
        </w:rPr>
      </w:pPr>
      <w:bookmarkStart w:id="16" w:name="_Toc256000007"/>
      <w:bookmarkStart w:id="17" w:name="_Toc148419870"/>
      <w:r w:rsidRPr="004E1DE3">
        <w:rPr>
          <w:lang w:val="en-CA"/>
        </w:rPr>
        <w:t>Fault</w:t>
      </w:r>
      <w:bookmarkEnd w:id="16"/>
      <w:bookmarkEnd w:id="17"/>
    </w:p>
    <w:p w14:paraId="6FA81DCA" w14:textId="77777777" w:rsidR="00A111BF" w:rsidRPr="004E1DE3" w:rsidRDefault="00573CA9" w:rsidP="00DD2A44">
      <w:pPr>
        <w:pStyle w:val="Paragrdouble"/>
        <w:keepNext/>
        <w:tabs>
          <w:tab w:val="num" w:pos="851"/>
        </w:tabs>
        <w:spacing w:line="240" w:lineRule="auto"/>
        <w:ind w:left="0"/>
        <w:rPr>
          <w:i/>
          <w:iCs/>
          <w:lang w:val="en-CA"/>
        </w:rPr>
      </w:pPr>
      <w:r w:rsidRPr="004E1DE3">
        <w:rPr>
          <w:lang w:val="en-CA"/>
        </w:rPr>
        <w:t xml:space="preserve">In support of the legal </w:t>
      </w:r>
      <w:r w:rsidR="001C1002" w:rsidRPr="004E1DE3">
        <w:rPr>
          <w:lang w:val="en-CA"/>
        </w:rPr>
        <w:t>syllogism</w:t>
      </w:r>
      <w:r w:rsidRPr="004E1DE3">
        <w:rPr>
          <w:lang w:val="en-CA"/>
        </w:rPr>
        <w:t xml:space="preserve"> they invoke against </w:t>
      </w:r>
      <w:r w:rsidR="001C1002" w:rsidRPr="004E1DE3">
        <w:rPr>
          <w:lang w:val="en-CA"/>
        </w:rPr>
        <w:t xml:space="preserve">Capital One, </w:t>
      </w:r>
      <w:r w:rsidRPr="004E1DE3">
        <w:rPr>
          <w:lang w:val="en-CA"/>
        </w:rPr>
        <w:t xml:space="preserve">the plaintiffs rely on the </w:t>
      </w:r>
      <w:r w:rsidR="001C1002" w:rsidRPr="004E1DE3">
        <w:rPr>
          <w:lang w:val="en-CA"/>
        </w:rPr>
        <w:t xml:space="preserve">application </w:t>
      </w:r>
      <w:r w:rsidRPr="004E1DE3">
        <w:rPr>
          <w:lang w:val="en-CA"/>
        </w:rPr>
        <w:t xml:space="preserve">form </w:t>
      </w:r>
      <w:r w:rsidR="000E4C5F">
        <w:rPr>
          <w:lang w:val="en-CA"/>
        </w:rPr>
        <w:t xml:space="preserve">it </w:t>
      </w:r>
      <w:r w:rsidRPr="004E1DE3">
        <w:rPr>
          <w:lang w:val="en-CA"/>
        </w:rPr>
        <w:t>published</w:t>
      </w:r>
      <w:r w:rsidR="002F66DE" w:rsidRPr="004E1DE3">
        <w:rPr>
          <w:lang w:val="en-CA"/>
        </w:rPr>
        <w:t xml:space="preserve"> in </w:t>
      </w:r>
      <w:r w:rsidR="001C1002" w:rsidRPr="004E1DE3">
        <w:rPr>
          <w:lang w:val="en-CA"/>
        </w:rPr>
        <w:t xml:space="preserve">2019, </w:t>
      </w:r>
      <w:r w:rsidR="002F66DE" w:rsidRPr="004E1DE3">
        <w:rPr>
          <w:lang w:val="en-CA"/>
        </w:rPr>
        <w:t xml:space="preserve">which they each used several years earlier at the time of their </w:t>
      </w:r>
      <w:r w:rsidR="001C1002" w:rsidRPr="004E1DE3">
        <w:rPr>
          <w:lang w:val="en-CA"/>
        </w:rPr>
        <w:t>respective</w:t>
      </w:r>
      <w:r w:rsidR="002F66DE" w:rsidRPr="004E1DE3">
        <w:rPr>
          <w:lang w:val="en-CA"/>
        </w:rPr>
        <w:t xml:space="preserve"> enrollment for one of the six </w:t>
      </w:r>
      <w:r w:rsidR="001C1002" w:rsidRPr="004E1DE3">
        <w:rPr>
          <w:lang w:val="en-CA"/>
        </w:rPr>
        <w:t>cat</w:t>
      </w:r>
      <w:r w:rsidR="002F66DE" w:rsidRPr="004E1DE3">
        <w:rPr>
          <w:lang w:val="en-CA"/>
        </w:rPr>
        <w:t>e</w:t>
      </w:r>
      <w:r w:rsidR="001C1002" w:rsidRPr="004E1DE3">
        <w:rPr>
          <w:lang w:val="en-CA"/>
        </w:rPr>
        <w:t xml:space="preserve">gories </w:t>
      </w:r>
      <w:r w:rsidR="002F66DE" w:rsidRPr="004E1DE3">
        <w:rPr>
          <w:lang w:val="en-CA"/>
        </w:rPr>
        <w:t xml:space="preserve">of </w:t>
      </w:r>
      <w:r w:rsidR="001C1002" w:rsidRPr="004E1DE3">
        <w:rPr>
          <w:lang w:val="en-CA"/>
        </w:rPr>
        <w:t>credit</w:t>
      </w:r>
      <w:r w:rsidR="002F66DE" w:rsidRPr="004E1DE3">
        <w:rPr>
          <w:lang w:val="en-CA"/>
        </w:rPr>
        <w:t xml:space="preserve"> </w:t>
      </w:r>
      <w:r w:rsidR="001C1002" w:rsidRPr="004E1DE3">
        <w:rPr>
          <w:lang w:val="en-CA"/>
        </w:rPr>
        <w:t>card</w:t>
      </w:r>
      <w:r w:rsidR="002F66DE" w:rsidRPr="004E1DE3">
        <w:rPr>
          <w:lang w:val="en-CA"/>
        </w:rPr>
        <w:t>s offered</w:t>
      </w:r>
      <w:r>
        <w:rPr>
          <w:rStyle w:val="Appelnotedebasdep"/>
          <w:lang w:val="en-CA"/>
        </w:rPr>
        <w:footnoteReference w:id="28"/>
      </w:r>
      <w:r w:rsidR="00940EDA" w:rsidRPr="004E1DE3">
        <w:rPr>
          <w:lang w:val="en-CA"/>
        </w:rPr>
        <w:t xml:space="preserve"> </w:t>
      </w:r>
      <w:r w:rsidR="002F66DE" w:rsidRPr="004E1DE3">
        <w:rPr>
          <w:lang w:val="en-CA"/>
        </w:rPr>
        <w:t xml:space="preserve">by this financial </w:t>
      </w:r>
      <w:r w:rsidR="00940EDA" w:rsidRPr="004E1DE3">
        <w:rPr>
          <w:lang w:val="en-CA"/>
        </w:rPr>
        <w:t>institution.</w:t>
      </w:r>
    </w:p>
    <w:p w14:paraId="1F8BD255" w14:textId="77777777" w:rsidR="001C1002" w:rsidRPr="004E1DE3" w:rsidRDefault="00573CA9" w:rsidP="008C1178">
      <w:pPr>
        <w:pStyle w:val="Paragrdouble"/>
        <w:tabs>
          <w:tab w:val="num" w:pos="851"/>
        </w:tabs>
        <w:spacing w:line="240" w:lineRule="auto"/>
        <w:ind w:left="0"/>
        <w:rPr>
          <w:i/>
          <w:iCs/>
          <w:lang w:val="en-CA"/>
        </w:rPr>
      </w:pPr>
      <w:r w:rsidRPr="004E1DE3">
        <w:rPr>
          <w:lang w:val="en-CA"/>
        </w:rPr>
        <w:t xml:space="preserve">This form requires various </w:t>
      </w:r>
      <w:r w:rsidR="00E84EEF" w:rsidRPr="004E1DE3">
        <w:rPr>
          <w:lang w:val="en-CA"/>
        </w:rPr>
        <w:t>personal</w:t>
      </w:r>
      <w:r w:rsidRPr="004E1DE3">
        <w:rPr>
          <w:lang w:val="en-CA"/>
        </w:rPr>
        <w:t xml:space="preserve"> </w:t>
      </w:r>
      <w:r w:rsidR="00E84EEF" w:rsidRPr="004E1DE3">
        <w:rPr>
          <w:lang w:val="en-CA"/>
        </w:rPr>
        <w:t>information</w:t>
      </w:r>
      <w:r w:rsidRPr="004E1DE3">
        <w:rPr>
          <w:lang w:val="en-CA"/>
        </w:rPr>
        <w:t xml:space="preserve"> from the persons who fill out the </w:t>
      </w:r>
      <w:r w:rsidR="00E84EEF" w:rsidRPr="004E1DE3">
        <w:rPr>
          <w:lang w:val="en-CA"/>
        </w:rPr>
        <w:t>application</w:t>
      </w:r>
      <w:r w:rsidRPr="004E1DE3">
        <w:rPr>
          <w:lang w:val="en-CA"/>
        </w:rPr>
        <w:t xml:space="preserve"> for </w:t>
      </w:r>
      <w:r w:rsidR="00447F4E">
        <w:rPr>
          <w:lang w:val="en-CA"/>
        </w:rPr>
        <w:t>membership</w:t>
      </w:r>
      <w:r w:rsidRPr="004E1DE3">
        <w:rPr>
          <w:lang w:val="en-CA"/>
        </w:rPr>
        <w:t>,</w:t>
      </w:r>
      <w:r>
        <w:rPr>
          <w:rStyle w:val="Appelnotedebasdep"/>
          <w:lang w:val="en-CA"/>
        </w:rPr>
        <w:footnoteReference w:id="29"/>
      </w:r>
      <w:r w:rsidRPr="004E1DE3">
        <w:rPr>
          <w:lang w:val="en-CA"/>
        </w:rPr>
        <w:t xml:space="preserve"> including their social insurance number, to obtain a </w:t>
      </w:r>
      <w:r w:rsidR="00940EDA" w:rsidRPr="004E1DE3">
        <w:rPr>
          <w:lang w:val="en-CA"/>
        </w:rPr>
        <w:t xml:space="preserve">Costco </w:t>
      </w:r>
      <w:r w:rsidRPr="004E1DE3">
        <w:rPr>
          <w:lang w:val="en-CA"/>
        </w:rPr>
        <w:t xml:space="preserve">credit card issued by </w:t>
      </w:r>
      <w:r w:rsidR="00940EDA" w:rsidRPr="004E1DE3">
        <w:rPr>
          <w:lang w:val="en-CA"/>
        </w:rPr>
        <w:t>Capital One.</w:t>
      </w:r>
    </w:p>
    <w:p w14:paraId="5210DBC6" w14:textId="77777777" w:rsidR="00F51CEE" w:rsidRPr="004E1DE3" w:rsidRDefault="00573CA9" w:rsidP="00F51CEE">
      <w:pPr>
        <w:pStyle w:val="Paragrdouble"/>
        <w:tabs>
          <w:tab w:val="num" w:pos="851"/>
        </w:tabs>
        <w:spacing w:line="240" w:lineRule="auto"/>
        <w:ind w:left="0"/>
        <w:rPr>
          <w:i/>
          <w:iCs/>
          <w:lang w:val="en-CA"/>
        </w:rPr>
      </w:pPr>
      <w:r w:rsidRPr="004E1DE3">
        <w:rPr>
          <w:lang w:val="en-CA"/>
        </w:rPr>
        <w:t xml:space="preserve">The plaintiffs then refer to the </w:t>
      </w:r>
      <w:r w:rsidR="00940EDA" w:rsidRPr="004E1DE3">
        <w:rPr>
          <w:lang w:val="en-CA"/>
        </w:rPr>
        <w:t>documents publi</w:t>
      </w:r>
      <w:r w:rsidRPr="004E1DE3">
        <w:rPr>
          <w:lang w:val="en-CA"/>
        </w:rPr>
        <w:t xml:space="preserve">shed on </w:t>
      </w:r>
      <w:r w:rsidR="00940EDA" w:rsidRPr="004E1DE3">
        <w:rPr>
          <w:lang w:val="en-CA"/>
        </w:rPr>
        <w:t>Capital One</w:t>
      </w:r>
      <w:r w:rsidRPr="004E1DE3">
        <w:rPr>
          <w:lang w:val="en-CA"/>
        </w:rPr>
        <w:t>’s website,</w:t>
      </w:r>
      <w:r>
        <w:rPr>
          <w:rStyle w:val="Appelnotedebasdep"/>
          <w:lang w:val="en-CA"/>
        </w:rPr>
        <w:footnoteReference w:id="30"/>
      </w:r>
      <w:r w:rsidRPr="004E1DE3">
        <w:rPr>
          <w:lang w:val="en-CA"/>
        </w:rPr>
        <w:t xml:space="preserve"> in which the </w:t>
      </w:r>
      <w:r w:rsidR="00940EDA" w:rsidRPr="004E1DE3">
        <w:rPr>
          <w:lang w:val="en-CA"/>
        </w:rPr>
        <w:t>terms</w:t>
      </w:r>
      <w:r w:rsidRPr="004E1DE3">
        <w:rPr>
          <w:lang w:val="en-CA"/>
        </w:rPr>
        <w:t xml:space="preserve"> and </w:t>
      </w:r>
      <w:r w:rsidR="00940EDA" w:rsidRPr="004E1DE3">
        <w:rPr>
          <w:lang w:val="en-CA"/>
        </w:rPr>
        <w:t xml:space="preserve">conditions </w:t>
      </w:r>
      <w:r w:rsidRPr="004E1DE3">
        <w:rPr>
          <w:lang w:val="en-CA"/>
        </w:rPr>
        <w:t xml:space="preserve">of the 2020 version of its confidentiality policy are set out, and to </w:t>
      </w:r>
      <w:r w:rsidR="00940EDA" w:rsidRPr="004E1DE3">
        <w:rPr>
          <w:lang w:val="en-CA"/>
        </w:rPr>
        <w:t xml:space="preserve">texts </w:t>
      </w:r>
      <w:r w:rsidRPr="004E1DE3">
        <w:rPr>
          <w:lang w:val="en-CA"/>
        </w:rPr>
        <w:t xml:space="preserve">describing the security measures implemented by </w:t>
      </w:r>
      <w:r w:rsidR="00940EDA" w:rsidRPr="004E1DE3">
        <w:rPr>
          <w:lang w:val="en-CA"/>
        </w:rPr>
        <w:t>Capital One.</w:t>
      </w:r>
    </w:p>
    <w:p w14:paraId="6BCC0D0C" w14:textId="77777777" w:rsidR="00F51CEE" w:rsidRPr="004E1DE3" w:rsidRDefault="00573CA9" w:rsidP="00F51CEE">
      <w:pPr>
        <w:pStyle w:val="Paragrdouble"/>
        <w:tabs>
          <w:tab w:val="num" w:pos="851"/>
        </w:tabs>
        <w:spacing w:line="240" w:lineRule="auto"/>
        <w:ind w:left="0"/>
        <w:rPr>
          <w:i/>
          <w:iCs/>
          <w:lang w:val="en-CA"/>
        </w:rPr>
      </w:pPr>
      <w:r w:rsidRPr="004E1DE3">
        <w:rPr>
          <w:lang w:val="en-CA"/>
        </w:rPr>
        <w:t xml:space="preserve">The plaintiffs rely on these </w:t>
      </w:r>
      <w:r w:rsidR="00940EDA" w:rsidRPr="004E1DE3">
        <w:rPr>
          <w:lang w:val="en-CA"/>
        </w:rPr>
        <w:t xml:space="preserve">documents </w:t>
      </w:r>
      <w:r w:rsidRPr="004E1DE3">
        <w:rPr>
          <w:lang w:val="en-CA"/>
        </w:rPr>
        <w:t xml:space="preserve">not only to establish </w:t>
      </w:r>
      <w:r w:rsidR="00940EDA" w:rsidRPr="004E1DE3">
        <w:rPr>
          <w:lang w:val="en-CA"/>
        </w:rPr>
        <w:t>Capital One</w:t>
      </w:r>
      <w:r w:rsidRPr="004E1DE3">
        <w:rPr>
          <w:lang w:val="en-CA"/>
        </w:rPr>
        <w:t xml:space="preserve">’s contractual fault against the putative </w:t>
      </w:r>
      <w:r w:rsidR="00FE1E9B">
        <w:rPr>
          <w:lang w:val="en-CA"/>
        </w:rPr>
        <w:t xml:space="preserve">class </w:t>
      </w:r>
      <w:r w:rsidRPr="004E1DE3">
        <w:rPr>
          <w:lang w:val="en-CA"/>
        </w:rPr>
        <w:t>members, but also</w:t>
      </w:r>
      <w:r w:rsidR="00940EDA" w:rsidRPr="004E1DE3">
        <w:rPr>
          <w:lang w:val="en-CA"/>
        </w:rPr>
        <w:t xml:space="preserve"> </w:t>
      </w:r>
      <w:r w:rsidRPr="004E1DE3">
        <w:rPr>
          <w:lang w:val="en-CA"/>
        </w:rPr>
        <w:t xml:space="preserve">to support the </w:t>
      </w:r>
      <w:r w:rsidR="00940EDA" w:rsidRPr="004E1DE3">
        <w:rPr>
          <w:lang w:val="en-CA"/>
        </w:rPr>
        <w:t xml:space="preserve">existence </w:t>
      </w:r>
      <w:r w:rsidRPr="004E1DE3">
        <w:rPr>
          <w:lang w:val="en-CA"/>
        </w:rPr>
        <w:t xml:space="preserve">of its </w:t>
      </w:r>
      <w:r w:rsidR="00940EDA" w:rsidRPr="004E1DE3">
        <w:rPr>
          <w:lang w:val="en-CA"/>
        </w:rPr>
        <w:t>false</w:t>
      </w:r>
      <w:r w:rsidRPr="004E1DE3">
        <w:rPr>
          <w:lang w:val="en-CA"/>
        </w:rPr>
        <w:t xml:space="preserve"> </w:t>
      </w:r>
      <w:r w:rsidR="00940EDA" w:rsidRPr="004E1DE3">
        <w:rPr>
          <w:lang w:val="en-CA"/>
        </w:rPr>
        <w:t>or</w:t>
      </w:r>
      <w:r w:rsidRPr="004E1DE3">
        <w:rPr>
          <w:lang w:val="en-CA"/>
        </w:rPr>
        <w:t xml:space="preserve"> </w:t>
      </w:r>
      <w:r w:rsidR="00940EDA" w:rsidRPr="004E1DE3">
        <w:rPr>
          <w:lang w:val="en-CA"/>
        </w:rPr>
        <w:t>misleading</w:t>
      </w:r>
      <w:r w:rsidRPr="004E1DE3">
        <w:rPr>
          <w:lang w:val="en-CA"/>
        </w:rPr>
        <w:t xml:space="preserve"> </w:t>
      </w:r>
      <w:r w:rsidR="00940EDA" w:rsidRPr="004E1DE3">
        <w:rPr>
          <w:lang w:val="en-CA"/>
        </w:rPr>
        <w:t>representation</w:t>
      </w:r>
      <w:r w:rsidRPr="004E1DE3">
        <w:rPr>
          <w:lang w:val="en-CA"/>
        </w:rPr>
        <w:t xml:space="preserve">s, as of </w:t>
      </w:r>
      <w:r w:rsidR="00940EDA" w:rsidRPr="004E1DE3">
        <w:rPr>
          <w:lang w:val="en-CA"/>
        </w:rPr>
        <w:t>2015</w:t>
      </w:r>
      <w:r w:rsidRPr="004E1DE3">
        <w:rPr>
          <w:lang w:val="en-CA"/>
        </w:rPr>
        <w:t xml:space="preserve"> in particular</w:t>
      </w:r>
      <w:r w:rsidR="00940EDA" w:rsidRPr="004E1DE3">
        <w:rPr>
          <w:lang w:val="en-CA"/>
        </w:rPr>
        <w:t xml:space="preserve">, </w:t>
      </w:r>
      <w:r w:rsidRPr="004E1DE3">
        <w:rPr>
          <w:lang w:val="en-CA"/>
        </w:rPr>
        <w:t xml:space="preserve">on the </w:t>
      </w:r>
      <w:r w:rsidR="00940EDA" w:rsidRPr="004E1DE3">
        <w:rPr>
          <w:lang w:val="en-CA"/>
        </w:rPr>
        <w:t xml:space="preserve">protection </w:t>
      </w:r>
      <w:r w:rsidRPr="004E1DE3">
        <w:rPr>
          <w:lang w:val="en-CA"/>
        </w:rPr>
        <w:t xml:space="preserve">and security measures it implemented to protect the private and </w:t>
      </w:r>
      <w:r w:rsidR="00940EDA" w:rsidRPr="004E1DE3">
        <w:rPr>
          <w:lang w:val="en-CA"/>
        </w:rPr>
        <w:t>confidenti</w:t>
      </w:r>
      <w:r w:rsidRPr="004E1DE3">
        <w:rPr>
          <w:lang w:val="en-CA"/>
        </w:rPr>
        <w:t>a</w:t>
      </w:r>
      <w:r w:rsidR="00940EDA" w:rsidRPr="004E1DE3">
        <w:rPr>
          <w:lang w:val="en-CA"/>
        </w:rPr>
        <w:t>l</w:t>
      </w:r>
      <w:r w:rsidRPr="004E1DE3">
        <w:rPr>
          <w:lang w:val="en-CA"/>
        </w:rPr>
        <w:t xml:space="preserve"> nature of their </w:t>
      </w:r>
      <w:r w:rsidR="00940EDA" w:rsidRPr="004E1DE3">
        <w:rPr>
          <w:lang w:val="en-CA"/>
        </w:rPr>
        <w:t>personal</w:t>
      </w:r>
      <w:r w:rsidRPr="004E1DE3">
        <w:rPr>
          <w:lang w:val="en-CA"/>
        </w:rPr>
        <w:t xml:space="preserve"> </w:t>
      </w:r>
      <w:r w:rsidR="00940EDA" w:rsidRPr="004E1DE3">
        <w:rPr>
          <w:lang w:val="en-CA"/>
        </w:rPr>
        <w:t>information.</w:t>
      </w:r>
    </w:p>
    <w:p w14:paraId="0E1D8890" w14:textId="77777777" w:rsidR="00F51CEE" w:rsidRPr="004E1DE3" w:rsidRDefault="00573CA9" w:rsidP="00F51CEE">
      <w:pPr>
        <w:pStyle w:val="Paragrdouble"/>
        <w:tabs>
          <w:tab w:val="num" w:pos="851"/>
        </w:tabs>
        <w:spacing w:line="240" w:lineRule="auto"/>
        <w:ind w:left="0"/>
        <w:rPr>
          <w:i/>
          <w:iCs/>
          <w:lang w:val="en-CA"/>
        </w:rPr>
      </w:pPr>
      <w:r w:rsidRPr="004E1DE3">
        <w:rPr>
          <w:lang w:val="en-CA"/>
        </w:rPr>
        <w:t xml:space="preserve">An excerpt of </w:t>
      </w:r>
      <w:r w:rsidR="00940EDA" w:rsidRPr="004E1DE3">
        <w:rPr>
          <w:lang w:val="en-CA"/>
        </w:rPr>
        <w:t>Capital One</w:t>
      </w:r>
      <w:r w:rsidRPr="004E1DE3">
        <w:rPr>
          <w:lang w:val="en-CA"/>
        </w:rPr>
        <w:t>’s confidentiality policy follows:</w:t>
      </w:r>
      <w:r>
        <w:rPr>
          <w:rStyle w:val="Appelnotedebasdep"/>
          <w:lang w:val="en-CA"/>
        </w:rPr>
        <w:footnoteReference w:id="31"/>
      </w:r>
      <w:r w:rsidR="00940EDA" w:rsidRPr="004E1DE3">
        <w:rPr>
          <w:lang w:val="en-CA"/>
        </w:rPr>
        <w:t> </w:t>
      </w:r>
    </w:p>
    <w:p w14:paraId="1E0CB1E3" w14:textId="77777777" w:rsidR="00F51CEE" w:rsidRPr="004E1DE3" w:rsidRDefault="00573CA9" w:rsidP="00342089">
      <w:pPr>
        <w:pStyle w:val="Paragrdouble"/>
        <w:numPr>
          <w:ilvl w:val="0"/>
          <w:numId w:val="0"/>
        </w:numPr>
        <w:spacing w:line="240" w:lineRule="auto"/>
        <w:ind w:left="731" w:right="538"/>
        <w:rPr>
          <w:sz w:val="22"/>
          <w:szCs w:val="22"/>
          <w:lang w:val="en-CA"/>
        </w:rPr>
      </w:pPr>
      <w:r w:rsidRPr="004E1DE3">
        <w:rPr>
          <w:sz w:val="22"/>
          <w:szCs w:val="22"/>
          <w:lang w:val="en-CA"/>
        </w:rPr>
        <w:lastRenderedPageBreak/>
        <w:t>Keeping your information safe and secure is very important to us. We want you to know what we’re doing to protect your information, and what you can do to help.</w:t>
      </w:r>
    </w:p>
    <w:p w14:paraId="6811266E" w14:textId="77777777" w:rsidR="00F51CEE" w:rsidRPr="004E1DE3" w:rsidRDefault="00573CA9" w:rsidP="00342089">
      <w:pPr>
        <w:pStyle w:val="Paragrdouble"/>
        <w:numPr>
          <w:ilvl w:val="0"/>
          <w:numId w:val="0"/>
        </w:numPr>
        <w:spacing w:line="240" w:lineRule="auto"/>
        <w:ind w:left="731" w:right="538"/>
        <w:rPr>
          <w:sz w:val="22"/>
          <w:szCs w:val="22"/>
          <w:lang w:val="en-CA"/>
        </w:rPr>
      </w:pPr>
      <w:r w:rsidRPr="004E1DE3">
        <w:rPr>
          <w:sz w:val="22"/>
          <w:szCs w:val="22"/>
          <w:lang w:val="en-CA"/>
        </w:rPr>
        <w:t>It’s unlikely that unauthorized transaction would happen through online banking or that information obtained from the online banking site would result in the unauthorized use of your credit card account. However, il it ever does occur, don’t worry – as a Capital One cardholder, you’re protected</w:t>
      </w:r>
    </w:p>
    <w:p w14:paraId="74FC4969" w14:textId="77777777" w:rsidR="00F51CEE" w:rsidRPr="004E1DE3" w:rsidRDefault="00573CA9" w:rsidP="00342089">
      <w:pPr>
        <w:pStyle w:val="Paragrdouble"/>
        <w:numPr>
          <w:ilvl w:val="0"/>
          <w:numId w:val="0"/>
        </w:numPr>
        <w:spacing w:line="240" w:lineRule="auto"/>
        <w:ind w:left="731" w:right="538"/>
        <w:rPr>
          <w:b/>
          <w:bCs/>
          <w:sz w:val="22"/>
          <w:szCs w:val="22"/>
          <w:u w:val="single"/>
          <w:lang w:val="en-CA"/>
        </w:rPr>
      </w:pPr>
      <w:r w:rsidRPr="004E1DE3">
        <w:rPr>
          <w:b/>
          <w:bCs/>
          <w:sz w:val="22"/>
          <w:szCs w:val="22"/>
          <w:u w:val="single"/>
          <w:lang w:val="en-CA"/>
        </w:rPr>
        <w:t>How we keep your information safe</w:t>
      </w:r>
    </w:p>
    <w:p w14:paraId="0D99403A" w14:textId="77777777" w:rsidR="00F51CEE" w:rsidRPr="004E1DE3" w:rsidRDefault="00573CA9" w:rsidP="00342089">
      <w:pPr>
        <w:pStyle w:val="Paragrdouble"/>
        <w:numPr>
          <w:ilvl w:val="0"/>
          <w:numId w:val="0"/>
        </w:numPr>
        <w:spacing w:line="240" w:lineRule="auto"/>
        <w:ind w:left="731" w:right="538"/>
        <w:rPr>
          <w:sz w:val="22"/>
          <w:szCs w:val="22"/>
          <w:lang w:val="en-CA"/>
        </w:rPr>
      </w:pPr>
      <w:r w:rsidRPr="004E1DE3">
        <w:rPr>
          <w:sz w:val="22"/>
          <w:szCs w:val="22"/>
          <w:lang w:val="en-CA"/>
        </w:rPr>
        <w:t>Our strong encryption technology ensures that any data that passes between your computer and our server is secure.</w:t>
      </w:r>
    </w:p>
    <w:p w14:paraId="4B41A6F2" w14:textId="77777777" w:rsidR="00F51CEE" w:rsidRPr="004E1DE3" w:rsidRDefault="00573CA9" w:rsidP="00342089">
      <w:pPr>
        <w:pStyle w:val="Paragrdouble"/>
        <w:numPr>
          <w:ilvl w:val="0"/>
          <w:numId w:val="32"/>
        </w:numPr>
        <w:spacing w:line="240" w:lineRule="auto"/>
        <w:ind w:left="1451" w:right="538"/>
        <w:rPr>
          <w:sz w:val="22"/>
          <w:szCs w:val="22"/>
          <w:lang w:val="en-CA"/>
        </w:rPr>
      </w:pPr>
      <w:r w:rsidRPr="004E1DE3">
        <w:rPr>
          <w:sz w:val="22"/>
          <w:szCs w:val="22"/>
          <w:lang w:val="en-CA"/>
        </w:rPr>
        <w:t>We use firewalls systems and intrusion detection software to prohibit unauthorized access to our systems</w:t>
      </w:r>
    </w:p>
    <w:p w14:paraId="30AE5C65" w14:textId="77777777" w:rsidR="00F51CEE" w:rsidRPr="004E1DE3" w:rsidRDefault="00573CA9" w:rsidP="00342089">
      <w:pPr>
        <w:pStyle w:val="Paragrdouble"/>
        <w:numPr>
          <w:ilvl w:val="0"/>
          <w:numId w:val="32"/>
        </w:numPr>
        <w:spacing w:line="240" w:lineRule="auto"/>
        <w:ind w:left="1451" w:right="538"/>
        <w:rPr>
          <w:sz w:val="22"/>
          <w:szCs w:val="22"/>
          <w:lang w:val="en-CA"/>
        </w:rPr>
      </w:pPr>
      <w:r w:rsidRPr="004E1DE3">
        <w:rPr>
          <w:sz w:val="22"/>
          <w:szCs w:val="22"/>
          <w:lang w:val="en-CA"/>
        </w:rPr>
        <w:t xml:space="preserve">Our </w:t>
      </w:r>
      <w:r w:rsidRPr="004E1DE3">
        <w:rPr>
          <w:sz w:val="22"/>
          <w:szCs w:val="22"/>
          <w:u w:val="single"/>
          <w:lang w:val="en-CA"/>
        </w:rPr>
        <w:t>VeriSign Secure Socket Layer Certificate (</w:t>
      </w:r>
      <w:r w:rsidRPr="004E1DE3">
        <w:rPr>
          <w:rStyle w:val="Hyperlien"/>
          <w:color w:val="auto"/>
          <w:sz w:val="22"/>
          <w:szCs w:val="22"/>
          <w:u w:val="none"/>
          <w:lang w:val="en-CA"/>
        </w:rPr>
        <w:t>https://sealinfo.verisign.com/splash</w:t>
      </w:r>
      <w:r w:rsidRPr="004E1DE3">
        <w:rPr>
          <w:sz w:val="22"/>
          <w:szCs w:val="22"/>
          <w:u w:val="single"/>
          <w:lang w:val="en-CA"/>
        </w:rPr>
        <w:t>? form file=fdf/splash.fdf&amp;lang=en&amp;en=servicing.capitalone.com)</w:t>
      </w:r>
      <w:r w:rsidRPr="004E1DE3">
        <w:rPr>
          <w:sz w:val="22"/>
          <w:szCs w:val="22"/>
          <w:lang w:val="en-CA"/>
        </w:rPr>
        <w:t xml:space="preserve"> means you can be extra confident that banking online with us is secure</w:t>
      </w:r>
    </w:p>
    <w:p w14:paraId="2C1B574C" w14:textId="77777777" w:rsidR="00F51CEE" w:rsidRPr="004E1DE3" w:rsidRDefault="00573CA9" w:rsidP="00342089">
      <w:pPr>
        <w:pStyle w:val="Paragrdouble"/>
        <w:numPr>
          <w:ilvl w:val="0"/>
          <w:numId w:val="32"/>
        </w:numPr>
        <w:spacing w:line="240" w:lineRule="auto"/>
        <w:ind w:left="1451" w:right="538"/>
        <w:rPr>
          <w:sz w:val="22"/>
          <w:szCs w:val="22"/>
          <w:lang w:val="en-CA"/>
        </w:rPr>
      </w:pPr>
      <w:r w:rsidRPr="004E1DE3">
        <w:rPr>
          <w:sz w:val="22"/>
          <w:szCs w:val="22"/>
          <w:lang w:val="en-CA"/>
        </w:rPr>
        <w:t>We automatically send you an alert informing you of any changes made to you online banking profile</w:t>
      </w:r>
    </w:p>
    <w:p w14:paraId="2FF0D8D3" w14:textId="77777777" w:rsidR="00F51CEE" w:rsidRPr="004E1DE3" w:rsidRDefault="00573CA9" w:rsidP="00342089">
      <w:pPr>
        <w:pStyle w:val="Paragrdouble"/>
        <w:numPr>
          <w:ilvl w:val="0"/>
          <w:numId w:val="32"/>
        </w:numPr>
        <w:spacing w:line="240" w:lineRule="auto"/>
        <w:ind w:left="1451" w:right="538"/>
        <w:rPr>
          <w:sz w:val="22"/>
          <w:szCs w:val="22"/>
          <w:lang w:val="en-CA"/>
        </w:rPr>
      </w:pPr>
      <w:r w:rsidRPr="004E1DE3">
        <w:rPr>
          <w:sz w:val="22"/>
          <w:szCs w:val="22"/>
          <w:lang w:val="en-CA"/>
        </w:rPr>
        <w:t>The online banking website will automatically log off after a period of inactivity during any session to protect your information.</w:t>
      </w:r>
    </w:p>
    <w:p w14:paraId="45BAE4CD" w14:textId="77777777" w:rsidR="00342089" w:rsidRPr="004E1DE3" w:rsidRDefault="00573CA9" w:rsidP="00342089">
      <w:pPr>
        <w:pStyle w:val="Citationenretrait"/>
        <w:tabs>
          <w:tab w:val="num" w:pos="851"/>
        </w:tabs>
        <w:ind w:right="538"/>
        <w:jc w:val="right"/>
        <w:rPr>
          <w:sz w:val="24"/>
          <w:szCs w:val="24"/>
          <w:lang w:val="en-CA"/>
        </w:rPr>
      </w:pP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00D323AE" w:rsidRPr="004E1DE3">
        <w:rPr>
          <w:sz w:val="24"/>
          <w:szCs w:val="24"/>
          <w:lang w:val="en-CA"/>
        </w:rPr>
        <w:t>[Emphasis added.]</w:t>
      </w:r>
    </w:p>
    <w:p w14:paraId="2DE8779F" w14:textId="77777777" w:rsidR="00CF6FD8" w:rsidRPr="004E1DE3" w:rsidRDefault="00573CA9" w:rsidP="00CF6FD8">
      <w:pPr>
        <w:pStyle w:val="Paragrdouble"/>
        <w:tabs>
          <w:tab w:val="num" w:pos="851"/>
        </w:tabs>
        <w:spacing w:line="240" w:lineRule="auto"/>
        <w:ind w:left="0"/>
        <w:rPr>
          <w:i/>
          <w:iCs/>
          <w:lang w:val="en-CA"/>
        </w:rPr>
      </w:pPr>
      <w:r w:rsidRPr="004E1DE3">
        <w:rPr>
          <w:lang w:val="en-CA"/>
        </w:rPr>
        <w:t xml:space="preserve">The preceding excerpts of the confidentiality policy and those set out below reveal that the </w:t>
      </w:r>
      <w:r w:rsidR="00940EDA" w:rsidRPr="004E1DE3">
        <w:rPr>
          <w:lang w:val="en-CA"/>
        </w:rPr>
        <w:t xml:space="preserve">parties </w:t>
      </w:r>
      <w:r w:rsidRPr="004E1DE3">
        <w:rPr>
          <w:lang w:val="en-CA"/>
        </w:rPr>
        <w:t xml:space="preserve">agreed to </w:t>
      </w:r>
      <w:r w:rsidR="00940EDA" w:rsidRPr="004E1DE3">
        <w:rPr>
          <w:lang w:val="en-CA"/>
        </w:rPr>
        <w:t>incorpor</w:t>
      </w:r>
      <w:r w:rsidRPr="004E1DE3">
        <w:rPr>
          <w:lang w:val="en-CA"/>
        </w:rPr>
        <w:t>at</w:t>
      </w:r>
      <w:r w:rsidR="00940EDA" w:rsidRPr="004E1DE3">
        <w:rPr>
          <w:lang w:val="en-CA"/>
        </w:rPr>
        <w:t>e</w:t>
      </w:r>
      <w:r w:rsidRPr="004E1DE3">
        <w:rPr>
          <w:lang w:val="en-CA"/>
        </w:rPr>
        <w:t xml:space="preserve"> into their </w:t>
      </w:r>
      <w:r w:rsidR="00940EDA" w:rsidRPr="004E1DE3">
        <w:rPr>
          <w:lang w:val="en-CA"/>
        </w:rPr>
        <w:t>contra</w:t>
      </w:r>
      <w:r w:rsidRPr="004E1DE3">
        <w:rPr>
          <w:lang w:val="en-CA"/>
        </w:rPr>
        <w:t>c</w:t>
      </w:r>
      <w:r w:rsidR="00940EDA" w:rsidRPr="004E1DE3">
        <w:rPr>
          <w:lang w:val="en-CA"/>
        </w:rPr>
        <w:t xml:space="preserve">t </w:t>
      </w:r>
      <w:r w:rsidRPr="004E1DE3">
        <w:rPr>
          <w:lang w:val="en-CA"/>
        </w:rPr>
        <w:t>the de</w:t>
      </w:r>
      <w:r w:rsidR="00940EDA" w:rsidRPr="004E1DE3">
        <w:rPr>
          <w:lang w:val="en-CA"/>
        </w:rPr>
        <w:t xml:space="preserve">finition </w:t>
      </w:r>
      <w:r w:rsidRPr="004E1DE3">
        <w:rPr>
          <w:lang w:val="en-CA"/>
        </w:rPr>
        <w:t xml:space="preserve">of the </w:t>
      </w:r>
      <w:r w:rsidR="00940EDA" w:rsidRPr="004E1DE3">
        <w:rPr>
          <w:lang w:val="en-CA"/>
        </w:rPr>
        <w:t>term</w:t>
      </w:r>
      <w:r w:rsidRPr="004E1DE3">
        <w:rPr>
          <w:lang w:val="en-CA"/>
        </w:rPr>
        <w:t xml:space="preserve"> [</w:t>
      </w:r>
      <w:r w:rsidR="00F56D22" w:rsidRPr="004E1DE3">
        <w:rPr>
          <w:smallCaps/>
          <w:lang w:val="en-CA"/>
        </w:rPr>
        <w:t>translation</w:t>
      </w:r>
      <w:r w:rsidR="00F56D22" w:rsidRPr="004E1DE3">
        <w:rPr>
          <w:lang w:val="en-CA"/>
        </w:rPr>
        <w:t xml:space="preserve">] “Confidential information” set out in the </w:t>
      </w:r>
      <w:r w:rsidR="002C4F7B" w:rsidRPr="004E1DE3">
        <w:rPr>
          <w:i/>
          <w:iCs/>
          <w:lang w:val="en-CA" w:eastAsia="fr-CA"/>
        </w:rPr>
        <w:t>Federal</w:t>
      </w:r>
      <w:r w:rsidR="00F56D22" w:rsidRPr="004E1DE3">
        <w:rPr>
          <w:i/>
          <w:iCs/>
          <w:lang w:val="en-CA"/>
        </w:rPr>
        <w:t xml:space="preserve"> Act </w:t>
      </w:r>
      <w:r w:rsidR="00940EDA" w:rsidRPr="004E1DE3">
        <w:rPr>
          <w:lang w:val="en-CA"/>
        </w:rPr>
        <w:t>(</w:t>
      </w:r>
      <w:r w:rsidR="00940EDA" w:rsidRPr="00C2414F">
        <w:rPr>
          <w:i/>
          <w:iCs/>
          <w:lang w:val="en-CA"/>
        </w:rPr>
        <w:t>PIPEDA</w:t>
      </w:r>
      <w:r w:rsidR="00940EDA" w:rsidRPr="004E1DE3">
        <w:rPr>
          <w:lang w:val="en-CA"/>
        </w:rPr>
        <w:t xml:space="preserve">), </w:t>
      </w:r>
      <w:r w:rsidR="00F56D22" w:rsidRPr="004E1DE3">
        <w:rPr>
          <w:lang w:val="en-CA"/>
        </w:rPr>
        <w:t xml:space="preserve">which, that being said, does not make that law </w:t>
      </w:r>
      <w:r w:rsidR="00940EDA" w:rsidRPr="004E1DE3">
        <w:rPr>
          <w:lang w:val="en-CA"/>
        </w:rPr>
        <w:t>applicable</w:t>
      </w:r>
      <w:r w:rsidR="00F56D22" w:rsidRPr="004E1DE3">
        <w:rPr>
          <w:lang w:val="en-CA"/>
        </w:rPr>
        <w:t xml:space="preserve"> to the parties in this case,</w:t>
      </w:r>
      <w:r>
        <w:rPr>
          <w:rStyle w:val="Appelnotedebasdep"/>
          <w:lang w:val="en-CA"/>
        </w:rPr>
        <w:footnoteReference w:id="32"/>
      </w:r>
      <w:r w:rsidR="00F63265" w:rsidRPr="004E1DE3">
        <w:rPr>
          <w:lang w:val="en-CA"/>
        </w:rPr>
        <w:t xml:space="preserve"> as discussed above, such that only this definition is incorporated </w:t>
      </w:r>
      <w:r w:rsidR="00592AC5">
        <w:rPr>
          <w:lang w:val="en-CA"/>
        </w:rPr>
        <w:t>into</w:t>
      </w:r>
      <w:r w:rsidR="00F63265" w:rsidRPr="004E1DE3">
        <w:rPr>
          <w:lang w:val="en-CA"/>
        </w:rPr>
        <w:t xml:space="preserve"> the </w:t>
      </w:r>
      <w:r w:rsidR="00940EDA" w:rsidRPr="004E1DE3">
        <w:rPr>
          <w:lang w:val="en-CA"/>
        </w:rPr>
        <w:t>contra</w:t>
      </w:r>
      <w:r w:rsidR="00F63265" w:rsidRPr="004E1DE3">
        <w:rPr>
          <w:lang w:val="en-CA"/>
        </w:rPr>
        <w:t>c</w:t>
      </w:r>
      <w:r w:rsidR="00940EDA" w:rsidRPr="004E1DE3">
        <w:rPr>
          <w:lang w:val="en-CA"/>
        </w:rPr>
        <w:t>t</w:t>
      </w:r>
      <w:r w:rsidR="00F63265" w:rsidRPr="004E1DE3">
        <w:rPr>
          <w:lang w:val="en-CA"/>
        </w:rPr>
        <w:t xml:space="preserve"> binding the </w:t>
      </w:r>
      <w:r w:rsidR="00940EDA" w:rsidRPr="004E1DE3">
        <w:rPr>
          <w:lang w:val="en-CA"/>
        </w:rPr>
        <w:t>parties.</w:t>
      </w:r>
    </w:p>
    <w:p w14:paraId="4A41DEDC" w14:textId="77777777" w:rsidR="00CF6FD8" w:rsidRPr="004E1DE3" w:rsidRDefault="00573CA9" w:rsidP="00CF6FD8">
      <w:pPr>
        <w:pStyle w:val="Paragrdouble"/>
        <w:tabs>
          <w:tab w:val="num" w:pos="851"/>
        </w:tabs>
        <w:spacing w:line="240" w:lineRule="auto"/>
        <w:ind w:left="0"/>
        <w:rPr>
          <w:i/>
          <w:iCs/>
          <w:lang w:val="en-CA"/>
        </w:rPr>
      </w:pPr>
      <w:r w:rsidRPr="004E1DE3">
        <w:rPr>
          <w:lang w:val="en-CA"/>
        </w:rPr>
        <w:t xml:space="preserve">These excerpts state that </w:t>
      </w:r>
      <w:r w:rsidR="00940EDA" w:rsidRPr="004E1DE3">
        <w:rPr>
          <w:lang w:val="en-CA"/>
        </w:rPr>
        <w:t xml:space="preserve">Capital One </w:t>
      </w:r>
      <w:r w:rsidR="00B05672" w:rsidRPr="004E1DE3">
        <w:rPr>
          <w:lang w:val="en-CA"/>
        </w:rPr>
        <w:t>undertakes to use this information in particular to prevent fraud and for the purposes set out in the applicable legislation and industry standards</w:t>
      </w:r>
      <w:r w:rsidR="00940EDA" w:rsidRPr="004E1DE3">
        <w:rPr>
          <w:lang w:val="en-CA"/>
        </w:rPr>
        <w:t>.</w:t>
      </w:r>
    </w:p>
    <w:p w14:paraId="5C0F7E6E" w14:textId="77777777" w:rsidR="00184598" w:rsidRPr="004E1DE3" w:rsidRDefault="00573CA9" w:rsidP="00184598">
      <w:pPr>
        <w:pStyle w:val="Paragrdouble"/>
        <w:tabs>
          <w:tab w:val="clear" w:pos="2062"/>
          <w:tab w:val="clear" w:pos="4755"/>
          <w:tab w:val="num" w:pos="0"/>
          <w:tab w:val="left" w:pos="142"/>
        </w:tabs>
        <w:spacing w:line="240" w:lineRule="auto"/>
        <w:ind w:left="0"/>
        <w:rPr>
          <w:i/>
          <w:iCs/>
          <w:lang w:val="en-CA"/>
        </w:rPr>
      </w:pPr>
      <w:r w:rsidRPr="004E1DE3">
        <w:rPr>
          <w:lang w:val="en-CA"/>
        </w:rPr>
        <w:t xml:space="preserve">According to the plaintiffs, the </w:t>
      </w:r>
      <w:r w:rsidR="00940EDA" w:rsidRPr="004E1DE3">
        <w:rPr>
          <w:lang w:val="en-CA"/>
        </w:rPr>
        <w:t xml:space="preserve">documents </w:t>
      </w:r>
      <w:r w:rsidRPr="004E1DE3">
        <w:rPr>
          <w:lang w:val="en-CA"/>
        </w:rPr>
        <w:t xml:space="preserve">referred to above </w:t>
      </w:r>
      <w:r w:rsidR="00D72A17">
        <w:rPr>
          <w:lang w:val="en-CA"/>
        </w:rPr>
        <w:t>read in much</w:t>
      </w:r>
      <w:r w:rsidRPr="004E1DE3">
        <w:rPr>
          <w:lang w:val="en-CA"/>
        </w:rPr>
        <w:t xml:space="preserve"> the same </w:t>
      </w:r>
      <w:r w:rsidR="00D72A17">
        <w:rPr>
          <w:lang w:val="en-CA"/>
        </w:rPr>
        <w:t xml:space="preserve">way </w:t>
      </w:r>
      <w:r w:rsidR="000C0E19">
        <w:rPr>
          <w:lang w:val="en-CA"/>
        </w:rPr>
        <w:t>when they signed up</w:t>
      </w:r>
      <w:r w:rsidRPr="004E1DE3">
        <w:rPr>
          <w:lang w:val="en-CA"/>
        </w:rPr>
        <w:t>. They note that the relevant v</w:t>
      </w:r>
      <w:r w:rsidR="00940EDA" w:rsidRPr="004E1DE3">
        <w:rPr>
          <w:lang w:val="en-CA"/>
        </w:rPr>
        <w:t xml:space="preserve">ersions </w:t>
      </w:r>
      <w:r w:rsidR="00A45B77" w:rsidRPr="004E1DE3">
        <w:rPr>
          <w:lang w:val="en-CA"/>
        </w:rPr>
        <w:t xml:space="preserve">can </w:t>
      </w:r>
      <w:r w:rsidRPr="004E1DE3">
        <w:rPr>
          <w:lang w:val="en-CA"/>
        </w:rPr>
        <w:t xml:space="preserve">be obtained </w:t>
      </w:r>
      <w:r w:rsidR="00A45B77" w:rsidRPr="004E1DE3">
        <w:rPr>
          <w:lang w:val="en-CA"/>
        </w:rPr>
        <w:t>in a timely manner before the hearing on the merits of the case</w:t>
      </w:r>
      <w:r w:rsidR="00940EDA" w:rsidRPr="004E1DE3">
        <w:rPr>
          <w:lang w:val="en-CA"/>
        </w:rPr>
        <w:t xml:space="preserve">. </w:t>
      </w:r>
    </w:p>
    <w:p w14:paraId="59721A00" w14:textId="77777777" w:rsidR="00CF6FD8" w:rsidRPr="004E1DE3" w:rsidRDefault="00573CA9" w:rsidP="00184598">
      <w:pPr>
        <w:pStyle w:val="Paragrdouble"/>
        <w:tabs>
          <w:tab w:val="clear" w:pos="2062"/>
          <w:tab w:val="clear" w:pos="4755"/>
          <w:tab w:val="num" w:pos="0"/>
          <w:tab w:val="left" w:pos="142"/>
        </w:tabs>
        <w:spacing w:line="240" w:lineRule="auto"/>
        <w:ind w:left="0"/>
        <w:rPr>
          <w:i/>
          <w:iCs/>
          <w:lang w:val="en-CA"/>
        </w:rPr>
      </w:pPr>
      <w:r w:rsidRPr="004E1DE3">
        <w:rPr>
          <w:lang w:val="en-CA"/>
        </w:rPr>
        <w:lastRenderedPageBreak/>
        <w:t xml:space="preserve">The other </w:t>
      </w:r>
      <w:r w:rsidR="00940EDA" w:rsidRPr="004E1DE3">
        <w:rPr>
          <w:lang w:val="en-CA"/>
        </w:rPr>
        <w:t xml:space="preserve">documents </w:t>
      </w:r>
      <w:r w:rsidRPr="004E1DE3">
        <w:rPr>
          <w:lang w:val="en-CA"/>
        </w:rPr>
        <w:t xml:space="preserve">consist of notices and </w:t>
      </w:r>
      <w:r w:rsidR="00940EDA" w:rsidRPr="004E1DE3">
        <w:rPr>
          <w:lang w:val="en-CA"/>
        </w:rPr>
        <w:t xml:space="preserve">communiqués </w:t>
      </w:r>
      <w:r w:rsidR="00663168" w:rsidRPr="004E1DE3">
        <w:rPr>
          <w:lang w:val="en-CA"/>
        </w:rPr>
        <w:t xml:space="preserve">found on the </w:t>
      </w:r>
      <w:r w:rsidR="00940EDA" w:rsidRPr="004E1DE3">
        <w:rPr>
          <w:lang w:val="en-CA"/>
        </w:rPr>
        <w:t>defendants</w:t>
      </w:r>
      <w:r w:rsidR="00663168" w:rsidRPr="004E1DE3">
        <w:rPr>
          <w:lang w:val="en-CA"/>
        </w:rPr>
        <w:t>’ websites.</w:t>
      </w:r>
      <w:r>
        <w:rPr>
          <w:rStyle w:val="Appelnotedebasdep"/>
          <w:lang w:val="en-CA"/>
        </w:rPr>
        <w:footnoteReference w:id="33"/>
      </w:r>
    </w:p>
    <w:p w14:paraId="095C5C41" w14:textId="77777777" w:rsidR="00962C30" w:rsidRPr="004E1DE3" w:rsidRDefault="00573CA9" w:rsidP="00194879">
      <w:pPr>
        <w:pStyle w:val="Paragrdouble"/>
        <w:tabs>
          <w:tab w:val="num" w:pos="851"/>
        </w:tabs>
        <w:spacing w:line="240" w:lineRule="auto"/>
        <w:ind w:left="0"/>
        <w:rPr>
          <w:i/>
          <w:iCs/>
          <w:lang w:val="en-CA"/>
        </w:rPr>
      </w:pPr>
      <w:r w:rsidRPr="004E1DE3">
        <w:rPr>
          <w:lang w:val="en-CA"/>
        </w:rPr>
        <w:t xml:space="preserve">In support of their plan of </w:t>
      </w:r>
      <w:r w:rsidR="00940EDA" w:rsidRPr="004E1DE3">
        <w:rPr>
          <w:lang w:val="en-CA"/>
        </w:rPr>
        <w:t>argument</w:t>
      </w:r>
      <w:r w:rsidRPr="004E1DE3">
        <w:rPr>
          <w:lang w:val="en-CA"/>
        </w:rPr>
        <w:t xml:space="preserve"> dated </w:t>
      </w:r>
      <w:r w:rsidR="00940EDA" w:rsidRPr="004E1DE3">
        <w:rPr>
          <w:lang w:val="en-CA"/>
        </w:rPr>
        <w:t>December</w:t>
      </w:r>
      <w:r w:rsidRPr="004E1DE3">
        <w:rPr>
          <w:lang w:val="en-CA"/>
        </w:rPr>
        <w:t xml:space="preserve"> 19,</w:t>
      </w:r>
      <w:r w:rsidR="00940EDA" w:rsidRPr="004E1DE3">
        <w:rPr>
          <w:lang w:val="en-CA"/>
        </w:rPr>
        <w:t xml:space="preserve"> 2022,</w:t>
      </w:r>
      <w:r w:rsidRPr="004E1DE3">
        <w:rPr>
          <w:lang w:val="en-CA"/>
        </w:rPr>
        <w:t xml:space="preserve"> the plaintiffs refer to a more complete </w:t>
      </w:r>
      <w:r w:rsidR="00940EDA" w:rsidRPr="004E1DE3">
        <w:rPr>
          <w:lang w:val="en-CA"/>
        </w:rPr>
        <w:t xml:space="preserve">document </w:t>
      </w:r>
      <w:r w:rsidRPr="004E1DE3">
        <w:rPr>
          <w:lang w:val="en-CA"/>
        </w:rPr>
        <w:t xml:space="preserve">titled </w:t>
      </w:r>
      <w:r w:rsidR="00940EDA" w:rsidRPr="004E1DE3">
        <w:rPr>
          <w:lang w:val="en-CA"/>
        </w:rPr>
        <w:t>Customer Agreement,</w:t>
      </w:r>
      <w:r w:rsidR="00C81CF8" w:rsidRPr="004E1DE3">
        <w:rPr>
          <w:lang w:val="en-CA"/>
        </w:rPr>
        <w:t xml:space="preserve"> which sets out the </w:t>
      </w:r>
      <w:r w:rsidR="00940EDA" w:rsidRPr="004E1DE3">
        <w:rPr>
          <w:lang w:val="en-CA"/>
        </w:rPr>
        <w:t>terms</w:t>
      </w:r>
      <w:r w:rsidR="00C81CF8" w:rsidRPr="004E1DE3">
        <w:rPr>
          <w:lang w:val="en-CA"/>
        </w:rPr>
        <w:t xml:space="preserve"> and </w:t>
      </w:r>
      <w:r w:rsidR="00940EDA" w:rsidRPr="004E1DE3">
        <w:rPr>
          <w:lang w:val="en-CA"/>
        </w:rPr>
        <w:t xml:space="preserve">conditions </w:t>
      </w:r>
      <w:r w:rsidR="00C81CF8" w:rsidRPr="004E1DE3">
        <w:rPr>
          <w:lang w:val="en-CA"/>
        </w:rPr>
        <w:t xml:space="preserve">of the consumer </w:t>
      </w:r>
      <w:r w:rsidR="00940EDA" w:rsidRPr="004E1DE3">
        <w:rPr>
          <w:lang w:val="en-CA"/>
        </w:rPr>
        <w:t>contra</w:t>
      </w:r>
      <w:r w:rsidR="00C81CF8" w:rsidRPr="004E1DE3">
        <w:rPr>
          <w:lang w:val="en-CA"/>
        </w:rPr>
        <w:t>c</w:t>
      </w:r>
      <w:r w:rsidR="00940EDA" w:rsidRPr="004E1DE3">
        <w:rPr>
          <w:lang w:val="en-CA"/>
        </w:rPr>
        <w:t>t</w:t>
      </w:r>
      <w:r w:rsidR="00C81CF8" w:rsidRPr="004E1DE3">
        <w:rPr>
          <w:lang w:val="en-CA"/>
        </w:rPr>
        <w:t xml:space="preserve"> </w:t>
      </w:r>
      <w:r w:rsidR="00940EDA" w:rsidRPr="004E1DE3">
        <w:rPr>
          <w:lang w:val="en-CA"/>
        </w:rPr>
        <w:t>conclu</w:t>
      </w:r>
      <w:r w:rsidR="00C81CF8" w:rsidRPr="004E1DE3">
        <w:rPr>
          <w:lang w:val="en-CA"/>
        </w:rPr>
        <w:t xml:space="preserve">ded between the </w:t>
      </w:r>
      <w:r w:rsidR="00940EDA" w:rsidRPr="004E1DE3">
        <w:rPr>
          <w:lang w:val="en-CA"/>
        </w:rPr>
        <w:t>memb</w:t>
      </w:r>
      <w:r w:rsidR="00C81CF8" w:rsidRPr="004E1DE3">
        <w:rPr>
          <w:lang w:val="en-CA"/>
        </w:rPr>
        <w:t>e</w:t>
      </w:r>
      <w:r w:rsidR="00940EDA" w:rsidRPr="004E1DE3">
        <w:rPr>
          <w:lang w:val="en-CA"/>
        </w:rPr>
        <w:t>rs</w:t>
      </w:r>
      <w:r w:rsidR="00C81CF8" w:rsidRPr="004E1DE3">
        <w:rPr>
          <w:lang w:val="en-CA"/>
        </w:rPr>
        <w:t xml:space="preserve"> and</w:t>
      </w:r>
      <w:r w:rsidR="00940EDA" w:rsidRPr="004E1DE3">
        <w:rPr>
          <w:lang w:val="en-CA"/>
        </w:rPr>
        <w:t xml:space="preserve"> Capital One</w:t>
      </w:r>
      <w:r w:rsidR="00C81CF8" w:rsidRPr="004E1DE3">
        <w:rPr>
          <w:lang w:val="en-CA"/>
        </w:rPr>
        <w:t>.</w:t>
      </w:r>
      <w:r>
        <w:rPr>
          <w:rStyle w:val="Appelnotedebasdep"/>
          <w:lang w:val="en-CA"/>
        </w:rPr>
        <w:footnoteReference w:id="34"/>
      </w:r>
    </w:p>
    <w:p w14:paraId="374BCC75" w14:textId="77777777" w:rsidR="00184598" w:rsidRPr="004E1DE3" w:rsidRDefault="00573CA9" w:rsidP="00194879">
      <w:pPr>
        <w:pStyle w:val="Paragrdouble"/>
        <w:tabs>
          <w:tab w:val="num" w:pos="851"/>
        </w:tabs>
        <w:spacing w:line="240" w:lineRule="auto"/>
        <w:ind w:left="0"/>
        <w:rPr>
          <w:i/>
          <w:iCs/>
          <w:lang w:val="en-CA"/>
        </w:rPr>
      </w:pPr>
      <w:r w:rsidRPr="004E1DE3">
        <w:rPr>
          <w:lang w:val="en-CA"/>
        </w:rPr>
        <w:t xml:space="preserve">They filed this </w:t>
      </w:r>
      <w:r w:rsidR="00194879" w:rsidRPr="004E1DE3">
        <w:rPr>
          <w:lang w:val="en-CA"/>
        </w:rPr>
        <w:t>contra</w:t>
      </w:r>
      <w:r w:rsidRPr="004E1DE3">
        <w:rPr>
          <w:lang w:val="en-CA"/>
        </w:rPr>
        <w:t>c</w:t>
      </w:r>
      <w:r w:rsidR="00194879" w:rsidRPr="004E1DE3">
        <w:rPr>
          <w:lang w:val="en-CA"/>
        </w:rPr>
        <w:t xml:space="preserve">t, </w:t>
      </w:r>
      <w:r w:rsidRPr="004E1DE3">
        <w:rPr>
          <w:lang w:val="en-CA"/>
        </w:rPr>
        <w:t xml:space="preserve">under </w:t>
      </w:r>
      <w:r w:rsidR="00194879" w:rsidRPr="004E1DE3">
        <w:rPr>
          <w:lang w:val="en-CA"/>
        </w:rPr>
        <w:t>objection</w:t>
      </w:r>
      <w:r w:rsidRPr="004E1DE3">
        <w:rPr>
          <w:lang w:val="en-CA"/>
        </w:rPr>
        <w:t>, however,</w:t>
      </w:r>
      <w:r>
        <w:rPr>
          <w:rStyle w:val="Appelnotedebasdep"/>
          <w:lang w:val="en-CA"/>
        </w:rPr>
        <w:footnoteReference w:id="35"/>
      </w:r>
      <w:r w:rsidRPr="004E1DE3">
        <w:rPr>
          <w:lang w:val="en-CA"/>
        </w:rPr>
        <w:t xml:space="preserve"> </w:t>
      </w:r>
      <w:r w:rsidR="006B52CE">
        <w:rPr>
          <w:lang w:val="en-CA"/>
        </w:rPr>
        <w:t xml:space="preserve">in order </w:t>
      </w:r>
      <w:r w:rsidRPr="004E1DE3">
        <w:rPr>
          <w:lang w:val="en-CA"/>
        </w:rPr>
        <w:t xml:space="preserve">to set out the full </w:t>
      </w:r>
      <w:r w:rsidR="00940EDA" w:rsidRPr="004E1DE3">
        <w:rPr>
          <w:lang w:val="en-CA"/>
        </w:rPr>
        <w:t>conten</w:t>
      </w:r>
      <w:r w:rsidRPr="004E1DE3">
        <w:rPr>
          <w:lang w:val="en-CA"/>
        </w:rPr>
        <w:t xml:space="preserve">t of this </w:t>
      </w:r>
      <w:r w:rsidR="00940EDA" w:rsidRPr="004E1DE3">
        <w:rPr>
          <w:lang w:val="en-CA"/>
        </w:rPr>
        <w:t xml:space="preserve">document, </w:t>
      </w:r>
      <w:r w:rsidRPr="004E1DE3">
        <w:rPr>
          <w:lang w:val="en-CA"/>
        </w:rPr>
        <w:t xml:space="preserve">including all the </w:t>
      </w:r>
      <w:r w:rsidR="00940EDA" w:rsidRPr="004E1DE3">
        <w:rPr>
          <w:lang w:val="en-CA"/>
        </w:rPr>
        <w:t>terms</w:t>
      </w:r>
      <w:r w:rsidRPr="004E1DE3">
        <w:rPr>
          <w:lang w:val="en-CA"/>
        </w:rPr>
        <w:t xml:space="preserve"> and</w:t>
      </w:r>
      <w:r w:rsidR="00940EDA" w:rsidRPr="004E1DE3">
        <w:rPr>
          <w:lang w:val="en-CA"/>
        </w:rPr>
        <w:t xml:space="preserve"> conditions </w:t>
      </w:r>
      <w:r w:rsidRPr="004E1DE3">
        <w:rPr>
          <w:lang w:val="en-CA"/>
        </w:rPr>
        <w:t xml:space="preserve">of </w:t>
      </w:r>
      <w:r w:rsidR="00940EDA" w:rsidRPr="004E1DE3">
        <w:rPr>
          <w:lang w:val="en-CA"/>
        </w:rPr>
        <w:t>Capital One</w:t>
      </w:r>
      <w:r w:rsidRPr="004E1DE3">
        <w:rPr>
          <w:lang w:val="en-CA"/>
        </w:rPr>
        <w:t>’s confidentiality policy</w:t>
      </w:r>
      <w:r w:rsidR="00940EDA" w:rsidRPr="004E1DE3">
        <w:rPr>
          <w:lang w:val="en-CA"/>
        </w:rPr>
        <w:t xml:space="preserve"> </w:t>
      </w:r>
      <w:r w:rsidRPr="004E1DE3">
        <w:rPr>
          <w:lang w:val="en-CA"/>
        </w:rPr>
        <w:t xml:space="preserve">with respect to the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obtained from its </w:t>
      </w:r>
      <w:r w:rsidR="00940EDA" w:rsidRPr="004E1DE3">
        <w:rPr>
          <w:lang w:val="en-CA"/>
        </w:rPr>
        <w:t>clients.</w:t>
      </w:r>
    </w:p>
    <w:p w14:paraId="71EF69BC" w14:textId="77777777" w:rsidR="00194879" w:rsidRPr="004E1DE3" w:rsidRDefault="00573CA9" w:rsidP="00194879">
      <w:pPr>
        <w:pStyle w:val="Paragrdouble"/>
        <w:tabs>
          <w:tab w:val="num" w:pos="851"/>
        </w:tabs>
        <w:spacing w:line="240" w:lineRule="auto"/>
        <w:ind w:left="0"/>
        <w:rPr>
          <w:i/>
          <w:iCs/>
          <w:lang w:val="en-CA"/>
        </w:rPr>
      </w:pPr>
      <w:r w:rsidRPr="004E1DE3">
        <w:rPr>
          <w:lang w:val="en-CA"/>
        </w:rPr>
        <w:t>T</w:t>
      </w:r>
      <w:r w:rsidR="00940EDA" w:rsidRPr="004E1DE3">
        <w:rPr>
          <w:lang w:val="en-CA"/>
        </w:rPr>
        <w:t>he</w:t>
      </w:r>
      <w:r w:rsidRPr="004E1DE3">
        <w:rPr>
          <w:lang w:val="en-CA"/>
        </w:rPr>
        <w:t xml:space="preserve"> </w:t>
      </w:r>
      <w:r w:rsidR="00940EDA" w:rsidRPr="004E1DE3">
        <w:rPr>
          <w:lang w:val="en-CA"/>
        </w:rPr>
        <w:t>Court</w:t>
      </w:r>
      <w:r w:rsidRPr="004E1DE3">
        <w:rPr>
          <w:lang w:val="en-CA"/>
        </w:rPr>
        <w:t xml:space="preserve"> reproduces </w:t>
      </w:r>
      <w:r w:rsidR="006B52CE">
        <w:rPr>
          <w:lang w:val="en-CA"/>
        </w:rPr>
        <w:t xml:space="preserve">a </w:t>
      </w:r>
      <w:r w:rsidRPr="004E1DE3">
        <w:rPr>
          <w:lang w:val="en-CA"/>
        </w:rPr>
        <w:t>few excerpts below:</w:t>
      </w:r>
      <w:r>
        <w:rPr>
          <w:rStyle w:val="Appelnotedebasdep"/>
          <w:lang w:val="en-CA"/>
        </w:rPr>
        <w:footnoteReference w:id="36"/>
      </w:r>
    </w:p>
    <w:p w14:paraId="08B84B35" w14:textId="77777777" w:rsidR="00755E81" w:rsidRPr="004E1DE3" w:rsidRDefault="00573CA9" w:rsidP="00755E81">
      <w:pPr>
        <w:pStyle w:val="Paragrdouble"/>
        <w:numPr>
          <w:ilvl w:val="0"/>
          <w:numId w:val="0"/>
        </w:numPr>
        <w:tabs>
          <w:tab w:val="clear" w:pos="4755"/>
        </w:tabs>
        <w:spacing w:line="240" w:lineRule="auto"/>
        <w:ind w:left="709" w:right="822"/>
        <w:rPr>
          <w:b/>
          <w:bCs/>
          <w:sz w:val="22"/>
          <w:szCs w:val="22"/>
          <w:lang w:val="en-CA"/>
        </w:rPr>
      </w:pPr>
      <w:r w:rsidRPr="004E1DE3">
        <w:rPr>
          <w:b/>
          <w:bCs/>
          <w:sz w:val="22"/>
          <w:szCs w:val="22"/>
          <w:lang w:val="en-CA"/>
        </w:rPr>
        <w:t>Information we collect</w:t>
      </w:r>
    </w:p>
    <w:p w14:paraId="2129F81D" w14:textId="77777777" w:rsidR="00755E81" w:rsidRPr="004E1DE3" w:rsidRDefault="00573CA9" w:rsidP="00755E81">
      <w:pPr>
        <w:pStyle w:val="Paragrdouble"/>
        <w:numPr>
          <w:ilvl w:val="0"/>
          <w:numId w:val="0"/>
        </w:numPr>
        <w:tabs>
          <w:tab w:val="clear" w:pos="4755"/>
        </w:tabs>
        <w:spacing w:line="240" w:lineRule="auto"/>
        <w:ind w:left="709" w:right="822"/>
        <w:rPr>
          <w:sz w:val="22"/>
          <w:szCs w:val="22"/>
          <w:lang w:val="en-CA"/>
        </w:rPr>
      </w:pPr>
      <w:r w:rsidRPr="004E1DE3">
        <w:rPr>
          <w:sz w:val="22"/>
          <w:szCs w:val="22"/>
          <w:lang w:val="en-CA"/>
        </w:rPr>
        <w:t>Information we collect about our customers includes, but is not limited to:</w:t>
      </w:r>
    </w:p>
    <w:p w14:paraId="62202B6D" w14:textId="77777777" w:rsidR="00755E81" w:rsidRPr="004E1DE3" w:rsidRDefault="00573CA9" w:rsidP="00755E81">
      <w:pPr>
        <w:pStyle w:val="Paragrdouble"/>
        <w:numPr>
          <w:ilvl w:val="0"/>
          <w:numId w:val="0"/>
        </w:numPr>
        <w:tabs>
          <w:tab w:val="clear" w:pos="4755"/>
        </w:tabs>
        <w:spacing w:before="0" w:line="240" w:lineRule="auto"/>
        <w:ind w:left="709" w:right="822" w:hanging="142"/>
        <w:rPr>
          <w:sz w:val="22"/>
          <w:szCs w:val="22"/>
          <w:lang w:val="en-CA"/>
        </w:rPr>
      </w:pPr>
      <w:r w:rsidRPr="004E1DE3">
        <w:rPr>
          <w:sz w:val="22"/>
          <w:szCs w:val="22"/>
          <w:lang w:val="en-CA"/>
        </w:rPr>
        <w:t>• Publicly available information, such as information from telephone or other public directories;</w:t>
      </w:r>
    </w:p>
    <w:p w14:paraId="072EEBF6" w14:textId="77777777" w:rsidR="00755E81" w:rsidRPr="004E1DE3" w:rsidRDefault="00573CA9" w:rsidP="00755E81">
      <w:pPr>
        <w:pStyle w:val="Paragrdouble"/>
        <w:numPr>
          <w:ilvl w:val="0"/>
          <w:numId w:val="0"/>
        </w:numPr>
        <w:tabs>
          <w:tab w:val="clear" w:pos="4755"/>
        </w:tabs>
        <w:spacing w:before="0" w:line="240" w:lineRule="auto"/>
        <w:ind w:left="709" w:right="822" w:hanging="142"/>
        <w:rPr>
          <w:sz w:val="22"/>
          <w:szCs w:val="22"/>
          <w:lang w:val="en-CA"/>
        </w:rPr>
      </w:pPr>
      <w:r w:rsidRPr="004E1DE3">
        <w:rPr>
          <w:sz w:val="22"/>
          <w:szCs w:val="22"/>
          <w:lang w:val="en-CA"/>
        </w:rPr>
        <w:t>• The information you provided to us before you became a customer;</w:t>
      </w:r>
    </w:p>
    <w:p w14:paraId="2E1EFD68" w14:textId="77777777" w:rsidR="00755E81" w:rsidRPr="004E1DE3" w:rsidRDefault="00573CA9" w:rsidP="00755E81">
      <w:pPr>
        <w:pStyle w:val="Paragrdouble"/>
        <w:numPr>
          <w:ilvl w:val="0"/>
          <w:numId w:val="0"/>
        </w:numPr>
        <w:tabs>
          <w:tab w:val="clear" w:pos="4755"/>
        </w:tabs>
        <w:spacing w:before="0" w:line="240" w:lineRule="auto"/>
        <w:ind w:left="709" w:right="822" w:hanging="142"/>
        <w:rPr>
          <w:sz w:val="22"/>
          <w:szCs w:val="22"/>
          <w:lang w:val="en-CA"/>
        </w:rPr>
      </w:pPr>
      <w:r w:rsidRPr="004E1DE3">
        <w:rPr>
          <w:sz w:val="22"/>
          <w:szCs w:val="22"/>
          <w:lang w:val="en-CA"/>
        </w:rPr>
        <w:t>• Information about your transactions, including purchases, account balances, fees, payment history, parties to transactions and credit card usage;</w:t>
      </w:r>
    </w:p>
    <w:p w14:paraId="75EC4BBB" w14:textId="77777777" w:rsidR="00755E81" w:rsidRPr="004E1DE3" w:rsidRDefault="00573CA9" w:rsidP="00755E81">
      <w:pPr>
        <w:pStyle w:val="Paragrdouble"/>
        <w:numPr>
          <w:ilvl w:val="0"/>
          <w:numId w:val="0"/>
        </w:numPr>
        <w:tabs>
          <w:tab w:val="clear" w:pos="4755"/>
        </w:tabs>
        <w:spacing w:before="0" w:line="240" w:lineRule="auto"/>
        <w:ind w:left="709" w:right="822" w:hanging="142"/>
        <w:rPr>
          <w:sz w:val="22"/>
          <w:szCs w:val="22"/>
          <w:lang w:val="en-CA"/>
        </w:rPr>
      </w:pPr>
      <w:r w:rsidRPr="004E1DE3">
        <w:rPr>
          <w:sz w:val="22"/>
          <w:szCs w:val="22"/>
          <w:lang w:val="en-CA"/>
        </w:rPr>
        <w:t>• Information from credit reporting agencies and other outside sources to verify financial information about you, such as your employment and credit history;</w:t>
      </w:r>
    </w:p>
    <w:p w14:paraId="052233AE" w14:textId="77777777" w:rsidR="00755E81" w:rsidRPr="004E1DE3" w:rsidRDefault="00573CA9" w:rsidP="00755E81">
      <w:pPr>
        <w:pStyle w:val="Paragrdouble"/>
        <w:numPr>
          <w:ilvl w:val="0"/>
          <w:numId w:val="0"/>
        </w:numPr>
        <w:tabs>
          <w:tab w:val="clear" w:pos="4755"/>
        </w:tabs>
        <w:spacing w:before="0" w:line="240" w:lineRule="auto"/>
        <w:ind w:left="709" w:right="822" w:hanging="142"/>
        <w:rPr>
          <w:sz w:val="22"/>
          <w:szCs w:val="22"/>
          <w:lang w:val="en-CA"/>
        </w:rPr>
      </w:pPr>
      <w:r w:rsidRPr="004E1DE3">
        <w:rPr>
          <w:sz w:val="22"/>
          <w:szCs w:val="22"/>
          <w:lang w:val="en-CA"/>
        </w:rPr>
        <w:t>• Information from surveys that customers participate in, or from third parties that customers engage with;</w:t>
      </w:r>
    </w:p>
    <w:p w14:paraId="0C255FAC" w14:textId="77777777" w:rsidR="00755E81" w:rsidRPr="004E1DE3" w:rsidRDefault="00573CA9" w:rsidP="00755E81">
      <w:pPr>
        <w:pStyle w:val="Paragrdouble"/>
        <w:numPr>
          <w:ilvl w:val="0"/>
          <w:numId w:val="0"/>
        </w:numPr>
        <w:tabs>
          <w:tab w:val="clear" w:pos="4755"/>
        </w:tabs>
        <w:spacing w:before="0" w:line="240" w:lineRule="auto"/>
        <w:ind w:left="709" w:right="822" w:hanging="142"/>
        <w:rPr>
          <w:sz w:val="22"/>
          <w:szCs w:val="22"/>
          <w:lang w:val="en-CA"/>
        </w:rPr>
      </w:pPr>
      <w:r w:rsidRPr="004E1DE3">
        <w:rPr>
          <w:sz w:val="22"/>
          <w:szCs w:val="22"/>
          <w:lang w:val="en-CA"/>
        </w:rPr>
        <w:t xml:space="preserve">• Information from customers’ mobile and online activity (for example, IP address, mobile device ID, application and website use, and history); and </w:t>
      </w:r>
    </w:p>
    <w:p w14:paraId="10D40B93" w14:textId="77777777" w:rsidR="00755E81" w:rsidRPr="004E1DE3" w:rsidRDefault="00573CA9" w:rsidP="00755E81">
      <w:pPr>
        <w:pStyle w:val="Paragrdouble"/>
        <w:numPr>
          <w:ilvl w:val="0"/>
          <w:numId w:val="0"/>
        </w:numPr>
        <w:tabs>
          <w:tab w:val="clear" w:pos="4755"/>
        </w:tabs>
        <w:spacing w:before="0" w:line="240" w:lineRule="auto"/>
        <w:ind w:left="709" w:right="822" w:hanging="142"/>
        <w:rPr>
          <w:sz w:val="22"/>
          <w:szCs w:val="22"/>
          <w:lang w:val="en-CA"/>
        </w:rPr>
      </w:pPr>
      <w:r w:rsidRPr="004E1DE3">
        <w:rPr>
          <w:sz w:val="22"/>
          <w:szCs w:val="22"/>
          <w:lang w:val="en-CA"/>
        </w:rPr>
        <w:t>• Information required by law.</w:t>
      </w:r>
    </w:p>
    <w:p w14:paraId="31CCC1D2" w14:textId="77777777" w:rsidR="00755E81" w:rsidRPr="004E1DE3" w:rsidRDefault="00573CA9" w:rsidP="00755E81">
      <w:pPr>
        <w:pStyle w:val="Paragrdouble"/>
        <w:numPr>
          <w:ilvl w:val="0"/>
          <w:numId w:val="0"/>
        </w:numPr>
        <w:tabs>
          <w:tab w:val="clear" w:pos="4755"/>
        </w:tabs>
        <w:spacing w:line="240" w:lineRule="auto"/>
        <w:ind w:left="709" w:right="822"/>
        <w:rPr>
          <w:sz w:val="22"/>
          <w:szCs w:val="22"/>
          <w:lang w:val="en-CA"/>
        </w:rPr>
      </w:pPr>
      <w:r w:rsidRPr="004E1DE3">
        <w:rPr>
          <w:b/>
          <w:bCs/>
          <w:sz w:val="22"/>
          <w:szCs w:val="22"/>
          <w:lang w:val="en-CA"/>
        </w:rPr>
        <w:t>Use of Information</w:t>
      </w:r>
    </w:p>
    <w:p w14:paraId="173470B4" w14:textId="77777777" w:rsidR="00755E81" w:rsidRPr="004E1DE3" w:rsidRDefault="00573CA9" w:rsidP="00755E81">
      <w:pPr>
        <w:pStyle w:val="Paragrdouble"/>
        <w:numPr>
          <w:ilvl w:val="0"/>
          <w:numId w:val="0"/>
        </w:numPr>
        <w:tabs>
          <w:tab w:val="clear" w:pos="4755"/>
        </w:tabs>
        <w:spacing w:line="240" w:lineRule="auto"/>
        <w:ind w:left="709" w:right="822"/>
        <w:rPr>
          <w:sz w:val="22"/>
          <w:szCs w:val="22"/>
          <w:lang w:val="en-CA"/>
        </w:rPr>
      </w:pPr>
      <w:r w:rsidRPr="004E1DE3">
        <w:rPr>
          <w:sz w:val="22"/>
          <w:szCs w:val="22"/>
          <w:lang w:val="en-CA"/>
        </w:rPr>
        <w:t>Purposes that we use your information for include, but are not limited to:</w:t>
      </w:r>
    </w:p>
    <w:p w14:paraId="51D473F2" w14:textId="77777777" w:rsidR="00755E81" w:rsidRPr="004E1DE3" w:rsidRDefault="00573CA9" w:rsidP="00755E81">
      <w:pPr>
        <w:pStyle w:val="Paragrdouble"/>
        <w:numPr>
          <w:ilvl w:val="0"/>
          <w:numId w:val="0"/>
        </w:numPr>
        <w:tabs>
          <w:tab w:val="clear" w:pos="4755"/>
        </w:tabs>
        <w:spacing w:before="0" w:line="240" w:lineRule="auto"/>
        <w:ind w:left="993" w:right="822" w:hanging="142"/>
        <w:rPr>
          <w:sz w:val="22"/>
          <w:szCs w:val="22"/>
          <w:lang w:val="en-CA"/>
        </w:rPr>
      </w:pPr>
      <w:r w:rsidRPr="004E1DE3">
        <w:rPr>
          <w:sz w:val="22"/>
          <w:szCs w:val="22"/>
          <w:lang w:val="en-CA"/>
        </w:rPr>
        <w:t>• Contacting and authenticating you;</w:t>
      </w:r>
    </w:p>
    <w:p w14:paraId="5E70DA7D" w14:textId="77777777" w:rsidR="00755E81" w:rsidRPr="004E1DE3" w:rsidRDefault="00573CA9" w:rsidP="00755E81">
      <w:pPr>
        <w:pStyle w:val="Paragrdouble"/>
        <w:numPr>
          <w:ilvl w:val="0"/>
          <w:numId w:val="0"/>
        </w:numPr>
        <w:tabs>
          <w:tab w:val="clear" w:pos="4755"/>
        </w:tabs>
        <w:spacing w:before="0" w:line="240" w:lineRule="auto"/>
        <w:ind w:left="993" w:right="822" w:hanging="142"/>
        <w:rPr>
          <w:sz w:val="22"/>
          <w:szCs w:val="22"/>
          <w:lang w:val="en-CA"/>
        </w:rPr>
      </w:pPr>
      <w:r w:rsidRPr="004E1DE3">
        <w:rPr>
          <w:sz w:val="22"/>
          <w:szCs w:val="22"/>
          <w:lang w:val="en-CA"/>
        </w:rPr>
        <w:t>• Assessing your creditworthiness;</w:t>
      </w:r>
    </w:p>
    <w:p w14:paraId="2A7AC381" w14:textId="77777777" w:rsidR="00755E81" w:rsidRPr="004E1DE3" w:rsidRDefault="00573CA9" w:rsidP="00755E81">
      <w:pPr>
        <w:pStyle w:val="Paragrdouble"/>
        <w:numPr>
          <w:ilvl w:val="0"/>
          <w:numId w:val="0"/>
        </w:numPr>
        <w:tabs>
          <w:tab w:val="clear" w:pos="4755"/>
        </w:tabs>
        <w:spacing w:before="0" w:line="240" w:lineRule="auto"/>
        <w:ind w:left="993" w:right="822" w:hanging="142"/>
        <w:rPr>
          <w:sz w:val="22"/>
          <w:szCs w:val="22"/>
          <w:lang w:val="en-CA"/>
        </w:rPr>
      </w:pPr>
      <w:r w:rsidRPr="004E1DE3">
        <w:rPr>
          <w:sz w:val="22"/>
          <w:szCs w:val="22"/>
          <w:lang w:val="en-CA"/>
        </w:rPr>
        <w:lastRenderedPageBreak/>
        <w:t>• Making improvements to products and services;</w:t>
      </w:r>
    </w:p>
    <w:p w14:paraId="42AAFA63" w14:textId="77777777" w:rsidR="00755E81" w:rsidRPr="004E1DE3" w:rsidRDefault="00573CA9" w:rsidP="00755E81">
      <w:pPr>
        <w:pStyle w:val="Paragrdouble"/>
        <w:numPr>
          <w:ilvl w:val="0"/>
          <w:numId w:val="0"/>
        </w:numPr>
        <w:tabs>
          <w:tab w:val="clear" w:pos="4755"/>
        </w:tabs>
        <w:spacing w:before="0" w:line="240" w:lineRule="auto"/>
        <w:ind w:left="993" w:right="822" w:hanging="142"/>
        <w:rPr>
          <w:sz w:val="22"/>
          <w:szCs w:val="22"/>
          <w:lang w:val="en-CA"/>
        </w:rPr>
      </w:pPr>
      <w:r w:rsidRPr="004E1DE3">
        <w:rPr>
          <w:sz w:val="22"/>
          <w:szCs w:val="22"/>
          <w:u w:val="single"/>
          <w:lang w:val="en-CA"/>
        </w:rPr>
        <w:t>• Preventing fraud</w:t>
      </w:r>
      <w:r w:rsidRPr="004E1DE3">
        <w:rPr>
          <w:sz w:val="22"/>
          <w:szCs w:val="22"/>
          <w:lang w:val="en-CA"/>
        </w:rPr>
        <w:t>;</w:t>
      </w:r>
    </w:p>
    <w:p w14:paraId="34548F97" w14:textId="77777777" w:rsidR="00755E81" w:rsidRPr="004E1DE3" w:rsidRDefault="00573CA9" w:rsidP="00755E81">
      <w:pPr>
        <w:pStyle w:val="Paragrdouble"/>
        <w:numPr>
          <w:ilvl w:val="0"/>
          <w:numId w:val="0"/>
        </w:numPr>
        <w:tabs>
          <w:tab w:val="clear" w:pos="4755"/>
        </w:tabs>
        <w:spacing w:before="0" w:line="240" w:lineRule="auto"/>
        <w:ind w:left="993" w:right="822" w:hanging="142"/>
        <w:rPr>
          <w:sz w:val="22"/>
          <w:szCs w:val="22"/>
          <w:lang w:val="en-CA"/>
        </w:rPr>
      </w:pPr>
      <w:r w:rsidRPr="004E1DE3">
        <w:rPr>
          <w:sz w:val="22"/>
          <w:szCs w:val="22"/>
          <w:lang w:val="en-CA"/>
        </w:rPr>
        <w:t>• Serving you offers, advertising and marketing;</w:t>
      </w:r>
    </w:p>
    <w:p w14:paraId="2B1575B7" w14:textId="77777777" w:rsidR="00755E81" w:rsidRPr="004E1DE3" w:rsidRDefault="00573CA9" w:rsidP="00755E81">
      <w:pPr>
        <w:pStyle w:val="Paragrdouble"/>
        <w:numPr>
          <w:ilvl w:val="0"/>
          <w:numId w:val="0"/>
        </w:numPr>
        <w:tabs>
          <w:tab w:val="clear" w:pos="4755"/>
        </w:tabs>
        <w:spacing w:before="0" w:line="240" w:lineRule="auto"/>
        <w:ind w:left="993" w:right="822" w:hanging="142"/>
        <w:rPr>
          <w:sz w:val="22"/>
          <w:szCs w:val="22"/>
          <w:lang w:val="en-CA"/>
        </w:rPr>
      </w:pPr>
      <w:r w:rsidRPr="004E1DE3">
        <w:rPr>
          <w:sz w:val="22"/>
          <w:szCs w:val="22"/>
          <w:lang w:val="en-CA"/>
        </w:rPr>
        <w:t>• Maintaining, servicing, processing, analyzing, auditing and collecting on your account(s); and</w:t>
      </w:r>
    </w:p>
    <w:p w14:paraId="7151A97F" w14:textId="77777777" w:rsidR="00194879" w:rsidRPr="004E1DE3" w:rsidRDefault="00573CA9" w:rsidP="00755E81">
      <w:pPr>
        <w:pStyle w:val="Paragrdouble"/>
        <w:numPr>
          <w:ilvl w:val="0"/>
          <w:numId w:val="0"/>
        </w:numPr>
        <w:tabs>
          <w:tab w:val="clear" w:pos="4755"/>
        </w:tabs>
        <w:spacing w:before="0" w:line="240" w:lineRule="auto"/>
        <w:ind w:left="993" w:right="822" w:hanging="142"/>
        <w:rPr>
          <w:sz w:val="22"/>
          <w:szCs w:val="22"/>
          <w:lang w:val="en-CA"/>
        </w:rPr>
      </w:pPr>
      <w:r w:rsidRPr="004E1DE3">
        <w:rPr>
          <w:sz w:val="22"/>
          <w:szCs w:val="22"/>
          <w:lang w:val="en-CA"/>
        </w:rPr>
        <w:t>• Sharing information with consumer reporting agencies and other parties who have financial, employment or business dealings with you.</w:t>
      </w:r>
    </w:p>
    <w:p w14:paraId="64E059EE" w14:textId="77777777" w:rsidR="00755E81" w:rsidRPr="004E1DE3" w:rsidRDefault="00573CA9" w:rsidP="00755E81">
      <w:pPr>
        <w:pStyle w:val="Paragrdouble"/>
        <w:numPr>
          <w:ilvl w:val="0"/>
          <w:numId w:val="0"/>
        </w:numPr>
        <w:spacing w:line="240" w:lineRule="auto"/>
        <w:ind w:left="709" w:right="822"/>
        <w:rPr>
          <w:sz w:val="22"/>
          <w:szCs w:val="22"/>
          <w:lang w:val="en-CA"/>
        </w:rPr>
      </w:pPr>
      <w:r w:rsidRPr="004E1DE3">
        <w:rPr>
          <w:b/>
          <w:bCs/>
          <w:sz w:val="22"/>
          <w:szCs w:val="22"/>
          <w:lang w:val="en-CA"/>
        </w:rPr>
        <w:t>Consent</w:t>
      </w:r>
    </w:p>
    <w:p w14:paraId="0DE6F5C7" w14:textId="77777777" w:rsidR="00755E81" w:rsidRPr="004E1DE3" w:rsidRDefault="00573CA9" w:rsidP="00755E81">
      <w:pPr>
        <w:pStyle w:val="Paragrdouble"/>
        <w:numPr>
          <w:ilvl w:val="0"/>
          <w:numId w:val="0"/>
        </w:numPr>
        <w:spacing w:line="240" w:lineRule="auto"/>
        <w:ind w:left="993" w:right="822"/>
        <w:rPr>
          <w:sz w:val="22"/>
          <w:szCs w:val="22"/>
          <w:lang w:val="en-CA"/>
        </w:rPr>
      </w:pPr>
      <w:r w:rsidRPr="004E1DE3">
        <w:rPr>
          <w:sz w:val="22"/>
          <w:szCs w:val="22"/>
          <w:lang w:val="en-CA"/>
        </w:rPr>
        <w:t xml:space="preserve">If you apply for a credit product, communicate with us or provide information to us in any way, you acknowledge your consent for personal information collection, use and disclosure as </w:t>
      </w:r>
      <w:r w:rsidRPr="004E1DE3">
        <w:rPr>
          <w:sz w:val="22"/>
          <w:szCs w:val="22"/>
          <w:u w:val="single"/>
          <w:lang w:val="en-CA"/>
        </w:rPr>
        <w:t>set out in our Policy, applicable laws and/or industry standards</w:t>
      </w:r>
      <w:r w:rsidRPr="004E1DE3">
        <w:rPr>
          <w:sz w:val="22"/>
          <w:szCs w:val="22"/>
          <w:lang w:val="en-CA"/>
        </w:rPr>
        <w:t xml:space="preserve">. You can withdraw your consent for use and disclosure of your personal information, other than that which is required for us to maintain and service your account, subject to legal and contractual restrictions, with reasonable notice to us. </w:t>
      </w:r>
    </w:p>
    <w:p w14:paraId="706F7F7F" w14:textId="77777777" w:rsidR="00755E81" w:rsidRPr="004E1DE3" w:rsidRDefault="00573CA9" w:rsidP="006B52CE">
      <w:pPr>
        <w:pStyle w:val="Paragrdouble"/>
        <w:keepNext/>
        <w:numPr>
          <w:ilvl w:val="0"/>
          <w:numId w:val="0"/>
        </w:numPr>
        <w:spacing w:line="240" w:lineRule="auto"/>
        <w:ind w:left="709" w:right="822"/>
        <w:rPr>
          <w:b/>
          <w:bCs/>
          <w:sz w:val="22"/>
          <w:szCs w:val="22"/>
          <w:lang w:val="en-CA"/>
        </w:rPr>
      </w:pPr>
      <w:r w:rsidRPr="004E1DE3">
        <w:rPr>
          <w:b/>
          <w:bCs/>
          <w:sz w:val="22"/>
          <w:szCs w:val="22"/>
          <w:lang w:val="en-CA"/>
        </w:rPr>
        <w:t>Limiting collection</w:t>
      </w:r>
    </w:p>
    <w:p w14:paraId="007B31C9" w14:textId="77777777" w:rsidR="00B6374A" w:rsidRPr="004E1DE3" w:rsidRDefault="00573CA9" w:rsidP="006B52CE">
      <w:pPr>
        <w:pStyle w:val="Paragrdouble"/>
        <w:keepNext/>
        <w:numPr>
          <w:ilvl w:val="0"/>
          <w:numId w:val="0"/>
        </w:numPr>
        <w:spacing w:line="240" w:lineRule="auto"/>
        <w:ind w:left="993" w:right="822"/>
        <w:rPr>
          <w:sz w:val="22"/>
          <w:szCs w:val="22"/>
          <w:lang w:val="en-CA"/>
        </w:rPr>
      </w:pPr>
      <w:r w:rsidRPr="004E1DE3">
        <w:rPr>
          <w:sz w:val="22"/>
          <w:szCs w:val="22"/>
          <w:lang w:val="en-CA"/>
        </w:rPr>
        <w:t xml:space="preserve">We only collect personal information that’s necessary for the purposes we identify, and as required by applicable laws. </w:t>
      </w:r>
    </w:p>
    <w:p w14:paraId="1131AF3C" w14:textId="77777777" w:rsidR="00B6374A" w:rsidRPr="004E1DE3" w:rsidRDefault="00573CA9" w:rsidP="00B6374A">
      <w:pPr>
        <w:pStyle w:val="Paragrdouble"/>
        <w:numPr>
          <w:ilvl w:val="0"/>
          <w:numId w:val="0"/>
        </w:numPr>
        <w:spacing w:line="240" w:lineRule="auto"/>
        <w:ind w:left="709" w:right="822"/>
        <w:rPr>
          <w:b/>
          <w:bCs/>
          <w:sz w:val="22"/>
          <w:szCs w:val="22"/>
          <w:lang w:val="en-CA"/>
        </w:rPr>
      </w:pPr>
      <w:r w:rsidRPr="004E1DE3">
        <w:rPr>
          <w:b/>
          <w:bCs/>
          <w:sz w:val="22"/>
          <w:szCs w:val="22"/>
          <w:lang w:val="en-CA"/>
        </w:rPr>
        <w:t>Limiting use, disclosure and retention</w:t>
      </w:r>
    </w:p>
    <w:p w14:paraId="3A1C41A7" w14:textId="77777777" w:rsidR="00755E81" w:rsidRPr="004E1DE3" w:rsidRDefault="00573CA9" w:rsidP="00B6374A">
      <w:pPr>
        <w:pStyle w:val="Paragrdouble"/>
        <w:numPr>
          <w:ilvl w:val="0"/>
          <w:numId w:val="0"/>
        </w:numPr>
        <w:spacing w:line="240" w:lineRule="auto"/>
        <w:ind w:left="993" w:right="822"/>
        <w:rPr>
          <w:sz w:val="22"/>
          <w:szCs w:val="22"/>
          <w:lang w:val="en-CA"/>
        </w:rPr>
      </w:pPr>
      <w:r w:rsidRPr="004E1DE3">
        <w:rPr>
          <w:sz w:val="22"/>
          <w:szCs w:val="22"/>
          <w:lang w:val="en-CA"/>
        </w:rPr>
        <w:t xml:space="preserve">We limit use, disclosure and retention of personal information to the purposes we identify, and as required by applicable laws. We may share your personal information with service providers who perform services on our behalf. </w:t>
      </w:r>
      <w:r w:rsidRPr="004E1DE3">
        <w:rPr>
          <w:sz w:val="22"/>
          <w:szCs w:val="22"/>
          <w:u w:val="single"/>
          <w:lang w:val="en-CA"/>
        </w:rPr>
        <w:t xml:space="preserve">Our contracts with third parties include </w:t>
      </w:r>
      <w:r w:rsidRPr="006B52CE">
        <w:rPr>
          <w:sz w:val="22"/>
          <w:szCs w:val="22"/>
          <w:u w:val="single"/>
          <w:lang w:val="en-CA"/>
        </w:rPr>
        <w:t>obligations</w:t>
      </w:r>
      <w:r w:rsidR="004A7821" w:rsidRPr="006B52CE">
        <w:rPr>
          <w:sz w:val="22"/>
          <w:szCs w:val="22"/>
          <w:u w:val="single"/>
          <w:lang w:val="en-CA"/>
        </w:rPr>
        <w:t xml:space="preserve"> </w:t>
      </w:r>
      <w:r w:rsidRPr="004E1DE3">
        <w:rPr>
          <w:sz w:val="22"/>
          <w:szCs w:val="22"/>
          <w:u w:val="single"/>
          <w:lang w:val="en-CA"/>
        </w:rPr>
        <w:t>to protect your personal information</w:t>
      </w:r>
      <w:r w:rsidRPr="004E1DE3">
        <w:rPr>
          <w:sz w:val="22"/>
          <w:szCs w:val="22"/>
          <w:lang w:val="en-CA"/>
        </w:rPr>
        <w:t>. Your personal information may be stored and processed at our corporate offices in the U.S. or with approved third parties within the U.S. or elsewhere. If a third party processes or stores information outside of Canada, foreign governments, courts or regulatory agencies may be able to obtain such personal information through the laws of the foreign jurisdiction.</w:t>
      </w:r>
    </w:p>
    <w:p w14:paraId="690F7321" w14:textId="77777777" w:rsidR="00FE34B9" w:rsidRPr="004E1DE3" w:rsidRDefault="00573CA9" w:rsidP="006B52CE">
      <w:pPr>
        <w:pStyle w:val="Citationenretrait"/>
        <w:ind w:right="822"/>
        <w:jc w:val="right"/>
        <w:rPr>
          <w:sz w:val="24"/>
          <w:szCs w:val="24"/>
          <w:lang w:val="en-CA"/>
        </w:rPr>
      </w:pP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00D323AE" w:rsidRPr="004E1DE3">
        <w:rPr>
          <w:sz w:val="24"/>
          <w:szCs w:val="24"/>
          <w:lang w:val="en-CA"/>
        </w:rPr>
        <w:t>[Emphasis added.]</w:t>
      </w:r>
    </w:p>
    <w:p w14:paraId="10C097DA" w14:textId="77777777" w:rsidR="00184598" w:rsidRPr="004E1DE3" w:rsidRDefault="00573CA9" w:rsidP="00194879">
      <w:pPr>
        <w:pStyle w:val="Paragrdouble"/>
        <w:tabs>
          <w:tab w:val="num" w:pos="851"/>
        </w:tabs>
        <w:spacing w:line="240" w:lineRule="auto"/>
        <w:ind w:left="0"/>
        <w:rPr>
          <w:i/>
          <w:iCs/>
          <w:lang w:val="en-CA"/>
        </w:rPr>
      </w:pPr>
      <w:r w:rsidRPr="004E1DE3">
        <w:rPr>
          <w:lang w:val="en-CA"/>
        </w:rPr>
        <w:t xml:space="preserve">Certain documents </w:t>
      </w:r>
      <w:r w:rsidR="00247549">
        <w:rPr>
          <w:lang w:val="en-CA"/>
        </w:rPr>
        <w:t>were</w:t>
      </w:r>
      <w:r w:rsidR="00247549" w:rsidRPr="004E1DE3">
        <w:rPr>
          <w:lang w:val="en-CA"/>
        </w:rPr>
        <w:t xml:space="preserve"> </w:t>
      </w:r>
      <w:r w:rsidR="00F0009D" w:rsidRPr="004E1DE3">
        <w:rPr>
          <w:lang w:val="en-CA"/>
        </w:rPr>
        <w:t xml:space="preserve">mentioned for the </w:t>
      </w:r>
      <w:r w:rsidRPr="004E1DE3">
        <w:rPr>
          <w:lang w:val="en-CA"/>
        </w:rPr>
        <w:t>first</w:t>
      </w:r>
      <w:r w:rsidR="00F0009D" w:rsidRPr="004E1DE3">
        <w:rPr>
          <w:lang w:val="en-CA"/>
        </w:rPr>
        <w:t xml:space="preserve"> </w:t>
      </w:r>
      <w:r w:rsidRPr="004E1DE3">
        <w:rPr>
          <w:lang w:val="en-CA"/>
        </w:rPr>
        <w:t>time</w:t>
      </w:r>
      <w:r w:rsidR="00F0009D" w:rsidRPr="004E1DE3">
        <w:rPr>
          <w:lang w:val="en-CA"/>
        </w:rPr>
        <w:t xml:space="preserve"> in the plaintiffs’ plan of </w:t>
      </w:r>
      <w:r w:rsidRPr="004E1DE3">
        <w:rPr>
          <w:lang w:val="en-CA"/>
        </w:rPr>
        <w:t>argument</w:t>
      </w:r>
      <w:r w:rsidR="00F0009D" w:rsidRPr="004E1DE3">
        <w:rPr>
          <w:lang w:val="en-CA"/>
        </w:rPr>
        <w:t xml:space="preserve"> fil</w:t>
      </w:r>
      <w:r w:rsidR="004A0499" w:rsidRPr="004E1DE3">
        <w:rPr>
          <w:lang w:val="en-CA"/>
        </w:rPr>
        <w:t>ed for the hearing of the A</w:t>
      </w:r>
      <w:r w:rsidRPr="004E1DE3">
        <w:rPr>
          <w:lang w:val="en-CA"/>
        </w:rPr>
        <w:t>pplication</w:t>
      </w:r>
      <w:r w:rsidR="004A0499" w:rsidRPr="004E1DE3">
        <w:rPr>
          <w:lang w:val="en-CA"/>
        </w:rPr>
        <w:t>,</w:t>
      </w:r>
      <w:r>
        <w:rPr>
          <w:rStyle w:val="Appelnotedebasdep"/>
          <w:lang w:val="en-CA"/>
        </w:rPr>
        <w:footnoteReference w:id="37"/>
      </w:r>
      <w:r w:rsidR="004A0499" w:rsidRPr="004E1DE3">
        <w:rPr>
          <w:lang w:val="en-CA"/>
        </w:rPr>
        <w:t xml:space="preserve"> despite the four amendments made to it</w:t>
      </w:r>
      <w:r w:rsidRPr="004E1DE3">
        <w:rPr>
          <w:lang w:val="en-CA"/>
        </w:rPr>
        <w:t>.</w:t>
      </w:r>
    </w:p>
    <w:p w14:paraId="478E3806" w14:textId="77777777" w:rsidR="00194879" w:rsidRPr="004E1DE3" w:rsidRDefault="00573CA9" w:rsidP="00194879">
      <w:pPr>
        <w:pStyle w:val="Paragrdouble"/>
        <w:tabs>
          <w:tab w:val="num" w:pos="851"/>
        </w:tabs>
        <w:spacing w:line="240" w:lineRule="auto"/>
        <w:ind w:left="0"/>
        <w:rPr>
          <w:i/>
          <w:iCs/>
          <w:lang w:val="en-CA"/>
        </w:rPr>
      </w:pPr>
      <w:r w:rsidRPr="004E1DE3">
        <w:rPr>
          <w:lang w:val="en-CA"/>
        </w:rPr>
        <w:lastRenderedPageBreak/>
        <w:t>The plaintiffs justify their actions by the unavailability of these</w:t>
      </w:r>
      <w:r w:rsidR="00940EDA" w:rsidRPr="004E1DE3">
        <w:rPr>
          <w:lang w:val="en-CA"/>
        </w:rPr>
        <w:t xml:space="preserve"> documents</w:t>
      </w:r>
      <w:r w:rsidRPr="004E1DE3">
        <w:rPr>
          <w:lang w:val="en-CA"/>
        </w:rPr>
        <w:t xml:space="preserve"> before the hearing and that they finally and undoubtedly obtained them further to a search in the two other similar </w:t>
      </w:r>
      <w:r w:rsidR="00940EDA" w:rsidRPr="004E1DE3">
        <w:rPr>
          <w:lang w:val="en-CA"/>
        </w:rPr>
        <w:t>court</w:t>
      </w:r>
      <w:r w:rsidRPr="004E1DE3">
        <w:rPr>
          <w:lang w:val="en-CA"/>
        </w:rPr>
        <w:t xml:space="preserve"> </w:t>
      </w:r>
      <w:r w:rsidR="00940EDA" w:rsidRPr="004E1DE3">
        <w:rPr>
          <w:lang w:val="en-CA"/>
        </w:rPr>
        <w:t>cases</w:t>
      </w:r>
      <w:r w:rsidRPr="004E1DE3">
        <w:rPr>
          <w:lang w:val="en-CA"/>
        </w:rPr>
        <w:t xml:space="preserve"> referred to above that remain pending in </w:t>
      </w:r>
      <w:r w:rsidR="00940EDA" w:rsidRPr="004E1DE3">
        <w:rPr>
          <w:lang w:val="en-CA"/>
        </w:rPr>
        <w:t>Canada</w:t>
      </w:r>
      <w:r w:rsidRPr="004E1DE3">
        <w:rPr>
          <w:lang w:val="en-CA"/>
        </w:rPr>
        <w:t>.</w:t>
      </w:r>
      <w:r>
        <w:rPr>
          <w:rStyle w:val="Appelnotedebasdep"/>
          <w:lang w:val="en-CA"/>
        </w:rPr>
        <w:footnoteReference w:id="38"/>
      </w:r>
    </w:p>
    <w:p w14:paraId="36081001" w14:textId="77777777" w:rsidR="003102CD" w:rsidRPr="004E1DE3" w:rsidRDefault="00573CA9" w:rsidP="003102CD">
      <w:pPr>
        <w:pStyle w:val="Paragrsimple"/>
        <w:tabs>
          <w:tab w:val="clear" w:pos="4755"/>
          <w:tab w:val="num" w:pos="851"/>
        </w:tabs>
        <w:ind w:left="0"/>
        <w:rPr>
          <w:lang w:val="en-CA"/>
        </w:rPr>
      </w:pPr>
      <w:r w:rsidRPr="004E1DE3">
        <w:rPr>
          <w:lang w:val="en-CA"/>
        </w:rPr>
        <w:t xml:space="preserve">In this regard, the </w:t>
      </w:r>
      <w:r w:rsidR="00940EDA" w:rsidRPr="004E1DE3">
        <w:rPr>
          <w:lang w:val="en-CA"/>
        </w:rPr>
        <w:t xml:space="preserve">Court </w:t>
      </w:r>
      <w:r w:rsidR="0018463F" w:rsidRPr="004E1DE3">
        <w:rPr>
          <w:lang w:val="en-CA"/>
        </w:rPr>
        <w:t xml:space="preserve">cannot block the plaintiffs’ </w:t>
      </w:r>
      <w:r w:rsidR="00940EDA" w:rsidRPr="004E1DE3">
        <w:rPr>
          <w:lang w:val="en-CA"/>
        </w:rPr>
        <w:t>submissions</w:t>
      </w:r>
      <w:r w:rsidR="0018463F" w:rsidRPr="004E1DE3">
        <w:rPr>
          <w:lang w:val="en-CA"/>
        </w:rPr>
        <w:t xml:space="preserve"> based on the sole fact that they rely on </w:t>
      </w:r>
      <w:r w:rsidR="00940EDA" w:rsidRPr="004E1DE3">
        <w:rPr>
          <w:lang w:val="en-CA"/>
        </w:rPr>
        <w:t xml:space="preserve">documents </w:t>
      </w:r>
      <w:r w:rsidR="00467325">
        <w:rPr>
          <w:lang w:val="en-CA"/>
        </w:rPr>
        <w:t>dating from</w:t>
      </w:r>
      <w:r w:rsidR="0018463F" w:rsidRPr="004E1DE3">
        <w:rPr>
          <w:lang w:val="en-CA"/>
        </w:rPr>
        <w:t xml:space="preserve"> a few years </w:t>
      </w:r>
      <w:r w:rsidR="00467325">
        <w:rPr>
          <w:lang w:val="en-CA"/>
        </w:rPr>
        <w:t>after</w:t>
      </w:r>
      <w:r w:rsidR="0018463F" w:rsidRPr="004E1DE3">
        <w:rPr>
          <w:lang w:val="en-CA"/>
        </w:rPr>
        <w:t xml:space="preserve"> the incident that occurred in </w:t>
      </w:r>
      <w:r w:rsidR="00940EDA" w:rsidRPr="004E1DE3">
        <w:rPr>
          <w:lang w:val="en-CA"/>
        </w:rPr>
        <w:t xml:space="preserve">2019 </w:t>
      </w:r>
      <w:r w:rsidR="0018463F" w:rsidRPr="004E1DE3">
        <w:rPr>
          <w:lang w:val="en-CA"/>
        </w:rPr>
        <w:t xml:space="preserve">and </w:t>
      </w:r>
      <w:r w:rsidR="00955E39">
        <w:rPr>
          <w:lang w:val="en-CA"/>
        </w:rPr>
        <w:t>reprimand</w:t>
      </w:r>
      <w:r w:rsidR="00955E39" w:rsidRPr="004E1DE3">
        <w:rPr>
          <w:lang w:val="en-CA"/>
        </w:rPr>
        <w:t xml:space="preserve"> </w:t>
      </w:r>
      <w:r w:rsidR="0018463F" w:rsidRPr="004E1DE3">
        <w:rPr>
          <w:lang w:val="en-CA"/>
        </w:rPr>
        <w:t>them for it, because at this stage, it can simply rely on the plaintiffs’ alle</w:t>
      </w:r>
      <w:r w:rsidR="00940EDA" w:rsidRPr="004E1DE3">
        <w:rPr>
          <w:lang w:val="en-CA"/>
        </w:rPr>
        <w:t>gations</w:t>
      </w:r>
      <w:r w:rsidR="0018463F" w:rsidRPr="004E1DE3">
        <w:rPr>
          <w:lang w:val="en-CA"/>
        </w:rPr>
        <w:t>, which they will eventually have to prove, that</w:t>
      </w:r>
      <w:r w:rsidR="001A3E44" w:rsidRPr="004E1DE3">
        <w:rPr>
          <w:lang w:val="en-CA"/>
        </w:rPr>
        <w:t xml:space="preserve"> such undertaking</w:t>
      </w:r>
      <w:r w:rsidR="004503DD">
        <w:rPr>
          <w:lang w:val="en-CA"/>
        </w:rPr>
        <w:t>s</w:t>
      </w:r>
      <w:r w:rsidR="001A3E44" w:rsidRPr="004E1DE3">
        <w:rPr>
          <w:lang w:val="en-CA"/>
        </w:rPr>
        <w:t xml:space="preserve"> were set out in</w:t>
      </w:r>
      <w:r w:rsidR="0018463F" w:rsidRPr="004E1DE3">
        <w:rPr>
          <w:lang w:val="en-CA"/>
        </w:rPr>
        <w:t xml:space="preserve"> these </w:t>
      </w:r>
      <w:r w:rsidR="00940EDA" w:rsidRPr="004E1DE3">
        <w:rPr>
          <w:lang w:val="en-CA"/>
        </w:rPr>
        <w:t xml:space="preserve">documents </w:t>
      </w:r>
      <w:r w:rsidR="001A3E44" w:rsidRPr="004E1DE3">
        <w:rPr>
          <w:lang w:val="en-CA"/>
        </w:rPr>
        <w:t xml:space="preserve">at the time of the plaintiffs’ enrollment several years earlier, presumably in </w:t>
      </w:r>
      <w:r w:rsidR="00940EDA" w:rsidRPr="004E1DE3">
        <w:rPr>
          <w:lang w:val="en-CA"/>
        </w:rPr>
        <w:t>2005.</w:t>
      </w:r>
    </w:p>
    <w:p w14:paraId="6E5AB753" w14:textId="77777777" w:rsidR="003102CD" w:rsidRPr="004E1DE3" w:rsidRDefault="00573CA9" w:rsidP="00184598">
      <w:pPr>
        <w:pStyle w:val="Paragrsimple"/>
        <w:tabs>
          <w:tab w:val="clear" w:pos="2062"/>
          <w:tab w:val="clear" w:pos="4755"/>
          <w:tab w:val="num" w:pos="0"/>
        </w:tabs>
        <w:ind w:left="0"/>
        <w:rPr>
          <w:lang w:val="en-CA"/>
        </w:rPr>
      </w:pPr>
      <w:r w:rsidRPr="004E1DE3">
        <w:rPr>
          <w:lang w:val="en-CA"/>
        </w:rPr>
        <w:t xml:space="preserve">This </w:t>
      </w:r>
      <w:r w:rsidR="00940EDA" w:rsidRPr="004E1DE3">
        <w:rPr>
          <w:lang w:val="en-CA"/>
        </w:rPr>
        <w:t>difficult</w:t>
      </w:r>
      <w:r w:rsidRPr="004E1DE3">
        <w:rPr>
          <w:lang w:val="en-CA"/>
        </w:rPr>
        <w:t>y</w:t>
      </w:r>
      <w:r w:rsidR="00940EDA" w:rsidRPr="004E1DE3">
        <w:rPr>
          <w:lang w:val="en-CA"/>
        </w:rPr>
        <w:t xml:space="preserve"> obt</w:t>
      </w:r>
      <w:r w:rsidRPr="004E1DE3">
        <w:rPr>
          <w:lang w:val="en-CA"/>
        </w:rPr>
        <w:t xml:space="preserve">aining all the relevant data and </w:t>
      </w:r>
      <w:r w:rsidR="00940EDA" w:rsidRPr="004E1DE3">
        <w:rPr>
          <w:lang w:val="en-CA"/>
        </w:rPr>
        <w:t xml:space="preserve">documents </w:t>
      </w:r>
      <w:r w:rsidRPr="004E1DE3">
        <w:rPr>
          <w:lang w:val="en-CA"/>
        </w:rPr>
        <w:t xml:space="preserve">is inherent to all </w:t>
      </w:r>
      <w:r w:rsidR="00940EDA" w:rsidRPr="004E1DE3">
        <w:rPr>
          <w:lang w:val="en-CA"/>
        </w:rPr>
        <w:t>application</w:t>
      </w:r>
      <w:r w:rsidRPr="004E1DE3">
        <w:rPr>
          <w:lang w:val="en-CA"/>
        </w:rPr>
        <w:t xml:space="preserve">s at the </w:t>
      </w:r>
      <w:r w:rsidR="00940EDA" w:rsidRPr="004E1DE3">
        <w:rPr>
          <w:lang w:val="en-CA"/>
        </w:rPr>
        <w:t>aut</w:t>
      </w:r>
      <w:r w:rsidRPr="004E1DE3">
        <w:rPr>
          <w:lang w:val="en-CA"/>
        </w:rPr>
        <w:t>h</w:t>
      </w:r>
      <w:r w:rsidR="00940EDA" w:rsidRPr="004E1DE3">
        <w:rPr>
          <w:lang w:val="en-CA"/>
        </w:rPr>
        <w:t>ori</w:t>
      </w:r>
      <w:r w:rsidRPr="004E1DE3">
        <w:rPr>
          <w:lang w:val="en-CA"/>
        </w:rPr>
        <w:t>z</w:t>
      </w:r>
      <w:r w:rsidR="00940EDA" w:rsidRPr="004E1DE3">
        <w:rPr>
          <w:lang w:val="en-CA"/>
        </w:rPr>
        <w:t>ation</w:t>
      </w:r>
      <w:r w:rsidRPr="004E1DE3">
        <w:rPr>
          <w:lang w:val="en-CA"/>
        </w:rPr>
        <w:t xml:space="preserve"> stage, and it can be overcome at the trial stage of this case, as </w:t>
      </w:r>
      <w:r w:rsidR="00940EDA" w:rsidRPr="004E1DE3">
        <w:rPr>
          <w:lang w:val="en-CA"/>
        </w:rPr>
        <w:t>Kasirer</w:t>
      </w:r>
      <w:r w:rsidRPr="004E1DE3">
        <w:rPr>
          <w:lang w:val="en-CA"/>
        </w:rPr>
        <w:t xml:space="preserve"> J.A. noted in </w:t>
      </w:r>
      <w:r w:rsidR="00940EDA" w:rsidRPr="004E1DE3">
        <w:rPr>
          <w:i/>
          <w:iCs/>
          <w:lang w:val="en-CA"/>
        </w:rPr>
        <w:t>Asselin</w:t>
      </w:r>
      <w:r w:rsidRPr="004E1DE3">
        <w:rPr>
          <w:lang w:val="en-CA"/>
        </w:rPr>
        <w:t>,</w:t>
      </w:r>
      <w:r>
        <w:rPr>
          <w:rStyle w:val="Appelnotedebasdep"/>
          <w:lang w:val="en-CA"/>
        </w:rPr>
        <w:footnoteReference w:id="39"/>
      </w:r>
      <w:r w:rsidRPr="004E1DE3">
        <w:rPr>
          <w:lang w:val="en-CA"/>
        </w:rPr>
        <w:t xml:space="preserve"> after pre-trial </w:t>
      </w:r>
      <w:r w:rsidR="00940EDA" w:rsidRPr="004E1DE3">
        <w:rPr>
          <w:lang w:val="en-CA"/>
        </w:rPr>
        <w:t>examinations</w:t>
      </w:r>
      <w:r w:rsidRPr="004E1DE3">
        <w:rPr>
          <w:lang w:val="en-CA"/>
        </w:rPr>
        <w:t xml:space="preserve"> are held and other pre-trial means of proof are implemented</w:t>
      </w:r>
      <w:r w:rsidR="00940EDA" w:rsidRPr="004E1DE3">
        <w:rPr>
          <w:lang w:val="en-CA"/>
        </w:rPr>
        <w:t>.</w:t>
      </w:r>
    </w:p>
    <w:p w14:paraId="2937D780" w14:textId="77777777" w:rsidR="00651F0B" w:rsidRPr="004E1DE3" w:rsidRDefault="00573CA9" w:rsidP="003102CD">
      <w:pPr>
        <w:pStyle w:val="Paragrdouble"/>
        <w:tabs>
          <w:tab w:val="num" w:pos="851"/>
        </w:tabs>
        <w:spacing w:line="240" w:lineRule="auto"/>
        <w:ind w:left="0"/>
        <w:rPr>
          <w:i/>
          <w:iCs/>
          <w:lang w:val="en-CA"/>
        </w:rPr>
      </w:pPr>
      <w:r w:rsidRPr="004E1DE3">
        <w:rPr>
          <w:lang w:val="en-CA"/>
        </w:rPr>
        <w:t xml:space="preserve">The plaintiffs fault </w:t>
      </w:r>
      <w:r w:rsidR="00940EDA" w:rsidRPr="004E1DE3">
        <w:rPr>
          <w:lang w:val="en-CA"/>
        </w:rPr>
        <w:t xml:space="preserve">Capital One </w:t>
      </w:r>
      <w:r w:rsidRPr="004E1DE3">
        <w:rPr>
          <w:lang w:val="en-CA"/>
        </w:rPr>
        <w:t xml:space="preserve">for having kept for many years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that had become </w:t>
      </w:r>
      <w:r w:rsidR="00940EDA" w:rsidRPr="004E1DE3">
        <w:rPr>
          <w:lang w:val="en-CA"/>
        </w:rPr>
        <w:t>objective</w:t>
      </w:r>
      <w:r w:rsidR="00107C05" w:rsidRPr="004E1DE3">
        <w:rPr>
          <w:lang w:val="en-CA"/>
        </w:rPr>
        <w:t>l</w:t>
      </w:r>
      <w:r w:rsidRPr="004E1DE3">
        <w:rPr>
          <w:lang w:val="en-CA"/>
        </w:rPr>
        <w:t xml:space="preserve">y </w:t>
      </w:r>
      <w:r w:rsidR="00107C05" w:rsidRPr="004E1DE3">
        <w:rPr>
          <w:lang w:val="en-CA"/>
        </w:rPr>
        <w:t xml:space="preserve">useless with the </w:t>
      </w:r>
      <w:r w:rsidR="00940EDA" w:rsidRPr="004E1DE3">
        <w:rPr>
          <w:lang w:val="en-CA"/>
        </w:rPr>
        <w:t xml:space="preserve">passage </w:t>
      </w:r>
      <w:r w:rsidR="00107C05" w:rsidRPr="004E1DE3">
        <w:rPr>
          <w:lang w:val="en-CA"/>
        </w:rPr>
        <w:t xml:space="preserve">of time and other information without </w:t>
      </w:r>
      <w:r w:rsidR="00940EDA" w:rsidRPr="004E1DE3">
        <w:rPr>
          <w:lang w:val="en-CA"/>
        </w:rPr>
        <w:t>justification</w:t>
      </w:r>
      <w:r w:rsidR="00107C05" w:rsidRPr="004E1DE3">
        <w:rPr>
          <w:lang w:val="en-CA"/>
        </w:rPr>
        <w:t xml:space="preserve"> because it was obtained from persons who had been refused the credit sought</w:t>
      </w:r>
      <w:r w:rsidR="00940EDA" w:rsidRPr="004E1DE3">
        <w:rPr>
          <w:lang w:val="en-CA"/>
        </w:rPr>
        <w:t>.</w:t>
      </w:r>
    </w:p>
    <w:p w14:paraId="5E531626" w14:textId="77777777" w:rsidR="003102CD" w:rsidRPr="004E1DE3" w:rsidRDefault="00573CA9" w:rsidP="003102CD">
      <w:pPr>
        <w:pStyle w:val="Paragrdouble"/>
        <w:tabs>
          <w:tab w:val="num" w:pos="851"/>
        </w:tabs>
        <w:spacing w:line="240" w:lineRule="auto"/>
        <w:ind w:left="0"/>
        <w:rPr>
          <w:i/>
          <w:iCs/>
          <w:lang w:val="en-CA"/>
        </w:rPr>
      </w:pPr>
      <w:r w:rsidRPr="004E1DE3">
        <w:rPr>
          <w:lang w:val="en-CA"/>
        </w:rPr>
        <w:t xml:space="preserve">According to the plaintiffs, </w:t>
      </w:r>
      <w:r w:rsidR="00107C05" w:rsidRPr="004E1DE3">
        <w:rPr>
          <w:lang w:val="en-CA"/>
        </w:rPr>
        <w:t xml:space="preserve">even though it had become useless, </w:t>
      </w:r>
      <w:r w:rsidRPr="004E1DE3">
        <w:rPr>
          <w:lang w:val="en-CA"/>
        </w:rPr>
        <w:t xml:space="preserve">this information, which remains private and </w:t>
      </w:r>
      <w:r w:rsidR="00940EDA" w:rsidRPr="004E1DE3">
        <w:rPr>
          <w:lang w:val="en-CA"/>
        </w:rPr>
        <w:t>confidenti</w:t>
      </w:r>
      <w:r w:rsidR="00107C05" w:rsidRPr="004E1DE3">
        <w:rPr>
          <w:lang w:val="en-CA"/>
        </w:rPr>
        <w:t>a</w:t>
      </w:r>
      <w:r w:rsidR="00940EDA" w:rsidRPr="004E1DE3">
        <w:rPr>
          <w:lang w:val="en-CA"/>
        </w:rPr>
        <w:t>l</w:t>
      </w:r>
      <w:r w:rsidR="00107C05" w:rsidRPr="004E1DE3">
        <w:rPr>
          <w:lang w:val="en-CA"/>
        </w:rPr>
        <w:t xml:space="preserve"> to this day, nevertheless continued to further the defendants</w:t>
      </w:r>
      <w:r w:rsidR="003E7CE8" w:rsidRPr="004E1DE3">
        <w:rPr>
          <w:lang w:val="en-CA"/>
        </w:rPr>
        <w:t>’</w:t>
      </w:r>
      <w:r w:rsidR="00107C05" w:rsidRPr="004E1DE3">
        <w:rPr>
          <w:lang w:val="en-CA"/>
        </w:rPr>
        <w:t xml:space="preserve"> commercial objectives and </w:t>
      </w:r>
      <w:r w:rsidR="003E7CE8" w:rsidRPr="004E1DE3">
        <w:rPr>
          <w:lang w:val="en-CA"/>
        </w:rPr>
        <w:t xml:space="preserve">the </w:t>
      </w:r>
      <w:r w:rsidR="00107C05" w:rsidRPr="004E1DE3">
        <w:rPr>
          <w:lang w:val="en-CA"/>
        </w:rPr>
        <w:t xml:space="preserve">lucrative projects </w:t>
      </w:r>
      <w:r w:rsidR="003E7CE8" w:rsidRPr="004E1DE3">
        <w:rPr>
          <w:lang w:val="en-CA"/>
        </w:rPr>
        <w:t>they promoted</w:t>
      </w:r>
      <w:r w:rsidR="00940EDA" w:rsidRPr="004E1DE3">
        <w:rPr>
          <w:lang w:val="en-CA"/>
        </w:rPr>
        <w:t>.</w:t>
      </w:r>
    </w:p>
    <w:p w14:paraId="3485A90A" w14:textId="77777777" w:rsidR="003102CD" w:rsidRPr="004E1DE3" w:rsidRDefault="00573CA9" w:rsidP="003102CD">
      <w:pPr>
        <w:pStyle w:val="Paragrdouble"/>
        <w:tabs>
          <w:tab w:val="num" w:pos="851"/>
        </w:tabs>
        <w:spacing w:line="240" w:lineRule="auto"/>
        <w:ind w:left="0"/>
        <w:rPr>
          <w:i/>
          <w:iCs/>
          <w:lang w:val="en-CA"/>
        </w:rPr>
      </w:pPr>
      <w:r w:rsidRPr="004E1DE3">
        <w:rPr>
          <w:lang w:val="en-CA"/>
        </w:rPr>
        <w:t xml:space="preserve">The </w:t>
      </w:r>
      <w:r w:rsidR="00940EDA" w:rsidRPr="004E1DE3">
        <w:rPr>
          <w:lang w:val="en-CA"/>
        </w:rPr>
        <w:t xml:space="preserve">conservation </w:t>
      </w:r>
      <w:r w:rsidRPr="004E1DE3">
        <w:rPr>
          <w:lang w:val="en-CA"/>
        </w:rPr>
        <w:t xml:space="preserve">period for some of this </w:t>
      </w:r>
      <w:r w:rsidR="00940EDA" w:rsidRPr="004E1DE3">
        <w:rPr>
          <w:lang w:val="en-CA"/>
        </w:rPr>
        <w:t>personal</w:t>
      </w:r>
      <w:r w:rsidRPr="004E1DE3">
        <w:rPr>
          <w:lang w:val="en-CA"/>
        </w:rPr>
        <w:t xml:space="preserve"> </w:t>
      </w:r>
      <w:r w:rsidR="00940EDA" w:rsidRPr="004E1DE3">
        <w:rPr>
          <w:lang w:val="en-CA"/>
        </w:rPr>
        <w:t xml:space="preserve">information </w:t>
      </w:r>
      <w:r w:rsidRPr="004E1DE3">
        <w:rPr>
          <w:lang w:val="en-CA"/>
        </w:rPr>
        <w:t xml:space="preserve">extended up to </w:t>
      </w:r>
      <w:r w:rsidR="00940EDA" w:rsidRPr="004E1DE3">
        <w:rPr>
          <w:lang w:val="en-CA"/>
        </w:rPr>
        <w:t>14 </w:t>
      </w:r>
      <w:r w:rsidRPr="004E1DE3">
        <w:rPr>
          <w:lang w:val="en-CA"/>
        </w:rPr>
        <w:t xml:space="preserve">years, from the time of the plaintiffs’ enrollment to the </w:t>
      </w:r>
      <w:r w:rsidR="00940EDA" w:rsidRPr="004E1DE3">
        <w:rPr>
          <w:lang w:val="en-CA"/>
        </w:rPr>
        <w:t xml:space="preserve">date </w:t>
      </w:r>
      <w:r w:rsidRPr="004E1DE3">
        <w:rPr>
          <w:lang w:val="en-CA"/>
        </w:rPr>
        <w:t xml:space="preserve">of the confidentiality </w:t>
      </w:r>
      <w:r w:rsidR="00940EDA" w:rsidRPr="004E1DE3">
        <w:rPr>
          <w:lang w:val="en-CA"/>
        </w:rPr>
        <w:t>incident</w:t>
      </w:r>
      <w:r w:rsidRPr="004E1DE3">
        <w:rPr>
          <w:lang w:val="en-CA"/>
        </w:rPr>
        <w:t xml:space="preserve">, and according to the </w:t>
      </w:r>
      <w:r w:rsidR="00940EDA" w:rsidRPr="004E1DE3">
        <w:rPr>
          <w:lang w:val="en-CA"/>
        </w:rPr>
        <w:t>information obt</w:t>
      </w:r>
      <w:r w:rsidRPr="004E1DE3">
        <w:rPr>
          <w:lang w:val="en-CA"/>
        </w:rPr>
        <w:t>ained by the plaintiffs</w:t>
      </w:r>
      <w:r w:rsidR="00940EDA" w:rsidRPr="004E1DE3">
        <w:rPr>
          <w:lang w:val="en-CA"/>
        </w:rPr>
        <w:t xml:space="preserve">, </w:t>
      </w:r>
      <w:r w:rsidRPr="004E1DE3">
        <w:rPr>
          <w:lang w:val="en-CA"/>
        </w:rPr>
        <w:t xml:space="preserve">it was kept solely for the purpose of the development of artificial intelligence software by </w:t>
      </w:r>
      <w:r w:rsidR="00940EDA" w:rsidRPr="004E1DE3">
        <w:rPr>
          <w:lang w:val="en-CA"/>
        </w:rPr>
        <w:t xml:space="preserve">Amazon, </w:t>
      </w:r>
      <w:r w:rsidRPr="004E1DE3">
        <w:rPr>
          <w:lang w:val="en-CA"/>
        </w:rPr>
        <w:t xml:space="preserve">in particular to </w:t>
      </w:r>
      <w:r w:rsidR="007F3CB6" w:rsidRPr="004E1DE3">
        <w:rPr>
          <w:lang w:val="en-CA"/>
        </w:rPr>
        <w:t xml:space="preserve">probe the credit and consumption habits of the members in order to offer them new products and </w:t>
      </w:r>
      <w:r w:rsidR="00940EDA" w:rsidRPr="004E1DE3">
        <w:rPr>
          <w:lang w:val="en-CA"/>
        </w:rPr>
        <w:t>services.</w:t>
      </w:r>
    </w:p>
    <w:p w14:paraId="06B2BA6E" w14:textId="77777777" w:rsidR="003102CD" w:rsidRPr="004E1DE3" w:rsidRDefault="00573CA9" w:rsidP="003102CD">
      <w:pPr>
        <w:pStyle w:val="Paragrdouble"/>
        <w:tabs>
          <w:tab w:val="num" w:pos="851"/>
        </w:tabs>
        <w:spacing w:line="240" w:lineRule="auto"/>
        <w:ind w:left="0"/>
        <w:rPr>
          <w:i/>
          <w:iCs/>
          <w:lang w:val="en-CA"/>
        </w:rPr>
      </w:pPr>
      <w:r w:rsidRPr="004E1DE3">
        <w:rPr>
          <w:lang w:val="en-CA"/>
        </w:rPr>
        <w:t>The plaintiffs explain in their A</w:t>
      </w:r>
      <w:r w:rsidR="00940EDA" w:rsidRPr="004E1DE3">
        <w:rPr>
          <w:lang w:val="en-CA"/>
        </w:rPr>
        <w:t>pplication</w:t>
      </w:r>
      <w:r w:rsidRPr="004E1DE3">
        <w:rPr>
          <w:lang w:val="en-CA"/>
        </w:rPr>
        <w:t xml:space="preserve"> and also argued at the hearing, relying on </w:t>
      </w:r>
      <w:r w:rsidR="00940EDA" w:rsidRPr="004E1DE3">
        <w:rPr>
          <w:lang w:val="en-CA"/>
        </w:rPr>
        <w:t>articles</w:t>
      </w:r>
      <w:r w:rsidRPr="004E1DE3">
        <w:rPr>
          <w:lang w:val="en-CA"/>
        </w:rPr>
        <w:t xml:space="preserve"> written by industry </w:t>
      </w:r>
      <w:r w:rsidR="00940EDA" w:rsidRPr="004E1DE3">
        <w:rPr>
          <w:lang w:val="en-CA"/>
        </w:rPr>
        <w:t>observ</w:t>
      </w:r>
      <w:r w:rsidRPr="004E1DE3">
        <w:rPr>
          <w:lang w:val="en-CA"/>
        </w:rPr>
        <w:t>ers published on the web and in specialized journals,</w:t>
      </w:r>
      <w:r>
        <w:rPr>
          <w:rStyle w:val="Appelnotedebasdep"/>
          <w:lang w:val="en-CA"/>
        </w:rPr>
        <w:footnoteReference w:id="40"/>
      </w:r>
      <w:r w:rsidRPr="004E1DE3">
        <w:rPr>
          <w:lang w:val="en-CA"/>
        </w:rPr>
        <w:t xml:space="preserve"> that in October 2015, </w:t>
      </w:r>
      <w:r w:rsidR="00940EDA" w:rsidRPr="004E1DE3">
        <w:rPr>
          <w:lang w:val="en-CA"/>
        </w:rPr>
        <w:t>Capital One migrat</w:t>
      </w:r>
      <w:r w:rsidRPr="004E1DE3">
        <w:rPr>
          <w:lang w:val="en-CA"/>
        </w:rPr>
        <w:t xml:space="preserve">ed the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it held at the time, which had become ine</w:t>
      </w:r>
      <w:r w:rsidR="00940EDA" w:rsidRPr="004E1DE3">
        <w:rPr>
          <w:lang w:val="en-CA"/>
        </w:rPr>
        <w:t xml:space="preserve">vitable </w:t>
      </w:r>
      <w:r w:rsidRPr="004E1DE3">
        <w:rPr>
          <w:lang w:val="en-CA"/>
        </w:rPr>
        <w:t xml:space="preserve">due to the excessively large </w:t>
      </w:r>
      <w:r w:rsidR="00940EDA" w:rsidRPr="004E1DE3">
        <w:rPr>
          <w:lang w:val="en-CA"/>
        </w:rPr>
        <w:t>quantit</w:t>
      </w:r>
      <w:r w:rsidRPr="004E1DE3">
        <w:rPr>
          <w:lang w:val="en-CA"/>
        </w:rPr>
        <w:t xml:space="preserve">y of data in question, to </w:t>
      </w:r>
      <w:r w:rsidR="00940EDA" w:rsidRPr="004E1DE3">
        <w:rPr>
          <w:lang w:val="en-CA"/>
        </w:rPr>
        <w:t>Amazon</w:t>
      </w:r>
      <w:r w:rsidRPr="004E1DE3">
        <w:rPr>
          <w:lang w:val="en-CA"/>
        </w:rPr>
        <w:t xml:space="preserve">’s servers, which are </w:t>
      </w:r>
      <w:r w:rsidR="00940EDA" w:rsidRPr="004E1DE3">
        <w:rPr>
          <w:lang w:val="en-CA"/>
        </w:rPr>
        <w:t>public</w:t>
      </w:r>
      <w:r w:rsidRPr="004E1DE3">
        <w:rPr>
          <w:lang w:val="en-CA"/>
        </w:rPr>
        <w:t xml:space="preserve"> and less </w:t>
      </w:r>
      <w:r w:rsidR="009B674D" w:rsidRPr="004E1DE3">
        <w:rPr>
          <w:lang w:val="en-CA"/>
        </w:rPr>
        <w:t xml:space="preserve">airtight, and therefore less secure than those of </w:t>
      </w:r>
      <w:r w:rsidR="00940EDA" w:rsidRPr="004E1DE3">
        <w:rPr>
          <w:lang w:val="en-CA"/>
        </w:rPr>
        <w:t>Capital One.</w:t>
      </w:r>
    </w:p>
    <w:p w14:paraId="11A6C09E" w14:textId="77777777" w:rsidR="00630730" w:rsidRPr="004E1DE3" w:rsidRDefault="00573CA9" w:rsidP="007A4B42">
      <w:pPr>
        <w:pStyle w:val="Paragrdouble"/>
        <w:tabs>
          <w:tab w:val="clear" w:pos="2062"/>
          <w:tab w:val="clear" w:pos="4755"/>
          <w:tab w:val="num" w:pos="0"/>
          <w:tab w:val="num" w:pos="851"/>
        </w:tabs>
        <w:spacing w:line="240" w:lineRule="auto"/>
        <w:ind w:left="0"/>
        <w:rPr>
          <w:lang w:val="en-CA"/>
        </w:rPr>
      </w:pPr>
      <w:r w:rsidRPr="004E1DE3">
        <w:rPr>
          <w:lang w:val="en-CA"/>
        </w:rPr>
        <w:t>Of course, a</w:t>
      </w:r>
      <w:r w:rsidR="004D0C63" w:rsidRPr="004E1DE3">
        <w:rPr>
          <w:lang w:val="en-CA"/>
        </w:rPr>
        <w:t xml:space="preserve"> former employee of the defendant Amazon Web Services Inc.</w:t>
      </w:r>
      <w:r w:rsidRPr="004E1DE3">
        <w:rPr>
          <w:lang w:val="en-CA"/>
        </w:rPr>
        <w:t>,</w:t>
      </w:r>
      <w:r w:rsidR="004D0C63" w:rsidRPr="004E1DE3">
        <w:rPr>
          <w:lang w:val="en-CA"/>
        </w:rPr>
        <w:t xml:space="preserve"> was responsible for the unauthorized access on </w:t>
      </w:r>
      <w:r w:rsidR="00962C30" w:rsidRPr="004E1DE3">
        <w:rPr>
          <w:lang w:val="en-CA"/>
        </w:rPr>
        <w:t>March</w:t>
      </w:r>
      <w:r w:rsidR="004D0C63" w:rsidRPr="004E1DE3">
        <w:rPr>
          <w:lang w:val="en-CA"/>
        </w:rPr>
        <w:t xml:space="preserve"> 22 and 23,</w:t>
      </w:r>
      <w:r w:rsidR="00962C30" w:rsidRPr="004E1DE3">
        <w:rPr>
          <w:lang w:val="en-CA"/>
        </w:rPr>
        <w:t xml:space="preserve"> 2019</w:t>
      </w:r>
      <w:r w:rsidR="004D0C63" w:rsidRPr="004E1DE3">
        <w:rPr>
          <w:lang w:val="en-CA"/>
        </w:rPr>
        <w:t>,</w:t>
      </w:r>
      <w:r w:rsidR="00962C30" w:rsidRPr="004E1DE3">
        <w:rPr>
          <w:lang w:val="en-CA"/>
        </w:rPr>
        <w:t xml:space="preserve"> </w:t>
      </w:r>
      <w:r w:rsidRPr="004E1DE3">
        <w:rPr>
          <w:lang w:val="en-CA"/>
        </w:rPr>
        <w:t xml:space="preserve">but according </w:t>
      </w:r>
      <w:r w:rsidRPr="004E1DE3">
        <w:rPr>
          <w:lang w:val="en-CA"/>
        </w:rPr>
        <w:lastRenderedPageBreak/>
        <w:t xml:space="preserve">to </w:t>
      </w:r>
      <w:r w:rsidR="00962C30" w:rsidRPr="004E1DE3">
        <w:rPr>
          <w:lang w:val="en-CA"/>
        </w:rPr>
        <w:t xml:space="preserve">Amazon, </w:t>
      </w:r>
      <w:r w:rsidRPr="004E1DE3">
        <w:rPr>
          <w:lang w:val="en-CA"/>
        </w:rPr>
        <w:t xml:space="preserve">this </w:t>
      </w:r>
      <w:r w:rsidR="00962C30" w:rsidRPr="004E1DE3">
        <w:rPr>
          <w:lang w:val="en-CA"/>
        </w:rPr>
        <w:t xml:space="preserve">intrusion </w:t>
      </w:r>
      <w:r w:rsidRPr="004E1DE3">
        <w:rPr>
          <w:lang w:val="en-CA"/>
        </w:rPr>
        <w:t xml:space="preserve">was caused by the improper </w:t>
      </w:r>
      <w:r w:rsidR="00962C30" w:rsidRPr="004E1DE3">
        <w:rPr>
          <w:lang w:val="en-CA"/>
        </w:rPr>
        <w:t xml:space="preserve">configuration </w:t>
      </w:r>
      <w:r w:rsidRPr="004E1DE3">
        <w:rPr>
          <w:lang w:val="en-CA"/>
        </w:rPr>
        <w:t xml:space="preserve">by </w:t>
      </w:r>
      <w:r w:rsidR="00962C30" w:rsidRPr="004E1DE3">
        <w:rPr>
          <w:lang w:val="en-CA"/>
        </w:rPr>
        <w:t xml:space="preserve">Capital One </w:t>
      </w:r>
      <w:r w:rsidRPr="004E1DE3">
        <w:rPr>
          <w:lang w:val="en-CA"/>
        </w:rPr>
        <w:t xml:space="preserve">of a required </w:t>
      </w:r>
      <w:r w:rsidR="00962C30" w:rsidRPr="004E1DE3">
        <w:rPr>
          <w:lang w:val="en-CA"/>
        </w:rPr>
        <w:t xml:space="preserve">protection </w:t>
      </w:r>
      <w:r w:rsidRPr="004E1DE3">
        <w:rPr>
          <w:lang w:val="en-CA"/>
        </w:rPr>
        <w:t xml:space="preserve">system that had to be installed at the time of this massive </w:t>
      </w:r>
      <w:r w:rsidR="00962C30" w:rsidRPr="004E1DE3">
        <w:rPr>
          <w:lang w:val="en-CA"/>
        </w:rPr>
        <w:t xml:space="preserve">migration </w:t>
      </w:r>
      <w:r w:rsidRPr="004E1DE3">
        <w:rPr>
          <w:lang w:val="en-CA"/>
        </w:rPr>
        <w:t xml:space="preserve">of </w:t>
      </w:r>
      <w:r w:rsidR="00962C30" w:rsidRPr="004E1DE3">
        <w:rPr>
          <w:lang w:val="en-CA"/>
        </w:rPr>
        <w:t>personal</w:t>
      </w:r>
      <w:r w:rsidRPr="004E1DE3">
        <w:rPr>
          <w:lang w:val="en-CA"/>
        </w:rPr>
        <w:t xml:space="preserve"> </w:t>
      </w:r>
      <w:r w:rsidR="00962C30" w:rsidRPr="004E1DE3">
        <w:rPr>
          <w:lang w:val="en-CA"/>
        </w:rPr>
        <w:t>information</w:t>
      </w:r>
      <w:r w:rsidRPr="004E1DE3">
        <w:rPr>
          <w:lang w:val="en-CA"/>
        </w:rPr>
        <w:t xml:space="preserve"> held by </w:t>
      </w:r>
      <w:r w:rsidR="00962C30" w:rsidRPr="004E1DE3">
        <w:rPr>
          <w:lang w:val="en-CA"/>
        </w:rPr>
        <w:t>Capital One</w:t>
      </w:r>
      <w:r w:rsidRPr="004E1DE3">
        <w:rPr>
          <w:lang w:val="en-CA"/>
        </w:rPr>
        <w:t>,</w:t>
      </w:r>
      <w:r>
        <w:rPr>
          <w:rStyle w:val="Appelnotedebasdep"/>
          <w:lang w:val="en-CA"/>
        </w:rPr>
        <w:footnoteReference w:id="41"/>
      </w:r>
      <w:r w:rsidRPr="004E1DE3">
        <w:rPr>
          <w:lang w:val="en-CA"/>
        </w:rPr>
        <w:t xml:space="preserve"> and this deficiency was </w:t>
      </w:r>
      <w:r w:rsidR="00607115" w:rsidRPr="004E1DE3">
        <w:rPr>
          <w:lang w:val="en-CA"/>
        </w:rPr>
        <w:t>exacerb</w:t>
      </w:r>
      <w:r w:rsidRPr="004E1DE3">
        <w:rPr>
          <w:lang w:val="en-CA"/>
        </w:rPr>
        <w:t xml:space="preserve">ated by the excessively broad access granted by </w:t>
      </w:r>
      <w:r w:rsidR="00607115" w:rsidRPr="004E1DE3">
        <w:rPr>
          <w:lang w:val="en-CA"/>
        </w:rPr>
        <w:t>Capital One.</w:t>
      </w:r>
    </w:p>
    <w:p w14:paraId="453818C8" w14:textId="77777777" w:rsidR="003102CD" w:rsidRPr="004E1DE3" w:rsidRDefault="00573CA9" w:rsidP="003102CD">
      <w:pPr>
        <w:pStyle w:val="Paragrdouble"/>
        <w:tabs>
          <w:tab w:val="num" w:pos="851"/>
          <w:tab w:val="num" w:pos="2771"/>
        </w:tabs>
        <w:spacing w:line="240" w:lineRule="auto"/>
        <w:ind w:left="0"/>
        <w:rPr>
          <w:i/>
          <w:iCs/>
          <w:lang w:val="en-CA"/>
        </w:rPr>
      </w:pPr>
      <w:r w:rsidRPr="004E1DE3">
        <w:rPr>
          <w:lang w:val="en-CA"/>
        </w:rPr>
        <w:t xml:space="preserve">The plaintiffs state that the cause of this </w:t>
      </w:r>
      <w:r w:rsidR="00940EDA" w:rsidRPr="004E1DE3">
        <w:rPr>
          <w:lang w:val="en-CA"/>
        </w:rPr>
        <w:t>confidentialit</w:t>
      </w:r>
      <w:r w:rsidR="00EF7BF2" w:rsidRPr="004E1DE3">
        <w:rPr>
          <w:lang w:val="en-CA"/>
        </w:rPr>
        <w:t xml:space="preserve">y incident is instead the deficient </w:t>
      </w:r>
      <w:r w:rsidR="00940EDA" w:rsidRPr="004E1DE3">
        <w:rPr>
          <w:lang w:val="en-CA"/>
        </w:rPr>
        <w:t xml:space="preserve">architecture </w:t>
      </w:r>
      <w:r w:rsidR="00EF7BF2" w:rsidRPr="004E1DE3">
        <w:rPr>
          <w:lang w:val="en-CA"/>
        </w:rPr>
        <w:t xml:space="preserve">chosen by </w:t>
      </w:r>
      <w:r w:rsidR="00940EDA" w:rsidRPr="004E1DE3">
        <w:rPr>
          <w:lang w:val="en-CA"/>
        </w:rPr>
        <w:t>Capital One,</w:t>
      </w:r>
      <w:r w:rsidR="00C04627" w:rsidRPr="004E1DE3">
        <w:rPr>
          <w:lang w:val="en-CA"/>
        </w:rPr>
        <w:t xml:space="preserve"> but that its implementation was made </w:t>
      </w:r>
      <w:r w:rsidR="00940EDA" w:rsidRPr="004E1DE3">
        <w:rPr>
          <w:lang w:val="en-CA"/>
        </w:rPr>
        <w:t xml:space="preserve">possible </w:t>
      </w:r>
      <w:r w:rsidR="00C04627" w:rsidRPr="004E1DE3">
        <w:rPr>
          <w:lang w:val="en-CA"/>
        </w:rPr>
        <w:t xml:space="preserve">only through </w:t>
      </w:r>
      <w:r w:rsidR="00940EDA" w:rsidRPr="004E1DE3">
        <w:rPr>
          <w:lang w:val="en-CA"/>
        </w:rPr>
        <w:t>Amazon</w:t>
      </w:r>
      <w:r w:rsidR="00C04627" w:rsidRPr="004E1DE3">
        <w:rPr>
          <w:lang w:val="en-CA"/>
        </w:rPr>
        <w:t xml:space="preserve">’s assistance, such that it was </w:t>
      </w:r>
      <w:r w:rsidR="00292AF2" w:rsidRPr="004E1DE3">
        <w:rPr>
          <w:lang w:val="en-CA"/>
        </w:rPr>
        <w:t>because of</w:t>
      </w:r>
      <w:r w:rsidR="00C04627" w:rsidRPr="004E1DE3">
        <w:rPr>
          <w:lang w:val="en-CA"/>
        </w:rPr>
        <w:t xml:space="preserve"> </w:t>
      </w:r>
      <w:r w:rsidR="0069687D">
        <w:rPr>
          <w:lang w:val="en-CA"/>
        </w:rPr>
        <w:t>the</w:t>
      </w:r>
      <w:r w:rsidR="0069687D" w:rsidRPr="004E1DE3">
        <w:rPr>
          <w:lang w:val="en-CA"/>
        </w:rPr>
        <w:t xml:space="preserve"> </w:t>
      </w:r>
      <w:r w:rsidR="00FE31E7">
        <w:rPr>
          <w:lang w:val="en-CA"/>
        </w:rPr>
        <w:t>mutual</w:t>
      </w:r>
      <w:r w:rsidR="00C04627" w:rsidRPr="004E1DE3">
        <w:rPr>
          <w:lang w:val="en-CA"/>
        </w:rPr>
        <w:t xml:space="preserve"> </w:t>
      </w:r>
      <w:r w:rsidR="0069687D">
        <w:rPr>
          <w:lang w:val="en-CA"/>
        </w:rPr>
        <w:t xml:space="preserve">choice </w:t>
      </w:r>
      <w:r w:rsidR="00C04627" w:rsidRPr="004E1DE3">
        <w:rPr>
          <w:lang w:val="en-CA"/>
        </w:rPr>
        <w:t xml:space="preserve">by </w:t>
      </w:r>
      <w:r w:rsidR="00940EDA" w:rsidRPr="004E1DE3">
        <w:rPr>
          <w:lang w:val="en-CA"/>
        </w:rPr>
        <w:t xml:space="preserve">Capital One </w:t>
      </w:r>
      <w:r w:rsidR="00C04627" w:rsidRPr="004E1DE3">
        <w:rPr>
          <w:lang w:val="en-CA"/>
        </w:rPr>
        <w:t>and</w:t>
      </w:r>
      <w:r w:rsidR="00940EDA" w:rsidRPr="004E1DE3">
        <w:rPr>
          <w:lang w:val="en-CA"/>
        </w:rPr>
        <w:t xml:space="preserve"> Amazon</w:t>
      </w:r>
      <w:r w:rsidR="00C04627" w:rsidRPr="004E1DE3">
        <w:rPr>
          <w:lang w:val="en-CA"/>
        </w:rPr>
        <w:t xml:space="preserve"> </w:t>
      </w:r>
      <w:r w:rsidR="0069687D">
        <w:rPr>
          <w:lang w:val="en-CA"/>
        </w:rPr>
        <w:t xml:space="preserve">of </w:t>
      </w:r>
      <w:r w:rsidR="00C04627" w:rsidRPr="004E1DE3">
        <w:rPr>
          <w:lang w:val="en-CA"/>
        </w:rPr>
        <w:t xml:space="preserve">this process, called </w:t>
      </w:r>
      <w:r w:rsidR="00940EDA" w:rsidRPr="0041538B">
        <w:rPr>
          <w:lang w:val="en-CA"/>
        </w:rPr>
        <w:t>Cloud Custodian</w:t>
      </w:r>
      <w:r w:rsidR="00940EDA" w:rsidRPr="004E1DE3">
        <w:rPr>
          <w:lang w:val="en-CA"/>
        </w:rPr>
        <w:t xml:space="preserve">, </w:t>
      </w:r>
      <w:r w:rsidR="00C04627" w:rsidRPr="004E1DE3">
        <w:rPr>
          <w:lang w:val="en-CA"/>
        </w:rPr>
        <w:t xml:space="preserve">which was supposed to </w:t>
      </w:r>
      <w:r w:rsidR="00C66162" w:rsidRPr="004E1DE3">
        <w:rPr>
          <w:lang w:val="en-CA"/>
        </w:rPr>
        <w:t xml:space="preserve">protect their system against all </w:t>
      </w:r>
      <w:r w:rsidR="00940EDA" w:rsidRPr="004E1DE3">
        <w:rPr>
          <w:lang w:val="en-CA"/>
        </w:rPr>
        <w:t>vuln</w:t>
      </w:r>
      <w:r w:rsidR="00C66162" w:rsidRPr="004E1DE3">
        <w:rPr>
          <w:lang w:val="en-CA"/>
        </w:rPr>
        <w:t>e</w:t>
      </w:r>
      <w:r w:rsidR="00940EDA" w:rsidRPr="004E1DE3">
        <w:rPr>
          <w:lang w:val="en-CA"/>
        </w:rPr>
        <w:t>rabilit</w:t>
      </w:r>
      <w:r w:rsidR="00C66162" w:rsidRPr="004E1DE3">
        <w:rPr>
          <w:lang w:val="en-CA"/>
        </w:rPr>
        <w:t xml:space="preserve">ies, that this unfortunate </w:t>
      </w:r>
      <w:r w:rsidR="00940EDA" w:rsidRPr="004E1DE3">
        <w:rPr>
          <w:lang w:val="en-CA"/>
        </w:rPr>
        <w:t>confidentialit</w:t>
      </w:r>
      <w:r w:rsidR="00C66162" w:rsidRPr="004E1DE3">
        <w:rPr>
          <w:lang w:val="en-CA"/>
        </w:rPr>
        <w:t xml:space="preserve">y </w:t>
      </w:r>
      <w:r w:rsidR="00292AF2" w:rsidRPr="004E1DE3">
        <w:rPr>
          <w:lang w:val="en-CA"/>
        </w:rPr>
        <w:t>was able to occur and that it could not have been foreseen or prevented.</w:t>
      </w:r>
      <w:r>
        <w:rPr>
          <w:rStyle w:val="Appelnotedebasdep"/>
          <w:lang w:val="en-CA"/>
        </w:rPr>
        <w:footnoteReference w:id="42"/>
      </w:r>
    </w:p>
    <w:p w14:paraId="141B9104" w14:textId="77777777" w:rsidR="007A4B42" w:rsidRPr="004E1DE3" w:rsidRDefault="00573CA9" w:rsidP="007A4B42">
      <w:pPr>
        <w:pStyle w:val="Paragrsimple"/>
        <w:tabs>
          <w:tab w:val="clear" w:pos="2062"/>
          <w:tab w:val="clear" w:pos="4755"/>
          <w:tab w:val="num" w:pos="0"/>
        </w:tabs>
        <w:ind w:left="0"/>
        <w:rPr>
          <w:lang w:val="en-CA"/>
        </w:rPr>
      </w:pPr>
      <w:r w:rsidRPr="004E1DE3">
        <w:rPr>
          <w:lang w:val="en-CA"/>
        </w:rPr>
        <w:t>Moreover, the allegations in the A</w:t>
      </w:r>
      <w:r w:rsidR="00940EDA" w:rsidRPr="004E1DE3">
        <w:rPr>
          <w:lang w:val="en-CA"/>
        </w:rPr>
        <w:t>pplication</w:t>
      </w:r>
      <w:r w:rsidRPr="004E1DE3">
        <w:rPr>
          <w:lang w:val="en-CA"/>
        </w:rPr>
        <w:t xml:space="preserve"> and </w:t>
      </w:r>
      <w:r w:rsidR="00940EDA" w:rsidRPr="004E1DE3">
        <w:rPr>
          <w:lang w:val="en-CA"/>
        </w:rPr>
        <w:t>certain</w:t>
      </w:r>
      <w:r w:rsidRPr="004E1DE3">
        <w:rPr>
          <w:lang w:val="en-CA"/>
        </w:rPr>
        <w:t xml:space="preserve"> </w:t>
      </w:r>
      <w:r w:rsidR="00940EDA" w:rsidRPr="004E1DE3">
        <w:rPr>
          <w:lang w:val="en-CA"/>
        </w:rPr>
        <w:t>exhibits</w:t>
      </w:r>
      <w:r>
        <w:rPr>
          <w:rStyle w:val="Appelnotedebasdep"/>
          <w:lang w:val="en-CA"/>
        </w:rPr>
        <w:footnoteReference w:id="43"/>
      </w:r>
      <w:r w:rsidR="00940EDA" w:rsidRPr="004E1DE3">
        <w:rPr>
          <w:lang w:val="en-CA"/>
        </w:rPr>
        <w:t xml:space="preserve"> </w:t>
      </w:r>
      <w:r w:rsidR="0098556C" w:rsidRPr="004E1DE3">
        <w:rPr>
          <w:lang w:val="en-CA"/>
        </w:rPr>
        <w:t xml:space="preserve">describe a form of </w:t>
      </w:r>
      <w:r w:rsidR="00940EDA" w:rsidRPr="004E1DE3">
        <w:rPr>
          <w:lang w:val="en-CA"/>
        </w:rPr>
        <w:t xml:space="preserve">association </w:t>
      </w:r>
      <w:r w:rsidR="0098556C" w:rsidRPr="004E1DE3">
        <w:rPr>
          <w:lang w:val="en-CA"/>
        </w:rPr>
        <w:t xml:space="preserve">between </w:t>
      </w:r>
      <w:r w:rsidR="00940EDA" w:rsidRPr="004E1DE3">
        <w:rPr>
          <w:lang w:val="en-CA"/>
        </w:rPr>
        <w:t xml:space="preserve">Capital One </w:t>
      </w:r>
      <w:r w:rsidR="0098556C" w:rsidRPr="004E1DE3">
        <w:rPr>
          <w:lang w:val="en-CA"/>
        </w:rPr>
        <w:t xml:space="preserve">and </w:t>
      </w:r>
      <w:r w:rsidR="00940EDA" w:rsidRPr="004E1DE3">
        <w:rPr>
          <w:lang w:val="en-CA"/>
        </w:rPr>
        <w:t xml:space="preserve">Amazon </w:t>
      </w:r>
      <w:r w:rsidR="0098556C" w:rsidRPr="004E1DE3">
        <w:rPr>
          <w:lang w:val="en-CA"/>
        </w:rPr>
        <w:t xml:space="preserve">during the implementation of this </w:t>
      </w:r>
      <w:r w:rsidR="000C3B1B" w:rsidRPr="004E1DE3">
        <w:rPr>
          <w:lang w:val="en-CA"/>
        </w:rPr>
        <w:t xml:space="preserve">environment for keeping </w:t>
      </w:r>
      <w:r w:rsidR="0098556C" w:rsidRPr="004E1DE3">
        <w:rPr>
          <w:lang w:val="en-CA"/>
        </w:rPr>
        <w:t>and hosting</w:t>
      </w:r>
      <w:r w:rsidR="000C3B1B" w:rsidRPr="004E1DE3">
        <w:rPr>
          <w:lang w:val="en-CA"/>
        </w:rPr>
        <w:t xml:space="preserve"> personal information and its treatment by various software they had developed</w:t>
      </w:r>
      <w:r w:rsidR="00940EDA" w:rsidRPr="004E1DE3">
        <w:rPr>
          <w:lang w:val="en-CA"/>
        </w:rPr>
        <w:t>, essenti</w:t>
      </w:r>
      <w:r w:rsidR="000C3B1B" w:rsidRPr="004E1DE3">
        <w:rPr>
          <w:lang w:val="en-CA"/>
        </w:rPr>
        <w:t>a</w:t>
      </w:r>
      <w:r w:rsidR="00940EDA" w:rsidRPr="004E1DE3">
        <w:rPr>
          <w:lang w:val="en-CA"/>
        </w:rPr>
        <w:t>ll</w:t>
      </w:r>
      <w:r w:rsidR="000C3B1B" w:rsidRPr="004E1DE3">
        <w:rPr>
          <w:lang w:val="en-CA"/>
        </w:rPr>
        <w:t xml:space="preserve">y by </w:t>
      </w:r>
      <w:r w:rsidR="00940EDA" w:rsidRPr="004E1DE3">
        <w:rPr>
          <w:lang w:val="en-CA"/>
        </w:rPr>
        <w:t xml:space="preserve">Amazon, </w:t>
      </w:r>
      <w:r w:rsidR="000C3B1B" w:rsidRPr="004E1DE3">
        <w:rPr>
          <w:lang w:val="en-CA"/>
        </w:rPr>
        <w:t xml:space="preserve">to </w:t>
      </w:r>
      <w:r w:rsidR="00940EDA" w:rsidRPr="004E1DE3">
        <w:rPr>
          <w:lang w:val="en-CA"/>
        </w:rPr>
        <w:t>optimi</w:t>
      </w:r>
      <w:r w:rsidR="000C3B1B" w:rsidRPr="004E1DE3">
        <w:rPr>
          <w:lang w:val="en-CA"/>
        </w:rPr>
        <w:t>z</w:t>
      </w:r>
      <w:r w:rsidR="00940EDA" w:rsidRPr="004E1DE3">
        <w:rPr>
          <w:lang w:val="en-CA"/>
        </w:rPr>
        <w:t xml:space="preserve">e </w:t>
      </w:r>
      <w:r w:rsidR="000C3B1B" w:rsidRPr="004E1DE3">
        <w:rPr>
          <w:lang w:val="en-CA"/>
        </w:rPr>
        <w:t>their p</w:t>
      </w:r>
      <w:r w:rsidR="00940EDA" w:rsidRPr="004E1DE3">
        <w:rPr>
          <w:lang w:val="en-CA"/>
        </w:rPr>
        <w:t>rodu</w:t>
      </w:r>
      <w:r w:rsidR="000C3B1B" w:rsidRPr="004E1DE3">
        <w:rPr>
          <w:lang w:val="en-CA"/>
        </w:rPr>
        <w:t>c</w:t>
      </w:r>
      <w:r w:rsidR="00940EDA" w:rsidRPr="004E1DE3">
        <w:rPr>
          <w:lang w:val="en-CA"/>
        </w:rPr>
        <w:t>t</w:t>
      </w:r>
      <w:r w:rsidR="000C3B1B" w:rsidRPr="004E1DE3">
        <w:rPr>
          <w:lang w:val="en-CA"/>
        </w:rPr>
        <w:t xml:space="preserve"> and service offering and their sales</w:t>
      </w:r>
      <w:r w:rsidR="00940EDA" w:rsidRPr="004E1DE3">
        <w:rPr>
          <w:lang w:val="en-CA"/>
        </w:rPr>
        <w:t>.</w:t>
      </w:r>
    </w:p>
    <w:p w14:paraId="00971090" w14:textId="77777777" w:rsidR="00630730" w:rsidRPr="004E1DE3" w:rsidRDefault="00573CA9" w:rsidP="00630730">
      <w:pPr>
        <w:pStyle w:val="Paragrsimple"/>
        <w:tabs>
          <w:tab w:val="clear" w:pos="2062"/>
          <w:tab w:val="clear" w:pos="4755"/>
          <w:tab w:val="num" w:pos="0"/>
        </w:tabs>
        <w:ind w:left="0"/>
        <w:rPr>
          <w:lang w:val="en-CA"/>
        </w:rPr>
      </w:pPr>
      <w:r w:rsidRPr="004E1DE3">
        <w:rPr>
          <w:lang w:val="en-CA"/>
        </w:rPr>
        <w:t xml:space="preserve">Potential </w:t>
      </w:r>
      <w:r w:rsidR="00940EDA" w:rsidRPr="004E1DE3">
        <w:rPr>
          <w:lang w:val="en-CA"/>
        </w:rPr>
        <w:t>recours</w:t>
      </w:r>
      <w:r w:rsidRPr="004E1DE3">
        <w:rPr>
          <w:lang w:val="en-CA"/>
        </w:rPr>
        <w:t xml:space="preserve">es may </w:t>
      </w:r>
      <w:r w:rsidR="000339DC" w:rsidRPr="004E1DE3">
        <w:rPr>
          <w:lang w:val="en-CA"/>
        </w:rPr>
        <w:t xml:space="preserve">eventually </w:t>
      </w:r>
      <w:r w:rsidRPr="004E1DE3">
        <w:rPr>
          <w:lang w:val="en-CA"/>
        </w:rPr>
        <w:t xml:space="preserve">be considered between </w:t>
      </w:r>
      <w:r w:rsidR="00940EDA" w:rsidRPr="004E1DE3">
        <w:rPr>
          <w:lang w:val="en-CA"/>
        </w:rPr>
        <w:t xml:space="preserve">Capital One </w:t>
      </w:r>
      <w:r w:rsidR="000339DC" w:rsidRPr="004E1DE3">
        <w:rPr>
          <w:lang w:val="en-CA"/>
        </w:rPr>
        <w:t>and</w:t>
      </w:r>
      <w:r w:rsidR="00940EDA" w:rsidRPr="004E1DE3">
        <w:rPr>
          <w:lang w:val="en-CA"/>
        </w:rPr>
        <w:t xml:space="preserve"> Amazon, </w:t>
      </w:r>
      <w:r w:rsidR="000339DC" w:rsidRPr="004E1DE3">
        <w:rPr>
          <w:lang w:val="en-CA"/>
        </w:rPr>
        <w:t xml:space="preserve">perhaps in this proceeding or in another, but such recourses are of little </w:t>
      </w:r>
      <w:r w:rsidR="00940EDA" w:rsidRPr="004E1DE3">
        <w:rPr>
          <w:lang w:val="en-CA"/>
        </w:rPr>
        <w:t xml:space="preserve">importance </w:t>
      </w:r>
      <w:r w:rsidR="000339DC" w:rsidRPr="004E1DE3">
        <w:rPr>
          <w:lang w:val="en-CA"/>
        </w:rPr>
        <w:t xml:space="preserve">at this stage of the analysis, because </w:t>
      </w:r>
      <w:r w:rsidR="007F2926" w:rsidRPr="004E1DE3">
        <w:rPr>
          <w:lang w:val="en-CA"/>
        </w:rPr>
        <w:t xml:space="preserve">it is sufficient for </w:t>
      </w:r>
      <w:r w:rsidR="000339DC" w:rsidRPr="004E1DE3">
        <w:rPr>
          <w:lang w:val="en-CA"/>
        </w:rPr>
        <w:t>the A</w:t>
      </w:r>
      <w:r w:rsidR="00940EDA" w:rsidRPr="004E1DE3">
        <w:rPr>
          <w:lang w:val="en-CA"/>
        </w:rPr>
        <w:t>pplication</w:t>
      </w:r>
      <w:r w:rsidR="000339DC" w:rsidRPr="004E1DE3">
        <w:rPr>
          <w:lang w:val="en-CA"/>
        </w:rPr>
        <w:t xml:space="preserve"> </w:t>
      </w:r>
      <w:r w:rsidR="007F2926" w:rsidRPr="004E1DE3">
        <w:rPr>
          <w:lang w:val="en-CA"/>
        </w:rPr>
        <w:t xml:space="preserve">to </w:t>
      </w:r>
      <w:r w:rsidR="000339DC" w:rsidRPr="004E1DE3">
        <w:rPr>
          <w:lang w:val="en-CA"/>
        </w:rPr>
        <w:t xml:space="preserve">reveal the possibility that a </w:t>
      </w:r>
      <w:r w:rsidR="00940EDA" w:rsidRPr="004E1DE3">
        <w:rPr>
          <w:lang w:val="en-CA"/>
        </w:rPr>
        <w:t>contractual</w:t>
      </w:r>
      <w:r w:rsidR="000339DC" w:rsidRPr="004E1DE3">
        <w:rPr>
          <w:lang w:val="en-CA"/>
        </w:rPr>
        <w:t xml:space="preserve"> </w:t>
      </w:r>
      <w:r w:rsidR="00940EDA" w:rsidRPr="004E1DE3">
        <w:rPr>
          <w:lang w:val="en-CA"/>
        </w:rPr>
        <w:t>fault</w:t>
      </w:r>
      <w:r w:rsidR="000339DC" w:rsidRPr="004E1DE3">
        <w:rPr>
          <w:lang w:val="en-CA"/>
        </w:rPr>
        <w:t xml:space="preserve"> may have been committed by </w:t>
      </w:r>
      <w:r w:rsidR="00940EDA" w:rsidRPr="004E1DE3">
        <w:rPr>
          <w:lang w:val="en-CA"/>
        </w:rPr>
        <w:t>Capital One</w:t>
      </w:r>
      <w:r w:rsidR="000339DC" w:rsidRPr="004E1DE3">
        <w:rPr>
          <w:lang w:val="en-CA"/>
        </w:rPr>
        <w:t xml:space="preserve">, to whom the putative </w:t>
      </w:r>
      <w:r w:rsidR="00FE31E7">
        <w:rPr>
          <w:lang w:val="en-CA"/>
        </w:rPr>
        <w:t xml:space="preserve">class </w:t>
      </w:r>
      <w:r w:rsidR="000339DC" w:rsidRPr="004E1DE3">
        <w:rPr>
          <w:lang w:val="en-CA"/>
        </w:rPr>
        <w:t xml:space="preserve">members entrusted their </w:t>
      </w:r>
      <w:r w:rsidR="00940EDA" w:rsidRPr="004E1DE3">
        <w:rPr>
          <w:lang w:val="en-CA"/>
        </w:rPr>
        <w:t>personal</w:t>
      </w:r>
      <w:r w:rsidR="000339DC" w:rsidRPr="004E1DE3">
        <w:rPr>
          <w:lang w:val="en-CA"/>
        </w:rPr>
        <w:t xml:space="preserve"> </w:t>
      </w:r>
      <w:r w:rsidR="00940EDA" w:rsidRPr="004E1DE3">
        <w:rPr>
          <w:lang w:val="en-CA"/>
        </w:rPr>
        <w:t xml:space="preserve">information, </w:t>
      </w:r>
      <w:r w:rsidR="005A144F" w:rsidRPr="004E1DE3">
        <w:rPr>
          <w:lang w:val="en-CA"/>
        </w:rPr>
        <w:t>for the plaintiffs to pass the first step of this screening stage</w:t>
      </w:r>
      <w:r w:rsidR="00940EDA" w:rsidRPr="004E1DE3">
        <w:rPr>
          <w:lang w:val="en-CA"/>
        </w:rPr>
        <w:t>.</w:t>
      </w:r>
    </w:p>
    <w:p w14:paraId="3E630A14" w14:textId="77777777" w:rsidR="003102CD" w:rsidRPr="004E1DE3" w:rsidRDefault="00573CA9" w:rsidP="003102CD">
      <w:pPr>
        <w:pStyle w:val="Paragrdouble"/>
        <w:tabs>
          <w:tab w:val="num" w:pos="851"/>
        </w:tabs>
        <w:spacing w:line="240" w:lineRule="auto"/>
        <w:ind w:left="0"/>
        <w:rPr>
          <w:i/>
          <w:iCs/>
          <w:lang w:val="en-CA"/>
        </w:rPr>
      </w:pPr>
      <w:r w:rsidRPr="004E1DE3">
        <w:rPr>
          <w:lang w:val="en-CA"/>
        </w:rPr>
        <w:t xml:space="preserve">This public cloud </w:t>
      </w:r>
      <w:r w:rsidR="00940EDA" w:rsidRPr="004E1DE3">
        <w:rPr>
          <w:lang w:val="en-CA"/>
        </w:rPr>
        <w:t xml:space="preserve">service </w:t>
      </w:r>
      <w:r w:rsidRPr="004E1DE3">
        <w:rPr>
          <w:lang w:val="en-CA"/>
        </w:rPr>
        <w:t>managed by</w:t>
      </w:r>
      <w:r w:rsidR="004D538D" w:rsidRPr="004E1DE3">
        <w:rPr>
          <w:lang w:val="en-CA"/>
        </w:rPr>
        <w:t xml:space="preserve"> </w:t>
      </w:r>
      <w:r w:rsidR="00940EDA" w:rsidRPr="004E1DE3">
        <w:rPr>
          <w:lang w:val="en-CA"/>
        </w:rPr>
        <w:t xml:space="preserve">Amazon </w:t>
      </w:r>
      <w:r w:rsidR="008C1828" w:rsidRPr="004E1DE3">
        <w:rPr>
          <w:lang w:val="en-CA"/>
        </w:rPr>
        <w:t xml:space="preserve">is described as being made up of considerable </w:t>
      </w:r>
      <w:r w:rsidR="00940EDA" w:rsidRPr="004E1DE3">
        <w:rPr>
          <w:lang w:val="en-CA"/>
        </w:rPr>
        <w:t>basins o</w:t>
      </w:r>
      <w:r w:rsidR="008C1828" w:rsidRPr="004E1DE3">
        <w:rPr>
          <w:lang w:val="en-CA"/>
        </w:rPr>
        <w:t xml:space="preserve">r </w:t>
      </w:r>
      <w:r w:rsidR="00940EDA" w:rsidRPr="004E1DE3">
        <w:rPr>
          <w:lang w:val="en-CA"/>
        </w:rPr>
        <w:t>lakes</w:t>
      </w:r>
      <w:r w:rsidR="00FE31E7">
        <w:rPr>
          <w:lang w:val="en-CA"/>
        </w:rPr>
        <w:t xml:space="preserve"> </w:t>
      </w:r>
      <w:r w:rsidR="008C1828" w:rsidRPr="004E1DE3">
        <w:rPr>
          <w:lang w:val="en-CA"/>
        </w:rPr>
        <w:t>of data and is considered within the entire industry as being less reliable tha</w:t>
      </w:r>
      <w:r w:rsidR="0069687D">
        <w:rPr>
          <w:lang w:val="en-CA"/>
        </w:rPr>
        <w:t>n</w:t>
      </w:r>
      <w:r w:rsidR="008C1828" w:rsidRPr="004E1DE3">
        <w:rPr>
          <w:lang w:val="en-CA"/>
        </w:rPr>
        <w:t xml:space="preserve"> other similar systems</w:t>
      </w:r>
      <w:r w:rsidR="00E829E9" w:rsidRPr="004E1DE3">
        <w:rPr>
          <w:lang w:val="en-CA"/>
        </w:rPr>
        <w:t xml:space="preserve">, such that it is </w:t>
      </w:r>
      <w:r w:rsidR="00230B91" w:rsidRPr="004E1DE3">
        <w:rPr>
          <w:lang w:val="en-CA"/>
        </w:rPr>
        <w:t>viewed with skepticism and avoided by var</w:t>
      </w:r>
      <w:r w:rsidR="003361A2" w:rsidRPr="004E1DE3">
        <w:rPr>
          <w:lang w:val="en-CA"/>
        </w:rPr>
        <w:t>i</w:t>
      </w:r>
      <w:r w:rsidR="00230B91" w:rsidRPr="004E1DE3">
        <w:rPr>
          <w:lang w:val="en-CA"/>
        </w:rPr>
        <w:t xml:space="preserve">ous financial </w:t>
      </w:r>
      <w:r w:rsidR="00940EDA" w:rsidRPr="004E1DE3">
        <w:rPr>
          <w:lang w:val="en-CA"/>
        </w:rPr>
        <w:t xml:space="preserve">institutions </w:t>
      </w:r>
      <w:r w:rsidR="00230B91" w:rsidRPr="004E1DE3">
        <w:rPr>
          <w:lang w:val="en-CA"/>
        </w:rPr>
        <w:t xml:space="preserve">and even by other large technology companies such as </w:t>
      </w:r>
      <w:r w:rsidR="00940EDA" w:rsidRPr="004E1DE3">
        <w:rPr>
          <w:lang w:val="en-CA"/>
        </w:rPr>
        <w:t xml:space="preserve">Google </w:t>
      </w:r>
      <w:r w:rsidR="00230B91" w:rsidRPr="004E1DE3">
        <w:rPr>
          <w:lang w:val="en-CA"/>
        </w:rPr>
        <w:t xml:space="preserve">and </w:t>
      </w:r>
      <w:r w:rsidR="00940EDA" w:rsidRPr="004E1DE3">
        <w:rPr>
          <w:lang w:val="en-CA"/>
        </w:rPr>
        <w:t xml:space="preserve">Microsoft, </w:t>
      </w:r>
      <w:r w:rsidR="00230B91" w:rsidRPr="004E1DE3">
        <w:rPr>
          <w:lang w:val="en-CA"/>
        </w:rPr>
        <w:t>because it represents a higher risk for information security system breaches</w:t>
      </w:r>
      <w:r w:rsidR="00940EDA" w:rsidRPr="004E1DE3">
        <w:rPr>
          <w:lang w:val="en-CA"/>
        </w:rPr>
        <w:t>.</w:t>
      </w:r>
    </w:p>
    <w:p w14:paraId="788669B8" w14:textId="77777777" w:rsidR="003102CD" w:rsidRPr="004E1DE3" w:rsidRDefault="00573CA9" w:rsidP="003102CD">
      <w:pPr>
        <w:pStyle w:val="Paragrdouble"/>
        <w:tabs>
          <w:tab w:val="num" w:pos="851"/>
        </w:tabs>
        <w:spacing w:line="240" w:lineRule="auto"/>
        <w:ind w:left="0"/>
        <w:rPr>
          <w:i/>
          <w:iCs/>
          <w:lang w:val="en-CA"/>
        </w:rPr>
      </w:pPr>
      <w:r w:rsidRPr="004E1DE3">
        <w:rPr>
          <w:lang w:val="en-CA"/>
        </w:rPr>
        <w:t xml:space="preserve">This significant </w:t>
      </w:r>
      <w:r w:rsidR="00940EDA" w:rsidRPr="004E1DE3">
        <w:rPr>
          <w:lang w:val="en-CA"/>
        </w:rPr>
        <w:t>vuln</w:t>
      </w:r>
      <w:r w:rsidRPr="004E1DE3">
        <w:rPr>
          <w:lang w:val="en-CA"/>
        </w:rPr>
        <w:t>e</w:t>
      </w:r>
      <w:r w:rsidR="00940EDA" w:rsidRPr="004E1DE3">
        <w:rPr>
          <w:lang w:val="en-CA"/>
        </w:rPr>
        <w:t>rabilit</w:t>
      </w:r>
      <w:r w:rsidRPr="004E1DE3">
        <w:rPr>
          <w:lang w:val="en-CA"/>
        </w:rPr>
        <w:t xml:space="preserve">y was previously in the spotlight for incidents that occurred in the United States between 2016 and 2019 giving rise to sanctions imposed on the </w:t>
      </w:r>
      <w:r w:rsidR="00940EDA" w:rsidRPr="004E1DE3">
        <w:rPr>
          <w:lang w:val="en-CA"/>
        </w:rPr>
        <w:t xml:space="preserve">Capital One </w:t>
      </w:r>
      <w:r w:rsidRPr="004E1DE3">
        <w:rPr>
          <w:lang w:val="en-CA"/>
        </w:rPr>
        <w:t>group defendants by the American oversight body having jurisdiction over such matters</w:t>
      </w:r>
      <w:r>
        <w:rPr>
          <w:rStyle w:val="Appelnotedebasdep"/>
          <w:lang w:val="en-CA"/>
        </w:rPr>
        <w:footnoteReference w:id="44"/>
      </w:r>
      <w:r w:rsidR="00400424" w:rsidRPr="004E1DE3">
        <w:rPr>
          <w:lang w:val="en-CA"/>
        </w:rPr>
        <w:t xml:space="preserve"> in connection with the internal risk assessment processes implemented by </w:t>
      </w:r>
      <w:r w:rsidR="00940EDA" w:rsidRPr="004E1DE3">
        <w:rPr>
          <w:lang w:val="en-CA"/>
        </w:rPr>
        <w:t>Capital One</w:t>
      </w:r>
      <w:r w:rsidR="00400424" w:rsidRPr="004E1DE3">
        <w:rPr>
          <w:lang w:val="en-CA"/>
        </w:rPr>
        <w:t>,</w:t>
      </w:r>
      <w:r>
        <w:rPr>
          <w:rStyle w:val="Appelnotedebasdep"/>
          <w:lang w:val="en-CA"/>
        </w:rPr>
        <w:footnoteReference w:id="45"/>
      </w:r>
      <w:r w:rsidR="00400424" w:rsidRPr="004E1DE3">
        <w:rPr>
          <w:lang w:val="en-CA"/>
        </w:rPr>
        <w:t xml:space="preserve"> </w:t>
      </w:r>
      <w:r w:rsidR="004318D4" w:rsidRPr="004E1DE3">
        <w:rPr>
          <w:lang w:val="en-CA"/>
        </w:rPr>
        <w:t xml:space="preserve">outlined generally in several </w:t>
      </w:r>
      <w:r w:rsidR="00940EDA" w:rsidRPr="004E1DE3">
        <w:rPr>
          <w:lang w:val="en-CA"/>
        </w:rPr>
        <w:t>application</w:t>
      </w:r>
      <w:r w:rsidR="004318D4" w:rsidRPr="004E1DE3">
        <w:rPr>
          <w:lang w:val="en-CA"/>
        </w:rPr>
        <w:t xml:space="preserve">s to </w:t>
      </w:r>
      <w:r w:rsidR="004318D4" w:rsidRPr="004E1DE3">
        <w:rPr>
          <w:lang w:val="en-CA"/>
        </w:rPr>
        <w:lastRenderedPageBreak/>
        <w:t xml:space="preserve">certify class actions filed in the </w:t>
      </w:r>
      <w:r w:rsidR="00940EDA" w:rsidRPr="004E1DE3">
        <w:rPr>
          <w:lang w:val="en-CA"/>
        </w:rPr>
        <w:t>United</w:t>
      </w:r>
      <w:r w:rsidR="004318D4" w:rsidRPr="004E1DE3">
        <w:rPr>
          <w:lang w:val="en-CA"/>
        </w:rPr>
        <w:t xml:space="preserve"> </w:t>
      </w:r>
      <w:r w:rsidR="00940EDA" w:rsidRPr="004E1DE3">
        <w:rPr>
          <w:lang w:val="en-CA"/>
        </w:rPr>
        <w:t>States</w:t>
      </w:r>
      <w:r w:rsidR="004318D4" w:rsidRPr="004E1DE3">
        <w:rPr>
          <w:lang w:val="en-CA"/>
        </w:rPr>
        <w:t xml:space="preserve"> that were eventually</w:t>
      </w:r>
      <w:r w:rsidR="00A61CE9" w:rsidRPr="004E1DE3">
        <w:rPr>
          <w:lang w:val="en-CA"/>
        </w:rPr>
        <w:t xml:space="preserve"> joined before a single US jurisdiction.</w:t>
      </w:r>
      <w:r>
        <w:rPr>
          <w:rStyle w:val="Appelnotedebasdep"/>
          <w:lang w:val="en-CA"/>
        </w:rPr>
        <w:footnoteReference w:id="46"/>
      </w:r>
      <w:r w:rsidR="00940EDA" w:rsidRPr="004E1DE3">
        <w:rPr>
          <w:lang w:val="en-CA"/>
        </w:rPr>
        <w:t xml:space="preserve"> </w:t>
      </w:r>
    </w:p>
    <w:p w14:paraId="5792B5F2" w14:textId="77777777" w:rsidR="003102CD" w:rsidRPr="004E1DE3" w:rsidRDefault="00573CA9" w:rsidP="003102CD">
      <w:pPr>
        <w:pStyle w:val="Paragrdouble"/>
        <w:tabs>
          <w:tab w:val="num" w:pos="851"/>
        </w:tabs>
        <w:spacing w:line="240" w:lineRule="auto"/>
        <w:ind w:left="0"/>
        <w:rPr>
          <w:i/>
          <w:iCs/>
          <w:lang w:val="en-CA"/>
        </w:rPr>
      </w:pPr>
      <w:r w:rsidRPr="004E1DE3">
        <w:rPr>
          <w:lang w:val="en-CA"/>
        </w:rPr>
        <w:t xml:space="preserve">The plaintiffs also relate that further to the unauthorized access on </w:t>
      </w:r>
      <w:r w:rsidR="00940EDA" w:rsidRPr="004E1DE3">
        <w:rPr>
          <w:lang w:val="en-CA"/>
        </w:rPr>
        <w:t>March</w:t>
      </w:r>
      <w:r w:rsidRPr="004E1DE3">
        <w:rPr>
          <w:lang w:val="en-CA"/>
        </w:rPr>
        <w:t xml:space="preserve"> 22 and 23,</w:t>
      </w:r>
      <w:r w:rsidR="00940EDA" w:rsidRPr="004E1DE3">
        <w:rPr>
          <w:lang w:val="en-CA"/>
        </w:rPr>
        <w:t xml:space="preserve"> 2019, </w:t>
      </w:r>
      <w:r w:rsidR="00D730C9" w:rsidRPr="004E1DE3">
        <w:rPr>
          <w:lang w:val="en-CA"/>
        </w:rPr>
        <w:t>the vulnerability of Amazon’s</w:t>
      </w:r>
      <w:r w:rsidRPr="004E1DE3">
        <w:rPr>
          <w:lang w:val="en-CA"/>
        </w:rPr>
        <w:t xml:space="preserve"> system</w:t>
      </w:r>
      <w:r w:rsidR="00D730C9" w:rsidRPr="004E1DE3">
        <w:rPr>
          <w:lang w:val="en-CA"/>
        </w:rPr>
        <w:t xml:space="preserve"> to</w:t>
      </w:r>
      <w:r w:rsidRPr="004E1DE3">
        <w:rPr>
          <w:lang w:val="en-CA"/>
        </w:rPr>
        <w:t xml:space="preserve"> such </w:t>
      </w:r>
      <w:r w:rsidR="00940EDA" w:rsidRPr="004E1DE3">
        <w:rPr>
          <w:lang w:val="en-CA"/>
        </w:rPr>
        <w:t>intrusions [</w:t>
      </w:r>
      <w:r w:rsidRPr="004E1DE3">
        <w:rPr>
          <w:lang w:val="en-CA"/>
        </w:rPr>
        <w:t xml:space="preserve">called </w:t>
      </w:r>
      <w:r w:rsidR="00940EDA" w:rsidRPr="004E1DE3">
        <w:rPr>
          <w:lang w:val="en-CA"/>
        </w:rPr>
        <w:t xml:space="preserve">SSRF] </w:t>
      </w:r>
      <w:r w:rsidR="00D730C9" w:rsidRPr="004E1DE3">
        <w:rPr>
          <w:lang w:val="en-CA"/>
        </w:rPr>
        <w:t xml:space="preserve">was signalled on </w:t>
      </w:r>
      <w:r w:rsidR="00940EDA" w:rsidRPr="004E1DE3">
        <w:rPr>
          <w:lang w:val="en-CA"/>
        </w:rPr>
        <w:t>April</w:t>
      </w:r>
      <w:r w:rsidR="00D730C9" w:rsidRPr="004E1DE3">
        <w:rPr>
          <w:lang w:val="en-CA"/>
        </w:rPr>
        <w:t xml:space="preserve"> 14,</w:t>
      </w:r>
      <w:r w:rsidR="00940EDA" w:rsidRPr="004E1DE3">
        <w:rPr>
          <w:lang w:val="en-CA"/>
        </w:rPr>
        <w:t xml:space="preserve"> 2019</w:t>
      </w:r>
      <w:r w:rsidR="00D730C9" w:rsidRPr="004E1DE3">
        <w:rPr>
          <w:lang w:val="en-CA"/>
        </w:rPr>
        <w:t>,</w:t>
      </w:r>
      <w:r>
        <w:rPr>
          <w:rStyle w:val="Appelnotedebasdep"/>
          <w:lang w:val="en-CA"/>
        </w:rPr>
        <w:footnoteReference w:id="47"/>
      </w:r>
      <w:r w:rsidR="00D730C9" w:rsidRPr="004E1DE3">
        <w:rPr>
          <w:lang w:val="en-CA"/>
        </w:rPr>
        <w:t xml:space="preserve"> by</w:t>
      </w:r>
      <w:r w:rsidR="00940EDA" w:rsidRPr="004E1DE3">
        <w:rPr>
          <w:lang w:val="en-CA"/>
        </w:rPr>
        <w:t xml:space="preserve"> </w:t>
      </w:r>
      <w:r w:rsidR="00D730C9" w:rsidRPr="004E1DE3">
        <w:rPr>
          <w:lang w:val="en-CA"/>
        </w:rPr>
        <w:t xml:space="preserve">one of its </w:t>
      </w:r>
      <w:r w:rsidR="00940EDA" w:rsidRPr="004E1DE3">
        <w:rPr>
          <w:lang w:val="en-CA"/>
        </w:rPr>
        <w:t>employ</w:t>
      </w:r>
      <w:r w:rsidR="00D730C9" w:rsidRPr="004E1DE3">
        <w:rPr>
          <w:lang w:val="en-CA"/>
        </w:rPr>
        <w:t>ee</w:t>
      </w:r>
      <w:r w:rsidR="00940EDA" w:rsidRPr="004E1DE3">
        <w:rPr>
          <w:lang w:val="en-CA"/>
        </w:rPr>
        <w:t xml:space="preserve">s </w:t>
      </w:r>
      <w:r w:rsidR="00D730C9" w:rsidRPr="004E1DE3">
        <w:rPr>
          <w:lang w:val="en-CA"/>
        </w:rPr>
        <w:t>to his superior,</w:t>
      </w:r>
      <w:r>
        <w:rPr>
          <w:rStyle w:val="Appelnotedebasdep"/>
          <w:lang w:val="en-CA"/>
        </w:rPr>
        <w:footnoteReference w:id="48"/>
      </w:r>
      <w:r w:rsidR="00D730C9" w:rsidRPr="004E1DE3">
        <w:rPr>
          <w:lang w:val="en-CA"/>
        </w:rPr>
        <w:t xml:space="preserve"> but despite this, </w:t>
      </w:r>
      <w:r w:rsidR="00940EDA" w:rsidRPr="004E1DE3">
        <w:rPr>
          <w:lang w:val="en-CA"/>
        </w:rPr>
        <w:t xml:space="preserve">Capital One </w:t>
      </w:r>
      <w:r w:rsidR="00970A4B" w:rsidRPr="004E1DE3">
        <w:rPr>
          <w:lang w:val="en-CA"/>
        </w:rPr>
        <w:t xml:space="preserve">was slow in responding as it discovered the </w:t>
      </w:r>
      <w:r w:rsidR="00940EDA" w:rsidRPr="004E1DE3">
        <w:rPr>
          <w:lang w:val="en-CA"/>
        </w:rPr>
        <w:t xml:space="preserve">intrusion </w:t>
      </w:r>
      <w:r w:rsidR="00970A4B" w:rsidRPr="004E1DE3">
        <w:rPr>
          <w:lang w:val="en-CA"/>
        </w:rPr>
        <w:t xml:space="preserve">only on </w:t>
      </w:r>
      <w:r w:rsidR="00940EDA" w:rsidRPr="004E1DE3">
        <w:rPr>
          <w:lang w:val="en-CA"/>
        </w:rPr>
        <w:t>July</w:t>
      </w:r>
      <w:r w:rsidR="00970A4B" w:rsidRPr="004E1DE3">
        <w:rPr>
          <w:lang w:val="en-CA"/>
        </w:rPr>
        <w:t xml:space="preserve"> 17,</w:t>
      </w:r>
      <w:r w:rsidR="00940EDA" w:rsidRPr="004E1DE3">
        <w:rPr>
          <w:lang w:val="en-CA"/>
        </w:rPr>
        <w:t xml:space="preserve"> 2019</w:t>
      </w:r>
      <w:r w:rsidR="00970A4B" w:rsidRPr="004E1DE3">
        <w:rPr>
          <w:lang w:val="en-CA"/>
        </w:rPr>
        <w:t>,</w:t>
      </w:r>
      <w:r w:rsidR="00C512BD" w:rsidRPr="004E1DE3">
        <w:rPr>
          <w:lang w:val="en-CA"/>
        </w:rPr>
        <w:t xml:space="preserve"> following a </w:t>
      </w:r>
      <w:r w:rsidR="00940EDA" w:rsidRPr="004E1DE3">
        <w:rPr>
          <w:lang w:val="en-CA"/>
        </w:rPr>
        <w:t xml:space="preserve">communication </w:t>
      </w:r>
      <w:r w:rsidR="00C512BD" w:rsidRPr="004E1DE3">
        <w:rPr>
          <w:lang w:val="en-CA"/>
        </w:rPr>
        <w:t xml:space="preserve">from a third person, </w:t>
      </w:r>
      <w:r w:rsidR="002E1E64" w:rsidRPr="004E1DE3">
        <w:rPr>
          <w:lang w:val="en-CA"/>
        </w:rPr>
        <w:t xml:space="preserve">while </w:t>
      </w:r>
      <w:r w:rsidR="00C512BD" w:rsidRPr="004E1DE3">
        <w:rPr>
          <w:lang w:val="en-CA"/>
        </w:rPr>
        <w:t xml:space="preserve">the </w:t>
      </w:r>
      <w:r w:rsidR="00940EDA" w:rsidRPr="004E1DE3">
        <w:rPr>
          <w:lang w:val="en-CA"/>
        </w:rPr>
        <w:t>astronomi</w:t>
      </w:r>
      <w:r w:rsidR="00C512BD" w:rsidRPr="004E1DE3">
        <w:rPr>
          <w:lang w:val="en-CA"/>
        </w:rPr>
        <w:t xml:space="preserve">cal volume </w:t>
      </w:r>
      <w:r w:rsidR="002E1E64" w:rsidRPr="004E1DE3">
        <w:rPr>
          <w:lang w:val="en-CA"/>
        </w:rPr>
        <w:t xml:space="preserve">of compromised </w:t>
      </w:r>
      <w:r w:rsidR="00940EDA" w:rsidRPr="004E1DE3">
        <w:rPr>
          <w:lang w:val="en-CA"/>
        </w:rPr>
        <w:t>information</w:t>
      </w:r>
      <w:r w:rsidR="002E1E64" w:rsidRPr="004E1DE3">
        <w:rPr>
          <w:lang w:val="en-CA"/>
        </w:rPr>
        <w:t xml:space="preserve"> that had been rendered </w:t>
      </w:r>
      <w:r w:rsidR="00940EDA" w:rsidRPr="004E1DE3">
        <w:rPr>
          <w:lang w:val="en-CA"/>
        </w:rPr>
        <w:t>accessible</w:t>
      </w:r>
      <w:r w:rsidR="002E1E64" w:rsidRPr="004E1DE3">
        <w:rPr>
          <w:lang w:val="en-CA"/>
        </w:rPr>
        <w:t xml:space="preserve"> included names, addresses, </w:t>
      </w:r>
      <w:r w:rsidR="00940EDA" w:rsidRPr="004E1DE3">
        <w:rPr>
          <w:lang w:val="en-CA"/>
        </w:rPr>
        <w:t>telephone</w:t>
      </w:r>
      <w:r w:rsidR="002E1E64" w:rsidRPr="004E1DE3">
        <w:rPr>
          <w:lang w:val="en-CA"/>
        </w:rPr>
        <w:t xml:space="preserve"> numbers, </w:t>
      </w:r>
      <w:r w:rsidR="00940EDA" w:rsidRPr="004E1DE3">
        <w:rPr>
          <w:lang w:val="en-CA"/>
        </w:rPr>
        <w:t xml:space="preserve">dates </w:t>
      </w:r>
      <w:r w:rsidR="002E1E64" w:rsidRPr="004E1DE3">
        <w:rPr>
          <w:lang w:val="en-CA"/>
        </w:rPr>
        <w:t xml:space="preserve">of birth, social insurance numbers, and other data on the credit </w:t>
      </w:r>
      <w:r w:rsidR="00940EDA" w:rsidRPr="004E1DE3">
        <w:rPr>
          <w:lang w:val="en-CA"/>
        </w:rPr>
        <w:t>record</w:t>
      </w:r>
      <w:r w:rsidR="002E1E64" w:rsidRPr="004E1DE3">
        <w:rPr>
          <w:lang w:val="en-CA"/>
        </w:rPr>
        <w:t xml:space="preserve">s of the </w:t>
      </w:r>
      <w:r w:rsidR="00940EDA" w:rsidRPr="004E1DE3">
        <w:rPr>
          <w:lang w:val="en-CA"/>
        </w:rPr>
        <w:t xml:space="preserve">millions </w:t>
      </w:r>
      <w:r w:rsidR="002E1E64" w:rsidRPr="004E1DE3">
        <w:rPr>
          <w:lang w:val="en-CA"/>
        </w:rPr>
        <w:t xml:space="preserve">of persons </w:t>
      </w:r>
      <w:r w:rsidR="00940EDA" w:rsidRPr="004E1DE3">
        <w:rPr>
          <w:lang w:val="en-CA"/>
        </w:rPr>
        <w:t>concern</w:t>
      </w:r>
      <w:r w:rsidR="002E1E64" w:rsidRPr="004E1DE3">
        <w:rPr>
          <w:lang w:val="en-CA"/>
        </w:rPr>
        <w:t>ed</w:t>
      </w:r>
      <w:r w:rsidR="00940EDA" w:rsidRPr="004E1DE3">
        <w:rPr>
          <w:lang w:val="en-CA"/>
        </w:rPr>
        <w:t>.</w:t>
      </w:r>
    </w:p>
    <w:p w14:paraId="325AF9BA" w14:textId="77777777" w:rsidR="003102CD" w:rsidRPr="004E1DE3" w:rsidRDefault="00573CA9" w:rsidP="003102CD">
      <w:pPr>
        <w:pStyle w:val="Paragrdouble"/>
        <w:tabs>
          <w:tab w:val="num" w:pos="851"/>
        </w:tabs>
        <w:spacing w:line="240" w:lineRule="auto"/>
        <w:ind w:left="0"/>
        <w:rPr>
          <w:i/>
          <w:iCs/>
          <w:lang w:val="en-CA"/>
        </w:rPr>
      </w:pPr>
      <w:r w:rsidRPr="004E1DE3">
        <w:rPr>
          <w:lang w:val="en-CA"/>
        </w:rPr>
        <w:t xml:space="preserve">The plaintiffs add that </w:t>
      </w:r>
      <w:r w:rsidR="00940EDA" w:rsidRPr="004E1DE3">
        <w:rPr>
          <w:lang w:val="en-CA"/>
        </w:rPr>
        <w:t xml:space="preserve">Capital One </w:t>
      </w:r>
      <w:r w:rsidRPr="004E1DE3">
        <w:rPr>
          <w:lang w:val="en-CA"/>
        </w:rPr>
        <w:t xml:space="preserve">was also negligent </w:t>
      </w:r>
      <w:r w:rsidR="00940EDA" w:rsidRPr="004E1DE3">
        <w:rPr>
          <w:lang w:val="en-CA"/>
        </w:rPr>
        <w:t>subsequently</w:t>
      </w:r>
      <w:r w:rsidRPr="004E1DE3">
        <w:rPr>
          <w:lang w:val="en-CA"/>
        </w:rPr>
        <w:t xml:space="preserve"> by failing to diligently inform its </w:t>
      </w:r>
      <w:r w:rsidR="00940EDA" w:rsidRPr="004E1DE3">
        <w:rPr>
          <w:lang w:val="en-CA"/>
        </w:rPr>
        <w:t xml:space="preserve">clients </w:t>
      </w:r>
      <w:r w:rsidRPr="004E1DE3">
        <w:rPr>
          <w:lang w:val="en-CA"/>
        </w:rPr>
        <w:t xml:space="preserve">of this </w:t>
      </w:r>
      <w:r w:rsidR="00940EDA" w:rsidRPr="004E1DE3">
        <w:rPr>
          <w:lang w:val="en-CA"/>
        </w:rPr>
        <w:t xml:space="preserve">intrusion, </w:t>
      </w:r>
      <w:r w:rsidRPr="004E1DE3">
        <w:rPr>
          <w:lang w:val="en-CA"/>
        </w:rPr>
        <w:t xml:space="preserve">and finally for having offered them only a quite imperfect and insufficient </w:t>
      </w:r>
      <w:r w:rsidR="00940EDA" w:rsidRPr="004E1DE3">
        <w:rPr>
          <w:lang w:val="en-CA"/>
        </w:rPr>
        <w:t>solution consist</w:t>
      </w:r>
      <w:r w:rsidRPr="004E1DE3">
        <w:rPr>
          <w:lang w:val="en-CA"/>
        </w:rPr>
        <w:t>ing of two years of free service provided by external firms such as E</w:t>
      </w:r>
      <w:r w:rsidR="00940EDA" w:rsidRPr="004E1DE3">
        <w:rPr>
          <w:lang w:val="en-CA"/>
        </w:rPr>
        <w:t xml:space="preserve">quifax </w:t>
      </w:r>
      <w:r w:rsidRPr="004E1DE3">
        <w:rPr>
          <w:lang w:val="en-CA"/>
        </w:rPr>
        <w:t>and</w:t>
      </w:r>
      <w:r w:rsidR="00940EDA" w:rsidRPr="004E1DE3">
        <w:rPr>
          <w:lang w:val="en-CA"/>
        </w:rPr>
        <w:t xml:space="preserve"> TransUnion</w:t>
      </w:r>
      <w:r w:rsidR="009D6FA0" w:rsidRPr="004E1DE3">
        <w:rPr>
          <w:lang w:val="en-CA"/>
        </w:rPr>
        <w:t xml:space="preserve"> monitoring the entries recorded in their statements of account to detect any irregularity that may result from an unlawful </w:t>
      </w:r>
      <w:r w:rsidR="00940EDA" w:rsidRPr="004E1DE3">
        <w:rPr>
          <w:lang w:val="en-CA"/>
        </w:rPr>
        <w:t xml:space="preserve">appropriation </w:t>
      </w:r>
      <w:r w:rsidR="009D6FA0" w:rsidRPr="004E1DE3">
        <w:rPr>
          <w:lang w:val="en-CA"/>
        </w:rPr>
        <w:t xml:space="preserve">of private and </w:t>
      </w:r>
      <w:r w:rsidR="00940EDA" w:rsidRPr="004E1DE3">
        <w:rPr>
          <w:lang w:val="en-CA"/>
        </w:rPr>
        <w:t>confidenti</w:t>
      </w:r>
      <w:r w:rsidR="009D6FA0" w:rsidRPr="004E1DE3">
        <w:rPr>
          <w:lang w:val="en-CA"/>
        </w:rPr>
        <w:t>a</w:t>
      </w:r>
      <w:r w:rsidR="00940EDA" w:rsidRPr="004E1DE3">
        <w:rPr>
          <w:lang w:val="en-CA"/>
        </w:rPr>
        <w:t>l</w:t>
      </w:r>
      <w:r w:rsidR="009D6FA0" w:rsidRPr="004E1DE3">
        <w:rPr>
          <w:lang w:val="en-CA"/>
        </w:rPr>
        <w:t xml:space="preserve"> data</w:t>
      </w:r>
      <w:r w:rsidR="00940EDA" w:rsidRPr="004E1DE3">
        <w:rPr>
          <w:lang w:val="en-CA"/>
        </w:rPr>
        <w:t xml:space="preserve">. </w:t>
      </w:r>
    </w:p>
    <w:p w14:paraId="672B353A" w14:textId="77777777" w:rsidR="00C640FA" w:rsidRPr="004E1DE3" w:rsidRDefault="00573CA9" w:rsidP="003102CD">
      <w:pPr>
        <w:pStyle w:val="Paragrdouble"/>
        <w:tabs>
          <w:tab w:val="num" w:pos="851"/>
        </w:tabs>
        <w:spacing w:line="240" w:lineRule="auto"/>
        <w:ind w:left="0"/>
        <w:rPr>
          <w:i/>
          <w:iCs/>
          <w:lang w:val="en-CA"/>
        </w:rPr>
      </w:pPr>
      <w:r w:rsidRPr="004E1DE3">
        <w:rPr>
          <w:lang w:val="en-CA"/>
        </w:rPr>
        <w:t xml:space="preserve">In this regard, the plaintiffs submit that several </w:t>
      </w:r>
      <w:r w:rsidR="00D02AD1">
        <w:rPr>
          <w:lang w:val="en-CA"/>
        </w:rPr>
        <w:t xml:space="preserve">class </w:t>
      </w:r>
      <w:r w:rsidR="00940EDA" w:rsidRPr="004E1DE3">
        <w:rPr>
          <w:lang w:val="en-CA"/>
        </w:rPr>
        <w:t>memb</w:t>
      </w:r>
      <w:r w:rsidRPr="004E1DE3">
        <w:rPr>
          <w:lang w:val="en-CA"/>
        </w:rPr>
        <w:t>e</w:t>
      </w:r>
      <w:r w:rsidR="00940EDA" w:rsidRPr="004E1DE3">
        <w:rPr>
          <w:lang w:val="en-CA"/>
        </w:rPr>
        <w:t>rs</w:t>
      </w:r>
      <w:r w:rsidRPr="004E1DE3">
        <w:rPr>
          <w:lang w:val="en-CA"/>
        </w:rPr>
        <w:t xml:space="preserve"> expressed their dissatisfaction with this offer of free monitoring of their accounts for two years, </w:t>
      </w:r>
      <w:r w:rsidR="00940EDA" w:rsidRPr="004E1DE3">
        <w:rPr>
          <w:lang w:val="en-CA"/>
        </w:rPr>
        <w:t>argu</w:t>
      </w:r>
      <w:r w:rsidR="00991E89" w:rsidRPr="004E1DE3">
        <w:rPr>
          <w:lang w:val="en-CA"/>
        </w:rPr>
        <w:t>ing that they could neverth</w:t>
      </w:r>
      <w:r w:rsidR="00500925" w:rsidRPr="004E1DE3">
        <w:rPr>
          <w:lang w:val="en-CA"/>
        </w:rPr>
        <w:t xml:space="preserve">eless be the </w:t>
      </w:r>
      <w:r w:rsidR="00940EDA" w:rsidRPr="004E1DE3">
        <w:rPr>
          <w:lang w:val="en-CA"/>
        </w:rPr>
        <w:t>victims</w:t>
      </w:r>
      <w:r w:rsidR="00500925" w:rsidRPr="004E1DE3">
        <w:rPr>
          <w:lang w:val="en-CA"/>
        </w:rPr>
        <w:t xml:space="preserve"> of </w:t>
      </w:r>
      <w:r w:rsidR="00940EDA" w:rsidRPr="004E1DE3">
        <w:rPr>
          <w:lang w:val="en-CA"/>
        </w:rPr>
        <w:t>fraud</w:t>
      </w:r>
      <w:r w:rsidR="00500925" w:rsidRPr="004E1DE3">
        <w:rPr>
          <w:lang w:val="en-CA"/>
        </w:rPr>
        <w:t xml:space="preserve"> and data and identity theft, without it being detected</w:t>
      </w:r>
      <w:r w:rsidR="00DD1650" w:rsidRPr="004E1DE3">
        <w:rPr>
          <w:lang w:val="en-CA"/>
        </w:rPr>
        <w:t>, and considering that the risk of such an unlawful act extends far beyond a period of two years</w:t>
      </w:r>
      <w:r w:rsidR="00940EDA" w:rsidRPr="004E1DE3">
        <w:rPr>
          <w:lang w:val="en-CA"/>
        </w:rPr>
        <w:t>,</w:t>
      </w:r>
      <w:r w:rsidR="00DD1650" w:rsidRPr="004E1DE3">
        <w:rPr>
          <w:lang w:val="en-CA"/>
        </w:rPr>
        <w:t xml:space="preserve"> such that the </w:t>
      </w:r>
      <w:r w:rsidR="00D02AD1">
        <w:rPr>
          <w:lang w:val="en-CA"/>
        </w:rPr>
        <w:t xml:space="preserve">class </w:t>
      </w:r>
      <w:r w:rsidR="00DD1650" w:rsidRPr="004E1DE3">
        <w:rPr>
          <w:lang w:val="en-CA"/>
        </w:rPr>
        <w:t>members</w:t>
      </w:r>
      <w:r w:rsidR="00940EDA" w:rsidRPr="004E1DE3">
        <w:rPr>
          <w:lang w:val="en-CA"/>
        </w:rPr>
        <w:t xml:space="preserve"> </w:t>
      </w:r>
      <w:r w:rsidR="00DD1650" w:rsidRPr="004E1DE3">
        <w:rPr>
          <w:lang w:val="en-CA"/>
        </w:rPr>
        <w:t>will incur hundreds of dollars in monitoring fees every year</w:t>
      </w:r>
      <w:r w:rsidR="00940EDA" w:rsidRPr="004E1DE3">
        <w:rPr>
          <w:lang w:val="en-CA"/>
        </w:rPr>
        <w:t xml:space="preserve">. </w:t>
      </w:r>
    </w:p>
    <w:p w14:paraId="7FA5D80B" w14:textId="77777777" w:rsidR="00C640FA" w:rsidRPr="004E1DE3" w:rsidRDefault="00573CA9" w:rsidP="00C640FA">
      <w:pPr>
        <w:pStyle w:val="Paragrdouble"/>
        <w:tabs>
          <w:tab w:val="num" w:pos="851"/>
        </w:tabs>
        <w:spacing w:line="240" w:lineRule="auto"/>
        <w:ind w:left="0"/>
        <w:rPr>
          <w:i/>
          <w:iCs/>
          <w:lang w:val="en-CA"/>
        </w:rPr>
      </w:pPr>
      <w:r w:rsidRPr="004E1DE3">
        <w:rPr>
          <w:lang w:val="en-CA"/>
        </w:rPr>
        <w:t xml:space="preserve">Finally, the plaintiffs note that the </w:t>
      </w:r>
      <w:r w:rsidR="00940EDA" w:rsidRPr="004E1DE3">
        <w:rPr>
          <w:lang w:val="en-CA"/>
        </w:rPr>
        <w:t>defendants</w:t>
      </w:r>
      <w:r w:rsidRPr="004E1DE3">
        <w:rPr>
          <w:lang w:val="en-CA"/>
        </w:rPr>
        <w:t xml:space="preserve"> nevertheless subsequently maintained this deficient </w:t>
      </w:r>
      <w:r w:rsidR="00940EDA" w:rsidRPr="004E1DE3">
        <w:rPr>
          <w:lang w:val="en-CA"/>
        </w:rPr>
        <w:t xml:space="preserve">protection </w:t>
      </w:r>
      <w:r w:rsidRPr="004E1DE3">
        <w:rPr>
          <w:lang w:val="en-CA"/>
        </w:rPr>
        <w:t>and security system,</w:t>
      </w:r>
      <w:r>
        <w:rPr>
          <w:rStyle w:val="Appelnotedebasdep"/>
          <w:lang w:val="en-CA"/>
        </w:rPr>
        <w:footnoteReference w:id="49"/>
      </w:r>
      <w:r w:rsidR="00940EDA" w:rsidRPr="004E1DE3">
        <w:rPr>
          <w:lang w:val="en-CA"/>
        </w:rPr>
        <w:t xml:space="preserve"> </w:t>
      </w:r>
      <w:r w:rsidR="00BD11F7" w:rsidRPr="004E1DE3">
        <w:rPr>
          <w:lang w:val="en-CA"/>
        </w:rPr>
        <w:t xml:space="preserve">even though the </w:t>
      </w:r>
      <w:r w:rsidR="00940EDA" w:rsidRPr="004E1DE3">
        <w:rPr>
          <w:lang w:val="en-CA"/>
        </w:rPr>
        <w:t>Canadi</w:t>
      </w:r>
      <w:r w:rsidR="00BD11F7" w:rsidRPr="004E1DE3">
        <w:rPr>
          <w:lang w:val="en-CA"/>
        </w:rPr>
        <w:t>a</w:t>
      </w:r>
      <w:r w:rsidR="00940EDA" w:rsidRPr="004E1DE3">
        <w:rPr>
          <w:lang w:val="en-CA"/>
        </w:rPr>
        <w:t>n</w:t>
      </w:r>
      <w:r w:rsidR="00BD11F7" w:rsidRPr="004E1DE3">
        <w:rPr>
          <w:lang w:val="en-CA"/>
        </w:rPr>
        <w:t xml:space="preserve"> Imperial Bank of </w:t>
      </w:r>
      <w:r w:rsidR="00940EDA" w:rsidRPr="004E1DE3">
        <w:rPr>
          <w:lang w:val="en-CA"/>
        </w:rPr>
        <w:t xml:space="preserve">Commerce </w:t>
      </w:r>
      <w:r w:rsidR="00BD11F7" w:rsidRPr="004E1DE3">
        <w:rPr>
          <w:lang w:val="en-CA"/>
        </w:rPr>
        <w:t>has been issuing the Costco banner</w:t>
      </w:r>
      <w:r w:rsidR="00E527C7">
        <w:rPr>
          <w:lang w:val="en-CA"/>
        </w:rPr>
        <w:t>’s</w:t>
      </w:r>
      <w:r w:rsidR="00BD11F7" w:rsidRPr="004E1DE3">
        <w:rPr>
          <w:lang w:val="en-CA"/>
        </w:rPr>
        <w:t xml:space="preserve"> </w:t>
      </w:r>
      <w:r w:rsidR="00940EDA" w:rsidRPr="004E1DE3">
        <w:rPr>
          <w:lang w:val="en-CA"/>
        </w:rPr>
        <w:t>credit</w:t>
      </w:r>
      <w:r w:rsidR="00BD11F7" w:rsidRPr="004E1DE3">
        <w:rPr>
          <w:lang w:val="en-CA"/>
        </w:rPr>
        <w:t xml:space="preserve"> </w:t>
      </w:r>
      <w:r w:rsidR="00940EDA" w:rsidRPr="004E1DE3">
        <w:rPr>
          <w:lang w:val="en-CA"/>
        </w:rPr>
        <w:t>cards</w:t>
      </w:r>
      <w:r w:rsidR="00BD11F7" w:rsidRPr="004E1DE3">
        <w:rPr>
          <w:lang w:val="en-CA"/>
        </w:rPr>
        <w:t xml:space="preserve"> since </w:t>
      </w:r>
      <w:r w:rsidR="00940EDA" w:rsidRPr="004E1DE3">
        <w:rPr>
          <w:lang w:val="en-CA"/>
        </w:rPr>
        <w:t>April 2022.</w:t>
      </w:r>
    </w:p>
    <w:p w14:paraId="185E265E" w14:textId="77777777" w:rsidR="00FC5970" w:rsidRPr="004E1DE3" w:rsidRDefault="00573CA9" w:rsidP="007A4B42">
      <w:pPr>
        <w:pStyle w:val="Paragrsimple"/>
        <w:tabs>
          <w:tab w:val="clear" w:pos="2062"/>
          <w:tab w:val="clear" w:pos="4755"/>
          <w:tab w:val="num" w:pos="0"/>
          <w:tab w:val="num" w:pos="360"/>
        </w:tabs>
        <w:ind w:left="0"/>
        <w:rPr>
          <w:lang w:val="en-CA"/>
        </w:rPr>
      </w:pPr>
      <w:r w:rsidRPr="004E1DE3">
        <w:rPr>
          <w:lang w:val="en-CA"/>
        </w:rPr>
        <w:t xml:space="preserve">As a result of the foregoing, </w:t>
      </w:r>
      <w:r w:rsidR="00940EDA" w:rsidRPr="004E1DE3">
        <w:rPr>
          <w:lang w:val="en-CA"/>
        </w:rPr>
        <w:t>the</w:t>
      </w:r>
      <w:r w:rsidRPr="004E1DE3">
        <w:rPr>
          <w:lang w:val="en-CA"/>
        </w:rPr>
        <w:t xml:space="preserve"> </w:t>
      </w:r>
      <w:r w:rsidR="00940EDA" w:rsidRPr="004E1DE3">
        <w:rPr>
          <w:lang w:val="en-CA"/>
        </w:rPr>
        <w:t>Court</w:t>
      </w:r>
      <w:r w:rsidRPr="004E1DE3">
        <w:rPr>
          <w:lang w:val="en-CA"/>
        </w:rPr>
        <w:t xml:space="preserve"> is of the view that the </w:t>
      </w:r>
      <w:r w:rsidR="00940EDA" w:rsidRPr="004E1DE3">
        <w:rPr>
          <w:lang w:val="en-CA"/>
        </w:rPr>
        <w:t>all</w:t>
      </w:r>
      <w:r w:rsidRPr="004E1DE3">
        <w:rPr>
          <w:lang w:val="en-CA"/>
        </w:rPr>
        <w:t>e</w:t>
      </w:r>
      <w:r w:rsidR="00940EDA" w:rsidRPr="004E1DE3">
        <w:rPr>
          <w:lang w:val="en-CA"/>
        </w:rPr>
        <w:t xml:space="preserve">gations </w:t>
      </w:r>
      <w:r w:rsidRPr="004E1DE3">
        <w:rPr>
          <w:lang w:val="en-CA"/>
        </w:rPr>
        <w:t>in the A</w:t>
      </w:r>
      <w:r w:rsidR="00940EDA" w:rsidRPr="004E1DE3">
        <w:rPr>
          <w:lang w:val="en-CA"/>
        </w:rPr>
        <w:t>pplication</w:t>
      </w:r>
      <w:r w:rsidRPr="004E1DE3">
        <w:rPr>
          <w:lang w:val="en-CA"/>
        </w:rPr>
        <w:t xml:space="preserve"> reveal that </w:t>
      </w:r>
      <w:r w:rsidR="00940EDA" w:rsidRPr="004E1DE3">
        <w:rPr>
          <w:lang w:val="en-CA"/>
        </w:rPr>
        <w:t xml:space="preserve">Capital One </w:t>
      </w:r>
      <w:r w:rsidRPr="004E1DE3">
        <w:rPr>
          <w:lang w:val="en-CA"/>
        </w:rPr>
        <w:t xml:space="preserve">may have committed a </w:t>
      </w:r>
      <w:r w:rsidR="00940EDA" w:rsidRPr="004E1DE3">
        <w:rPr>
          <w:lang w:val="en-CA"/>
        </w:rPr>
        <w:t>contractu</w:t>
      </w:r>
      <w:r w:rsidRPr="004E1DE3">
        <w:rPr>
          <w:lang w:val="en-CA"/>
        </w:rPr>
        <w:t>a</w:t>
      </w:r>
      <w:r w:rsidR="00940EDA" w:rsidRPr="004E1DE3">
        <w:rPr>
          <w:lang w:val="en-CA"/>
        </w:rPr>
        <w:t>l</w:t>
      </w:r>
      <w:r w:rsidRPr="004E1DE3">
        <w:rPr>
          <w:lang w:val="en-CA"/>
        </w:rPr>
        <w:t xml:space="preserve"> fault against the plaintiff </w:t>
      </w:r>
      <w:r w:rsidR="00940EDA" w:rsidRPr="004E1DE3">
        <w:rPr>
          <w:lang w:val="en-CA"/>
        </w:rPr>
        <w:t xml:space="preserve">Royer </w:t>
      </w:r>
      <w:r w:rsidR="00B25084" w:rsidRPr="004E1DE3">
        <w:rPr>
          <w:lang w:val="en-CA"/>
        </w:rPr>
        <w:t xml:space="preserve">and the putative </w:t>
      </w:r>
      <w:r w:rsidR="00FE31E7">
        <w:rPr>
          <w:lang w:val="en-CA"/>
        </w:rPr>
        <w:t xml:space="preserve">class </w:t>
      </w:r>
      <w:r w:rsidR="00B25084" w:rsidRPr="004E1DE3">
        <w:rPr>
          <w:lang w:val="en-CA"/>
        </w:rPr>
        <w:t xml:space="preserve">members leading to this unauthorized </w:t>
      </w:r>
      <w:r w:rsidR="00824352">
        <w:rPr>
          <w:lang w:val="en-CA"/>
        </w:rPr>
        <w:t xml:space="preserve">intrusion </w:t>
      </w:r>
      <w:r w:rsidR="00B25084" w:rsidRPr="004E1DE3">
        <w:rPr>
          <w:lang w:val="en-CA"/>
        </w:rPr>
        <w:t xml:space="preserve">into their </w:t>
      </w:r>
      <w:r w:rsidR="00940EDA" w:rsidRPr="004E1DE3">
        <w:rPr>
          <w:lang w:val="en-CA"/>
        </w:rPr>
        <w:t>personal</w:t>
      </w:r>
      <w:r w:rsidR="00B25084" w:rsidRPr="004E1DE3">
        <w:rPr>
          <w:lang w:val="en-CA"/>
        </w:rPr>
        <w:t xml:space="preserve"> </w:t>
      </w:r>
      <w:r w:rsidR="00940EDA" w:rsidRPr="004E1DE3">
        <w:rPr>
          <w:lang w:val="en-CA"/>
        </w:rPr>
        <w:t>information</w:t>
      </w:r>
      <w:r w:rsidR="00B25084" w:rsidRPr="004E1DE3">
        <w:rPr>
          <w:lang w:val="en-CA"/>
        </w:rPr>
        <w:t xml:space="preserve"> in </w:t>
      </w:r>
      <w:r w:rsidR="00940EDA" w:rsidRPr="004E1DE3">
        <w:rPr>
          <w:lang w:val="en-CA"/>
        </w:rPr>
        <w:t>March 2019.</w:t>
      </w:r>
    </w:p>
    <w:p w14:paraId="6EF2AE1A" w14:textId="77777777" w:rsidR="0058049E" w:rsidRPr="004E1DE3" w:rsidRDefault="00573CA9" w:rsidP="0058049E">
      <w:pPr>
        <w:pStyle w:val="Paragrsimple"/>
        <w:tabs>
          <w:tab w:val="clear" w:pos="2062"/>
          <w:tab w:val="clear" w:pos="4755"/>
          <w:tab w:val="num" w:pos="0"/>
        </w:tabs>
        <w:ind w:left="0"/>
        <w:rPr>
          <w:lang w:val="en-CA"/>
        </w:rPr>
      </w:pPr>
      <w:r w:rsidRPr="004E1DE3">
        <w:rPr>
          <w:lang w:val="en-CA"/>
        </w:rPr>
        <w:t xml:space="preserve">Indeed, the </w:t>
      </w:r>
      <w:r w:rsidR="00940EDA" w:rsidRPr="004E1DE3">
        <w:rPr>
          <w:lang w:val="en-CA"/>
        </w:rPr>
        <w:t>documents invo</w:t>
      </w:r>
      <w:r w:rsidRPr="004E1DE3">
        <w:rPr>
          <w:lang w:val="en-CA"/>
        </w:rPr>
        <w:t>ked by the plaintiffs</w:t>
      </w:r>
      <w:r>
        <w:rPr>
          <w:rStyle w:val="Appelnotedebasdep"/>
          <w:lang w:val="en-CA"/>
        </w:rPr>
        <w:footnoteReference w:id="50"/>
      </w:r>
      <w:r w:rsidR="00940EDA" w:rsidRPr="004E1DE3">
        <w:rPr>
          <w:lang w:val="en-CA"/>
        </w:rPr>
        <w:t xml:space="preserve"> cont</w:t>
      </w:r>
      <w:r w:rsidRPr="004E1DE3">
        <w:rPr>
          <w:lang w:val="en-CA"/>
        </w:rPr>
        <w:t xml:space="preserve">ain statements that are sufficient to support the </w:t>
      </w:r>
      <w:r w:rsidR="00940EDA" w:rsidRPr="004E1DE3">
        <w:rPr>
          <w:lang w:val="en-CA"/>
        </w:rPr>
        <w:t xml:space="preserve">existence </w:t>
      </w:r>
      <w:r w:rsidRPr="004E1DE3">
        <w:rPr>
          <w:lang w:val="en-CA"/>
        </w:rPr>
        <w:t xml:space="preserve">of a </w:t>
      </w:r>
      <w:r w:rsidR="00940EDA" w:rsidRPr="004E1DE3">
        <w:rPr>
          <w:lang w:val="en-CA"/>
        </w:rPr>
        <w:t>contractual</w:t>
      </w:r>
      <w:r w:rsidRPr="004E1DE3">
        <w:rPr>
          <w:lang w:val="en-CA"/>
        </w:rPr>
        <w:t xml:space="preserve"> </w:t>
      </w:r>
      <w:r w:rsidR="00940EDA" w:rsidRPr="004E1DE3">
        <w:rPr>
          <w:lang w:val="en-CA"/>
        </w:rPr>
        <w:t>fault</w:t>
      </w:r>
      <w:r w:rsidRPr="004E1DE3">
        <w:rPr>
          <w:lang w:val="en-CA"/>
        </w:rPr>
        <w:t xml:space="preserve"> by </w:t>
      </w:r>
      <w:r w:rsidR="00940EDA" w:rsidRPr="004E1DE3">
        <w:rPr>
          <w:lang w:val="en-CA"/>
        </w:rPr>
        <w:t xml:space="preserve">Capital One </w:t>
      </w:r>
      <w:r w:rsidRPr="004E1DE3">
        <w:rPr>
          <w:lang w:val="en-CA"/>
        </w:rPr>
        <w:t xml:space="preserve">against </w:t>
      </w:r>
      <w:r w:rsidR="00940EDA" w:rsidRPr="004E1DE3">
        <w:rPr>
          <w:lang w:val="en-CA"/>
        </w:rPr>
        <w:t>Royer</w:t>
      </w:r>
      <w:r w:rsidRPr="004E1DE3">
        <w:rPr>
          <w:lang w:val="en-CA"/>
        </w:rPr>
        <w:t xml:space="preserve"> and the putative </w:t>
      </w:r>
      <w:r w:rsidR="00FE31E7">
        <w:rPr>
          <w:lang w:val="en-CA"/>
        </w:rPr>
        <w:t xml:space="preserve">class </w:t>
      </w:r>
      <w:r w:rsidR="00940EDA" w:rsidRPr="004E1DE3">
        <w:rPr>
          <w:lang w:val="en-CA"/>
        </w:rPr>
        <w:t>memb</w:t>
      </w:r>
      <w:r w:rsidRPr="004E1DE3">
        <w:rPr>
          <w:lang w:val="en-CA"/>
        </w:rPr>
        <w:t>e</w:t>
      </w:r>
      <w:r w:rsidR="00940EDA" w:rsidRPr="004E1DE3">
        <w:rPr>
          <w:lang w:val="en-CA"/>
        </w:rPr>
        <w:t>r</w:t>
      </w:r>
      <w:r w:rsidRPr="004E1DE3">
        <w:rPr>
          <w:lang w:val="en-CA"/>
        </w:rPr>
        <w:t>s</w:t>
      </w:r>
      <w:r w:rsidR="00940EDA" w:rsidRPr="004E1DE3">
        <w:rPr>
          <w:lang w:val="en-CA"/>
        </w:rPr>
        <w:t>,</w:t>
      </w:r>
      <w:r w:rsidRPr="004E1DE3">
        <w:rPr>
          <w:lang w:val="en-CA"/>
        </w:rPr>
        <w:t xml:space="preserve"> in</w:t>
      </w:r>
      <w:r w:rsidR="005814CE" w:rsidRPr="004E1DE3">
        <w:rPr>
          <w:lang w:val="en-CA"/>
        </w:rPr>
        <w:t>cluding</w:t>
      </w:r>
      <w:r w:rsidRPr="004E1DE3">
        <w:rPr>
          <w:lang w:val="en-CA"/>
        </w:rPr>
        <w:t xml:space="preserve"> by reference to the applicable legislative and </w:t>
      </w:r>
      <w:r w:rsidRPr="004E1DE3">
        <w:rPr>
          <w:lang w:val="en-CA"/>
        </w:rPr>
        <w:lastRenderedPageBreak/>
        <w:t xml:space="preserve">industry standards, particularly with respect to the risks associated with this data </w:t>
      </w:r>
      <w:r w:rsidR="00940EDA" w:rsidRPr="004E1DE3">
        <w:rPr>
          <w:lang w:val="en-CA"/>
        </w:rPr>
        <w:t xml:space="preserve">migration </w:t>
      </w:r>
      <w:r w:rsidRPr="004E1DE3">
        <w:rPr>
          <w:lang w:val="en-CA"/>
        </w:rPr>
        <w:t xml:space="preserve">in </w:t>
      </w:r>
      <w:r w:rsidR="00940EDA" w:rsidRPr="004E1DE3">
        <w:rPr>
          <w:lang w:val="en-CA"/>
        </w:rPr>
        <w:t xml:space="preserve">2015, </w:t>
      </w:r>
      <w:r w:rsidR="005814CE" w:rsidRPr="004E1DE3">
        <w:rPr>
          <w:lang w:val="en-CA"/>
        </w:rPr>
        <w:t>and by the implementation of insufficient and ineffective protection measures despite indicat</w:t>
      </w:r>
      <w:r w:rsidR="003C4F40">
        <w:rPr>
          <w:lang w:val="en-CA"/>
        </w:rPr>
        <w:t>ion</w:t>
      </w:r>
      <w:r w:rsidR="005814CE" w:rsidRPr="004E1DE3">
        <w:rPr>
          <w:lang w:val="en-CA"/>
        </w:rPr>
        <w:t xml:space="preserve">s and alerts from different industry actors and the competent regulatory authorities, </w:t>
      </w:r>
      <w:r w:rsidR="003C4F40">
        <w:rPr>
          <w:lang w:val="en-CA"/>
        </w:rPr>
        <w:t>which</w:t>
      </w:r>
      <w:r w:rsidR="005814CE" w:rsidRPr="004E1DE3">
        <w:rPr>
          <w:lang w:val="en-CA"/>
        </w:rPr>
        <w:t xml:space="preserve"> were ignored by </w:t>
      </w:r>
      <w:r w:rsidR="00940EDA" w:rsidRPr="004E1DE3">
        <w:rPr>
          <w:lang w:val="en-CA"/>
        </w:rPr>
        <w:t>Capital One.</w:t>
      </w:r>
    </w:p>
    <w:p w14:paraId="6F0DFFFF" w14:textId="77777777" w:rsidR="0058049E" w:rsidRPr="004E1DE3" w:rsidRDefault="00573CA9" w:rsidP="0058049E">
      <w:pPr>
        <w:pStyle w:val="Paragrsimple"/>
        <w:tabs>
          <w:tab w:val="clear" w:pos="2062"/>
          <w:tab w:val="clear" w:pos="4755"/>
          <w:tab w:val="num" w:pos="0"/>
        </w:tabs>
        <w:ind w:left="0"/>
        <w:rPr>
          <w:lang w:val="en-CA"/>
        </w:rPr>
      </w:pPr>
      <w:r w:rsidRPr="004E1DE3">
        <w:rPr>
          <w:lang w:val="en-CA"/>
        </w:rPr>
        <w:t xml:space="preserve">This potential fault by </w:t>
      </w:r>
      <w:r w:rsidR="00940EDA" w:rsidRPr="004E1DE3">
        <w:rPr>
          <w:lang w:val="en-CA"/>
        </w:rPr>
        <w:t xml:space="preserve">Capital One </w:t>
      </w:r>
      <w:r w:rsidRPr="004E1DE3">
        <w:rPr>
          <w:lang w:val="en-CA"/>
        </w:rPr>
        <w:t xml:space="preserve">may also arise from keeping data concerning </w:t>
      </w:r>
      <w:r w:rsidR="007659A6" w:rsidRPr="004E1DE3">
        <w:rPr>
          <w:lang w:val="en-CA"/>
        </w:rPr>
        <w:t xml:space="preserve">some </w:t>
      </w:r>
      <w:r w:rsidRPr="004E1DE3">
        <w:rPr>
          <w:lang w:val="en-CA"/>
        </w:rPr>
        <w:t>members</w:t>
      </w:r>
      <w:r w:rsidR="007659A6" w:rsidRPr="004E1DE3">
        <w:rPr>
          <w:lang w:val="en-CA"/>
        </w:rPr>
        <w:t xml:space="preserve"> who had been refused</w:t>
      </w:r>
      <w:r w:rsidR="00E527C7">
        <w:rPr>
          <w:lang w:val="en-CA"/>
        </w:rPr>
        <w:t xml:space="preserve"> credit</w:t>
      </w:r>
      <w:r w:rsidR="007659A6" w:rsidRPr="004E1DE3">
        <w:rPr>
          <w:lang w:val="en-CA"/>
        </w:rPr>
        <w:t>, and for a large number of them, over an unreasonably long period</w:t>
      </w:r>
      <w:r w:rsidR="00940EDA" w:rsidRPr="004E1DE3">
        <w:rPr>
          <w:lang w:val="en-CA"/>
        </w:rPr>
        <w:t>.</w:t>
      </w:r>
    </w:p>
    <w:p w14:paraId="0722D0DA" w14:textId="77777777" w:rsidR="0058049E" w:rsidRPr="004E1DE3" w:rsidRDefault="00573CA9" w:rsidP="0058049E">
      <w:pPr>
        <w:pStyle w:val="Paragrsimple"/>
        <w:tabs>
          <w:tab w:val="clear" w:pos="2062"/>
          <w:tab w:val="clear" w:pos="4755"/>
          <w:tab w:val="num" w:pos="0"/>
        </w:tabs>
        <w:ind w:left="0"/>
        <w:rPr>
          <w:lang w:val="en-CA"/>
        </w:rPr>
      </w:pPr>
      <w:r w:rsidRPr="004E1DE3">
        <w:rPr>
          <w:lang w:val="en-CA"/>
        </w:rPr>
        <w:t xml:space="preserve">This fault thus arises from </w:t>
      </w:r>
      <w:r w:rsidR="009635AE" w:rsidRPr="004E1DE3">
        <w:rPr>
          <w:lang w:val="en-CA"/>
        </w:rPr>
        <w:t>Capital One</w:t>
      </w:r>
      <w:r w:rsidRPr="004E1DE3">
        <w:rPr>
          <w:lang w:val="en-CA"/>
        </w:rPr>
        <w:t xml:space="preserve">’s potential breach of the </w:t>
      </w:r>
      <w:r w:rsidR="009635AE" w:rsidRPr="004E1DE3">
        <w:rPr>
          <w:lang w:val="en-CA"/>
        </w:rPr>
        <w:t>undertakings</w:t>
      </w:r>
      <w:r w:rsidRPr="004E1DE3">
        <w:rPr>
          <w:lang w:val="en-CA"/>
        </w:rPr>
        <w:t xml:space="preserve"> flowing from its application form filled out by the putative </w:t>
      </w:r>
      <w:r w:rsidR="00251ECD">
        <w:rPr>
          <w:lang w:val="en-CA"/>
        </w:rPr>
        <w:t xml:space="preserve">class </w:t>
      </w:r>
      <w:r w:rsidRPr="004E1DE3">
        <w:rPr>
          <w:lang w:val="en-CA"/>
        </w:rPr>
        <w:t>members</w:t>
      </w:r>
      <w:r>
        <w:rPr>
          <w:rStyle w:val="Appelnotedebasdep"/>
          <w:lang w:val="en-CA"/>
        </w:rPr>
        <w:footnoteReference w:id="51"/>
      </w:r>
      <w:r w:rsidR="00940EDA" w:rsidRPr="004E1DE3">
        <w:rPr>
          <w:lang w:val="en-CA"/>
        </w:rPr>
        <w:t xml:space="preserve"> </w:t>
      </w:r>
      <w:r w:rsidRPr="004E1DE3">
        <w:rPr>
          <w:lang w:val="en-CA"/>
        </w:rPr>
        <w:t xml:space="preserve">and from the resulting consumer </w:t>
      </w:r>
      <w:r w:rsidR="00940EDA" w:rsidRPr="004E1DE3">
        <w:rPr>
          <w:lang w:val="en-CA"/>
        </w:rPr>
        <w:t>contra</w:t>
      </w:r>
      <w:r w:rsidRPr="004E1DE3">
        <w:rPr>
          <w:lang w:val="en-CA"/>
        </w:rPr>
        <w:t>c</w:t>
      </w:r>
      <w:r w:rsidR="00940EDA" w:rsidRPr="004E1DE3">
        <w:rPr>
          <w:lang w:val="en-CA"/>
        </w:rPr>
        <w:t xml:space="preserve">t </w:t>
      </w:r>
      <w:r w:rsidRPr="004E1DE3">
        <w:rPr>
          <w:lang w:val="en-CA"/>
        </w:rPr>
        <w:t xml:space="preserve">entered into between the </w:t>
      </w:r>
      <w:r w:rsidR="00940EDA" w:rsidRPr="004E1DE3">
        <w:rPr>
          <w:lang w:val="en-CA"/>
        </w:rPr>
        <w:t>parties, incorpor</w:t>
      </w:r>
      <w:r w:rsidRPr="004E1DE3">
        <w:rPr>
          <w:lang w:val="en-CA"/>
        </w:rPr>
        <w:t>ating the confidentiali</w:t>
      </w:r>
      <w:r w:rsidR="006C6E85" w:rsidRPr="004E1DE3">
        <w:rPr>
          <w:lang w:val="en-CA"/>
        </w:rPr>
        <w:t>t</w:t>
      </w:r>
      <w:r w:rsidRPr="004E1DE3">
        <w:rPr>
          <w:lang w:val="en-CA"/>
        </w:rPr>
        <w:t xml:space="preserve">y policy concerning the </w:t>
      </w:r>
      <w:r w:rsidR="00940EDA" w:rsidRPr="004E1DE3">
        <w:rPr>
          <w:lang w:val="en-CA"/>
        </w:rPr>
        <w:t>personal</w:t>
      </w:r>
      <w:r w:rsidRPr="004E1DE3">
        <w:rPr>
          <w:lang w:val="en-CA"/>
        </w:rPr>
        <w:t xml:space="preserve"> </w:t>
      </w:r>
      <w:r w:rsidR="00940EDA" w:rsidRPr="004E1DE3">
        <w:rPr>
          <w:lang w:val="en-CA"/>
        </w:rPr>
        <w:t>information obt</w:t>
      </w:r>
      <w:r w:rsidRPr="004E1DE3">
        <w:rPr>
          <w:lang w:val="en-CA"/>
        </w:rPr>
        <w:t xml:space="preserve">ained from its </w:t>
      </w:r>
      <w:r w:rsidR="00940EDA" w:rsidRPr="004E1DE3">
        <w:rPr>
          <w:lang w:val="en-CA"/>
        </w:rPr>
        <w:t xml:space="preserve">clients, </w:t>
      </w:r>
      <w:r w:rsidRPr="004E1DE3">
        <w:rPr>
          <w:lang w:val="en-CA"/>
        </w:rPr>
        <w:t xml:space="preserve">which </w:t>
      </w:r>
      <w:r w:rsidR="00940EDA" w:rsidRPr="004E1DE3">
        <w:rPr>
          <w:lang w:val="en-CA"/>
        </w:rPr>
        <w:t xml:space="preserve">documents </w:t>
      </w:r>
      <w:r w:rsidRPr="004E1DE3">
        <w:rPr>
          <w:lang w:val="en-CA"/>
        </w:rPr>
        <w:t>also refer to the applicab</w:t>
      </w:r>
      <w:r w:rsidR="006C6E85" w:rsidRPr="004E1DE3">
        <w:rPr>
          <w:lang w:val="en-CA"/>
        </w:rPr>
        <w:t xml:space="preserve">le </w:t>
      </w:r>
      <w:r w:rsidR="00940EDA" w:rsidRPr="004E1DE3">
        <w:rPr>
          <w:lang w:val="en-CA"/>
        </w:rPr>
        <w:t>legislation</w:t>
      </w:r>
      <w:r w:rsidR="006C6E85" w:rsidRPr="004E1DE3">
        <w:rPr>
          <w:lang w:val="en-CA"/>
        </w:rPr>
        <w:t xml:space="preserve"> and regulations, including the </w:t>
      </w:r>
      <w:r w:rsidR="00940EDA" w:rsidRPr="004E1DE3">
        <w:rPr>
          <w:lang w:val="en-CA"/>
        </w:rPr>
        <w:t>provisions</w:t>
      </w:r>
      <w:r w:rsidR="006C6E85" w:rsidRPr="004E1DE3">
        <w:rPr>
          <w:lang w:val="en-CA"/>
        </w:rPr>
        <w:t xml:space="preserve"> set out above of the Quebec </w:t>
      </w:r>
      <w:r w:rsidR="006C6E85" w:rsidRPr="004E1DE3">
        <w:rPr>
          <w:i/>
          <w:iCs/>
          <w:lang w:val="en-CA"/>
        </w:rPr>
        <w:t>Act respecting the protection of personal information in the private sector</w:t>
      </w:r>
      <w:r w:rsidR="006C6E85" w:rsidRPr="004E1DE3">
        <w:rPr>
          <w:lang w:val="en-CA"/>
        </w:rPr>
        <w:t>, the CC</w:t>
      </w:r>
      <w:r w:rsidR="00226F56" w:rsidRPr="004E1DE3">
        <w:rPr>
          <w:lang w:val="en-CA"/>
        </w:rPr>
        <w:t>Q</w:t>
      </w:r>
      <w:r w:rsidR="006C6E85" w:rsidRPr="004E1DE3">
        <w:rPr>
          <w:lang w:val="en-CA"/>
        </w:rPr>
        <w:t xml:space="preserve">, and perhaps the </w:t>
      </w:r>
      <w:r w:rsidR="002C4F7B" w:rsidRPr="004E1DE3">
        <w:rPr>
          <w:i/>
          <w:iCs/>
          <w:lang w:val="en-CA" w:eastAsia="fr-CA"/>
        </w:rPr>
        <w:t>Federal</w:t>
      </w:r>
      <w:r w:rsidR="006C6E85" w:rsidRPr="004E1DE3">
        <w:rPr>
          <w:i/>
          <w:iCs/>
          <w:lang w:val="en-CA"/>
        </w:rPr>
        <w:t xml:space="preserve"> Act</w:t>
      </w:r>
      <w:r w:rsidR="00940EDA" w:rsidRPr="004E1DE3">
        <w:rPr>
          <w:lang w:val="en-CA"/>
        </w:rPr>
        <w:t>.</w:t>
      </w:r>
    </w:p>
    <w:p w14:paraId="5DB2EE5F" w14:textId="77777777" w:rsidR="00FC5970" w:rsidRPr="004E1DE3" w:rsidRDefault="00573CA9" w:rsidP="00131625">
      <w:pPr>
        <w:pStyle w:val="Paragrsimple"/>
        <w:tabs>
          <w:tab w:val="clear" w:pos="2062"/>
          <w:tab w:val="clear" w:pos="4755"/>
          <w:tab w:val="num" w:pos="0"/>
          <w:tab w:val="num" w:pos="360"/>
        </w:tabs>
        <w:ind w:left="0"/>
        <w:rPr>
          <w:lang w:val="en-CA"/>
        </w:rPr>
      </w:pPr>
      <w:r w:rsidRPr="004E1DE3">
        <w:rPr>
          <w:lang w:val="en-CA"/>
        </w:rPr>
        <w:t>There</w:t>
      </w:r>
      <w:r w:rsidR="0095237D" w:rsidRPr="004E1DE3">
        <w:rPr>
          <w:lang w:val="en-CA"/>
        </w:rPr>
        <w:t>f</w:t>
      </w:r>
      <w:r w:rsidRPr="004E1DE3">
        <w:rPr>
          <w:lang w:val="en-CA"/>
        </w:rPr>
        <w:t xml:space="preserve">ore, despite the </w:t>
      </w:r>
      <w:r w:rsidR="009635AE" w:rsidRPr="004E1DE3">
        <w:rPr>
          <w:lang w:val="en-CA"/>
        </w:rPr>
        <w:t>terms</w:t>
      </w:r>
      <w:r w:rsidRPr="004E1DE3">
        <w:rPr>
          <w:lang w:val="en-CA"/>
        </w:rPr>
        <w:t xml:space="preserve"> of the</w:t>
      </w:r>
      <w:r w:rsidR="009635AE" w:rsidRPr="004E1DE3">
        <w:rPr>
          <w:lang w:val="en-CA"/>
        </w:rPr>
        <w:t xml:space="preserve"> contra</w:t>
      </w:r>
      <w:r w:rsidRPr="004E1DE3">
        <w:rPr>
          <w:lang w:val="en-CA"/>
        </w:rPr>
        <w:t>c</w:t>
      </w:r>
      <w:r w:rsidR="009635AE" w:rsidRPr="004E1DE3">
        <w:rPr>
          <w:lang w:val="en-CA"/>
        </w:rPr>
        <w:t>t</w:t>
      </w:r>
      <w:r w:rsidRPr="004E1DE3">
        <w:rPr>
          <w:lang w:val="en-CA"/>
        </w:rPr>
        <w:t xml:space="preserve"> </w:t>
      </w:r>
      <w:r w:rsidR="00DD7671" w:rsidRPr="004E1DE3">
        <w:rPr>
          <w:lang w:val="en-CA"/>
        </w:rPr>
        <w:t xml:space="preserve">Capital One </w:t>
      </w:r>
      <w:r w:rsidRPr="004E1DE3">
        <w:rPr>
          <w:lang w:val="en-CA"/>
        </w:rPr>
        <w:t xml:space="preserve">entered into with </w:t>
      </w:r>
      <w:r w:rsidR="004F02AB">
        <w:rPr>
          <w:lang w:val="en-CA"/>
        </w:rPr>
        <w:t>the</w:t>
      </w:r>
      <w:r w:rsidRPr="004E1DE3">
        <w:rPr>
          <w:lang w:val="en-CA"/>
        </w:rPr>
        <w:t xml:space="preserve"> </w:t>
      </w:r>
      <w:r w:rsidR="009635AE" w:rsidRPr="004E1DE3">
        <w:rPr>
          <w:lang w:val="en-CA"/>
        </w:rPr>
        <w:t>memb</w:t>
      </w:r>
      <w:r w:rsidRPr="004E1DE3">
        <w:rPr>
          <w:lang w:val="en-CA"/>
        </w:rPr>
        <w:t>e</w:t>
      </w:r>
      <w:r w:rsidR="009635AE" w:rsidRPr="004E1DE3">
        <w:rPr>
          <w:lang w:val="en-CA"/>
        </w:rPr>
        <w:t>rs,</w:t>
      </w:r>
      <w:r w:rsidRPr="004E1DE3">
        <w:rPr>
          <w:lang w:val="en-CA"/>
        </w:rPr>
        <w:t xml:space="preserve"> the </w:t>
      </w:r>
      <w:r w:rsidR="009635AE" w:rsidRPr="004E1DE3">
        <w:rPr>
          <w:lang w:val="en-CA"/>
        </w:rPr>
        <w:t>statutory</w:t>
      </w:r>
      <w:r w:rsidRPr="004E1DE3">
        <w:rPr>
          <w:lang w:val="en-CA"/>
        </w:rPr>
        <w:t xml:space="preserve"> </w:t>
      </w:r>
      <w:r w:rsidR="009635AE" w:rsidRPr="004E1DE3">
        <w:rPr>
          <w:lang w:val="en-CA"/>
        </w:rPr>
        <w:t>provisions</w:t>
      </w:r>
      <w:r w:rsidRPr="004E1DE3">
        <w:rPr>
          <w:lang w:val="en-CA"/>
        </w:rPr>
        <w:t xml:space="preserve"> </w:t>
      </w:r>
      <w:r w:rsidR="00DD7671" w:rsidRPr="004E1DE3">
        <w:rPr>
          <w:lang w:val="en-CA"/>
        </w:rPr>
        <w:t xml:space="preserve">it was subject </w:t>
      </w:r>
      <w:r w:rsidRPr="004E1DE3">
        <w:rPr>
          <w:lang w:val="en-CA"/>
        </w:rPr>
        <w:t>to, and the information security standards recognized in the industry</w:t>
      </w:r>
      <w:r w:rsidR="009635AE" w:rsidRPr="004E1DE3">
        <w:rPr>
          <w:lang w:val="en-CA"/>
        </w:rPr>
        <w:t xml:space="preserve">, </w:t>
      </w:r>
      <w:r w:rsidRPr="004E1DE3">
        <w:rPr>
          <w:lang w:val="en-CA"/>
        </w:rPr>
        <w:t xml:space="preserve">Capital One </w:t>
      </w:r>
      <w:r w:rsidR="00775D89" w:rsidRPr="004E1DE3">
        <w:rPr>
          <w:lang w:val="en-CA"/>
        </w:rPr>
        <w:t>failed</w:t>
      </w:r>
      <w:r w:rsidR="002C1BD9" w:rsidRPr="004E1DE3">
        <w:rPr>
          <w:lang w:val="en-CA"/>
        </w:rPr>
        <w:t xml:space="preserve"> t</w:t>
      </w:r>
      <w:r w:rsidR="00775D89" w:rsidRPr="004E1DE3">
        <w:rPr>
          <w:lang w:val="en-CA"/>
        </w:rPr>
        <w:t>o</w:t>
      </w:r>
      <w:r w:rsidR="002C1BD9" w:rsidRPr="004E1DE3">
        <w:rPr>
          <w:lang w:val="en-CA"/>
        </w:rPr>
        <w:t xml:space="preserve"> ade</w:t>
      </w:r>
      <w:r w:rsidR="009635AE" w:rsidRPr="004E1DE3">
        <w:rPr>
          <w:lang w:val="en-CA"/>
        </w:rPr>
        <w:t>quate</w:t>
      </w:r>
      <w:r w:rsidR="002C1BD9" w:rsidRPr="004E1DE3">
        <w:rPr>
          <w:lang w:val="en-CA"/>
        </w:rPr>
        <w:t xml:space="preserve">ly protect the </w:t>
      </w:r>
      <w:r w:rsidR="009635AE" w:rsidRPr="004E1DE3">
        <w:rPr>
          <w:lang w:val="en-CA"/>
        </w:rPr>
        <w:t>personal</w:t>
      </w:r>
      <w:r w:rsidR="002C1BD9" w:rsidRPr="004E1DE3">
        <w:rPr>
          <w:lang w:val="en-CA"/>
        </w:rPr>
        <w:t xml:space="preserve"> </w:t>
      </w:r>
      <w:r w:rsidR="009635AE" w:rsidRPr="004E1DE3">
        <w:rPr>
          <w:lang w:val="en-CA"/>
        </w:rPr>
        <w:t>information</w:t>
      </w:r>
      <w:r w:rsidR="002C1BD9" w:rsidRPr="004E1DE3">
        <w:rPr>
          <w:lang w:val="en-CA"/>
        </w:rPr>
        <w:t xml:space="preserve"> of its clients and their right to the </w:t>
      </w:r>
      <w:r w:rsidR="009635AE" w:rsidRPr="004E1DE3">
        <w:rPr>
          <w:lang w:val="en-CA"/>
        </w:rPr>
        <w:t xml:space="preserve">protection </w:t>
      </w:r>
      <w:r w:rsidR="002C1BD9" w:rsidRPr="004E1DE3">
        <w:rPr>
          <w:lang w:val="en-CA"/>
        </w:rPr>
        <w:t xml:space="preserve">of their </w:t>
      </w:r>
      <w:r w:rsidR="0009177D" w:rsidRPr="004E1DE3">
        <w:rPr>
          <w:lang w:val="en-CA"/>
        </w:rPr>
        <w:t>privacy</w:t>
      </w:r>
      <w:r w:rsidR="002C1BD9" w:rsidRPr="004E1DE3">
        <w:rPr>
          <w:lang w:val="en-CA"/>
        </w:rPr>
        <w:t xml:space="preserve"> </w:t>
      </w:r>
      <w:r w:rsidR="004F02AB">
        <w:rPr>
          <w:lang w:val="en-CA"/>
        </w:rPr>
        <w:t>and to</w:t>
      </w:r>
      <w:r w:rsidR="002C1BD9" w:rsidRPr="004E1DE3">
        <w:rPr>
          <w:lang w:val="en-CA"/>
        </w:rPr>
        <w:t xml:space="preserve"> take all required means or exercise the </w:t>
      </w:r>
      <w:r w:rsidR="00DD7671" w:rsidRPr="004E1DE3">
        <w:rPr>
          <w:lang w:val="en-CA"/>
        </w:rPr>
        <w:t xml:space="preserve">basic necessary </w:t>
      </w:r>
      <w:r w:rsidR="009635AE" w:rsidRPr="004E1DE3">
        <w:rPr>
          <w:lang w:val="en-CA"/>
        </w:rPr>
        <w:t xml:space="preserve">prudence </w:t>
      </w:r>
      <w:r w:rsidR="002C1BD9" w:rsidRPr="004E1DE3">
        <w:rPr>
          <w:lang w:val="en-CA"/>
        </w:rPr>
        <w:t xml:space="preserve">and </w:t>
      </w:r>
      <w:r w:rsidR="009635AE" w:rsidRPr="004E1DE3">
        <w:rPr>
          <w:lang w:val="en-CA"/>
        </w:rPr>
        <w:t xml:space="preserve">diligence </w:t>
      </w:r>
      <w:r w:rsidR="00DD7671" w:rsidRPr="004E1DE3">
        <w:rPr>
          <w:lang w:val="en-CA"/>
        </w:rPr>
        <w:t xml:space="preserve">normally required and that the putative </w:t>
      </w:r>
      <w:r w:rsidR="00D02AD1">
        <w:rPr>
          <w:lang w:val="en-CA"/>
        </w:rPr>
        <w:t xml:space="preserve">class </w:t>
      </w:r>
      <w:r w:rsidR="00DD7671" w:rsidRPr="004E1DE3">
        <w:rPr>
          <w:lang w:val="en-CA"/>
        </w:rPr>
        <w:t>members could expect</w:t>
      </w:r>
      <w:r w:rsidR="009635AE" w:rsidRPr="004E1DE3">
        <w:rPr>
          <w:lang w:val="en-CA"/>
        </w:rPr>
        <w:t>,</w:t>
      </w:r>
      <w:r w:rsidR="00DD7671" w:rsidRPr="004E1DE3">
        <w:rPr>
          <w:lang w:val="en-CA"/>
        </w:rPr>
        <w:t xml:space="preserve"> thereby violating its </w:t>
      </w:r>
      <w:r w:rsidR="009635AE" w:rsidRPr="004E1DE3">
        <w:rPr>
          <w:lang w:val="en-CA"/>
        </w:rPr>
        <w:t>contractu</w:t>
      </w:r>
      <w:r w:rsidR="00DD7671" w:rsidRPr="004E1DE3">
        <w:rPr>
          <w:lang w:val="en-CA"/>
        </w:rPr>
        <w:t>a</w:t>
      </w:r>
      <w:r w:rsidR="009635AE" w:rsidRPr="004E1DE3">
        <w:rPr>
          <w:lang w:val="en-CA"/>
        </w:rPr>
        <w:t>l</w:t>
      </w:r>
      <w:r w:rsidR="00DD7671" w:rsidRPr="004E1DE3">
        <w:rPr>
          <w:lang w:val="en-CA"/>
        </w:rPr>
        <w:t xml:space="preserve"> obligations, including the </w:t>
      </w:r>
      <w:r w:rsidR="009635AE" w:rsidRPr="004E1DE3">
        <w:rPr>
          <w:lang w:val="en-CA"/>
        </w:rPr>
        <w:t>statut</w:t>
      </w:r>
      <w:r w:rsidR="00DD7671" w:rsidRPr="004E1DE3">
        <w:rPr>
          <w:lang w:val="en-CA"/>
        </w:rPr>
        <w:t xml:space="preserve">ory obligations set out above and applicable to it, at the time of this unauthorized </w:t>
      </w:r>
      <w:r w:rsidR="009635AE" w:rsidRPr="004E1DE3">
        <w:rPr>
          <w:lang w:val="en-CA"/>
        </w:rPr>
        <w:t xml:space="preserve">intrusion </w:t>
      </w:r>
      <w:r w:rsidR="00DD7671" w:rsidRPr="004E1DE3">
        <w:rPr>
          <w:lang w:val="en-CA"/>
        </w:rPr>
        <w:t xml:space="preserve">in </w:t>
      </w:r>
      <w:r w:rsidR="009635AE" w:rsidRPr="004E1DE3">
        <w:rPr>
          <w:lang w:val="en-CA"/>
        </w:rPr>
        <w:t>March 2019</w:t>
      </w:r>
      <w:r w:rsidR="00DD7671" w:rsidRPr="004E1DE3">
        <w:rPr>
          <w:lang w:val="en-CA"/>
        </w:rPr>
        <w:t>. Next, it failed to warn of</w:t>
      </w:r>
      <w:r w:rsidR="0095237D" w:rsidRPr="004E1DE3">
        <w:rPr>
          <w:lang w:val="en-CA"/>
        </w:rPr>
        <w:t xml:space="preserve"> this </w:t>
      </w:r>
      <w:r w:rsidR="009635AE" w:rsidRPr="004E1DE3">
        <w:rPr>
          <w:lang w:val="en-CA"/>
        </w:rPr>
        <w:t>confidentialit</w:t>
      </w:r>
      <w:r w:rsidR="0095237D" w:rsidRPr="004E1DE3">
        <w:rPr>
          <w:lang w:val="en-CA"/>
        </w:rPr>
        <w:t xml:space="preserve">y incident that had become </w:t>
      </w:r>
      <w:r w:rsidR="009635AE" w:rsidRPr="004E1DE3">
        <w:rPr>
          <w:lang w:val="en-CA"/>
        </w:rPr>
        <w:t>possible</w:t>
      </w:r>
      <w:r w:rsidR="00775D89" w:rsidRPr="004E1DE3">
        <w:rPr>
          <w:lang w:val="en-CA"/>
        </w:rPr>
        <w:t xml:space="preserve"> if not </w:t>
      </w:r>
      <w:r w:rsidR="009635AE" w:rsidRPr="004E1DE3">
        <w:rPr>
          <w:lang w:val="en-CA"/>
        </w:rPr>
        <w:t xml:space="preserve">probable </w:t>
      </w:r>
      <w:r w:rsidR="00775D89" w:rsidRPr="004E1DE3">
        <w:rPr>
          <w:lang w:val="en-CA"/>
        </w:rPr>
        <w:t xml:space="preserve">following this massive </w:t>
      </w:r>
      <w:r w:rsidR="009635AE" w:rsidRPr="004E1DE3">
        <w:rPr>
          <w:lang w:val="en-CA"/>
        </w:rPr>
        <w:t xml:space="preserve">migration </w:t>
      </w:r>
      <w:r w:rsidR="00775D89" w:rsidRPr="004E1DE3">
        <w:rPr>
          <w:lang w:val="en-CA"/>
        </w:rPr>
        <w:t xml:space="preserve">of the </w:t>
      </w:r>
      <w:r w:rsidR="009635AE" w:rsidRPr="004E1DE3">
        <w:rPr>
          <w:lang w:val="en-CA"/>
        </w:rPr>
        <w:t>personal</w:t>
      </w:r>
      <w:r w:rsidR="00775D89" w:rsidRPr="004E1DE3">
        <w:rPr>
          <w:lang w:val="en-CA"/>
        </w:rPr>
        <w:t xml:space="preserve"> </w:t>
      </w:r>
      <w:r w:rsidR="009635AE" w:rsidRPr="004E1DE3">
        <w:rPr>
          <w:lang w:val="en-CA"/>
        </w:rPr>
        <w:t>information</w:t>
      </w:r>
      <w:r w:rsidR="00775D89" w:rsidRPr="004E1DE3">
        <w:rPr>
          <w:lang w:val="en-CA"/>
        </w:rPr>
        <w:t xml:space="preserve"> of its c</w:t>
      </w:r>
      <w:r w:rsidR="009635AE" w:rsidRPr="004E1DE3">
        <w:rPr>
          <w:lang w:val="en-CA"/>
        </w:rPr>
        <w:t xml:space="preserve">lients </w:t>
      </w:r>
      <w:r w:rsidR="00775D89" w:rsidRPr="004E1DE3">
        <w:rPr>
          <w:lang w:val="en-CA"/>
        </w:rPr>
        <w:t>in</w:t>
      </w:r>
      <w:r w:rsidR="009635AE" w:rsidRPr="004E1DE3">
        <w:rPr>
          <w:lang w:val="en-CA"/>
        </w:rPr>
        <w:t xml:space="preserve"> 2015 </w:t>
      </w:r>
      <w:r w:rsidR="00775D89" w:rsidRPr="004E1DE3">
        <w:rPr>
          <w:lang w:val="en-CA"/>
        </w:rPr>
        <w:t xml:space="preserve">to the cloud service offered by </w:t>
      </w:r>
      <w:r w:rsidR="009635AE" w:rsidRPr="004E1DE3">
        <w:rPr>
          <w:lang w:val="en-CA"/>
        </w:rPr>
        <w:t xml:space="preserve">Amazon, </w:t>
      </w:r>
      <w:r w:rsidR="00775D89" w:rsidRPr="004E1DE3">
        <w:rPr>
          <w:lang w:val="en-CA"/>
        </w:rPr>
        <w:t>and to subsequently remedy the deficiencies in its system</w:t>
      </w:r>
      <w:r w:rsidR="009635AE" w:rsidRPr="004E1DE3">
        <w:rPr>
          <w:lang w:val="en-CA"/>
        </w:rPr>
        <w:t>.</w:t>
      </w:r>
    </w:p>
    <w:p w14:paraId="346F8EAD" w14:textId="77777777" w:rsidR="0093592B" w:rsidRPr="004E1DE3" w:rsidRDefault="00573CA9" w:rsidP="008132C7">
      <w:pPr>
        <w:pStyle w:val="Titre4"/>
        <w:rPr>
          <w:lang w:val="en-CA"/>
        </w:rPr>
      </w:pPr>
      <w:r w:rsidRPr="004E1DE3">
        <w:rPr>
          <w:lang w:val="en-CA"/>
        </w:rPr>
        <w:tab/>
      </w:r>
      <w:bookmarkStart w:id="18" w:name="_Toc256000008"/>
      <w:bookmarkStart w:id="19" w:name="_Toc148419871"/>
      <w:r w:rsidR="002176DF" w:rsidRPr="004E1DE3">
        <w:rPr>
          <w:lang w:val="en-CA"/>
        </w:rPr>
        <w:t xml:space="preserve">False or misleading </w:t>
      </w:r>
      <w:r w:rsidR="00111EC4" w:rsidRPr="004E1DE3">
        <w:rPr>
          <w:lang w:val="en-CA"/>
        </w:rPr>
        <w:t>representations</w:t>
      </w:r>
      <w:bookmarkEnd w:id="18"/>
      <w:bookmarkEnd w:id="19"/>
    </w:p>
    <w:p w14:paraId="36C1465C" w14:textId="77777777" w:rsidR="003102CD" w:rsidRPr="004E1DE3" w:rsidRDefault="00573CA9" w:rsidP="008C1178">
      <w:pPr>
        <w:pStyle w:val="Paragrdouble"/>
        <w:tabs>
          <w:tab w:val="num" w:pos="851"/>
        </w:tabs>
        <w:spacing w:line="240" w:lineRule="auto"/>
        <w:ind w:left="0"/>
        <w:rPr>
          <w:i/>
          <w:iCs/>
          <w:lang w:val="en-CA"/>
        </w:rPr>
      </w:pPr>
      <w:r w:rsidRPr="004E1DE3">
        <w:rPr>
          <w:lang w:val="en-CA"/>
        </w:rPr>
        <w:t xml:space="preserve">The plaintiffs also fault </w:t>
      </w:r>
      <w:r w:rsidR="00940EDA" w:rsidRPr="004E1DE3">
        <w:rPr>
          <w:lang w:val="en-CA"/>
        </w:rPr>
        <w:t>Capital One</w:t>
      </w:r>
      <w:r w:rsidRPr="004E1DE3">
        <w:rPr>
          <w:lang w:val="en-CA"/>
        </w:rPr>
        <w:t xml:space="preserve"> for having falsely represented to its clients for many years the value and reliability of its </w:t>
      </w:r>
      <w:r w:rsidR="00940EDA" w:rsidRPr="004E1DE3">
        <w:rPr>
          <w:lang w:val="en-CA"/>
        </w:rPr>
        <w:t xml:space="preserve">protection </w:t>
      </w:r>
      <w:r w:rsidRPr="004E1DE3">
        <w:rPr>
          <w:lang w:val="en-CA"/>
        </w:rPr>
        <w:t xml:space="preserve">and </w:t>
      </w:r>
      <w:r w:rsidR="00940EDA" w:rsidRPr="004E1DE3">
        <w:rPr>
          <w:lang w:val="en-CA"/>
        </w:rPr>
        <w:t>s</w:t>
      </w:r>
      <w:r w:rsidRPr="004E1DE3">
        <w:rPr>
          <w:lang w:val="en-CA"/>
        </w:rPr>
        <w:t>e</w:t>
      </w:r>
      <w:r w:rsidR="00940EDA" w:rsidRPr="004E1DE3">
        <w:rPr>
          <w:lang w:val="en-CA"/>
        </w:rPr>
        <w:t>curit</w:t>
      </w:r>
      <w:r w:rsidRPr="004E1DE3">
        <w:rPr>
          <w:lang w:val="en-CA"/>
        </w:rPr>
        <w:t xml:space="preserve">y system for the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obtained from its </w:t>
      </w:r>
      <w:r w:rsidR="00940EDA" w:rsidRPr="004E1DE3">
        <w:rPr>
          <w:lang w:val="en-CA"/>
        </w:rPr>
        <w:t xml:space="preserve">clients, </w:t>
      </w:r>
      <w:r w:rsidRPr="004E1DE3">
        <w:rPr>
          <w:lang w:val="en-CA"/>
        </w:rPr>
        <w:t xml:space="preserve">thereby inciting its clients to entrust their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to it</w:t>
      </w:r>
      <w:r w:rsidR="00940EDA" w:rsidRPr="004E1DE3">
        <w:rPr>
          <w:lang w:val="en-CA"/>
        </w:rPr>
        <w:t>.</w:t>
      </w:r>
    </w:p>
    <w:p w14:paraId="2FB50426" w14:textId="77777777" w:rsidR="00F3554C" w:rsidRPr="004E1DE3" w:rsidRDefault="00573CA9" w:rsidP="00F3554C">
      <w:pPr>
        <w:pStyle w:val="Paragrdouble"/>
        <w:tabs>
          <w:tab w:val="num" w:pos="851"/>
        </w:tabs>
        <w:spacing w:line="240" w:lineRule="auto"/>
        <w:ind w:left="0"/>
        <w:rPr>
          <w:i/>
          <w:iCs/>
          <w:lang w:val="en-CA"/>
        </w:rPr>
      </w:pPr>
      <w:r w:rsidRPr="004E1DE3">
        <w:rPr>
          <w:lang w:val="en-CA"/>
        </w:rPr>
        <w:t xml:space="preserve">The plaintiffs rely </w:t>
      </w:r>
      <w:r w:rsidR="00CC77AD" w:rsidRPr="004E1DE3">
        <w:rPr>
          <w:lang w:val="en-CA"/>
        </w:rPr>
        <w:t xml:space="preserve">on the same </w:t>
      </w:r>
      <w:r w:rsidR="00940EDA" w:rsidRPr="004E1DE3">
        <w:rPr>
          <w:lang w:val="en-CA"/>
        </w:rPr>
        <w:t xml:space="preserve">documents </w:t>
      </w:r>
      <w:r w:rsidR="00CC77AD" w:rsidRPr="004E1DE3">
        <w:rPr>
          <w:lang w:val="en-CA"/>
        </w:rPr>
        <w:t xml:space="preserve">referred to above to establish </w:t>
      </w:r>
      <w:r w:rsidR="00940EDA" w:rsidRPr="004E1DE3">
        <w:rPr>
          <w:lang w:val="en-CA"/>
        </w:rPr>
        <w:t>Capital One</w:t>
      </w:r>
      <w:r w:rsidR="00CC77AD" w:rsidRPr="004E1DE3">
        <w:rPr>
          <w:lang w:val="en-CA"/>
        </w:rPr>
        <w:t xml:space="preserve">’s fault against the putative </w:t>
      </w:r>
      <w:r w:rsidR="00FE31E7">
        <w:rPr>
          <w:lang w:val="en-CA"/>
        </w:rPr>
        <w:t xml:space="preserve">class </w:t>
      </w:r>
      <w:r w:rsidR="00940EDA" w:rsidRPr="004E1DE3">
        <w:rPr>
          <w:lang w:val="en-CA"/>
        </w:rPr>
        <w:t>memb</w:t>
      </w:r>
      <w:r w:rsidR="00983503" w:rsidRPr="004E1DE3">
        <w:rPr>
          <w:lang w:val="en-CA"/>
        </w:rPr>
        <w:t>e</w:t>
      </w:r>
      <w:r w:rsidR="00940EDA" w:rsidRPr="004E1DE3">
        <w:rPr>
          <w:lang w:val="en-CA"/>
        </w:rPr>
        <w:t>rs</w:t>
      </w:r>
      <w:r w:rsidR="00983503" w:rsidRPr="004E1DE3">
        <w:rPr>
          <w:lang w:val="en-CA"/>
        </w:rPr>
        <w:t xml:space="preserve">, but this time to argue that it made </w:t>
      </w:r>
      <w:r w:rsidR="00940EDA" w:rsidRPr="004E1DE3">
        <w:rPr>
          <w:lang w:val="en-CA"/>
        </w:rPr>
        <w:t>false</w:t>
      </w:r>
      <w:r w:rsidR="00983503" w:rsidRPr="004E1DE3">
        <w:rPr>
          <w:lang w:val="en-CA"/>
        </w:rPr>
        <w:t xml:space="preserve"> </w:t>
      </w:r>
      <w:r w:rsidR="00940EDA" w:rsidRPr="004E1DE3">
        <w:rPr>
          <w:lang w:val="en-CA"/>
        </w:rPr>
        <w:t>or</w:t>
      </w:r>
      <w:r w:rsidR="00983503" w:rsidRPr="004E1DE3">
        <w:rPr>
          <w:lang w:val="en-CA"/>
        </w:rPr>
        <w:t xml:space="preserve"> </w:t>
      </w:r>
      <w:r w:rsidR="00940EDA" w:rsidRPr="004E1DE3">
        <w:rPr>
          <w:lang w:val="en-CA"/>
        </w:rPr>
        <w:t>misleading</w:t>
      </w:r>
      <w:r w:rsidR="00983503" w:rsidRPr="004E1DE3">
        <w:rPr>
          <w:lang w:val="en-CA"/>
        </w:rPr>
        <w:t xml:space="preserve"> </w:t>
      </w:r>
      <w:r w:rsidR="00940EDA" w:rsidRPr="004E1DE3">
        <w:rPr>
          <w:lang w:val="en-CA"/>
        </w:rPr>
        <w:t>representation</w:t>
      </w:r>
      <w:r w:rsidR="00983503" w:rsidRPr="004E1DE3">
        <w:rPr>
          <w:lang w:val="en-CA"/>
        </w:rPr>
        <w:t xml:space="preserve">s, in particular in </w:t>
      </w:r>
      <w:r w:rsidR="00940EDA" w:rsidRPr="004E1DE3">
        <w:rPr>
          <w:lang w:val="en-CA"/>
        </w:rPr>
        <w:t>2015</w:t>
      </w:r>
      <w:r w:rsidR="008B71B8" w:rsidRPr="004E1DE3">
        <w:rPr>
          <w:lang w:val="en-CA"/>
        </w:rPr>
        <w:t xml:space="preserve"> on the </w:t>
      </w:r>
      <w:r w:rsidR="00940EDA" w:rsidRPr="004E1DE3">
        <w:rPr>
          <w:lang w:val="en-CA"/>
        </w:rPr>
        <w:t xml:space="preserve">protection </w:t>
      </w:r>
      <w:r w:rsidR="008B71B8" w:rsidRPr="004E1DE3">
        <w:rPr>
          <w:lang w:val="en-CA"/>
        </w:rPr>
        <w:t xml:space="preserve">and </w:t>
      </w:r>
      <w:r w:rsidR="00940EDA" w:rsidRPr="004E1DE3">
        <w:rPr>
          <w:lang w:val="en-CA"/>
        </w:rPr>
        <w:t>s</w:t>
      </w:r>
      <w:r w:rsidR="008B71B8" w:rsidRPr="004E1DE3">
        <w:rPr>
          <w:lang w:val="en-CA"/>
        </w:rPr>
        <w:t>e</w:t>
      </w:r>
      <w:r w:rsidR="00940EDA" w:rsidRPr="004E1DE3">
        <w:rPr>
          <w:lang w:val="en-CA"/>
        </w:rPr>
        <w:t>curit</w:t>
      </w:r>
      <w:r w:rsidR="008B71B8" w:rsidRPr="004E1DE3">
        <w:rPr>
          <w:lang w:val="en-CA"/>
        </w:rPr>
        <w:t xml:space="preserve">y measures apparently implemented to protect the private and </w:t>
      </w:r>
      <w:r w:rsidR="00940EDA" w:rsidRPr="004E1DE3">
        <w:rPr>
          <w:lang w:val="en-CA"/>
        </w:rPr>
        <w:t>confidenti</w:t>
      </w:r>
      <w:r w:rsidR="00651F32" w:rsidRPr="004E1DE3">
        <w:rPr>
          <w:lang w:val="en-CA"/>
        </w:rPr>
        <w:t>a</w:t>
      </w:r>
      <w:r w:rsidR="00940EDA" w:rsidRPr="004E1DE3">
        <w:rPr>
          <w:lang w:val="en-CA"/>
        </w:rPr>
        <w:t>l</w:t>
      </w:r>
      <w:r w:rsidR="00651F32" w:rsidRPr="004E1DE3">
        <w:rPr>
          <w:lang w:val="en-CA"/>
        </w:rPr>
        <w:t xml:space="preserve"> nature of their </w:t>
      </w:r>
      <w:r w:rsidR="00940EDA" w:rsidRPr="004E1DE3">
        <w:rPr>
          <w:lang w:val="en-CA"/>
        </w:rPr>
        <w:t>personal</w:t>
      </w:r>
      <w:r w:rsidR="00651F32" w:rsidRPr="004E1DE3">
        <w:rPr>
          <w:lang w:val="en-CA"/>
        </w:rPr>
        <w:t xml:space="preserve"> </w:t>
      </w:r>
      <w:r w:rsidR="00940EDA" w:rsidRPr="004E1DE3">
        <w:rPr>
          <w:lang w:val="en-CA"/>
        </w:rPr>
        <w:t>information</w:t>
      </w:r>
      <w:r w:rsidR="00651F32" w:rsidRPr="004E1DE3">
        <w:rPr>
          <w:lang w:val="en-CA"/>
        </w:rPr>
        <w:t>.</w:t>
      </w:r>
      <w:r>
        <w:rPr>
          <w:rStyle w:val="Appelnotedebasdep"/>
          <w:lang w:val="en-CA"/>
        </w:rPr>
        <w:footnoteReference w:id="52"/>
      </w:r>
    </w:p>
    <w:p w14:paraId="4E6CFFA5" w14:textId="77777777" w:rsidR="00FC5970" w:rsidRPr="004E1DE3" w:rsidRDefault="00573CA9" w:rsidP="00FC5970">
      <w:pPr>
        <w:pStyle w:val="Paragrdouble"/>
        <w:tabs>
          <w:tab w:val="num" w:pos="851"/>
        </w:tabs>
        <w:spacing w:line="240" w:lineRule="auto"/>
        <w:ind w:left="0"/>
        <w:rPr>
          <w:i/>
          <w:iCs/>
          <w:lang w:val="en-CA"/>
        </w:rPr>
      </w:pPr>
      <w:r w:rsidRPr="004E1DE3">
        <w:rPr>
          <w:lang w:val="en-CA"/>
        </w:rPr>
        <w:lastRenderedPageBreak/>
        <w:t xml:space="preserve">The plaintiffs therefore again invoke the content of these contractual </w:t>
      </w:r>
      <w:r w:rsidR="00AB3D95" w:rsidRPr="004E1DE3">
        <w:rPr>
          <w:lang w:val="en-CA"/>
        </w:rPr>
        <w:t xml:space="preserve">documents </w:t>
      </w:r>
      <w:r w:rsidRPr="004E1DE3">
        <w:rPr>
          <w:lang w:val="en-CA"/>
        </w:rPr>
        <w:t xml:space="preserve">regarding </w:t>
      </w:r>
      <w:r w:rsidR="00AB3D95" w:rsidRPr="004E1DE3">
        <w:rPr>
          <w:lang w:val="en-CA"/>
        </w:rPr>
        <w:t xml:space="preserve">Capital One, </w:t>
      </w:r>
      <w:r w:rsidRPr="004E1DE3">
        <w:rPr>
          <w:lang w:val="en-CA"/>
        </w:rPr>
        <w:t>and the excerpts from its web</w:t>
      </w:r>
      <w:r w:rsidR="00AB3D95" w:rsidRPr="004E1DE3">
        <w:rPr>
          <w:lang w:val="en-CA"/>
        </w:rPr>
        <w:t>site</w:t>
      </w:r>
      <w:r w:rsidRPr="004E1DE3">
        <w:rPr>
          <w:lang w:val="en-CA"/>
        </w:rPr>
        <w:t xml:space="preserve">, to </w:t>
      </w:r>
      <w:r w:rsidR="00AB3D95" w:rsidRPr="004E1DE3">
        <w:rPr>
          <w:lang w:val="en-CA"/>
        </w:rPr>
        <w:t xml:space="preserve">describe </w:t>
      </w:r>
      <w:r w:rsidRPr="004E1DE3">
        <w:rPr>
          <w:lang w:val="en-CA"/>
        </w:rPr>
        <w:t xml:space="preserve">these </w:t>
      </w:r>
      <w:r w:rsidR="00AB3D95" w:rsidRPr="004E1DE3">
        <w:rPr>
          <w:lang w:val="en-CA"/>
        </w:rPr>
        <w:t>false</w:t>
      </w:r>
      <w:r w:rsidRPr="004E1DE3">
        <w:rPr>
          <w:lang w:val="en-CA"/>
        </w:rPr>
        <w:t xml:space="preserve"> </w:t>
      </w:r>
      <w:r w:rsidR="00AB3D95" w:rsidRPr="004E1DE3">
        <w:rPr>
          <w:lang w:val="en-CA"/>
        </w:rPr>
        <w:t>or</w:t>
      </w:r>
      <w:r w:rsidRPr="004E1DE3">
        <w:rPr>
          <w:lang w:val="en-CA"/>
        </w:rPr>
        <w:t xml:space="preserve"> </w:t>
      </w:r>
      <w:r w:rsidR="00AB3D95" w:rsidRPr="004E1DE3">
        <w:rPr>
          <w:lang w:val="en-CA"/>
        </w:rPr>
        <w:t>misleading</w:t>
      </w:r>
      <w:r w:rsidRPr="004E1DE3">
        <w:rPr>
          <w:lang w:val="en-CA"/>
        </w:rPr>
        <w:t xml:space="preserve"> </w:t>
      </w:r>
      <w:r w:rsidR="00AB3D95" w:rsidRPr="004E1DE3">
        <w:rPr>
          <w:lang w:val="en-CA"/>
        </w:rPr>
        <w:t>representation</w:t>
      </w:r>
      <w:r w:rsidRPr="004E1DE3">
        <w:rPr>
          <w:lang w:val="en-CA"/>
        </w:rPr>
        <w:t xml:space="preserve">s with respect to </w:t>
      </w:r>
      <w:r w:rsidR="00AB3D95" w:rsidRPr="004E1DE3">
        <w:rPr>
          <w:lang w:val="en-CA"/>
        </w:rPr>
        <w:t xml:space="preserve">Amazon </w:t>
      </w:r>
      <w:r w:rsidRPr="004E1DE3">
        <w:rPr>
          <w:lang w:val="en-CA"/>
        </w:rPr>
        <w:t>as well, as we will see below.</w:t>
      </w:r>
      <w:r>
        <w:rPr>
          <w:rStyle w:val="Appelnotedebasdep"/>
          <w:lang w:val="en-CA"/>
        </w:rPr>
        <w:footnoteReference w:id="53"/>
      </w:r>
    </w:p>
    <w:p w14:paraId="46982E9D" w14:textId="77777777" w:rsidR="003E40A6" w:rsidRPr="004E1DE3" w:rsidRDefault="00573CA9" w:rsidP="00B4149B">
      <w:pPr>
        <w:pStyle w:val="Paragrsimple"/>
        <w:tabs>
          <w:tab w:val="clear" w:pos="2062"/>
          <w:tab w:val="clear" w:pos="4755"/>
        </w:tabs>
        <w:ind w:left="0"/>
        <w:rPr>
          <w:lang w:val="en-CA"/>
        </w:rPr>
      </w:pPr>
      <w:r w:rsidRPr="004E1DE3">
        <w:rPr>
          <w:lang w:val="en-CA"/>
        </w:rPr>
        <w:t xml:space="preserve">First of all, the </w:t>
      </w:r>
      <w:r w:rsidR="00940EDA" w:rsidRPr="004E1DE3">
        <w:rPr>
          <w:lang w:val="en-CA"/>
        </w:rPr>
        <w:t>application</w:t>
      </w:r>
      <w:r w:rsidRPr="004E1DE3">
        <w:rPr>
          <w:lang w:val="en-CA"/>
        </w:rPr>
        <w:t xml:space="preserve"> is silent with respect to whether the plaintiffs could take note of the content of all these</w:t>
      </w:r>
      <w:r w:rsidR="00940EDA" w:rsidRPr="004E1DE3">
        <w:rPr>
          <w:lang w:val="en-CA"/>
        </w:rPr>
        <w:t xml:space="preserve"> documents </w:t>
      </w:r>
      <w:r w:rsidRPr="004E1DE3">
        <w:rPr>
          <w:lang w:val="en-CA"/>
        </w:rPr>
        <w:t xml:space="preserve">before filling out their </w:t>
      </w:r>
      <w:r w:rsidR="002F02B5" w:rsidRPr="004E1DE3">
        <w:rPr>
          <w:lang w:val="en-CA"/>
        </w:rPr>
        <w:t xml:space="preserve">Capital One </w:t>
      </w:r>
      <w:r w:rsidR="00940EDA" w:rsidRPr="004E1DE3">
        <w:rPr>
          <w:lang w:val="en-CA"/>
        </w:rPr>
        <w:t>application</w:t>
      </w:r>
      <w:r w:rsidR="002F02B5" w:rsidRPr="004E1DE3">
        <w:rPr>
          <w:lang w:val="en-CA"/>
        </w:rPr>
        <w:t xml:space="preserve"> forms and </w:t>
      </w:r>
      <w:r w:rsidR="00940EDA" w:rsidRPr="004E1DE3">
        <w:rPr>
          <w:lang w:val="en-CA"/>
        </w:rPr>
        <w:t>contract</w:t>
      </w:r>
      <w:r w:rsidR="002F02B5" w:rsidRPr="004E1DE3">
        <w:rPr>
          <w:lang w:val="en-CA"/>
        </w:rPr>
        <w:t>ing with it</w:t>
      </w:r>
      <w:r w:rsidR="00940EDA" w:rsidRPr="004E1DE3">
        <w:rPr>
          <w:lang w:val="en-CA"/>
        </w:rPr>
        <w:t>.</w:t>
      </w:r>
    </w:p>
    <w:p w14:paraId="5741166C" w14:textId="77777777" w:rsidR="009635AE" w:rsidRPr="004E1DE3" w:rsidRDefault="00573CA9" w:rsidP="00B4149B">
      <w:pPr>
        <w:pStyle w:val="Paragrsimple"/>
        <w:tabs>
          <w:tab w:val="clear" w:pos="2062"/>
          <w:tab w:val="clear" w:pos="4755"/>
          <w:tab w:val="num" w:pos="0"/>
        </w:tabs>
        <w:ind w:left="0"/>
        <w:rPr>
          <w:lang w:val="en-CA"/>
        </w:rPr>
      </w:pPr>
      <w:r w:rsidRPr="004E1DE3">
        <w:rPr>
          <w:lang w:val="en-CA"/>
        </w:rPr>
        <w:t>I</w:t>
      </w:r>
      <w:r w:rsidR="00940EDA" w:rsidRPr="004E1DE3">
        <w:rPr>
          <w:lang w:val="en-CA"/>
        </w:rPr>
        <w:t>n</w:t>
      </w:r>
      <w:r w:rsidRPr="004E1DE3">
        <w:rPr>
          <w:lang w:val="en-CA"/>
        </w:rPr>
        <w:t xml:space="preserve"> </w:t>
      </w:r>
      <w:r w:rsidR="00940EDA" w:rsidRPr="004E1DE3">
        <w:rPr>
          <w:lang w:val="en-CA"/>
        </w:rPr>
        <w:t xml:space="preserve">addition, </w:t>
      </w:r>
      <w:r w:rsidRPr="004E1DE3">
        <w:rPr>
          <w:lang w:val="en-CA"/>
        </w:rPr>
        <w:t xml:space="preserve">nothing in the </w:t>
      </w:r>
      <w:r w:rsidR="00940EDA" w:rsidRPr="004E1DE3">
        <w:rPr>
          <w:lang w:val="en-CA"/>
        </w:rPr>
        <w:t>all</w:t>
      </w:r>
      <w:r w:rsidRPr="004E1DE3">
        <w:rPr>
          <w:lang w:val="en-CA"/>
        </w:rPr>
        <w:t>e</w:t>
      </w:r>
      <w:r w:rsidR="00940EDA" w:rsidRPr="004E1DE3">
        <w:rPr>
          <w:lang w:val="en-CA"/>
        </w:rPr>
        <w:t xml:space="preserve">gations </w:t>
      </w:r>
      <w:r w:rsidRPr="004E1DE3">
        <w:rPr>
          <w:lang w:val="en-CA"/>
        </w:rPr>
        <w:t>of the Ap</w:t>
      </w:r>
      <w:r w:rsidR="00940EDA" w:rsidRPr="004E1DE3">
        <w:rPr>
          <w:lang w:val="en-CA"/>
        </w:rPr>
        <w:t>plication</w:t>
      </w:r>
      <w:r w:rsidRPr="004E1DE3">
        <w:rPr>
          <w:lang w:val="en-CA"/>
        </w:rPr>
        <w:t xml:space="preserve"> shows that any </w:t>
      </w:r>
      <w:r w:rsidR="00940EDA" w:rsidRPr="004E1DE3">
        <w:rPr>
          <w:lang w:val="en-CA"/>
        </w:rPr>
        <w:t xml:space="preserve">information </w:t>
      </w:r>
      <w:r w:rsidR="00196F22" w:rsidRPr="004E1DE3">
        <w:rPr>
          <w:lang w:val="en-CA"/>
        </w:rPr>
        <w:t xml:space="preserve">provided to the plaintiffs and the </w:t>
      </w:r>
      <w:r w:rsidR="000C0E60">
        <w:rPr>
          <w:lang w:val="en-CA"/>
        </w:rPr>
        <w:t xml:space="preserve">class </w:t>
      </w:r>
      <w:r w:rsidR="00196F22" w:rsidRPr="004E1DE3">
        <w:rPr>
          <w:lang w:val="en-CA"/>
        </w:rPr>
        <w:t xml:space="preserve">members by </w:t>
      </w:r>
      <w:r w:rsidR="00940EDA" w:rsidRPr="004E1DE3">
        <w:rPr>
          <w:lang w:val="en-CA"/>
        </w:rPr>
        <w:t>Capital One,</w:t>
      </w:r>
      <w:r w:rsidR="00196F22" w:rsidRPr="004E1DE3">
        <w:rPr>
          <w:lang w:val="en-CA"/>
        </w:rPr>
        <w:t xml:space="preserve"> or published by it, subsequently turned out to be false or misleading at any time between </w:t>
      </w:r>
      <w:r w:rsidR="00940EDA" w:rsidRPr="004E1DE3">
        <w:rPr>
          <w:lang w:val="en-CA"/>
        </w:rPr>
        <w:t xml:space="preserve">2015 </w:t>
      </w:r>
      <w:r w:rsidR="00EB22A7" w:rsidRPr="004E1DE3">
        <w:rPr>
          <w:lang w:val="en-CA"/>
        </w:rPr>
        <w:t>and</w:t>
      </w:r>
      <w:r w:rsidR="00940EDA" w:rsidRPr="004E1DE3">
        <w:rPr>
          <w:lang w:val="en-CA"/>
        </w:rPr>
        <w:t xml:space="preserve"> 2019.</w:t>
      </w:r>
    </w:p>
    <w:p w14:paraId="770621D2" w14:textId="77777777" w:rsidR="00F3554C" w:rsidRPr="004E1DE3" w:rsidRDefault="00573CA9" w:rsidP="00B4149B">
      <w:pPr>
        <w:pStyle w:val="Paragrsimple"/>
        <w:tabs>
          <w:tab w:val="clear" w:pos="2062"/>
          <w:tab w:val="clear" w:pos="4755"/>
          <w:tab w:val="num" w:pos="0"/>
        </w:tabs>
        <w:ind w:left="0"/>
        <w:rPr>
          <w:lang w:val="en-CA"/>
        </w:rPr>
      </w:pPr>
      <w:r w:rsidRPr="004E1DE3">
        <w:rPr>
          <w:lang w:val="en-CA"/>
        </w:rPr>
        <w:t xml:space="preserve">The </w:t>
      </w:r>
      <w:r w:rsidR="00650919" w:rsidRPr="004E1DE3">
        <w:rPr>
          <w:lang w:val="en-CA"/>
        </w:rPr>
        <w:t>confidentialit</w:t>
      </w:r>
      <w:r w:rsidRPr="004E1DE3">
        <w:rPr>
          <w:lang w:val="en-CA"/>
        </w:rPr>
        <w:t xml:space="preserve">y incident that occurred in </w:t>
      </w:r>
      <w:r w:rsidR="00650919" w:rsidRPr="004E1DE3">
        <w:rPr>
          <w:lang w:val="en-CA"/>
        </w:rPr>
        <w:t xml:space="preserve">March 2019 </w:t>
      </w:r>
      <w:r w:rsidRPr="004E1DE3">
        <w:rPr>
          <w:lang w:val="en-CA"/>
        </w:rPr>
        <w:t xml:space="preserve">can certainly be invoked to establish the </w:t>
      </w:r>
      <w:r w:rsidR="00650919" w:rsidRPr="004E1DE3">
        <w:rPr>
          <w:lang w:val="en-CA"/>
        </w:rPr>
        <w:t xml:space="preserve">existence </w:t>
      </w:r>
      <w:r w:rsidRPr="004E1DE3">
        <w:rPr>
          <w:lang w:val="en-CA"/>
        </w:rPr>
        <w:t xml:space="preserve">of a fault, but the fact remains that none of the </w:t>
      </w:r>
      <w:r w:rsidR="00650919" w:rsidRPr="004E1DE3">
        <w:rPr>
          <w:lang w:val="en-CA"/>
        </w:rPr>
        <w:t>all</w:t>
      </w:r>
      <w:r w:rsidRPr="004E1DE3">
        <w:rPr>
          <w:lang w:val="en-CA"/>
        </w:rPr>
        <w:t>e</w:t>
      </w:r>
      <w:r w:rsidR="00650919" w:rsidRPr="004E1DE3">
        <w:rPr>
          <w:lang w:val="en-CA"/>
        </w:rPr>
        <w:t xml:space="preserve">gations </w:t>
      </w:r>
      <w:r w:rsidRPr="004E1DE3">
        <w:rPr>
          <w:lang w:val="en-CA"/>
        </w:rPr>
        <w:t>in the A</w:t>
      </w:r>
      <w:r w:rsidR="00650919" w:rsidRPr="004E1DE3">
        <w:rPr>
          <w:lang w:val="en-CA"/>
        </w:rPr>
        <w:t>pplication</w:t>
      </w:r>
      <w:r w:rsidRPr="004E1DE3">
        <w:rPr>
          <w:lang w:val="en-CA"/>
        </w:rPr>
        <w:t xml:space="preserve"> specifically </w:t>
      </w:r>
      <w:r w:rsidR="00650919" w:rsidRPr="004E1DE3">
        <w:rPr>
          <w:lang w:val="en-CA"/>
        </w:rPr>
        <w:t>identifie</w:t>
      </w:r>
      <w:r w:rsidRPr="004E1DE3">
        <w:rPr>
          <w:lang w:val="en-CA"/>
        </w:rPr>
        <w:t xml:space="preserve">s a particular </w:t>
      </w:r>
      <w:r w:rsidR="00650919" w:rsidRPr="004E1DE3">
        <w:rPr>
          <w:lang w:val="en-CA"/>
        </w:rPr>
        <w:t>repr</w:t>
      </w:r>
      <w:r w:rsidRPr="004E1DE3">
        <w:rPr>
          <w:lang w:val="en-CA"/>
        </w:rPr>
        <w:t>e</w:t>
      </w:r>
      <w:r w:rsidR="00650919" w:rsidRPr="004E1DE3">
        <w:rPr>
          <w:lang w:val="en-CA"/>
        </w:rPr>
        <w:t>sentation</w:t>
      </w:r>
      <w:r w:rsidRPr="004E1DE3">
        <w:rPr>
          <w:lang w:val="en-CA"/>
        </w:rPr>
        <w:t xml:space="preserve">, written or oral, made in the past by </w:t>
      </w:r>
      <w:r w:rsidR="00650919" w:rsidRPr="004E1DE3">
        <w:rPr>
          <w:lang w:val="en-CA"/>
        </w:rPr>
        <w:t xml:space="preserve">Capital One, </w:t>
      </w:r>
      <w:r w:rsidRPr="004E1DE3">
        <w:rPr>
          <w:lang w:val="en-CA"/>
        </w:rPr>
        <w:t xml:space="preserve">that is false or misleading in this respect and </w:t>
      </w:r>
      <w:r w:rsidR="000C0E60">
        <w:rPr>
          <w:lang w:val="en-CA"/>
        </w:rPr>
        <w:t xml:space="preserve">that was made with the aim of </w:t>
      </w:r>
      <w:r w:rsidR="000C0E60" w:rsidRPr="004E1DE3">
        <w:rPr>
          <w:lang w:val="en-CA"/>
        </w:rPr>
        <w:t>incit</w:t>
      </w:r>
      <w:r w:rsidR="000C0E60">
        <w:rPr>
          <w:lang w:val="en-CA"/>
        </w:rPr>
        <w:t>ing</w:t>
      </w:r>
      <w:r w:rsidR="000C0E60" w:rsidRPr="004E1DE3">
        <w:rPr>
          <w:lang w:val="en-CA"/>
        </w:rPr>
        <w:t xml:space="preserve"> </w:t>
      </w:r>
      <w:r w:rsidRPr="004E1DE3">
        <w:rPr>
          <w:lang w:val="en-CA"/>
        </w:rPr>
        <w:t xml:space="preserve">the </w:t>
      </w:r>
      <w:r w:rsidR="000C0E60">
        <w:rPr>
          <w:lang w:val="en-CA"/>
        </w:rPr>
        <w:t xml:space="preserve">class </w:t>
      </w:r>
      <w:r w:rsidR="00650919" w:rsidRPr="004E1DE3">
        <w:rPr>
          <w:lang w:val="en-CA"/>
        </w:rPr>
        <w:t>memb</w:t>
      </w:r>
      <w:r w:rsidRPr="004E1DE3">
        <w:rPr>
          <w:lang w:val="en-CA"/>
        </w:rPr>
        <w:t>e</w:t>
      </w:r>
      <w:r w:rsidR="00650919" w:rsidRPr="004E1DE3">
        <w:rPr>
          <w:lang w:val="en-CA"/>
        </w:rPr>
        <w:t>rs</w:t>
      </w:r>
      <w:r w:rsidRPr="004E1DE3">
        <w:rPr>
          <w:lang w:val="en-CA"/>
        </w:rPr>
        <w:t xml:space="preserve"> to </w:t>
      </w:r>
      <w:r w:rsidR="00650919" w:rsidRPr="004E1DE3">
        <w:rPr>
          <w:lang w:val="en-CA"/>
        </w:rPr>
        <w:t>contract</w:t>
      </w:r>
      <w:r w:rsidRPr="004E1DE3">
        <w:rPr>
          <w:lang w:val="en-CA"/>
        </w:rPr>
        <w:t xml:space="preserve"> with it</w:t>
      </w:r>
      <w:r w:rsidR="00650919" w:rsidRPr="004E1DE3">
        <w:rPr>
          <w:lang w:val="en-CA"/>
        </w:rPr>
        <w:t>.</w:t>
      </w:r>
    </w:p>
    <w:p w14:paraId="414C6768" w14:textId="77777777" w:rsidR="003E40A6" w:rsidRPr="004E1DE3" w:rsidRDefault="00573CA9" w:rsidP="00B4149B">
      <w:pPr>
        <w:pStyle w:val="Paragrsimple"/>
        <w:tabs>
          <w:tab w:val="clear" w:pos="2062"/>
          <w:tab w:val="clear" w:pos="4755"/>
          <w:tab w:val="num" w:pos="0"/>
        </w:tabs>
        <w:ind w:left="0"/>
        <w:rPr>
          <w:lang w:val="en-CA"/>
        </w:rPr>
      </w:pPr>
      <w:r w:rsidRPr="004E1DE3">
        <w:rPr>
          <w:lang w:val="en-CA"/>
        </w:rPr>
        <w:t xml:space="preserve">Thus, even if a consumer contract was </w:t>
      </w:r>
      <w:r w:rsidR="00CE281E" w:rsidRPr="004E1DE3">
        <w:rPr>
          <w:lang w:val="en-CA"/>
        </w:rPr>
        <w:t>conclu</w:t>
      </w:r>
      <w:r w:rsidRPr="004E1DE3">
        <w:rPr>
          <w:lang w:val="en-CA"/>
        </w:rPr>
        <w:t xml:space="preserve">ded between the plaintiffs and the </w:t>
      </w:r>
      <w:r w:rsidR="000C0E60">
        <w:rPr>
          <w:lang w:val="en-CA"/>
        </w:rPr>
        <w:t xml:space="preserve">class </w:t>
      </w:r>
      <w:r w:rsidRPr="004E1DE3">
        <w:rPr>
          <w:lang w:val="en-CA"/>
        </w:rPr>
        <w:t xml:space="preserve">members on the one hand, and </w:t>
      </w:r>
      <w:r w:rsidR="00CE281E" w:rsidRPr="004E1DE3">
        <w:rPr>
          <w:lang w:val="en-CA"/>
        </w:rPr>
        <w:t xml:space="preserve">Capital One </w:t>
      </w:r>
      <w:r w:rsidRPr="004E1DE3">
        <w:rPr>
          <w:lang w:val="en-CA"/>
        </w:rPr>
        <w:t xml:space="preserve">on the other, thereby </w:t>
      </w:r>
      <w:r w:rsidR="00A24BC7">
        <w:rPr>
          <w:lang w:val="en-CA"/>
        </w:rPr>
        <w:t>making</w:t>
      </w:r>
      <w:r w:rsidRPr="004E1DE3">
        <w:rPr>
          <w:lang w:val="en-CA"/>
        </w:rPr>
        <w:t xml:space="preserve"> the </w:t>
      </w:r>
      <w:r w:rsidRPr="004E1DE3">
        <w:rPr>
          <w:i/>
          <w:iCs/>
          <w:lang w:val="en-CA"/>
        </w:rPr>
        <w:t xml:space="preserve">CPA </w:t>
      </w:r>
      <w:r w:rsidR="00CE281E" w:rsidRPr="004E1DE3">
        <w:rPr>
          <w:lang w:val="en-CA"/>
        </w:rPr>
        <w:t xml:space="preserve">applicable </w:t>
      </w:r>
      <w:r w:rsidRPr="004E1DE3">
        <w:rPr>
          <w:lang w:val="en-CA"/>
        </w:rPr>
        <w:t xml:space="preserve">to </w:t>
      </w:r>
      <w:r w:rsidR="000C0E60">
        <w:rPr>
          <w:lang w:val="en-CA"/>
        </w:rPr>
        <w:t>Capital One</w:t>
      </w:r>
      <w:r w:rsidRPr="004E1DE3">
        <w:rPr>
          <w:lang w:val="en-CA"/>
        </w:rPr>
        <w:t xml:space="preserve">, </w:t>
      </w:r>
      <w:r w:rsidR="00CE281E" w:rsidRPr="004E1DE3">
        <w:rPr>
          <w:lang w:val="en-CA"/>
        </w:rPr>
        <w:t>the</w:t>
      </w:r>
      <w:r w:rsidRPr="004E1DE3">
        <w:rPr>
          <w:lang w:val="en-CA"/>
        </w:rPr>
        <w:t xml:space="preserve"> </w:t>
      </w:r>
      <w:r w:rsidR="00CE281E" w:rsidRPr="004E1DE3">
        <w:rPr>
          <w:lang w:val="en-CA"/>
        </w:rPr>
        <w:t>Court</w:t>
      </w:r>
      <w:r w:rsidRPr="004E1DE3">
        <w:rPr>
          <w:lang w:val="en-CA"/>
        </w:rPr>
        <w:t xml:space="preserve"> is of the view that the </w:t>
      </w:r>
      <w:r w:rsidR="00CE281E" w:rsidRPr="004E1DE3">
        <w:rPr>
          <w:lang w:val="en-CA"/>
        </w:rPr>
        <w:t>evidence</w:t>
      </w:r>
      <w:r w:rsidRPr="004E1DE3">
        <w:rPr>
          <w:lang w:val="en-CA"/>
        </w:rPr>
        <w:t xml:space="preserve"> presented to it and the alle</w:t>
      </w:r>
      <w:r w:rsidR="00CE281E" w:rsidRPr="004E1DE3">
        <w:rPr>
          <w:lang w:val="en-CA"/>
        </w:rPr>
        <w:t xml:space="preserve">gations </w:t>
      </w:r>
      <w:r w:rsidRPr="004E1DE3">
        <w:rPr>
          <w:lang w:val="en-CA"/>
        </w:rPr>
        <w:t>in the A</w:t>
      </w:r>
      <w:r w:rsidR="00CE281E" w:rsidRPr="004E1DE3">
        <w:rPr>
          <w:lang w:val="en-CA"/>
        </w:rPr>
        <w:t>pplication</w:t>
      </w:r>
      <w:r w:rsidRPr="004E1DE3">
        <w:rPr>
          <w:lang w:val="en-CA"/>
        </w:rPr>
        <w:t xml:space="preserve"> are </w:t>
      </w:r>
      <w:r w:rsidR="00CE281E" w:rsidRPr="004E1DE3">
        <w:rPr>
          <w:lang w:val="en-CA"/>
        </w:rPr>
        <w:t>insuffi</w:t>
      </w:r>
      <w:r w:rsidRPr="004E1DE3">
        <w:rPr>
          <w:lang w:val="en-CA"/>
        </w:rPr>
        <w:t>cient</w:t>
      </w:r>
      <w:r w:rsidR="00A24BC7">
        <w:rPr>
          <w:lang w:val="en-CA"/>
        </w:rPr>
        <w:t xml:space="preserve"> and</w:t>
      </w:r>
      <w:r w:rsidRPr="004E1DE3">
        <w:rPr>
          <w:lang w:val="en-CA"/>
        </w:rPr>
        <w:t xml:space="preserve"> too </w:t>
      </w:r>
      <w:r w:rsidR="00CE281E" w:rsidRPr="004E1DE3">
        <w:rPr>
          <w:lang w:val="en-CA"/>
        </w:rPr>
        <w:t>vague, g</w:t>
      </w:r>
      <w:r w:rsidRPr="004E1DE3">
        <w:rPr>
          <w:lang w:val="en-CA"/>
        </w:rPr>
        <w:t>ene</w:t>
      </w:r>
      <w:r w:rsidR="00CE281E" w:rsidRPr="004E1DE3">
        <w:rPr>
          <w:lang w:val="en-CA"/>
        </w:rPr>
        <w:t>ral</w:t>
      </w:r>
      <w:r w:rsidRPr="004E1DE3">
        <w:rPr>
          <w:lang w:val="en-CA"/>
        </w:rPr>
        <w:t xml:space="preserve">, and </w:t>
      </w:r>
      <w:r w:rsidR="00CE281E" w:rsidRPr="004E1DE3">
        <w:rPr>
          <w:lang w:val="en-CA"/>
        </w:rPr>
        <w:t>impr</w:t>
      </w:r>
      <w:r w:rsidRPr="004E1DE3">
        <w:rPr>
          <w:lang w:val="en-CA"/>
        </w:rPr>
        <w:t>e</w:t>
      </w:r>
      <w:r w:rsidR="00CE281E" w:rsidRPr="004E1DE3">
        <w:rPr>
          <w:lang w:val="en-CA"/>
        </w:rPr>
        <w:t>cise</w:t>
      </w:r>
      <w:r w:rsidRPr="004E1DE3">
        <w:rPr>
          <w:lang w:val="en-CA"/>
        </w:rPr>
        <w:t xml:space="preserve"> to find that </w:t>
      </w:r>
      <w:r w:rsidR="00CE281E" w:rsidRPr="004E1DE3">
        <w:rPr>
          <w:lang w:val="en-CA"/>
        </w:rPr>
        <w:t xml:space="preserve">Capital One </w:t>
      </w:r>
      <w:r w:rsidRPr="004E1DE3">
        <w:rPr>
          <w:lang w:val="en-CA"/>
        </w:rPr>
        <w:t xml:space="preserve">may have made such </w:t>
      </w:r>
      <w:r w:rsidR="00CE281E" w:rsidRPr="004E1DE3">
        <w:rPr>
          <w:lang w:val="en-CA"/>
        </w:rPr>
        <w:t>false</w:t>
      </w:r>
      <w:r w:rsidR="000E58E8" w:rsidRPr="004E1DE3">
        <w:rPr>
          <w:lang w:val="en-CA"/>
        </w:rPr>
        <w:t xml:space="preserve"> </w:t>
      </w:r>
      <w:r w:rsidR="00CE281E" w:rsidRPr="004E1DE3">
        <w:rPr>
          <w:lang w:val="en-CA"/>
        </w:rPr>
        <w:t>or</w:t>
      </w:r>
      <w:r w:rsidR="000E58E8" w:rsidRPr="004E1DE3">
        <w:rPr>
          <w:lang w:val="en-CA"/>
        </w:rPr>
        <w:t xml:space="preserve"> </w:t>
      </w:r>
      <w:r w:rsidR="00CE281E" w:rsidRPr="004E1DE3">
        <w:rPr>
          <w:lang w:val="en-CA"/>
        </w:rPr>
        <w:t>misleading</w:t>
      </w:r>
      <w:r w:rsidR="000E58E8" w:rsidRPr="004E1DE3">
        <w:rPr>
          <w:lang w:val="en-CA"/>
        </w:rPr>
        <w:t xml:space="preserve"> </w:t>
      </w:r>
      <w:r w:rsidR="00CE281E" w:rsidRPr="004E1DE3">
        <w:rPr>
          <w:lang w:val="en-CA"/>
        </w:rPr>
        <w:t>representation</w:t>
      </w:r>
      <w:r w:rsidRPr="004E1DE3">
        <w:rPr>
          <w:lang w:val="en-CA"/>
        </w:rPr>
        <w:t>s</w:t>
      </w:r>
      <w:r w:rsidR="000E58E8" w:rsidRPr="004E1DE3">
        <w:rPr>
          <w:lang w:val="en-CA"/>
        </w:rPr>
        <w:t xml:space="preserve"> to the </w:t>
      </w:r>
      <w:r w:rsidR="000C0E60">
        <w:rPr>
          <w:lang w:val="en-CA"/>
        </w:rPr>
        <w:t xml:space="preserve">class </w:t>
      </w:r>
      <w:r w:rsidR="000E58E8" w:rsidRPr="004E1DE3">
        <w:rPr>
          <w:lang w:val="en-CA"/>
        </w:rPr>
        <w:t xml:space="preserve">members within the meaning of that </w:t>
      </w:r>
      <w:r w:rsidR="00CE281E" w:rsidRPr="004E1DE3">
        <w:rPr>
          <w:lang w:val="en-CA"/>
        </w:rPr>
        <w:t xml:space="preserve">expression </w:t>
      </w:r>
      <w:r w:rsidR="000E58E8" w:rsidRPr="004E1DE3">
        <w:rPr>
          <w:lang w:val="en-CA"/>
        </w:rPr>
        <w:t xml:space="preserve">in the </w:t>
      </w:r>
      <w:r w:rsidR="000E58E8" w:rsidRPr="004E1DE3">
        <w:rPr>
          <w:i/>
          <w:iCs/>
          <w:lang w:val="en-CA"/>
        </w:rPr>
        <w:t xml:space="preserve">CPA </w:t>
      </w:r>
      <w:r w:rsidR="000E58E8" w:rsidRPr="004E1DE3">
        <w:rPr>
          <w:lang w:val="en-CA"/>
        </w:rPr>
        <w:t xml:space="preserve">to </w:t>
      </w:r>
      <w:r w:rsidR="00CE281E" w:rsidRPr="004E1DE3">
        <w:rPr>
          <w:lang w:val="en-CA"/>
        </w:rPr>
        <w:t>constitu</w:t>
      </w:r>
      <w:r w:rsidR="000E58E8" w:rsidRPr="004E1DE3">
        <w:rPr>
          <w:lang w:val="en-CA"/>
        </w:rPr>
        <w:t>t</w:t>
      </w:r>
      <w:r w:rsidR="00CE281E" w:rsidRPr="004E1DE3">
        <w:rPr>
          <w:lang w:val="en-CA"/>
        </w:rPr>
        <w:t>e</w:t>
      </w:r>
      <w:r w:rsidR="000E58E8" w:rsidRPr="004E1DE3">
        <w:rPr>
          <w:lang w:val="en-CA"/>
        </w:rPr>
        <w:t xml:space="preserve"> a </w:t>
      </w:r>
      <w:r w:rsidR="00CE281E" w:rsidRPr="004E1DE3">
        <w:rPr>
          <w:lang w:val="en-CA"/>
        </w:rPr>
        <w:t>prohibited</w:t>
      </w:r>
      <w:r w:rsidR="000E58E8" w:rsidRPr="004E1DE3">
        <w:rPr>
          <w:lang w:val="en-CA"/>
        </w:rPr>
        <w:t xml:space="preserve"> </w:t>
      </w:r>
      <w:r w:rsidR="00CE281E" w:rsidRPr="004E1DE3">
        <w:rPr>
          <w:lang w:val="en-CA"/>
        </w:rPr>
        <w:t>practice</w:t>
      </w:r>
      <w:r w:rsidR="000E58E8" w:rsidRPr="004E1DE3">
        <w:rPr>
          <w:lang w:val="en-CA"/>
        </w:rPr>
        <w:t xml:space="preserve"> under the </w:t>
      </w:r>
      <w:r w:rsidR="000E58E8" w:rsidRPr="004E1DE3">
        <w:rPr>
          <w:i/>
          <w:iCs/>
          <w:lang w:val="en-CA"/>
        </w:rPr>
        <w:t>CPA</w:t>
      </w:r>
      <w:r w:rsidR="000E58E8" w:rsidRPr="004E1DE3">
        <w:rPr>
          <w:lang w:val="en-CA"/>
        </w:rPr>
        <w:t xml:space="preserve">, permitting the </w:t>
      </w:r>
      <w:r w:rsidR="000C0E60">
        <w:rPr>
          <w:lang w:val="en-CA"/>
        </w:rPr>
        <w:t xml:space="preserve">class </w:t>
      </w:r>
      <w:r w:rsidR="000E58E8" w:rsidRPr="004E1DE3">
        <w:rPr>
          <w:lang w:val="en-CA"/>
        </w:rPr>
        <w:t xml:space="preserve">members to claim </w:t>
      </w:r>
      <w:r w:rsidR="00CE281E" w:rsidRPr="004E1DE3">
        <w:rPr>
          <w:lang w:val="en-CA"/>
        </w:rPr>
        <w:t>punitive</w:t>
      </w:r>
      <w:r w:rsidR="000E58E8" w:rsidRPr="004E1DE3">
        <w:rPr>
          <w:lang w:val="en-CA"/>
        </w:rPr>
        <w:t xml:space="preserve"> </w:t>
      </w:r>
      <w:r w:rsidR="00CE281E" w:rsidRPr="004E1DE3">
        <w:rPr>
          <w:lang w:val="en-CA"/>
        </w:rPr>
        <w:t>damages</w:t>
      </w:r>
      <w:r w:rsidR="000E58E8" w:rsidRPr="004E1DE3">
        <w:rPr>
          <w:lang w:val="en-CA"/>
        </w:rPr>
        <w:t xml:space="preserve"> from it under </w:t>
      </w:r>
      <w:r w:rsidR="00CE281E" w:rsidRPr="004E1DE3">
        <w:rPr>
          <w:lang w:val="en-CA"/>
        </w:rPr>
        <w:t xml:space="preserve">section 272 </w:t>
      </w:r>
      <w:r w:rsidR="000E58E8" w:rsidRPr="004E1DE3">
        <w:rPr>
          <w:i/>
          <w:iCs/>
          <w:lang w:val="en-CA"/>
        </w:rPr>
        <w:t>CPA</w:t>
      </w:r>
      <w:r w:rsidR="00CE281E" w:rsidRPr="004E1DE3">
        <w:rPr>
          <w:lang w:val="en-CA"/>
        </w:rPr>
        <w:t>.</w:t>
      </w:r>
    </w:p>
    <w:p w14:paraId="2B27CCD6" w14:textId="77777777" w:rsidR="00D258A2" w:rsidRPr="004E1DE3" w:rsidRDefault="00573CA9" w:rsidP="00BD01E0">
      <w:pPr>
        <w:pStyle w:val="Titre3"/>
        <w:rPr>
          <w:lang w:val="en-CA"/>
        </w:rPr>
      </w:pPr>
      <w:bookmarkStart w:id="20" w:name="_Toc256000009"/>
      <w:bookmarkStart w:id="21" w:name="_Toc148419872"/>
      <w:r w:rsidRPr="004E1DE3">
        <w:rPr>
          <w:lang w:val="en-CA"/>
        </w:rPr>
        <w:t>Amazon</w:t>
      </w:r>
      <w:bookmarkEnd w:id="20"/>
      <w:bookmarkEnd w:id="21"/>
    </w:p>
    <w:p w14:paraId="30E9EF3B" w14:textId="77777777" w:rsidR="0093592B" w:rsidRPr="004E1DE3" w:rsidRDefault="00573CA9" w:rsidP="00BD01E0">
      <w:pPr>
        <w:pStyle w:val="Titre4"/>
        <w:rPr>
          <w:lang w:val="en-CA"/>
        </w:rPr>
      </w:pPr>
      <w:bookmarkStart w:id="22" w:name="_Toc256000010"/>
      <w:bookmarkStart w:id="23" w:name="_Toc148419873"/>
      <w:r w:rsidRPr="004E1DE3">
        <w:rPr>
          <w:lang w:val="en-CA"/>
        </w:rPr>
        <w:t>Fault</w:t>
      </w:r>
      <w:bookmarkEnd w:id="22"/>
      <w:bookmarkEnd w:id="23"/>
    </w:p>
    <w:p w14:paraId="198B7AD6" w14:textId="77777777" w:rsidR="00B57F55" w:rsidRPr="004E1DE3" w:rsidRDefault="00573CA9" w:rsidP="007D1A3F">
      <w:pPr>
        <w:pStyle w:val="Paragrdouble"/>
        <w:tabs>
          <w:tab w:val="num" w:pos="851"/>
        </w:tabs>
        <w:spacing w:line="240" w:lineRule="auto"/>
        <w:ind w:left="0"/>
        <w:rPr>
          <w:lang w:val="en-CA"/>
        </w:rPr>
      </w:pPr>
      <w:r w:rsidRPr="004E1DE3">
        <w:rPr>
          <w:lang w:val="en-CA"/>
        </w:rPr>
        <w:t>Amazon</w:t>
      </w:r>
      <w:r w:rsidR="007A3048" w:rsidRPr="004E1DE3">
        <w:rPr>
          <w:lang w:val="en-CA"/>
        </w:rPr>
        <w:t xml:space="preserve"> argues that it has no legal relationsh</w:t>
      </w:r>
      <w:r w:rsidR="00AF1E05" w:rsidRPr="004E1DE3">
        <w:rPr>
          <w:lang w:val="en-CA"/>
        </w:rPr>
        <w:t>i</w:t>
      </w:r>
      <w:r w:rsidR="007A3048" w:rsidRPr="004E1DE3">
        <w:rPr>
          <w:lang w:val="en-CA"/>
        </w:rPr>
        <w:t xml:space="preserve">p with the putative </w:t>
      </w:r>
      <w:r w:rsidR="00FE31E7">
        <w:rPr>
          <w:lang w:val="en-CA"/>
        </w:rPr>
        <w:t xml:space="preserve">class </w:t>
      </w:r>
      <w:r w:rsidR="007A3048" w:rsidRPr="004E1DE3">
        <w:rPr>
          <w:lang w:val="en-CA"/>
        </w:rPr>
        <w:t xml:space="preserve">members, but only with </w:t>
      </w:r>
      <w:r w:rsidRPr="004E1DE3">
        <w:rPr>
          <w:lang w:val="en-CA"/>
        </w:rPr>
        <w:t xml:space="preserve">Capital One, </w:t>
      </w:r>
      <w:r w:rsidR="007A3048" w:rsidRPr="004E1DE3">
        <w:rPr>
          <w:lang w:val="en-CA"/>
        </w:rPr>
        <w:t xml:space="preserve">and that this </w:t>
      </w:r>
      <w:r w:rsidRPr="004E1DE3">
        <w:rPr>
          <w:lang w:val="en-CA"/>
        </w:rPr>
        <w:t>contractual</w:t>
      </w:r>
      <w:r w:rsidR="007A3048" w:rsidRPr="004E1DE3">
        <w:rPr>
          <w:lang w:val="en-CA"/>
        </w:rPr>
        <w:t xml:space="preserve"> </w:t>
      </w:r>
      <w:r w:rsidRPr="004E1DE3">
        <w:rPr>
          <w:lang w:val="en-CA"/>
        </w:rPr>
        <w:t>relationship</w:t>
      </w:r>
      <w:r w:rsidR="007A3048" w:rsidRPr="004E1DE3">
        <w:rPr>
          <w:lang w:val="en-CA"/>
        </w:rPr>
        <w:t xml:space="preserve"> </w:t>
      </w:r>
      <w:r w:rsidRPr="004E1DE3">
        <w:rPr>
          <w:lang w:val="en-CA"/>
        </w:rPr>
        <w:t>consist</w:t>
      </w:r>
      <w:r w:rsidR="007A3048" w:rsidRPr="004E1DE3">
        <w:rPr>
          <w:lang w:val="en-CA"/>
        </w:rPr>
        <w:t xml:space="preserve">s only of allowing </w:t>
      </w:r>
      <w:r w:rsidRPr="004E1DE3">
        <w:rPr>
          <w:lang w:val="en-CA"/>
        </w:rPr>
        <w:t xml:space="preserve">Capital One </w:t>
      </w:r>
      <w:r w:rsidR="007A3048" w:rsidRPr="004E1DE3">
        <w:rPr>
          <w:lang w:val="en-CA"/>
        </w:rPr>
        <w:t>to host on its cloud the personal information obtained from</w:t>
      </w:r>
      <w:r w:rsidR="00AF1E05" w:rsidRPr="004E1DE3">
        <w:rPr>
          <w:lang w:val="en-CA"/>
        </w:rPr>
        <w:t xml:space="preserve"> Capital One’s</w:t>
      </w:r>
      <w:r w:rsidR="007A3048" w:rsidRPr="004E1DE3">
        <w:rPr>
          <w:lang w:val="en-CA"/>
        </w:rPr>
        <w:t xml:space="preserve"> clients who live in Quebec</w:t>
      </w:r>
      <w:r w:rsidRPr="004E1DE3">
        <w:rPr>
          <w:lang w:val="en-CA"/>
        </w:rPr>
        <w:t>.</w:t>
      </w:r>
    </w:p>
    <w:p w14:paraId="16F41366" w14:textId="77777777" w:rsidR="00E1267A" w:rsidRPr="004E1DE3" w:rsidRDefault="00573CA9" w:rsidP="007D1A3F">
      <w:pPr>
        <w:pStyle w:val="Paragrdouble"/>
        <w:tabs>
          <w:tab w:val="num" w:pos="851"/>
        </w:tabs>
        <w:spacing w:line="240" w:lineRule="auto"/>
        <w:ind w:left="0"/>
        <w:rPr>
          <w:lang w:val="en-CA"/>
        </w:rPr>
      </w:pPr>
      <w:r w:rsidRPr="004E1DE3">
        <w:rPr>
          <w:lang w:val="en-CA"/>
        </w:rPr>
        <w:t xml:space="preserve">According to </w:t>
      </w:r>
      <w:r w:rsidR="00FB4AA8" w:rsidRPr="004E1DE3">
        <w:rPr>
          <w:lang w:val="en-CA"/>
        </w:rPr>
        <w:t xml:space="preserve">Amazon, </w:t>
      </w:r>
      <w:r w:rsidR="002620BD" w:rsidRPr="004E1DE3">
        <w:rPr>
          <w:lang w:val="en-CA"/>
        </w:rPr>
        <w:t xml:space="preserve">it did not give any </w:t>
      </w:r>
      <w:r w:rsidR="00FB4AA8" w:rsidRPr="004E1DE3">
        <w:rPr>
          <w:lang w:val="en-CA"/>
        </w:rPr>
        <w:t>undertaking</w:t>
      </w:r>
      <w:r w:rsidR="002620BD" w:rsidRPr="004E1DE3">
        <w:rPr>
          <w:lang w:val="en-CA"/>
        </w:rPr>
        <w:t xml:space="preserve"> or incur any contractual </w:t>
      </w:r>
      <w:r w:rsidR="00FB4AA8" w:rsidRPr="004E1DE3">
        <w:rPr>
          <w:lang w:val="en-CA"/>
        </w:rPr>
        <w:t>obligation</w:t>
      </w:r>
      <w:r w:rsidR="002620BD" w:rsidRPr="004E1DE3">
        <w:rPr>
          <w:lang w:val="en-CA"/>
        </w:rPr>
        <w:t xml:space="preserve"> towards the </w:t>
      </w:r>
      <w:r w:rsidR="009D2470">
        <w:rPr>
          <w:lang w:val="en-CA"/>
        </w:rPr>
        <w:t xml:space="preserve">class </w:t>
      </w:r>
      <w:r w:rsidR="002620BD" w:rsidRPr="004E1DE3">
        <w:rPr>
          <w:lang w:val="en-CA"/>
        </w:rPr>
        <w:t xml:space="preserve">members, and moreover, the </w:t>
      </w:r>
      <w:r w:rsidR="009D2470">
        <w:rPr>
          <w:lang w:val="en-CA"/>
        </w:rPr>
        <w:t xml:space="preserve">class </w:t>
      </w:r>
      <w:r w:rsidR="002620BD" w:rsidRPr="004E1DE3">
        <w:rPr>
          <w:lang w:val="en-CA"/>
        </w:rPr>
        <w:t xml:space="preserve">members entrusted their personal information to </w:t>
      </w:r>
      <w:r w:rsidR="00FB4AA8" w:rsidRPr="004E1DE3">
        <w:rPr>
          <w:lang w:val="en-CA"/>
        </w:rPr>
        <w:t xml:space="preserve">Capital One, </w:t>
      </w:r>
      <w:r w:rsidR="002620BD" w:rsidRPr="004E1DE3">
        <w:rPr>
          <w:lang w:val="en-CA"/>
        </w:rPr>
        <w:t xml:space="preserve">such that the provincial or federal legislation cannot apply to </w:t>
      </w:r>
      <w:r w:rsidR="00FB4AA8" w:rsidRPr="004E1DE3">
        <w:rPr>
          <w:lang w:val="en-CA"/>
        </w:rPr>
        <w:t>Amazon.</w:t>
      </w:r>
    </w:p>
    <w:p w14:paraId="2C98F79D" w14:textId="77777777" w:rsidR="00B57F55" w:rsidRPr="004E1DE3" w:rsidRDefault="00573CA9" w:rsidP="00B57F55">
      <w:pPr>
        <w:pStyle w:val="Paragrdouble"/>
        <w:tabs>
          <w:tab w:val="num" w:pos="851"/>
        </w:tabs>
        <w:spacing w:line="240" w:lineRule="auto"/>
        <w:ind w:left="0"/>
        <w:rPr>
          <w:lang w:val="en-CA"/>
        </w:rPr>
      </w:pPr>
      <w:r w:rsidRPr="004E1DE3">
        <w:rPr>
          <w:lang w:val="en-CA"/>
        </w:rPr>
        <w:t xml:space="preserve">Amazon </w:t>
      </w:r>
      <w:r w:rsidR="00623BC3" w:rsidRPr="004E1DE3">
        <w:rPr>
          <w:lang w:val="en-CA"/>
        </w:rPr>
        <w:t xml:space="preserve">adds that it did not make any representation or address any advertising whatsoever to the plaintiffs or the putative </w:t>
      </w:r>
      <w:r w:rsidR="00FE31E7">
        <w:rPr>
          <w:lang w:val="en-CA"/>
        </w:rPr>
        <w:t xml:space="preserve">class </w:t>
      </w:r>
      <w:r w:rsidR="00623BC3" w:rsidRPr="004E1DE3">
        <w:rPr>
          <w:lang w:val="en-CA"/>
        </w:rPr>
        <w:t xml:space="preserve">members, and it argues that </w:t>
      </w:r>
      <w:r w:rsidR="00623BC3" w:rsidRPr="004E1DE3">
        <w:rPr>
          <w:lang w:val="en-CA"/>
        </w:rPr>
        <w:lastRenderedPageBreak/>
        <w:t xml:space="preserve">the </w:t>
      </w:r>
      <w:r w:rsidRPr="004E1DE3">
        <w:rPr>
          <w:lang w:val="en-CA"/>
        </w:rPr>
        <w:t>information</w:t>
      </w:r>
      <w:r w:rsidR="00623BC3" w:rsidRPr="004E1DE3">
        <w:rPr>
          <w:lang w:val="en-CA"/>
        </w:rPr>
        <w:t xml:space="preserve"> on its website addressed to </w:t>
      </w:r>
      <w:r w:rsidRPr="004E1DE3">
        <w:rPr>
          <w:lang w:val="en-CA"/>
        </w:rPr>
        <w:t>Canadians</w:t>
      </w:r>
      <w:r w:rsidR="00623BC3" w:rsidRPr="004E1DE3">
        <w:rPr>
          <w:lang w:val="en-CA"/>
        </w:rPr>
        <w:t xml:space="preserve"> in fact concerns only businesses, not natural </w:t>
      </w:r>
      <w:r w:rsidRPr="004E1DE3">
        <w:rPr>
          <w:lang w:val="en-CA"/>
        </w:rPr>
        <w:t>persons</w:t>
      </w:r>
      <w:r w:rsidR="00623BC3" w:rsidRPr="004E1DE3">
        <w:rPr>
          <w:lang w:val="en-CA"/>
        </w:rPr>
        <w:t>.</w:t>
      </w:r>
      <w:r>
        <w:rPr>
          <w:rStyle w:val="Appelnotedebasdep"/>
          <w:lang w:val="en-CA"/>
        </w:rPr>
        <w:footnoteReference w:id="54"/>
      </w:r>
    </w:p>
    <w:p w14:paraId="0360076C" w14:textId="77777777" w:rsidR="00B57F55" w:rsidRPr="004E1DE3" w:rsidRDefault="00573CA9" w:rsidP="00B57F55">
      <w:pPr>
        <w:pStyle w:val="Paragrdouble"/>
        <w:tabs>
          <w:tab w:val="num" w:pos="851"/>
        </w:tabs>
        <w:spacing w:line="240" w:lineRule="auto"/>
        <w:ind w:left="0"/>
        <w:rPr>
          <w:lang w:val="en-CA"/>
        </w:rPr>
      </w:pPr>
      <w:r w:rsidRPr="004E1DE3">
        <w:rPr>
          <w:lang w:val="en-CA"/>
        </w:rPr>
        <w:t xml:space="preserve">But </w:t>
      </w:r>
      <w:r w:rsidR="00FB4AA8" w:rsidRPr="004E1DE3">
        <w:rPr>
          <w:lang w:val="en-CA"/>
        </w:rPr>
        <w:t>Amazon</w:t>
      </w:r>
      <w:r w:rsidRPr="004E1DE3">
        <w:rPr>
          <w:lang w:val="en-CA"/>
        </w:rPr>
        <w:t xml:space="preserve">’s website does not make this </w:t>
      </w:r>
      <w:r w:rsidR="00FB4AA8" w:rsidRPr="004E1DE3">
        <w:rPr>
          <w:lang w:val="en-CA"/>
        </w:rPr>
        <w:t>distinction</w:t>
      </w:r>
      <w:r w:rsidRPr="004E1DE3">
        <w:rPr>
          <w:lang w:val="en-CA"/>
        </w:rPr>
        <w:t xml:space="preserve">. Its </w:t>
      </w:r>
      <w:r w:rsidR="00FB4AA8" w:rsidRPr="004E1DE3">
        <w:rPr>
          <w:lang w:val="en-CA"/>
        </w:rPr>
        <w:t>conten</w:t>
      </w:r>
      <w:r w:rsidRPr="004E1DE3">
        <w:rPr>
          <w:lang w:val="en-CA"/>
        </w:rPr>
        <w:t xml:space="preserve">t is addressed to all </w:t>
      </w:r>
      <w:r w:rsidR="00FB4AA8" w:rsidRPr="004E1DE3">
        <w:rPr>
          <w:lang w:val="en-CA"/>
        </w:rPr>
        <w:t>Canadian</w:t>
      </w:r>
      <w:r w:rsidRPr="004E1DE3">
        <w:rPr>
          <w:lang w:val="en-CA"/>
        </w:rPr>
        <w:t xml:space="preserve"> consumers</w:t>
      </w:r>
      <w:r w:rsidR="00FB4AA8" w:rsidRPr="004E1DE3">
        <w:rPr>
          <w:lang w:val="en-CA"/>
        </w:rPr>
        <w:t>.</w:t>
      </w:r>
    </w:p>
    <w:p w14:paraId="1609755B" w14:textId="77777777" w:rsidR="00B57F55" w:rsidRPr="004E1DE3" w:rsidRDefault="00573CA9" w:rsidP="00C95485">
      <w:pPr>
        <w:pStyle w:val="Paragrdouble"/>
        <w:tabs>
          <w:tab w:val="num" w:pos="851"/>
        </w:tabs>
        <w:spacing w:line="240" w:lineRule="auto"/>
        <w:ind w:left="0"/>
        <w:rPr>
          <w:lang w:val="en-CA"/>
        </w:rPr>
      </w:pPr>
      <w:r w:rsidRPr="004E1DE3">
        <w:rPr>
          <w:lang w:val="en-CA"/>
        </w:rPr>
        <w:t xml:space="preserve">Despite this, </w:t>
      </w:r>
      <w:r w:rsidR="00940EDA" w:rsidRPr="004E1DE3">
        <w:rPr>
          <w:lang w:val="en-CA"/>
        </w:rPr>
        <w:t>Amazon conclu</w:t>
      </w:r>
      <w:r w:rsidRPr="004E1DE3">
        <w:rPr>
          <w:lang w:val="en-CA"/>
        </w:rPr>
        <w:t xml:space="preserve">des that it also cannot be alleged to have committed an </w:t>
      </w:r>
      <w:r w:rsidR="00940EDA" w:rsidRPr="004E1DE3">
        <w:rPr>
          <w:lang w:val="en-CA"/>
        </w:rPr>
        <w:t>extracontractual</w:t>
      </w:r>
      <w:r w:rsidRPr="004E1DE3">
        <w:rPr>
          <w:lang w:val="en-CA"/>
        </w:rPr>
        <w:t xml:space="preserve"> </w:t>
      </w:r>
      <w:r w:rsidR="00940EDA" w:rsidRPr="004E1DE3">
        <w:rPr>
          <w:lang w:val="en-CA"/>
        </w:rPr>
        <w:t>fault</w:t>
      </w:r>
      <w:r w:rsidRPr="004E1DE3">
        <w:rPr>
          <w:lang w:val="en-CA"/>
        </w:rPr>
        <w:t xml:space="preserve"> towards the plaintiffs and the putative</w:t>
      </w:r>
      <w:r w:rsidR="00D02AD1">
        <w:rPr>
          <w:lang w:val="en-CA"/>
        </w:rPr>
        <w:t xml:space="preserve"> class</w:t>
      </w:r>
      <w:r w:rsidRPr="004E1DE3">
        <w:rPr>
          <w:lang w:val="en-CA"/>
        </w:rPr>
        <w:t xml:space="preserve"> members</w:t>
      </w:r>
      <w:r w:rsidR="00940EDA" w:rsidRPr="004E1DE3">
        <w:rPr>
          <w:lang w:val="en-CA"/>
        </w:rPr>
        <w:t>.</w:t>
      </w:r>
    </w:p>
    <w:p w14:paraId="03E7E39A" w14:textId="77777777" w:rsidR="00650919" w:rsidRPr="004E1DE3" w:rsidRDefault="00573CA9" w:rsidP="00F82C63">
      <w:pPr>
        <w:pStyle w:val="Paragrdouble"/>
        <w:tabs>
          <w:tab w:val="num" w:pos="851"/>
        </w:tabs>
        <w:spacing w:line="240" w:lineRule="auto"/>
        <w:ind w:left="0"/>
        <w:rPr>
          <w:lang w:val="en-CA"/>
        </w:rPr>
      </w:pPr>
      <w:r w:rsidRPr="004E1DE3">
        <w:rPr>
          <w:lang w:val="en-CA"/>
        </w:rPr>
        <w:t xml:space="preserve">Amazon </w:t>
      </w:r>
      <w:r w:rsidR="001C5707" w:rsidRPr="004E1DE3">
        <w:rPr>
          <w:lang w:val="en-CA"/>
        </w:rPr>
        <w:t xml:space="preserve">is perhaps at the </w:t>
      </w:r>
      <w:r w:rsidR="006F2145" w:rsidRPr="004E1DE3">
        <w:rPr>
          <w:lang w:val="en-CA"/>
        </w:rPr>
        <w:t xml:space="preserve">origin of this </w:t>
      </w:r>
      <w:r w:rsidRPr="004E1DE3">
        <w:rPr>
          <w:lang w:val="en-CA"/>
        </w:rPr>
        <w:t>confidentialit</w:t>
      </w:r>
      <w:r w:rsidR="0063108C" w:rsidRPr="004E1DE3">
        <w:rPr>
          <w:lang w:val="en-CA"/>
        </w:rPr>
        <w:t xml:space="preserve">y incident, which may be inferred from the fact that the author of this </w:t>
      </w:r>
      <w:r w:rsidRPr="004E1DE3">
        <w:rPr>
          <w:lang w:val="en-CA"/>
        </w:rPr>
        <w:t xml:space="preserve">intrusion </w:t>
      </w:r>
      <w:r w:rsidR="0063108C" w:rsidRPr="004E1DE3">
        <w:rPr>
          <w:lang w:val="en-CA"/>
        </w:rPr>
        <w:t>is one of its former employees, who</w:t>
      </w:r>
      <w:r w:rsidR="00BE7200">
        <w:rPr>
          <w:lang w:val="en-CA"/>
        </w:rPr>
        <w:t>,</w:t>
      </w:r>
      <w:r w:rsidR="0063108C" w:rsidRPr="004E1DE3">
        <w:rPr>
          <w:lang w:val="en-CA"/>
        </w:rPr>
        <w:t xml:space="preserve"> </w:t>
      </w:r>
      <w:r w:rsidR="00BE7200" w:rsidRPr="004E1DE3">
        <w:rPr>
          <w:lang w:val="en-CA"/>
        </w:rPr>
        <w:t>while she was employed</w:t>
      </w:r>
      <w:r w:rsidR="00BE7200">
        <w:rPr>
          <w:lang w:val="en-CA"/>
        </w:rPr>
        <w:t>,</w:t>
      </w:r>
      <w:r w:rsidR="00BE7200" w:rsidRPr="004E1DE3">
        <w:rPr>
          <w:lang w:val="en-CA"/>
        </w:rPr>
        <w:t xml:space="preserve"> </w:t>
      </w:r>
      <w:r w:rsidR="0063108C" w:rsidRPr="004E1DE3">
        <w:rPr>
          <w:lang w:val="en-CA"/>
        </w:rPr>
        <w:t xml:space="preserve">was undoubtedly able to access all the data control, verification, and protection procedures as well as all the </w:t>
      </w:r>
      <w:r w:rsidRPr="004E1DE3">
        <w:rPr>
          <w:lang w:val="en-CA"/>
        </w:rPr>
        <w:t>personal</w:t>
      </w:r>
      <w:r w:rsidR="0063108C" w:rsidRPr="004E1DE3">
        <w:rPr>
          <w:lang w:val="en-CA"/>
        </w:rPr>
        <w:t xml:space="preserve"> </w:t>
      </w:r>
      <w:r w:rsidRPr="004E1DE3">
        <w:rPr>
          <w:lang w:val="en-CA"/>
        </w:rPr>
        <w:t>information</w:t>
      </w:r>
      <w:r w:rsidR="0063108C" w:rsidRPr="004E1DE3">
        <w:rPr>
          <w:lang w:val="en-CA"/>
        </w:rPr>
        <w:t xml:space="preserve"> that was supposed to be </w:t>
      </w:r>
      <w:r w:rsidRPr="004E1DE3">
        <w:rPr>
          <w:lang w:val="en-CA"/>
        </w:rPr>
        <w:t>ad</w:t>
      </w:r>
      <w:r w:rsidR="0063108C" w:rsidRPr="004E1DE3">
        <w:rPr>
          <w:lang w:val="en-CA"/>
        </w:rPr>
        <w:t>e</w:t>
      </w:r>
      <w:r w:rsidRPr="004E1DE3">
        <w:rPr>
          <w:lang w:val="en-CA"/>
        </w:rPr>
        <w:t>quate</w:t>
      </w:r>
      <w:r w:rsidR="0063108C" w:rsidRPr="004E1DE3">
        <w:rPr>
          <w:lang w:val="en-CA"/>
        </w:rPr>
        <w:t>ly protected</w:t>
      </w:r>
      <w:r w:rsidRPr="004E1DE3">
        <w:rPr>
          <w:lang w:val="en-CA"/>
        </w:rPr>
        <w:t>.</w:t>
      </w:r>
    </w:p>
    <w:p w14:paraId="72133F9E" w14:textId="77777777" w:rsidR="00105DE1" w:rsidRPr="004E1DE3" w:rsidRDefault="00573CA9" w:rsidP="00F82C63">
      <w:pPr>
        <w:pStyle w:val="Paragrdouble"/>
        <w:tabs>
          <w:tab w:val="num" w:pos="851"/>
        </w:tabs>
        <w:spacing w:line="240" w:lineRule="auto"/>
        <w:ind w:left="0"/>
        <w:rPr>
          <w:lang w:val="en-CA"/>
        </w:rPr>
      </w:pPr>
      <w:r w:rsidRPr="004E1DE3">
        <w:rPr>
          <w:lang w:val="en-CA"/>
        </w:rPr>
        <w:t xml:space="preserve">Amazon </w:t>
      </w:r>
      <w:r w:rsidR="0063108C" w:rsidRPr="004E1DE3">
        <w:rPr>
          <w:lang w:val="en-CA"/>
        </w:rPr>
        <w:t xml:space="preserve">may have committed one or several faults, arguably incurring its </w:t>
      </w:r>
      <w:r w:rsidRPr="004E1DE3">
        <w:rPr>
          <w:lang w:val="en-CA"/>
        </w:rPr>
        <w:t>contractual</w:t>
      </w:r>
      <w:r w:rsidR="0063108C" w:rsidRPr="004E1DE3">
        <w:rPr>
          <w:lang w:val="en-CA"/>
        </w:rPr>
        <w:t xml:space="preserve"> </w:t>
      </w:r>
      <w:r w:rsidRPr="004E1DE3">
        <w:rPr>
          <w:lang w:val="en-CA"/>
        </w:rPr>
        <w:t>liability</w:t>
      </w:r>
      <w:r w:rsidR="00C72F1A" w:rsidRPr="004E1DE3">
        <w:rPr>
          <w:lang w:val="en-CA"/>
        </w:rPr>
        <w:t xml:space="preserve"> towards</w:t>
      </w:r>
      <w:r w:rsidRPr="004E1DE3">
        <w:rPr>
          <w:lang w:val="en-CA"/>
        </w:rPr>
        <w:t xml:space="preserve"> Capital One </w:t>
      </w:r>
      <w:r w:rsidR="00C72F1A" w:rsidRPr="004E1DE3">
        <w:rPr>
          <w:lang w:val="en-CA"/>
        </w:rPr>
        <w:t xml:space="preserve">in the context of a possible action </w:t>
      </w:r>
      <w:r w:rsidRPr="004E1DE3">
        <w:rPr>
          <w:lang w:val="en-CA"/>
        </w:rPr>
        <w:t>in</w:t>
      </w:r>
      <w:r w:rsidR="00C72F1A" w:rsidRPr="004E1DE3">
        <w:rPr>
          <w:lang w:val="en-CA"/>
        </w:rPr>
        <w:t xml:space="preserve"> </w:t>
      </w:r>
      <w:r w:rsidRPr="004E1DE3">
        <w:rPr>
          <w:lang w:val="en-CA"/>
        </w:rPr>
        <w:t>warranty,</w:t>
      </w:r>
      <w:r w:rsidR="00C72F1A" w:rsidRPr="004E1DE3">
        <w:rPr>
          <w:lang w:val="en-CA"/>
        </w:rPr>
        <w:t xml:space="preserve"> but that is not the subject of the Court’s analysis here</w:t>
      </w:r>
      <w:r w:rsidRPr="004E1DE3">
        <w:rPr>
          <w:lang w:val="en-CA"/>
        </w:rPr>
        <w:t>.</w:t>
      </w:r>
    </w:p>
    <w:p w14:paraId="677C84D6" w14:textId="77777777" w:rsidR="00105DE1" w:rsidRPr="004E1DE3" w:rsidRDefault="00573CA9" w:rsidP="00105DE1">
      <w:pPr>
        <w:pStyle w:val="Paragrdouble"/>
        <w:tabs>
          <w:tab w:val="num" w:pos="851"/>
        </w:tabs>
        <w:spacing w:line="240" w:lineRule="auto"/>
        <w:ind w:left="0"/>
        <w:rPr>
          <w:lang w:val="en-CA"/>
        </w:rPr>
      </w:pPr>
      <w:r w:rsidRPr="004E1DE3">
        <w:rPr>
          <w:lang w:val="en-CA"/>
        </w:rPr>
        <w:t xml:space="preserve">In fact, there is little or no doubt that there will eventually be litigation between </w:t>
      </w:r>
      <w:r w:rsidR="00940EDA" w:rsidRPr="004E1DE3">
        <w:rPr>
          <w:lang w:val="en-CA"/>
        </w:rPr>
        <w:t xml:space="preserve">Amazon </w:t>
      </w:r>
      <w:r w:rsidRPr="004E1DE3">
        <w:rPr>
          <w:lang w:val="en-CA"/>
        </w:rPr>
        <w:t>and</w:t>
      </w:r>
      <w:r w:rsidR="00940EDA" w:rsidRPr="004E1DE3">
        <w:rPr>
          <w:lang w:val="en-CA"/>
        </w:rPr>
        <w:t xml:space="preserve"> Capital One, </w:t>
      </w:r>
      <w:r w:rsidRPr="004E1DE3">
        <w:rPr>
          <w:lang w:val="en-CA"/>
        </w:rPr>
        <w:t xml:space="preserve">if it is not already the case, in the event that a </w:t>
      </w:r>
      <w:r w:rsidR="00940EDA" w:rsidRPr="004E1DE3">
        <w:rPr>
          <w:lang w:val="en-CA"/>
        </w:rPr>
        <w:t>class</w:t>
      </w:r>
      <w:r w:rsidRPr="004E1DE3">
        <w:rPr>
          <w:lang w:val="en-CA"/>
        </w:rPr>
        <w:t xml:space="preserve"> </w:t>
      </w:r>
      <w:r w:rsidR="00940EDA" w:rsidRPr="004E1DE3">
        <w:rPr>
          <w:lang w:val="en-CA"/>
        </w:rPr>
        <w:t>action</w:t>
      </w:r>
      <w:r w:rsidRPr="004E1DE3">
        <w:rPr>
          <w:lang w:val="en-CA"/>
        </w:rPr>
        <w:t xml:space="preserve"> is eventually authorized against </w:t>
      </w:r>
      <w:r w:rsidR="00940EDA" w:rsidRPr="004E1DE3">
        <w:rPr>
          <w:lang w:val="en-CA"/>
        </w:rPr>
        <w:t>Capital One.</w:t>
      </w:r>
    </w:p>
    <w:p w14:paraId="2F00EA13" w14:textId="77777777" w:rsidR="00105DE1" w:rsidRPr="004E1DE3" w:rsidRDefault="00573CA9" w:rsidP="00105DE1">
      <w:pPr>
        <w:pStyle w:val="Paragrdouble"/>
        <w:tabs>
          <w:tab w:val="num" w:pos="851"/>
        </w:tabs>
        <w:spacing w:line="240" w:lineRule="auto"/>
        <w:ind w:left="0"/>
        <w:rPr>
          <w:lang w:val="en-CA"/>
        </w:rPr>
      </w:pPr>
      <w:r w:rsidRPr="004E1DE3">
        <w:rPr>
          <w:lang w:val="en-CA"/>
        </w:rPr>
        <w:t xml:space="preserve"> </w:t>
      </w:r>
      <w:r w:rsidR="00FC3CF9" w:rsidRPr="004E1DE3">
        <w:rPr>
          <w:lang w:val="en-CA"/>
        </w:rPr>
        <w:t>T</w:t>
      </w:r>
      <w:r w:rsidRPr="004E1DE3">
        <w:rPr>
          <w:lang w:val="en-CA"/>
        </w:rPr>
        <w:t>he</w:t>
      </w:r>
      <w:r w:rsidR="00FC3CF9" w:rsidRPr="004E1DE3">
        <w:rPr>
          <w:lang w:val="en-CA"/>
        </w:rPr>
        <w:t xml:space="preserve"> </w:t>
      </w:r>
      <w:r w:rsidRPr="004E1DE3">
        <w:rPr>
          <w:lang w:val="en-CA"/>
        </w:rPr>
        <w:t>Court</w:t>
      </w:r>
      <w:r w:rsidR="00FC3CF9" w:rsidRPr="004E1DE3">
        <w:rPr>
          <w:lang w:val="en-CA"/>
        </w:rPr>
        <w:t xml:space="preserve"> notes that in the exhibits </w:t>
      </w:r>
      <w:r w:rsidR="00C82E2E">
        <w:rPr>
          <w:lang w:val="en-CA"/>
        </w:rPr>
        <w:t>relied on</w:t>
      </w:r>
      <w:r w:rsidR="00C82E2E" w:rsidRPr="004E1DE3">
        <w:rPr>
          <w:lang w:val="en-CA"/>
        </w:rPr>
        <w:t xml:space="preserve"> </w:t>
      </w:r>
      <w:r w:rsidR="00FC3CF9" w:rsidRPr="004E1DE3">
        <w:rPr>
          <w:lang w:val="en-CA"/>
        </w:rPr>
        <w:t xml:space="preserve">by the plaintiffs, </w:t>
      </w:r>
      <w:r w:rsidRPr="004E1DE3">
        <w:rPr>
          <w:lang w:val="en-CA"/>
        </w:rPr>
        <w:t xml:space="preserve">Capital One </w:t>
      </w:r>
      <w:r w:rsidR="00FC3CF9" w:rsidRPr="004E1DE3">
        <w:rPr>
          <w:lang w:val="en-CA"/>
        </w:rPr>
        <w:t xml:space="preserve">and </w:t>
      </w:r>
      <w:r w:rsidRPr="004E1DE3">
        <w:rPr>
          <w:lang w:val="en-CA"/>
        </w:rPr>
        <w:t xml:space="preserve">Amazon </w:t>
      </w:r>
      <w:r w:rsidR="00FC3CF9" w:rsidRPr="004E1DE3">
        <w:rPr>
          <w:lang w:val="en-CA"/>
        </w:rPr>
        <w:t>have already, more than once, attributed ultimate liability for this unauthorized access to the other</w:t>
      </w:r>
      <w:r w:rsidRPr="004E1DE3">
        <w:rPr>
          <w:lang w:val="en-CA"/>
        </w:rPr>
        <w:t>.</w:t>
      </w:r>
    </w:p>
    <w:p w14:paraId="512096B2" w14:textId="77777777" w:rsidR="00105DE1" w:rsidRPr="004E1DE3" w:rsidRDefault="00573CA9" w:rsidP="00105DE1">
      <w:pPr>
        <w:pStyle w:val="Paragrdouble"/>
        <w:tabs>
          <w:tab w:val="num" w:pos="851"/>
        </w:tabs>
        <w:spacing w:line="240" w:lineRule="auto"/>
        <w:ind w:left="0"/>
        <w:rPr>
          <w:lang w:val="en-CA"/>
        </w:rPr>
      </w:pPr>
      <w:r w:rsidRPr="004E1DE3">
        <w:rPr>
          <w:lang w:val="en-CA"/>
        </w:rPr>
        <w:t xml:space="preserve">The </w:t>
      </w:r>
      <w:r w:rsidR="00940EDA" w:rsidRPr="004E1DE3">
        <w:rPr>
          <w:lang w:val="en-CA"/>
        </w:rPr>
        <w:t>hypoth</w:t>
      </w:r>
      <w:r w:rsidRPr="004E1DE3">
        <w:rPr>
          <w:lang w:val="en-CA"/>
        </w:rPr>
        <w:t>esis of a contributory fault by each of these groups also cannot b</w:t>
      </w:r>
      <w:r w:rsidR="00940EDA" w:rsidRPr="004E1DE3">
        <w:rPr>
          <w:lang w:val="en-CA"/>
        </w:rPr>
        <w:t xml:space="preserve">e </w:t>
      </w:r>
      <w:r w:rsidRPr="004E1DE3">
        <w:rPr>
          <w:lang w:val="en-CA"/>
        </w:rPr>
        <w:t>excluded at this stage, as the plaintiffs appear to suggest</w:t>
      </w:r>
      <w:r w:rsidR="00940EDA" w:rsidRPr="004E1DE3">
        <w:rPr>
          <w:lang w:val="en-CA"/>
        </w:rPr>
        <w:t>.</w:t>
      </w:r>
    </w:p>
    <w:p w14:paraId="6A42028D" w14:textId="77777777" w:rsidR="00105DE1" w:rsidRPr="004E1DE3" w:rsidRDefault="00573CA9" w:rsidP="007D1A3F">
      <w:pPr>
        <w:pStyle w:val="Paragrdouble"/>
        <w:tabs>
          <w:tab w:val="num" w:pos="851"/>
        </w:tabs>
        <w:spacing w:line="240" w:lineRule="auto"/>
        <w:ind w:left="0"/>
        <w:rPr>
          <w:lang w:val="en-CA"/>
        </w:rPr>
      </w:pPr>
      <w:r w:rsidRPr="004E1DE3">
        <w:rPr>
          <w:lang w:val="en-CA"/>
        </w:rPr>
        <w:t xml:space="preserve"> </w:t>
      </w:r>
      <w:r w:rsidR="00FC3CF9" w:rsidRPr="004E1DE3">
        <w:rPr>
          <w:lang w:val="en-CA"/>
        </w:rPr>
        <w:t>The issue n</w:t>
      </w:r>
      <w:r w:rsidR="007136CA" w:rsidRPr="004E1DE3">
        <w:rPr>
          <w:lang w:val="en-CA"/>
        </w:rPr>
        <w:t xml:space="preserve">ow </w:t>
      </w:r>
      <w:r w:rsidR="00E45E00" w:rsidRPr="004E1DE3">
        <w:rPr>
          <w:lang w:val="en-CA"/>
        </w:rPr>
        <w:t xml:space="preserve">is </w:t>
      </w:r>
      <w:r w:rsidR="007136CA" w:rsidRPr="004E1DE3">
        <w:rPr>
          <w:lang w:val="en-CA"/>
        </w:rPr>
        <w:t xml:space="preserve">whether </w:t>
      </w:r>
      <w:r w:rsidR="00E45E00" w:rsidRPr="004E1DE3">
        <w:rPr>
          <w:lang w:val="en-CA"/>
        </w:rPr>
        <w:t>as a result of its</w:t>
      </w:r>
      <w:r w:rsidR="007136CA" w:rsidRPr="004E1DE3">
        <w:rPr>
          <w:lang w:val="en-CA"/>
        </w:rPr>
        <w:t xml:space="preserve"> alleged faults and </w:t>
      </w:r>
      <w:r w:rsidRPr="004E1DE3">
        <w:rPr>
          <w:lang w:val="en-CA"/>
        </w:rPr>
        <w:t>breaches</w:t>
      </w:r>
      <w:r w:rsidR="00E45E00" w:rsidRPr="004E1DE3">
        <w:rPr>
          <w:lang w:val="en-CA"/>
        </w:rPr>
        <w:t xml:space="preserve">, Amazon may incur direct liability to the putative </w:t>
      </w:r>
      <w:r w:rsidR="00FE31E7">
        <w:rPr>
          <w:lang w:val="en-CA"/>
        </w:rPr>
        <w:t xml:space="preserve">class </w:t>
      </w:r>
      <w:r w:rsidR="00E45E00" w:rsidRPr="004E1DE3">
        <w:rPr>
          <w:lang w:val="en-CA"/>
        </w:rPr>
        <w:t xml:space="preserve">members to whom this </w:t>
      </w:r>
      <w:r w:rsidRPr="004E1DE3">
        <w:rPr>
          <w:lang w:val="en-CA"/>
        </w:rPr>
        <w:t>personal</w:t>
      </w:r>
      <w:r w:rsidR="00E45E00" w:rsidRPr="004E1DE3">
        <w:rPr>
          <w:lang w:val="en-CA"/>
        </w:rPr>
        <w:t xml:space="preserve"> </w:t>
      </w:r>
      <w:r w:rsidRPr="004E1DE3">
        <w:rPr>
          <w:lang w:val="en-CA"/>
        </w:rPr>
        <w:t>information</w:t>
      </w:r>
      <w:r w:rsidR="00E45E00" w:rsidRPr="004E1DE3">
        <w:rPr>
          <w:lang w:val="en-CA"/>
        </w:rPr>
        <w:t xml:space="preserve"> belongs</w:t>
      </w:r>
      <w:r w:rsidRPr="004E1DE3">
        <w:rPr>
          <w:lang w:val="en-CA"/>
        </w:rPr>
        <w:t>.</w:t>
      </w:r>
    </w:p>
    <w:p w14:paraId="0168DDE7" w14:textId="77777777" w:rsidR="00B13636" w:rsidRPr="004E1DE3" w:rsidRDefault="00573CA9" w:rsidP="007D1A3F">
      <w:pPr>
        <w:pStyle w:val="Paragrdouble"/>
        <w:tabs>
          <w:tab w:val="num" w:pos="851"/>
        </w:tabs>
        <w:spacing w:line="240" w:lineRule="auto"/>
        <w:ind w:left="0"/>
        <w:rPr>
          <w:lang w:val="en-CA"/>
        </w:rPr>
      </w:pPr>
      <w:r w:rsidRPr="004E1DE3">
        <w:rPr>
          <w:lang w:val="en-CA"/>
        </w:rPr>
        <w:t xml:space="preserve">Amazon </w:t>
      </w:r>
      <w:r w:rsidR="00C0580B" w:rsidRPr="004E1DE3">
        <w:rPr>
          <w:lang w:val="en-CA"/>
        </w:rPr>
        <w:t xml:space="preserve">seeks to reduce and limit the scope of its </w:t>
      </w:r>
      <w:r w:rsidRPr="004E1DE3">
        <w:rPr>
          <w:lang w:val="en-CA"/>
        </w:rPr>
        <w:t>undertakings</w:t>
      </w:r>
      <w:r w:rsidR="00C0580B" w:rsidRPr="004E1DE3">
        <w:rPr>
          <w:lang w:val="en-CA"/>
        </w:rPr>
        <w:t xml:space="preserve"> that may arise from the repres</w:t>
      </w:r>
      <w:r w:rsidRPr="004E1DE3">
        <w:rPr>
          <w:lang w:val="en-CA"/>
        </w:rPr>
        <w:t xml:space="preserve">entations </w:t>
      </w:r>
      <w:r w:rsidR="00062573" w:rsidRPr="004E1DE3">
        <w:rPr>
          <w:lang w:val="en-CA"/>
        </w:rPr>
        <w:t>it makes on its website</w:t>
      </w:r>
      <w:r>
        <w:rPr>
          <w:rStyle w:val="Appelnotedebasdep"/>
          <w:lang w:val="en-CA"/>
        </w:rPr>
        <w:footnoteReference w:id="55"/>
      </w:r>
      <w:r w:rsidR="00226B42" w:rsidRPr="004E1DE3">
        <w:rPr>
          <w:lang w:val="en-CA"/>
        </w:rPr>
        <w:t xml:space="preserve"> </w:t>
      </w:r>
      <w:r w:rsidR="00062573" w:rsidRPr="004E1DE3">
        <w:rPr>
          <w:lang w:val="en-CA"/>
        </w:rPr>
        <w:t xml:space="preserve">and the </w:t>
      </w:r>
      <w:r w:rsidR="00226B42" w:rsidRPr="004E1DE3">
        <w:rPr>
          <w:lang w:val="en-CA"/>
        </w:rPr>
        <w:t>obligations</w:t>
      </w:r>
      <w:r w:rsidR="00062573" w:rsidRPr="004E1DE3">
        <w:rPr>
          <w:lang w:val="en-CA"/>
        </w:rPr>
        <w:t xml:space="preserve"> that may be incumbent upon it </w:t>
      </w:r>
      <w:r w:rsidR="00CB0B5C" w:rsidRPr="004E1DE3">
        <w:rPr>
          <w:lang w:val="en-CA"/>
        </w:rPr>
        <w:t xml:space="preserve">depending on the </w:t>
      </w:r>
      <w:r w:rsidR="00226B42" w:rsidRPr="004E1DE3">
        <w:rPr>
          <w:lang w:val="en-CA"/>
        </w:rPr>
        <w:t>provincial</w:t>
      </w:r>
      <w:r w:rsidR="00CB0B5C" w:rsidRPr="004E1DE3">
        <w:rPr>
          <w:lang w:val="en-CA"/>
        </w:rPr>
        <w:t xml:space="preserve"> and federal </w:t>
      </w:r>
      <w:r w:rsidR="00226B42" w:rsidRPr="004E1DE3">
        <w:rPr>
          <w:lang w:val="en-CA"/>
        </w:rPr>
        <w:t>statute</w:t>
      </w:r>
      <w:r w:rsidR="00CB0B5C" w:rsidRPr="004E1DE3">
        <w:rPr>
          <w:lang w:val="en-CA"/>
        </w:rPr>
        <w:t xml:space="preserve">s, and consequently, under </w:t>
      </w:r>
      <w:r w:rsidR="00226B42" w:rsidRPr="004E1DE3">
        <w:rPr>
          <w:lang w:val="en-CA"/>
        </w:rPr>
        <w:t>article 1457 CCQ.</w:t>
      </w:r>
    </w:p>
    <w:p w14:paraId="2F159201" w14:textId="77777777" w:rsidR="002E1FD0" w:rsidRPr="004E1DE3" w:rsidRDefault="00573CA9" w:rsidP="007D1A3F">
      <w:pPr>
        <w:pStyle w:val="Paragrdouble"/>
        <w:tabs>
          <w:tab w:val="num" w:pos="851"/>
        </w:tabs>
        <w:spacing w:line="240" w:lineRule="auto"/>
        <w:ind w:left="0"/>
        <w:rPr>
          <w:lang w:val="en-CA"/>
        </w:rPr>
      </w:pPr>
      <w:r w:rsidRPr="004E1DE3">
        <w:rPr>
          <w:lang w:val="en-CA"/>
        </w:rPr>
        <w:t xml:space="preserve">Indeed, </w:t>
      </w:r>
      <w:r w:rsidR="00E33C46" w:rsidRPr="004E1DE3">
        <w:rPr>
          <w:lang w:val="en-CA"/>
        </w:rPr>
        <w:t xml:space="preserve">at first glance, </w:t>
      </w:r>
      <w:r w:rsidRPr="004E1DE3">
        <w:rPr>
          <w:lang w:val="en-CA"/>
        </w:rPr>
        <w:t>Amazon’s advertising and the information it publishes on the services it provides in Canada re</w:t>
      </w:r>
      <w:r w:rsidR="00E33C46" w:rsidRPr="004E1DE3">
        <w:rPr>
          <w:lang w:val="en-CA"/>
        </w:rPr>
        <w:t xml:space="preserve">garding </w:t>
      </w:r>
      <w:r w:rsidRPr="004E1DE3">
        <w:rPr>
          <w:lang w:val="en-CA"/>
        </w:rPr>
        <w:t>the security of</w:t>
      </w:r>
      <w:r w:rsidR="00E33C46" w:rsidRPr="004E1DE3">
        <w:rPr>
          <w:lang w:val="en-CA"/>
        </w:rPr>
        <w:t xml:space="preserve"> the storage of personal </w:t>
      </w:r>
      <w:r w:rsidR="00E33C46" w:rsidRPr="004E1DE3">
        <w:rPr>
          <w:lang w:val="en-CA"/>
        </w:rPr>
        <w:lastRenderedPageBreak/>
        <w:t>information that may be entrusted to it in the territory are not inten</w:t>
      </w:r>
      <w:r w:rsidR="002E5FD7" w:rsidRPr="004E1DE3">
        <w:rPr>
          <w:lang w:val="en-CA"/>
        </w:rPr>
        <w:t>d</w:t>
      </w:r>
      <w:r w:rsidR="00E33C46" w:rsidRPr="004E1DE3">
        <w:rPr>
          <w:lang w:val="en-CA"/>
        </w:rPr>
        <w:t xml:space="preserve">ed for </w:t>
      </w:r>
      <w:r w:rsidR="00940EDA" w:rsidRPr="004E1DE3">
        <w:rPr>
          <w:lang w:val="en-CA"/>
        </w:rPr>
        <w:t xml:space="preserve">Capital One, </w:t>
      </w:r>
      <w:r w:rsidR="00E33C46" w:rsidRPr="004E1DE3">
        <w:rPr>
          <w:lang w:val="en-CA"/>
        </w:rPr>
        <w:t xml:space="preserve">but rather for the putative </w:t>
      </w:r>
      <w:r w:rsidR="00FE31E7">
        <w:rPr>
          <w:lang w:val="en-CA"/>
        </w:rPr>
        <w:t xml:space="preserve">class </w:t>
      </w:r>
      <w:r w:rsidR="00E33C46" w:rsidRPr="004E1DE3">
        <w:rPr>
          <w:lang w:val="en-CA"/>
        </w:rPr>
        <w:t>members and the public in general</w:t>
      </w:r>
      <w:r w:rsidR="00940EDA" w:rsidRPr="004E1DE3">
        <w:rPr>
          <w:lang w:val="en-CA"/>
        </w:rPr>
        <w:t>.</w:t>
      </w:r>
    </w:p>
    <w:p w14:paraId="698EF4D9" w14:textId="77777777" w:rsidR="00B4135E" w:rsidRPr="004E1DE3" w:rsidRDefault="00573CA9" w:rsidP="007D1A3F">
      <w:pPr>
        <w:pStyle w:val="Paragrdouble"/>
        <w:tabs>
          <w:tab w:val="num" w:pos="851"/>
        </w:tabs>
        <w:spacing w:line="240" w:lineRule="auto"/>
        <w:ind w:left="0"/>
        <w:rPr>
          <w:lang w:val="en-CA"/>
        </w:rPr>
      </w:pPr>
      <w:r w:rsidRPr="004E1DE3">
        <w:rPr>
          <w:lang w:val="en-CA"/>
        </w:rPr>
        <w:t xml:space="preserve">The following are excerpts from </w:t>
      </w:r>
      <w:r w:rsidR="00940EDA" w:rsidRPr="004E1DE3">
        <w:rPr>
          <w:lang w:val="en-CA"/>
        </w:rPr>
        <w:t>Amazon</w:t>
      </w:r>
      <w:r w:rsidRPr="004E1DE3">
        <w:rPr>
          <w:lang w:val="en-CA"/>
        </w:rPr>
        <w:t>’s website</w:t>
      </w:r>
      <w:r w:rsidR="00940EDA" w:rsidRPr="004E1DE3">
        <w:rPr>
          <w:lang w:val="en-CA"/>
        </w:rPr>
        <w:t xml:space="preserve"> </w:t>
      </w:r>
      <w:r w:rsidR="002E5FD7" w:rsidRPr="004E1DE3">
        <w:rPr>
          <w:lang w:val="en-CA"/>
        </w:rPr>
        <w:t xml:space="preserve">intended for </w:t>
      </w:r>
      <w:r w:rsidR="00940EDA" w:rsidRPr="004E1DE3">
        <w:rPr>
          <w:lang w:val="en-CA"/>
        </w:rPr>
        <w:t>Canadian</w:t>
      </w:r>
      <w:r w:rsidR="002E5FD7" w:rsidRPr="004E1DE3">
        <w:rPr>
          <w:lang w:val="en-CA"/>
        </w:rPr>
        <w:t xml:space="preserve"> resident</w:t>
      </w:r>
      <w:r w:rsidR="00940EDA" w:rsidRPr="004E1DE3">
        <w:rPr>
          <w:lang w:val="en-CA"/>
        </w:rPr>
        <w:t xml:space="preserve">s: </w:t>
      </w:r>
    </w:p>
    <w:p w14:paraId="2C540EEC" w14:textId="77777777" w:rsidR="00284210" w:rsidRPr="004E1DE3" w:rsidRDefault="00573CA9" w:rsidP="00B4135E">
      <w:pPr>
        <w:pStyle w:val="Citationenretrait"/>
        <w:rPr>
          <w:szCs w:val="22"/>
          <w:u w:val="single"/>
          <w:lang w:val="en-CA" w:eastAsia="fr-CA"/>
        </w:rPr>
      </w:pPr>
      <w:r w:rsidRPr="004E1DE3">
        <w:rPr>
          <w:szCs w:val="22"/>
          <w:u w:val="single"/>
          <w:lang w:val="en-CA" w:eastAsia="fr-CA"/>
        </w:rPr>
        <w:t>The AWS Canada Region has two Availability Zones made up of one or more discrete data centers to help customers meet local compliance and security needs.</w:t>
      </w:r>
    </w:p>
    <w:p w14:paraId="2FCD4D0D" w14:textId="77777777" w:rsidR="009267C4" w:rsidRPr="004E1DE3" w:rsidRDefault="00573CA9" w:rsidP="00B4135E">
      <w:pPr>
        <w:pStyle w:val="Citationenretrait"/>
        <w:rPr>
          <w:szCs w:val="22"/>
          <w:lang w:val="en-CA" w:eastAsia="fr-CA"/>
        </w:rPr>
      </w:pPr>
      <w:r w:rsidRPr="004E1DE3">
        <w:rPr>
          <w:szCs w:val="22"/>
          <w:lang w:val="en-CA" w:eastAsia="fr-CA"/>
        </w:rPr>
        <w:t>…</w:t>
      </w:r>
    </w:p>
    <w:p w14:paraId="7211B2FA" w14:textId="77777777" w:rsidR="009267C4" w:rsidRPr="004E1DE3" w:rsidRDefault="00573CA9" w:rsidP="00B4135E">
      <w:pPr>
        <w:pStyle w:val="Citationenretrait"/>
        <w:rPr>
          <w:szCs w:val="22"/>
          <w:lang w:val="en-CA" w:eastAsia="fr-CA"/>
        </w:rPr>
      </w:pPr>
      <w:r w:rsidRPr="004E1DE3">
        <w:rPr>
          <w:szCs w:val="22"/>
          <w:lang w:val="en-CA" w:eastAsia="fr-CA"/>
        </w:rPr>
        <w:t>SECURITY AND COMPLIANCE</w:t>
      </w:r>
    </w:p>
    <w:p w14:paraId="2C0C170F" w14:textId="77777777" w:rsidR="009267C4" w:rsidRPr="004E1DE3" w:rsidRDefault="00573CA9" w:rsidP="00B4135E">
      <w:pPr>
        <w:pStyle w:val="Citationenretrait"/>
        <w:rPr>
          <w:szCs w:val="22"/>
          <w:lang w:val="en-CA" w:eastAsia="fr-CA"/>
        </w:rPr>
      </w:pPr>
      <w:r w:rsidRPr="004E1DE3">
        <w:rPr>
          <w:szCs w:val="22"/>
          <w:lang w:val="en-CA" w:eastAsia="fr-CA"/>
        </w:rPr>
        <w:t>Superior Cloud Protection</w:t>
      </w:r>
    </w:p>
    <w:p w14:paraId="66DD6633" w14:textId="77777777" w:rsidR="009267C4" w:rsidRPr="004E1DE3" w:rsidRDefault="00573CA9" w:rsidP="00B4135E">
      <w:pPr>
        <w:pStyle w:val="Citationenretrait"/>
        <w:rPr>
          <w:szCs w:val="22"/>
          <w:lang w:val="en-CA" w:eastAsia="fr-CA"/>
        </w:rPr>
      </w:pPr>
      <w:r w:rsidRPr="004E1DE3">
        <w:rPr>
          <w:szCs w:val="22"/>
          <w:u w:val="single"/>
          <w:lang w:val="en-CA" w:eastAsia="fr-CA"/>
        </w:rPr>
        <w:t>At AWS, cloud security is our highest priority.</w:t>
      </w:r>
      <w:r w:rsidRPr="004E1DE3">
        <w:rPr>
          <w:szCs w:val="22"/>
          <w:lang w:val="en-CA" w:eastAsia="fr-CA"/>
        </w:rPr>
        <w:t xml:space="preserve"> As an AWS customer using cloud computing services </w:t>
      </w:r>
    </w:p>
    <w:p w14:paraId="56A6A4DE" w14:textId="77777777" w:rsidR="00FA2643" w:rsidRPr="004E1DE3" w:rsidRDefault="00573CA9" w:rsidP="00B4135E">
      <w:pPr>
        <w:pStyle w:val="Citationenretrait"/>
        <w:rPr>
          <w:szCs w:val="22"/>
          <w:u w:val="single"/>
          <w:lang w:val="en-CA" w:eastAsia="fr-CA"/>
        </w:rPr>
      </w:pPr>
      <w:r w:rsidRPr="004E1DE3">
        <w:rPr>
          <w:szCs w:val="22"/>
          <w:u w:val="single"/>
          <w:lang w:val="en-CA" w:eastAsia="fr-CA"/>
        </w:rPr>
        <w:t>In the Canada region, you will benefit from local servers and network architecture built to meet the requirements of the most security-sensitive organizations. AWS allows customers to scale and innovate, and provides the tools to maintain a protected environment. Customers can choose to secure their data locally, to help them meet Canadian PIPEDA regulations.</w:t>
      </w:r>
    </w:p>
    <w:p w14:paraId="520FB988" w14:textId="77777777" w:rsidR="00D718F1" w:rsidRPr="004E1DE3" w:rsidRDefault="00573CA9" w:rsidP="00D718F1">
      <w:pPr>
        <w:pStyle w:val="Citationenretrait"/>
        <w:jc w:val="right"/>
        <w:rPr>
          <w:sz w:val="24"/>
          <w:szCs w:val="24"/>
          <w:lang w:val="en-CA"/>
        </w:rPr>
      </w:pP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Pr="004E1DE3">
        <w:rPr>
          <w:sz w:val="24"/>
          <w:szCs w:val="24"/>
          <w:lang w:val="en-CA"/>
        </w:rPr>
        <w:tab/>
      </w:r>
      <w:r w:rsidR="00D323AE" w:rsidRPr="004E1DE3">
        <w:rPr>
          <w:sz w:val="24"/>
          <w:szCs w:val="24"/>
          <w:lang w:val="en-CA"/>
        </w:rPr>
        <w:t>[Emphasis added.]</w:t>
      </w:r>
    </w:p>
    <w:p w14:paraId="404D6AED" w14:textId="77777777" w:rsidR="005B412A" w:rsidRPr="004E1DE3" w:rsidRDefault="00573CA9" w:rsidP="007D1A3F">
      <w:pPr>
        <w:pStyle w:val="Paragrdouble"/>
        <w:tabs>
          <w:tab w:val="num" w:pos="851"/>
        </w:tabs>
        <w:spacing w:line="240" w:lineRule="auto"/>
        <w:ind w:left="0"/>
        <w:rPr>
          <w:lang w:val="en-CA"/>
        </w:rPr>
      </w:pPr>
      <w:r w:rsidRPr="004E1DE3">
        <w:rPr>
          <w:lang w:val="en-CA"/>
        </w:rPr>
        <w:t xml:space="preserve">The </w:t>
      </w:r>
      <w:r w:rsidR="00940EDA" w:rsidRPr="004E1DE3">
        <w:rPr>
          <w:lang w:val="en-CA"/>
        </w:rPr>
        <w:t xml:space="preserve">undertakings </w:t>
      </w:r>
      <w:r w:rsidRPr="004E1DE3">
        <w:rPr>
          <w:lang w:val="en-CA"/>
        </w:rPr>
        <w:t xml:space="preserve">set out therein are clear, precise, and as extensive as those set out in </w:t>
      </w:r>
      <w:r w:rsidR="00940EDA" w:rsidRPr="004E1DE3">
        <w:rPr>
          <w:lang w:val="en-CA"/>
        </w:rPr>
        <w:t>Capital One</w:t>
      </w:r>
      <w:r w:rsidRPr="004E1DE3">
        <w:rPr>
          <w:lang w:val="en-CA"/>
        </w:rPr>
        <w:t>’s documents, referred to above</w:t>
      </w:r>
      <w:r w:rsidR="00940EDA" w:rsidRPr="004E1DE3">
        <w:rPr>
          <w:lang w:val="en-CA"/>
        </w:rPr>
        <w:t>. </w:t>
      </w:r>
    </w:p>
    <w:p w14:paraId="750BDBBD" w14:textId="77777777" w:rsidR="00677546" w:rsidRPr="004E1DE3" w:rsidRDefault="00573CA9" w:rsidP="007D1A3F">
      <w:pPr>
        <w:pStyle w:val="Paragrdouble"/>
        <w:tabs>
          <w:tab w:val="num" w:pos="851"/>
        </w:tabs>
        <w:spacing w:line="240" w:lineRule="auto"/>
        <w:ind w:left="0"/>
        <w:rPr>
          <w:lang w:val="en-CA"/>
        </w:rPr>
      </w:pPr>
      <w:r w:rsidRPr="004E1DE3">
        <w:rPr>
          <w:lang w:val="en-CA"/>
        </w:rPr>
        <w:t xml:space="preserve">It is therefore entirely conceivable, further to a preliminary examination of the </w:t>
      </w:r>
      <w:r w:rsidR="00226B42" w:rsidRPr="004E1DE3">
        <w:rPr>
          <w:lang w:val="en-CA"/>
        </w:rPr>
        <w:t>statutory</w:t>
      </w:r>
      <w:r w:rsidRPr="004E1DE3">
        <w:rPr>
          <w:lang w:val="en-CA"/>
        </w:rPr>
        <w:t xml:space="preserve"> </w:t>
      </w:r>
      <w:r w:rsidR="00226B42" w:rsidRPr="004E1DE3">
        <w:rPr>
          <w:lang w:val="en-CA"/>
        </w:rPr>
        <w:t>provisions</w:t>
      </w:r>
      <w:r w:rsidRPr="004E1DE3">
        <w:rPr>
          <w:lang w:val="en-CA"/>
        </w:rPr>
        <w:t xml:space="preserve"> in force in </w:t>
      </w:r>
      <w:r w:rsidR="00226B42" w:rsidRPr="004E1DE3">
        <w:rPr>
          <w:lang w:val="en-CA"/>
        </w:rPr>
        <w:t>Qu</w:t>
      </w:r>
      <w:r w:rsidRPr="004E1DE3">
        <w:rPr>
          <w:lang w:val="en-CA"/>
        </w:rPr>
        <w:t>e</w:t>
      </w:r>
      <w:r w:rsidR="00226B42" w:rsidRPr="004E1DE3">
        <w:rPr>
          <w:lang w:val="en-CA"/>
        </w:rPr>
        <w:t>bec</w:t>
      </w:r>
      <w:r w:rsidRPr="004E1DE3">
        <w:rPr>
          <w:lang w:val="en-CA"/>
        </w:rPr>
        <w:t xml:space="preserve"> with respect to the </w:t>
      </w:r>
      <w:r w:rsidR="00226B42" w:rsidRPr="004E1DE3">
        <w:rPr>
          <w:lang w:val="en-CA"/>
        </w:rPr>
        <w:t xml:space="preserve">protection </w:t>
      </w:r>
      <w:r w:rsidRPr="004E1DE3">
        <w:rPr>
          <w:lang w:val="en-CA"/>
        </w:rPr>
        <w:t xml:space="preserve">of </w:t>
      </w:r>
      <w:r w:rsidR="00226B42" w:rsidRPr="004E1DE3">
        <w:rPr>
          <w:lang w:val="en-CA"/>
        </w:rPr>
        <w:t>personal</w:t>
      </w:r>
      <w:r w:rsidRPr="004E1DE3">
        <w:rPr>
          <w:lang w:val="en-CA"/>
        </w:rPr>
        <w:t xml:space="preserve"> </w:t>
      </w:r>
      <w:r w:rsidR="00226B42" w:rsidRPr="004E1DE3">
        <w:rPr>
          <w:lang w:val="en-CA"/>
        </w:rPr>
        <w:t>information</w:t>
      </w:r>
      <w:r w:rsidR="00C82E2E">
        <w:rPr>
          <w:lang w:val="en-CA"/>
        </w:rPr>
        <w:t>,</w:t>
      </w:r>
      <w:r w:rsidRPr="004E1DE3">
        <w:rPr>
          <w:lang w:val="en-CA"/>
        </w:rPr>
        <w:t xml:space="preserve"> that </w:t>
      </w:r>
      <w:r w:rsidR="00226B42" w:rsidRPr="004E1DE3">
        <w:rPr>
          <w:lang w:val="en-CA"/>
        </w:rPr>
        <w:t xml:space="preserve">Amazon </w:t>
      </w:r>
      <w:r w:rsidRPr="004E1DE3">
        <w:rPr>
          <w:lang w:val="en-CA"/>
        </w:rPr>
        <w:t xml:space="preserve">could be </w:t>
      </w:r>
      <w:r w:rsidR="00C533E1" w:rsidRPr="004E1DE3">
        <w:rPr>
          <w:lang w:val="en-CA"/>
        </w:rPr>
        <w:t xml:space="preserve">considered a person who holds </w:t>
      </w:r>
      <w:r w:rsidR="00226B42" w:rsidRPr="004E1DE3">
        <w:rPr>
          <w:lang w:val="en-CA"/>
        </w:rPr>
        <w:t>personal</w:t>
      </w:r>
      <w:r w:rsidR="00C533E1" w:rsidRPr="004E1DE3">
        <w:rPr>
          <w:lang w:val="en-CA"/>
        </w:rPr>
        <w:t xml:space="preserve"> </w:t>
      </w:r>
      <w:r w:rsidR="00226B42" w:rsidRPr="004E1DE3">
        <w:rPr>
          <w:lang w:val="en-CA"/>
        </w:rPr>
        <w:t>information</w:t>
      </w:r>
      <w:r w:rsidR="00C533E1" w:rsidRPr="004E1DE3">
        <w:rPr>
          <w:lang w:val="en-CA"/>
        </w:rPr>
        <w:t xml:space="preserve"> belonging to the putative </w:t>
      </w:r>
      <w:r w:rsidR="00FE31E7">
        <w:rPr>
          <w:lang w:val="en-CA"/>
        </w:rPr>
        <w:t xml:space="preserve">class </w:t>
      </w:r>
      <w:r w:rsidR="00C533E1" w:rsidRPr="004E1DE3">
        <w:rPr>
          <w:lang w:val="en-CA"/>
        </w:rPr>
        <w:t xml:space="preserve">members, despite the </w:t>
      </w:r>
      <w:r w:rsidR="00226B42" w:rsidRPr="004E1DE3">
        <w:rPr>
          <w:lang w:val="en-CA"/>
        </w:rPr>
        <w:t xml:space="preserve">absence </w:t>
      </w:r>
      <w:r w:rsidR="00C533E1" w:rsidRPr="004E1DE3">
        <w:rPr>
          <w:lang w:val="en-CA"/>
        </w:rPr>
        <w:t xml:space="preserve">of a </w:t>
      </w:r>
      <w:r w:rsidR="00226B42" w:rsidRPr="004E1DE3">
        <w:rPr>
          <w:lang w:val="en-CA"/>
        </w:rPr>
        <w:t>contractual</w:t>
      </w:r>
      <w:r w:rsidR="00C533E1" w:rsidRPr="004E1DE3">
        <w:rPr>
          <w:lang w:val="en-CA"/>
        </w:rPr>
        <w:t xml:space="preserve"> </w:t>
      </w:r>
      <w:r w:rsidR="00226B42" w:rsidRPr="004E1DE3">
        <w:rPr>
          <w:lang w:val="en-CA"/>
        </w:rPr>
        <w:t>relationship</w:t>
      </w:r>
      <w:r w:rsidR="00C533E1" w:rsidRPr="004E1DE3">
        <w:rPr>
          <w:lang w:val="en-CA"/>
        </w:rPr>
        <w:t xml:space="preserve"> with them, and that Amazon has incurred statutory or legal liability towards those </w:t>
      </w:r>
      <w:r w:rsidR="00C82E2E">
        <w:rPr>
          <w:lang w:val="en-CA"/>
        </w:rPr>
        <w:t xml:space="preserve">class </w:t>
      </w:r>
      <w:r w:rsidR="00C533E1" w:rsidRPr="004E1DE3">
        <w:rPr>
          <w:lang w:val="en-CA"/>
        </w:rPr>
        <w:t>members as a result</w:t>
      </w:r>
      <w:r w:rsidR="00226B42" w:rsidRPr="004E1DE3">
        <w:rPr>
          <w:lang w:val="en-CA"/>
        </w:rPr>
        <w:t>.</w:t>
      </w:r>
    </w:p>
    <w:p w14:paraId="62F9D31A" w14:textId="77777777" w:rsidR="005B412A" w:rsidRPr="004E1DE3" w:rsidRDefault="00573CA9" w:rsidP="005B412A">
      <w:pPr>
        <w:pStyle w:val="Paragrdouble"/>
        <w:tabs>
          <w:tab w:val="num" w:pos="851"/>
        </w:tabs>
        <w:spacing w:line="240" w:lineRule="auto"/>
        <w:ind w:left="0"/>
        <w:rPr>
          <w:lang w:val="en-CA"/>
        </w:rPr>
      </w:pPr>
      <w:r w:rsidRPr="004E1DE3">
        <w:rPr>
          <w:lang w:val="en-CA"/>
        </w:rPr>
        <w:t xml:space="preserve">It is true that the </w:t>
      </w:r>
      <w:r w:rsidR="00940EDA" w:rsidRPr="004E1DE3">
        <w:rPr>
          <w:lang w:val="en-CA"/>
        </w:rPr>
        <w:t>all</w:t>
      </w:r>
      <w:r w:rsidRPr="004E1DE3">
        <w:rPr>
          <w:lang w:val="en-CA"/>
        </w:rPr>
        <w:t>e</w:t>
      </w:r>
      <w:r w:rsidR="00940EDA" w:rsidRPr="004E1DE3">
        <w:rPr>
          <w:lang w:val="en-CA"/>
        </w:rPr>
        <w:t xml:space="preserve">gations </w:t>
      </w:r>
      <w:r w:rsidRPr="004E1DE3">
        <w:rPr>
          <w:lang w:val="en-CA"/>
        </w:rPr>
        <w:t>in the A</w:t>
      </w:r>
      <w:r w:rsidR="00940EDA" w:rsidRPr="004E1DE3">
        <w:rPr>
          <w:lang w:val="en-CA"/>
        </w:rPr>
        <w:t>pplication</w:t>
      </w:r>
      <w:r w:rsidRPr="004E1DE3">
        <w:rPr>
          <w:lang w:val="en-CA"/>
        </w:rPr>
        <w:t xml:space="preserve"> reveal that </w:t>
      </w:r>
      <w:r w:rsidR="00940EDA" w:rsidRPr="004E1DE3">
        <w:rPr>
          <w:lang w:val="en-CA"/>
        </w:rPr>
        <w:t>Amazon</w:t>
      </w:r>
      <w:r w:rsidRPr="004E1DE3">
        <w:rPr>
          <w:lang w:val="en-CA"/>
        </w:rPr>
        <w:t xml:space="preserve"> did not formally make any contractual </w:t>
      </w:r>
      <w:r w:rsidR="00940EDA" w:rsidRPr="004E1DE3">
        <w:rPr>
          <w:lang w:val="en-CA"/>
        </w:rPr>
        <w:t>undertaking</w:t>
      </w:r>
      <w:r w:rsidRPr="004E1DE3">
        <w:rPr>
          <w:lang w:val="en-CA"/>
        </w:rPr>
        <w:t xml:space="preserve"> to the plaintiffs or the putative </w:t>
      </w:r>
      <w:r w:rsidR="00FE31E7">
        <w:rPr>
          <w:lang w:val="en-CA"/>
        </w:rPr>
        <w:t xml:space="preserve">class </w:t>
      </w:r>
      <w:r w:rsidRPr="004E1DE3">
        <w:rPr>
          <w:lang w:val="en-CA"/>
        </w:rPr>
        <w:t xml:space="preserve">members; however, the </w:t>
      </w:r>
      <w:r w:rsidR="00940EDA" w:rsidRPr="004E1DE3">
        <w:rPr>
          <w:lang w:val="en-CA"/>
        </w:rPr>
        <w:t>Court</w:t>
      </w:r>
      <w:r w:rsidRPr="004E1DE3">
        <w:rPr>
          <w:lang w:val="en-CA"/>
        </w:rPr>
        <w:t xml:space="preserve"> remains unconvinced by </w:t>
      </w:r>
      <w:r w:rsidR="00940EDA" w:rsidRPr="004E1DE3">
        <w:rPr>
          <w:lang w:val="en-CA"/>
        </w:rPr>
        <w:t>Amazon</w:t>
      </w:r>
      <w:r w:rsidRPr="004E1DE3">
        <w:rPr>
          <w:lang w:val="en-CA"/>
        </w:rPr>
        <w:t xml:space="preserve">’s argument on the scope, in particular of the </w:t>
      </w:r>
      <w:r w:rsidR="00940EDA" w:rsidRPr="004E1DE3">
        <w:rPr>
          <w:lang w:val="en-CA"/>
        </w:rPr>
        <w:t>provincial</w:t>
      </w:r>
      <w:r w:rsidRPr="004E1DE3">
        <w:rPr>
          <w:lang w:val="en-CA"/>
        </w:rPr>
        <w:t xml:space="preserve"> </w:t>
      </w:r>
      <w:r w:rsidR="00940EDA" w:rsidRPr="004E1DE3">
        <w:rPr>
          <w:lang w:val="en-CA"/>
        </w:rPr>
        <w:t>statute</w:t>
      </w:r>
      <w:r w:rsidRPr="004E1DE3">
        <w:rPr>
          <w:lang w:val="en-CA"/>
        </w:rPr>
        <w:t>, in its regard</w:t>
      </w:r>
      <w:r w:rsidR="00940EDA" w:rsidRPr="004E1DE3">
        <w:rPr>
          <w:lang w:val="en-CA"/>
        </w:rPr>
        <w:t>.</w:t>
      </w:r>
    </w:p>
    <w:p w14:paraId="25246696" w14:textId="77777777" w:rsidR="00034185" w:rsidRPr="004E1DE3" w:rsidRDefault="00573CA9" w:rsidP="00E839B8">
      <w:pPr>
        <w:pStyle w:val="Paragrdouble"/>
        <w:tabs>
          <w:tab w:val="num" w:pos="851"/>
        </w:tabs>
        <w:spacing w:line="240" w:lineRule="auto"/>
        <w:ind w:left="0"/>
        <w:rPr>
          <w:lang w:val="en-CA"/>
        </w:rPr>
      </w:pPr>
      <w:r w:rsidRPr="004E1DE3">
        <w:rPr>
          <w:lang w:val="en-CA"/>
        </w:rPr>
        <w:t xml:space="preserve">As discussed above, the relevant </w:t>
      </w:r>
      <w:r w:rsidR="00BD4E21" w:rsidRPr="004E1DE3">
        <w:rPr>
          <w:lang w:val="en-CA"/>
        </w:rPr>
        <w:t>statutory</w:t>
      </w:r>
      <w:r w:rsidRPr="004E1DE3">
        <w:rPr>
          <w:lang w:val="en-CA"/>
        </w:rPr>
        <w:t xml:space="preserve"> </w:t>
      </w:r>
      <w:r w:rsidR="00BD4E21" w:rsidRPr="004E1DE3">
        <w:rPr>
          <w:lang w:val="en-CA"/>
        </w:rPr>
        <w:t>provisions</w:t>
      </w:r>
      <w:r w:rsidRPr="004E1DE3">
        <w:rPr>
          <w:lang w:val="en-CA"/>
        </w:rPr>
        <w:t xml:space="preserve"> of the Quebec </w:t>
      </w:r>
      <w:r w:rsidRPr="004E1DE3">
        <w:rPr>
          <w:i/>
          <w:iCs/>
          <w:lang w:val="en-CA"/>
        </w:rPr>
        <w:t>Act respecting the protection of personal information in the private sector</w:t>
      </w:r>
      <w:r w:rsidRPr="004E1DE3">
        <w:rPr>
          <w:lang w:val="en-CA"/>
        </w:rPr>
        <w:t xml:space="preserve"> impose </w:t>
      </w:r>
      <w:r w:rsidR="00BD4E21" w:rsidRPr="004E1DE3">
        <w:rPr>
          <w:lang w:val="en-CA"/>
        </w:rPr>
        <w:t>obligations</w:t>
      </w:r>
      <w:r w:rsidRPr="004E1DE3">
        <w:rPr>
          <w:lang w:val="en-CA"/>
        </w:rPr>
        <w:t xml:space="preserve"> on those who hold such</w:t>
      </w:r>
      <w:r w:rsidR="00BD4E21" w:rsidRPr="004E1DE3">
        <w:rPr>
          <w:lang w:val="en-CA"/>
        </w:rPr>
        <w:t xml:space="preserve"> information, </w:t>
      </w:r>
      <w:r w:rsidRPr="004E1DE3">
        <w:rPr>
          <w:lang w:val="en-CA"/>
        </w:rPr>
        <w:t>without specifying or limiting th</w:t>
      </w:r>
      <w:r w:rsidR="00073089">
        <w:rPr>
          <w:lang w:val="en-CA"/>
        </w:rPr>
        <w:t>ose</w:t>
      </w:r>
      <w:r w:rsidRPr="004E1DE3">
        <w:rPr>
          <w:lang w:val="en-CA"/>
        </w:rPr>
        <w:t xml:space="preserve"> </w:t>
      </w:r>
      <w:r w:rsidR="00BD4E21" w:rsidRPr="004E1DE3">
        <w:rPr>
          <w:lang w:val="en-CA"/>
        </w:rPr>
        <w:t>obligation</w:t>
      </w:r>
      <w:r w:rsidR="00073089">
        <w:rPr>
          <w:lang w:val="en-CA"/>
        </w:rPr>
        <w:t>s</w:t>
      </w:r>
      <w:r w:rsidRPr="004E1DE3">
        <w:rPr>
          <w:lang w:val="en-CA"/>
        </w:rPr>
        <w:t xml:space="preserve"> to those who have entered into </w:t>
      </w:r>
      <w:r w:rsidR="00BD4E21" w:rsidRPr="004E1DE3">
        <w:rPr>
          <w:lang w:val="en-CA"/>
        </w:rPr>
        <w:t>contract</w:t>
      </w:r>
      <w:r w:rsidRPr="004E1DE3">
        <w:rPr>
          <w:lang w:val="en-CA"/>
        </w:rPr>
        <w:t xml:space="preserve">s </w:t>
      </w:r>
      <w:r w:rsidR="00BD4E21" w:rsidRPr="004E1DE3">
        <w:rPr>
          <w:lang w:val="en-CA"/>
        </w:rPr>
        <w:t>for</w:t>
      </w:r>
      <w:r w:rsidRPr="004E1DE3">
        <w:rPr>
          <w:lang w:val="en-CA"/>
        </w:rPr>
        <w:t xml:space="preserve"> </w:t>
      </w:r>
      <w:r w:rsidR="00BD4E21" w:rsidRPr="004E1DE3">
        <w:rPr>
          <w:lang w:val="en-CA"/>
        </w:rPr>
        <w:t xml:space="preserve">services </w:t>
      </w:r>
      <w:r w:rsidRPr="004E1DE3">
        <w:rPr>
          <w:lang w:val="en-CA"/>
        </w:rPr>
        <w:t xml:space="preserve">with these cloud service </w:t>
      </w:r>
      <w:r w:rsidR="00BD4E21" w:rsidRPr="004E1DE3">
        <w:rPr>
          <w:lang w:val="en-CA"/>
        </w:rPr>
        <w:t>ent</w:t>
      </w:r>
      <w:r w:rsidRPr="004E1DE3">
        <w:rPr>
          <w:lang w:val="en-CA"/>
        </w:rPr>
        <w:t>e</w:t>
      </w:r>
      <w:r w:rsidR="00BD4E21" w:rsidRPr="004E1DE3">
        <w:rPr>
          <w:lang w:val="en-CA"/>
        </w:rPr>
        <w:t>rprises</w:t>
      </w:r>
      <w:r w:rsidR="00517FC3" w:rsidRPr="004E1DE3">
        <w:rPr>
          <w:lang w:val="en-CA"/>
        </w:rPr>
        <w:t xml:space="preserve">, as opposed to the </w:t>
      </w:r>
      <w:r w:rsidR="00517FC3" w:rsidRPr="004E1DE3">
        <w:rPr>
          <w:i/>
          <w:iCs/>
          <w:lang w:val="en-CA"/>
        </w:rPr>
        <w:t>CPA</w:t>
      </w:r>
      <w:r w:rsidR="00517FC3" w:rsidRPr="004E1DE3">
        <w:rPr>
          <w:lang w:val="en-CA"/>
        </w:rPr>
        <w:t xml:space="preserve">, the </w:t>
      </w:r>
      <w:r w:rsidR="00BD4E21" w:rsidRPr="004E1DE3">
        <w:rPr>
          <w:lang w:val="en-CA"/>
        </w:rPr>
        <w:t xml:space="preserve">application </w:t>
      </w:r>
      <w:r w:rsidR="00517FC3" w:rsidRPr="004E1DE3">
        <w:rPr>
          <w:lang w:val="en-CA"/>
        </w:rPr>
        <w:t xml:space="preserve">of which is limited to a </w:t>
      </w:r>
      <w:r w:rsidR="00BD4E21" w:rsidRPr="004E1DE3">
        <w:rPr>
          <w:lang w:val="en-CA"/>
        </w:rPr>
        <w:lastRenderedPageBreak/>
        <w:t xml:space="preserve">merchant </w:t>
      </w:r>
      <w:r w:rsidR="009E2A18" w:rsidRPr="004E1DE3">
        <w:rPr>
          <w:lang w:val="en-CA"/>
        </w:rPr>
        <w:t xml:space="preserve">who has entered into a consumer contract with a consumer for a good or </w:t>
      </w:r>
      <w:r w:rsidR="00BD4E21" w:rsidRPr="004E1DE3">
        <w:rPr>
          <w:lang w:val="en-CA"/>
        </w:rPr>
        <w:t>service.</w:t>
      </w:r>
    </w:p>
    <w:p w14:paraId="00804FAE" w14:textId="77777777" w:rsidR="00E4133C" w:rsidRPr="004E1DE3" w:rsidRDefault="00573CA9" w:rsidP="005B412A">
      <w:pPr>
        <w:pStyle w:val="Paragrsimple"/>
        <w:tabs>
          <w:tab w:val="clear" w:pos="2062"/>
          <w:tab w:val="clear" w:pos="4755"/>
          <w:tab w:val="num" w:pos="0"/>
        </w:tabs>
        <w:ind w:left="0"/>
        <w:rPr>
          <w:lang w:val="en-CA" w:eastAsia="fr-CA"/>
        </w:rPr>
      </w:pPr>
      <w:r w:rsidRPr="004E1DE3">
        <w:rPr>
          <w:lang w:val="en-CA"/>
        </w:rPr>
        <w:t>S</w:t>
      </w:r>
      <w:r w:rsidR="00652421" w:rsidRPr="004E1DE3">
        <w:rPr>
          <w:lang w:val="en-CA"/>
        </w:rPr>
        <w:t xml:space="preserve">ection 3 </w:t>
      </w:r>
      <w:r w:rsidRPr="004E1DE3">
        <w:rPr>
          <w:lang w:val="en-CA"/>
        </w:rPr>
        <w:t xml:space="preserve">of the Quebec </w:t>
      </w:r>
      <w:r w:rsidRPr="004E1DE3">
        <w:rPr>
          <w:i/>
          <w:iCs/>
          <w:lang w:val="en-CA"/>
        </w:rPr>
        <w:t>Act respecting the protection of personal information in the private sector</w:t>
      </w:r>
      <w:r w:rsidRPr="004E1DE3">
        <w:rPr>
          <w:lang w:val="en-CA"/>
        </w:rPr>
        <w:t xml:space="preserve"> </w:t>
      </w:r>
      <w:r w:rsidR="00A77DD9" w:rsidRPr="004E1DE3">
        <w:rPr>
          <w:lang w:val="en-CA"/>
        </w:rPr>
        <w:t xml:space="preserve">provides that a person who holds </w:t>
      </w:r>
      <w:r w:rsidR="00652421" w:rsidRPr="004E1DE3">
        <w:rPr>
          <w:lang w:val="en-CA"/>
        </w:rPr>
        <w:t>personal</w:t>
      </w:r>
      <w:r w:rsidR="00A77DD9" w:rsidRPr="004E1DE3">
        <w:rPr>
          <w:lang w:val="en-CA"/>
        </w:rPr>
        <w:t xml:space="preserve"> </w:t>
      </w:r>
      <w:r w:rsidR="00652421" w:rsidRPr="004E1DE3">
        <w:rPr>
          <w:lang w:val="en-CA"/>
        </w:rPr>
        <w:t>information</w:t>
      </w:r>
      <w:r w:rsidR="00A77DD9" w:rsidRPr="004E1DE3">
        <w:rPr>
          <w:lang w:val="en-CA"/>
        </w:rPr>
        <w:t xml:space="preserve"> </w:t>
      </w:r>
      <w:r w:rsidR="009F730F" w:rsidRPr="004E1DE3">
        <w:rPr>
          <w:lang w:val="en-CA"/>
        </w:rPr>
        <w:t>on another</w:t>
      </w:r>
      <w:r w:rsidR="00A77DD9" w:rsidRPr="004E1DE3">
        <w:rPr>
          <w:lang w:val="en-CA"/>
        </w:rPr>
        <w:t xml:space="preserve"> “must take reasonable measures to reduce the risk of injury and to prevent new incidents of the same nature”</w:t>
      </w:r>
      <w:r w:rsidR="00940EDA" w:rsidRPr="004E1DE3">
        <w:rPr>
          <w:rStyle w:val="subsection"/>
          <w:rFonts w:cs="Arial"/>
          <w:szCs w:val="24"/>
          <w:lang w:val="en-CA"/>
        </w:rPr>
        <w:t>.</w:t>
      </w:r>
    </w:p>
    <w:p w14:paraId="557D68C0" w14:textId="77777777" w:rsidR="00E4133C" w:rsidRPr="004E1DE3" w:rsidRDefault="00573CA9" w:rsidP="007D1A3F">
      <w:pPr>
        <w:pStyle w:val="Paragrdouble"/>
        <w:tabs>
          <w:tab w:val="num" w:pos="851"/>
        </w:tabs>
        <w:spacing w:line="240" w:lineRule="auto"/>
        <w:ind w:left="0"/>
        <w:rPr>
          <w:lang w:val="en-CA"/>
        </w:rPr>
      </w:pPr>
      <w:r w:rsidRPr="004E1DE3">
        <w:rPr>
          <w:lang w:val="en-CA"/>
        </w:rPr>
        <w:t>S</w:t>
      </w:r>
      <w:r w:rsidR="00940EDA" w:rsidRPr="004E1DE3">
        <w:rPr>
          <w:lang w:val="en-CA"/>
        </w:rPr>
        <w:t xml:space="preserve">ection 10 </w:t>
      </w:r>
      <w:r w:rsidRPr="004E1DE3">
        <w:rPr>
          <w:lang w:val="en-CA"/>
        </w:rPr>
        <w:t xml:space="preserve">of the </w:t>
      </w:r>
      <w:r w:rsidRPr="004E1DE3">
        <w:rPr>
          <w:i/>
          <w:iCs/>
          <w:lang w:val="en-CA"/>
        </w:rPr>
        <w:t xml:space="preserve">Act </w:t>
      </w:r>
      <w:r w:rsidRPr="004E1DE3">
        <w:rPr>
          <w:lang w:val="en-CA"/>
        </w:rPr>
        <w:t>states</w:t>
      </w:r>
      <w:r w:rsidR="00940EDA" w:rsidRPr="004E1DE3">
        <w:rPr>
          <w:lang w:val="en-CA"/>
        </w:rPr>
        <w:t xml:space="preserve">: </w:t>
      </w:r>
    </w:p>
    <w:p w14:paraId="472883D7" w14:textId="77777777" w:rsidR="00E4133C" w:rsidRPr="00073089" w:rsidRDefault="00573CA9" w:rsidP="00E4133C">
      <w:pPr>
        <w:pStyle w:val="Citationenretrait"/>
        <w:rPr>
          <w:rStyle w:val="subsection"/>
          <w:rFonts w:cs="Arial"/>
          <w:szCs w:val="22"/>
          <w:shd w:val="clear" w:color="auto" w:fill="FFFFFF"/>
          <w:lang w:val="en-CA"/>
        </w:rPr>
      </w:pPr>
      <w:r w:rsidRPr="00073089">
        <w:rPr>
          <w:rStyle w:val="subsection"/>
          <w:rFonts w:cs="Arial"/>
          <w:szCs w:val="22"/>
          <w:shd w:val="clear" w:color="auto" w:fill="FFFFFF"/>
          <w:lang w:val="en-CA"/>
        </w:rPr>
        <w:t>A person carrying on an enterprise must take the security measures necessary to ensure the protection of the personal information collected, used, communicated, kept or destroyed and that are reasonable given the sensitivity of the information, the purposes for which it is to be used, the quantity and distribution of the information and the medium on which it is stored.</w:t>
      </w:r>
    </w:p>
    <w:p w14:paraId="7856983B" w14:textId="77777777" w:rsidR="005B412A" w:rsidRPr="004E1DE3" w:rsidRDefault="00573CA9" w:rsidP="005B412A">
      <w:pPr>
        <w:pStyle w:val="Paragrdouble"/>
        <w:tabs>
          <w:tab w:val="num" w:pos="851"/>
        </w:tabs>
        <w:spacing w:line="240" w:lineRule="auto"/>
        <w:ind w:left="0"/>
        <w:rPr>
          <w:lang w:val="en-CA"/>
        </w:rPr>
      </w:pPr>
      <w:r w:rsidRPr="004E1DE3">
        <w:rPr>
          <w:lang w:val="en-CA"/>
        </w:rPr>
        <w:t xml:space="preserve">As a result of </w:t>
      </w:r>
      <w:r w:rsidR="00940EDA" w:rsidRPr="004E1DE3">
        <w:rPr>
          <w:lang w:val="en-CA"/>
        </w:rPr>
        <w:t xml:space="preserve">provisions, </w:t>
      </w:r>
      <w:r w:rsidR="003C3D45" w:rsidRPr="004E1DE3">
        <w:rPr>
          <w:lang w:val="en-CA"/>
        </w:rPr>
        <w:t xml:space="preserve">it is plausible that </w:t>
      </w:r>
      <w:r w:rsidR="00940EDA" w:rsidRPr="004E1DE3">
        <w:rPr>
          <w:lang w:val="en-CA"/>
        </w:rPr>
        <w:t xml:space="preserve">Amazon </w:t>
      </w:r>
      <w:r w:rsidR="003C3D45" w:rsidRPr="004E1DE3">
        <w:rPr>
          <w:lang w:val="en-CA"/>
        </w:rPr>
        <w:t xml:space="preserve">may have a duty towards the plaintiffs and the putative </w:t>
      </w:r>
      <w:r w:rsidR="00FE31E7">
        <w:rPr>
          <w:lang w:val="en-CA"/>
        </w:rPr>
        <w:t xml:space="preserve">class </w:t>
      </w:r>
      <w:r w:rsidR="003C3D45" w:rsidRPr="004E1DE3">
        <w:rPr>
          <w:lang w:val="en-CA"/>
        </w:rPr>
        <w:t xml:space="preserve">members, the </w:t>
      </w:r>
      <w:r w:rsidR="00940EDA" w:rsidRPr="004E1DE3">
        <w:rPr>
          <w:lang w:val="en-CA"/>
        </w:rPr>
        <w:t xml:space="preserve">violation </w:t>
      </w:r>
      <w:r w:rsidR="003C3D45" w:rsidRPr="004E1DE3">
        <w:rPr>
          <w:lang w:val="en-CA"/>
        </w:rPr>
        <w:t xml:space="preserve">of which may be akin to a </w:t>
      </w:r>
      <w:r w:rsidR="00940EDA" w:rsidRPr="004E1DE3">
        <w:rPr>
          <w:lang w:val="en-CA"/>
        </w:rPr>
        <w:t>statut</w:t>
      </w:r>
      <w:r w:rsidR="003C3D45" w:rsidRPr="004E1DE3">
        <w:rPr>
          <w:lang w:val="en-CA"/>
        </w:rPr>
        <w:t xml:space="preserve">ory fault or an </w:t>
      </w:r>
      <w:r w:rsidR="00940EDA" w:rsidRPr="004E1DE3">
        <w:rPr>
          <w:lang w:val="en-CA"/>
        </w:rPr>
        <w:t>extracontractu</w:t>
      </w:r>
      <w:r w:rsidR="003C3D45" w:rsidRPr="004E1DE3">
        <w:rPr>
          <w:lang w:val="en-CA"/>
        </w:rPr>
        <w:t>a</w:t>
      </w:r>
      <w:r w:rsidR="00940EDA" w:rsidRPr="004E1DE3">
        <w:rPr>
          <w:lang w:val="en-CA"/>
        </w:rPr>
        <w:t>l</w:t>
      </w:r>
      <w:r w:rsidR="003C3D45" w:rsidRPr="004E1DE3">
        <w:rPr>
          <w:lang w:val="en-CA"/>
        </w:rPr>
        <w:t xml:space="preserve"> fault under </w:t>
      </w:r>
      <w:r w:rsidR="00940EDA" w:rsidRPr="004E1DE3">
        <w:rPr>
          <w:lang w:val="en-CA"/>
        </w:rPr>
        <w:t>article 1457 CCQ</w:t>
      </w:r>
      <w:r w:rsidR="004A3566" w:rsidRPr="004E1DE3">
        <w:rPr>
          <w:lang w:val="en-CA"/>
        </w:rPr>
        <w:t>, reproduced above</w:t>
      </w:r>
      <w:r w:rsidR="00940EDA" w:rsidRPr="004E1DE3">
        <w:rPr>
          <w:lang w:val="en-CA"/>
        </w:rPr>
        <w:t>.</w:t>
      </w:r>
    </w:p>
    <w:p w14:paraId="2D1B1A6D" w14:textId="77777777" w:rsidR="00E4133C" w:rsidRPr="004E1DE3" w:rsidRDefault="00573CA9" w:rsidP="007D1A3F">
      <w:pPr>
        <w:pStyle w:val="Paragrdouble"/>
        <w:tabs>
          <w:tab w:val="num" w:pos="851"/>
        </w:tabs>
        <w:spacing w:line="240" w:lineRule="auto"/>
        <w:ind w:left="0"/>
        <w:rPr>
          <w:lang w:val="en-CA"/>
        </w:rPr>
      </w:pPr>
      <w:r w:rsidRPr="004E1DE3">
        <w:rPr>
          <w:lang w:val="en-CA"/>
        </w:rPr>
        <w:t xml:space="preserve">It is therefore difficult for the </w:t>
      </w:r>
      <w:r w:rsidR="005B412A" w:rsidRPr="004E1DE3">
        <w:rPr>
          <w:lang w:val="en-CA"/>
        </w:rPr>
        <w:t>Court</w:t>
      </w:r>
      <w:r w:rsidRPr="004E1DE3">
        <w:rPr>
          <w:lang w:val="en-CA"/>
        </w:rPr>
        <w:t xml:space="preserve"> at this stage to set aside the </w:t>
      </w:r>
      <w:r w:rsidR="005B412A" w:rsidRPr="004E1DE3">
        <w:rPr>
          <w:lang w:val="en-CA"/>
        </w:rPr>
        <w:t>possibilit</w:t>
      </w:r>
      <w:r w:rsidRPr="004E1DE3">
        <w:rPr>
          <w:lang w:val="en-CA"/>
        </w:rPr>
        <w:t xml:space="preserve">y that these </w:t>
      </w:r>
      <w:r w:rsidR="005B412A" w:rsidRPr="004E1DE3">
        <w:rPr>
          <w:lang w:val="en-CA"/>
        </w:rPr>
        <w:t>provisions</w:t>
      </w:r>
      <w:r w:rsidRPr="004E1DE3">
        <w:rPr>
          <w:lang w:val="en-CA"/>
        </w:rPr>
        <w:t xml:space="preserve"> apply to </w:t>
      </w:r>
      <w:r w:rsidR="005B412A" w:rsidRPr="004E1DE3">
        <w:rPr>
          <w:lang w:val="en-CA"/>
        </w:rPr>
        <w:t>Amazon</w:t>
      </w:r>
      <w:r w:rsidR="00897C4A">
        <w:rPr>
          <w:lang w:val="en-CA"/>
        </w:rPr>
        <w:t>,</w:t>
      </w:r>
      <w:r w:rsidR="005B412A" w:rsidRPr="004E1DE3">
        <w:rPr>
          <w:lang w:val="en-CA"/>
        </w:rPr>
        <w:t xml:space="preserve"> </w:t>
      </w:r>
      <w:r w:rsidRPr="004E1DE3">
        <w:rPr>
          <w:lang w:val="en-CA"/>
        </w:rPr>
        <w:t xml:space="preserve">and limit their scope solely to </w:t>
      </w:r>
      <w:r w:rsidR="005B412A" w:rsidRPr="004E1DE3">
        <w:rPr>
          <w:lang w:val="en-CA"/>
        </w:rPr>
        <w:t>Capital One</w:t>
      </w:r>
      <w:r w:rsidRPr="004E1DE3">
        <w:rPr>
          <w:lang w:val="en-CA"/>
        </w:rPr>
        <w:t xml:space="preserve">, as </w:t>
      </w:r>
      <w:r w:rsidR="005B412A" w:rsidRPr="004E1DE3">
        <w:rPr>
          <w:lang w:val="en-CA"/>
        </w:rPr>
        <w:t>Amazon</w:t>
      </w:r>
      <w:r w:rsidRPr="004E1DE3">
        <w:rPr>
          <w:lang w:val="en-CA"/>
        </w:rPr>
        <w:t xml:space="preserve"> suggests</w:t>
      </w:r>
      <w:r w:rsidR="005B412A" w:rsidRPr="004E1DE3">
        <w:rPr>
          <w:lang w:val="en-CA"/>
        </w:rPr>
        <w:t>.</w:t>
      </w:r>
    </w:p>
    <w:p w14:paraId="03D19F58" w14:textId="77777777" w:rsidR="000932EA" w:rsidRPr="004E1DE3" w:rsidRDefault="00573CA9" w:rsidP="007D1A3F">
      <w:pPr>
        <w:pStyle w:val="Paragrdouble"/>
        <w:tabs>
          <w:tab w:val="num" w:pos="851"/>
        </w:tabs>
        <w:spacing w:line="240" w:lineRule="auto"/>
        <w:ind w:left="0"/>
        <w:rPr>
          <w:lang w:val="en-CA"/>
        </w:rPr>
      </w:pPr>
      <w:r w:rsidRPr="004E1DE3">
        <w:rPr>
          <w:lang w:val="en-CA"/>
        </w:rPr>
        <w:t xml:space="preserve">According to </w:t>
      </w:r>
      <w:r w:rsidR="00940EDA" w:rsidRPr="004E1DE3">
        <w:rPr>
          <w:lang w:val="en-CA"/>
        </w:rPr>
        <w:t xml:space="preserve">Amazon, </w:t>
      </w:r>
      <w:r w:rsidRPr="004E1DE3">
        <w:rPr>
          <w:lang w:val="en-CA"/>
        </w:rPr>
        <w:t xml:space="preserve">the </w:t>
      </w:r>
      <w:r w:rsidR="00940EDA" w:rsidRPr="004E1DE3">
        <w:rPr>
          <w:lang w:val="en-CA"/>
        </w:rPr>
        <w:t>provisions</w:t>
      </w:r>
      <w:r w:rsidRPr="004E1DE3">
        <w:rPr>
          <w:lang w:val="en-CA"/>
        </w:rPr>
        <w:t xml:space="preserve"> of the CCQ and especially those of the </w:t>
      </w:r>
      <w:r w:rsidR="00940EDA" w:rsidRPr="004E1DE3">
        <w:rPr>
          <w:lang w:val="en-CA"/>
        </w:rPr>
        <w:t>provincial</w:t>
      </w:r>
      <w:r w:rsidRPr="004E1DE3">
        <w:rPr>
          <w:lang w:val="en-CA"/>
        </w:rPr>
        <w:t xml:space="preserve"> </w:t>
      </w:r>
      <w:r w:rsidR="00940EDA" w:rsidRPr="004E1DE3">
        <w:rPr>
          <w:lang w:val="en-CA"/>
        </w:rPr>
        <w:t>statute</w:t>
      </w:r>
      <w:r w:rsidR="00AC4647" w:rsidRPr="004E1DE3">
        <w:rPr>
          <w:lang w:val="en-CA"/>
        </w:rPr>
        <w:t xml:space="preserve"> on the </w:t>
      </w:r>
      <w:r w:rsidR="00940EDA" w:rsidRPr="004E1DE3">
        <w:rPr>
          <w:lang w:val="en-CA"/>
        </w:rPr>
        <w:t xml:space="preserve">protection </w:t>
      </w:r>
      <w:r w:rsidR="00AC4647" w:rsidRPr="004E1DE3">
        <w:rPr>
          <w:lang w:val="en-CA"/>
        </w:rPr>
        <w:t xml:space="preserve">of </w:t>
      </w:r>
      <w:r w:rsidR="00940EDA" w:rsidRPr="004E1DE3">
        <w:rPr>
          <w:lang w:val="en-CA"/>
        </w:rPr>
        <w:t>personal</w:t>
      </w:r>
      <w:r w:rsidR="00AC4647" w:rsidRPr="004E1DE3">
        <w:rPr>
          <w:lang w:val="en-CA"/>
        </w:rPr>
        <w:t xml:space="preserve"> </w:t>
      </w:r>
      <w:r w:rsidR="00940EDA" w:rsidRPr="004E1DE3">
        <w:rPr>
          <w:lang w:val="en-CA"/>
        </w:rPr>
        <w:t>information</w:t>
      </w:r>
      <w:r w:rsidR="00AC4647" w:rsidRPr="004E1DE3">
        <w:rPr>
          <w:lang w:val="en-CA"/>
        </w:rPr>
        <w:t xml:space="preserve"> cited above concern only the principal person in charge or the </w:t>
      </w:r>
      <w:r w:rsidR="00940EDA" w:rsidRPr="004E1DE3">
        <w:rPr>
          <w:lang w:val="en-CA"/>
        </w:rPr>
        <w:t>administrator</w:t>
      </w:r>
      <w:r w:rsidR="00AC4647" w:rsidRPr="004E1DE3">
        <w:rPr>
          <w:lang w:val="en-CA"/>
        </w:rPr>
        <w:t xml:space="preserve"> of the data collected or the person who controls it</w:t>
      </w:r>
      <w:r w:rsidR="00940EDA" w:rsidRPr="004E1DE3">
        <w:rPr>
          <w:lang w:val="en-CA"/>
        </w:rPr>
        <w:t>.</w:t>
      </w:r>
    </w:p>
    <w:p w14:paraId="1BDA9AFC" w14:textId="77777777" w:rsidR="00487145" w:rsidRPr="004E1DE3" w:rsidRDefault="00573CA9" w:rsidP="007D1A3F">
      <w:pPr>
        <w:pStyle w:val="Paragrdouble"/>
        <w:tabs>
          <w:tab w:val="num" w:pos="851"/>
        </w:tabs>
        <w:spacing w:line="240" w:lineRule="auto"/>
        <w:ind w:left="0"/>
        <w:rPr>
          <w:lang w:val="en-CA"/>
        </w:rPr>
      </w:pPr>
      <w:r w:rsidRPr="004E1DE3">
        <w:rPr>
          <w:lang w:val="en-CA"/>
        </w:rPr>
        <w:t>Amazon submit</w:t>
      </w:r>
      <w:r w:rsidR="00AC4647" w:rsidRPr="004E1DE3">
        <w:rPr>
          <w:lang w:val="en-CA"/>
        </w:rPr>
        <w:t xml:space="preserve">s that </w:t>
      </w:r>
      <w:r w:rsidRPr="004E1DE3">
        <w:rPr>
          <w:lang w:val="en-CA"/>
        </w:rPr>
        <w:t>Capital One</w:t>
      </w:r>
      <w:r w:rsidR="00AC4647" w:rsidRPr="004E1DE3">
        <w:rPr>
          <w:lang w:val="en-CA"/>
        </w:rPr>
        <w:t xml:space="preserve">’s liability under these specific statutes remains whole because it is the </w:t>
      </w:r>
      <w:r w:rsidRPr="004E1DE3">
        <w:rPr>
          <w:lang w:val="en-CA"/>
        </w:rPr>
        <w:t>principal act</w:t>
      </w:r>
      <w:r w:rsidR="00AC4647" w:rsidRPr="004E1DE3">
        <w:rPr>
          <w:lang w:val="en-CA"/>
        </w:rPr>
        <w:t xml:space="preserve">or in the collection of this </w:t>
      </w:r>
      <w:r w:rsidRPr="004E1DE3">
        <w:rPr>
          <w:lang w:val="en-CA"/>
        </w:rPr>
        <w:t>personal</w:t>
      </w:r>
      <w:r w:rsidR="00AC4647" w:rsidRPr="004E1DE3">
        <w:rPr>
          <w:lang w:val="en-CA"/>
        </w:rPr>
        <w:t xml:space="preserve"> </w:t>
      </w:r>
      <w:r w:rsidRPr="004E1DE3">
        <w:rPr>
          <w:lang w:val="en-CA"/>
        </w:rPr>
        <w:t>information.</w:t>
      </w:r>
    </w:p>
    <w:p w14:paraId="2C7868E0" w14:textId="77777777" w:rsidR="000932EA" w:rsidRPr="004E1DE3" w:rsidRDefault="00573CA9" w:rsidP="007D1A3F">
      <w:pPr>
        <w:pStyle w:val="Paragrdouble"/>
        <w:tabs>
          <w:tab w:val="num" w:pos="851"/>
        </w:tabs>
        <w:spacing w:line="240" w:lineRule="auto"/>
        <w:ind w:left="0"/>
        <w:rPr>
          <w:lang w:val="en-CA"/>
        </w:rPr>
      </w:pPr>
      <w:r w:rsidRPr="004E1DE3">
        <w:rPr>
          <w:lang w:val="en-CA"/>
        </w:rPr>
        <w:t xml:space="preserve">In this regard, it relies in particular on notices and </w:t>
      </w:r>
      <w:r w:rsidR="00027F42" w:rsidRPr="004E1DE3">
        <w:rPr>
          <w:lang w:val="en-CA"/>
        </w:rPr>
        <w:t xml:space="preserve">communiqués </w:t>
      </w:r>
      <w:r w:rsidR="003A2AD1" w:rsidRPr="004E1DE3">
        <w:rPr>
          <w:lang w:val="en-CA"/>
        </w:rPr>
        <w:t>issued by the</w:t>
      </w:r>
      <w:r w:rsidR="00027F42" w:rsidRPr="004E1DE3">
        <w:rPr>
          <w:lang w:val="en-CA"/>
        </w:rPr>
        <w:t xml:space="preserve"> </w:t>
      </w:r>
      <w:r w:rsidRPr="004E1DE3">
        <w:rPr>
          <w:lang w:val="en-CA"/>
        </w:rPr>
        <w:t>Office of the Privacy Commissioner of Canada</w:t>
      </w:r>
      <w:r w:rsidR="00027F42" w:rsidRPr="004E1DE3">
        <w:rPr>
          <w:lang w:val="en-CA"/>
        </w:rPr>
        <w:t>,</w:t>
      </w:r>
      <w:r w:rsidR="003A2AD1" w:rsidRPr="004E1DE3">
        <w:rPr>
          <w:lang w:val="en-CA"/>
        </w:rPr>
        <w:t xml:space="preserve"> neglecting the fact that the </w:t>
      </w:r>
      <w:r w:rsidR="00027F42" w:rsidRPr="004E1DE3">
        <w:rPr>
          <w:lang w:val="en-CA"/>
        </w:rPr>
        <w:t>personal</w:t>
      </w:r>
      <w:r w:rsidR="003A2AD1" w:rsidRPr="004E1DE3">
        <w:rPr>
          <w:lang w:val="en-CA"/>
        </w:rPr>
        <w:t xml:space="preserve"> </w:t>
      </w:r>
      <w:r w:rsidR="00027F42" w:rsidRPr="004E1DE3">
        <w:rPr>
          <w:lang w:val="en-CA"/>
        </w:rPr>
        <w:t>information</w:t>
      </w:r>
      <w:r w:rsidR="003A2AD1" w:rsidRPr="004E1DE3">
        <w:rPr>
          <w:lang w:val="en-CA"/>
        </w:rPr>
        <w:t xml:space="preserve"> of the </w:t>
      </w:r>
      <w:r w:rsidR="00027F42" w:rsidRPr="004E1DE3">
        <w:rPr>
          <w:lang w:val="en-CA"/>
        </w:rPr>
        <w:t>memb</w:t>
      </w:r>
      <w:r w:rsidR="003A2AD1" w:rsidRPr="004E1DE3">
        <w:rPr>
          <w:lang w:val="en-CA"/>
        </w:rPr>
        <w:t>e</w:t>
      </w:r>
      <w:r w:rsidR="00027F42" w:rsidRPr="004E1DE3">
        <w:rPr>
          <w:lang w:val="en-CA"/>
        </w:rPr>
        <w:t xml:space="preserve">rs </w:t>
      </w:r>
      <w:r w:rsidR="003A2AD1" w:rsidRPr="004E1DE3">
        <w:rPr>
          <w:lang w:val="en-CA"/>
        </w:rPr>
        <w:t>in this case were subsequently entrusted by</w:t>
      </w:r>
      <w:r w:rsidR="00027F42" w:rsidRPr="004E1DE3">
        <w:rPr>
          <w:lang w:val="en-CA"/>
        </w:rPr>
        <w:t xml:space="preserve"> Capital One </w:t>
      </w:r>
      <w:r w:rsidR="003A2AD1" w:rsidRPr="004E1DE3">
        <w:rPr>
          <w:lang w:val="en-CA"/>
        </w:rPr>
        <w:t xml:space="preserve">to </w:t>
      </w:r>
      <w:r w:rsidR="00027F42" w:rsidRPr="004E1DE3">
        <w:rPr>
          <w:lang w:val="en-CA"/>
        </w:rPr>
        <w:t xml:space="preserve">Amazon, </w:t>
      </w:r>
      <w:r w:rsidR="003A2AD1" w:rsidRPr="004E1DE3">
        <w:rPr>
          <w:lang w:val="en-CA"/>
        </w:rPr>
        <w:t xml:space="preserve">as cloud services </w:t>
      </w:r>
      <w:r w:rsidR="00027F42" w:rsidRPr="004E1DE3">
        <w:rPr>
          <w:lang w:val="en-CA"/>
        </w:rPr>
        <w:t>provider</w:t>
      </w:r>
      <w:r w:rsidR="003A2AD1" w:rsidRPr="004E1DE3">
        <w:rPr>
          <w:lang w:val="en-CA"/>
        </w:rPr>
        <w:t xml:space="preserve">, to conclude that </w:t>
      </w:r>
      <w:r w:rsidR="00027F42" w:rsidRPr="004E1DE3">
        <w:rPr>
          <w:lang w:val="en-CA"/>
        </w:rPr>
        <w:t xml:space="preserve">Capital One </w:t>
      </w:r>
      <w:r w:rsidR="003A2AD1" w:rsidRPr="004E1DE3">
        <w:rPr>
          <w:lang w:val="en-CA"/>
        </w:rPr>
        <w:t xml:space="preserve">is solely liable for the information security </w:t>
      </w:r>
      <w:r w:rsidR="00027F42" w:rsidRPr="004E1DE3">
        <w:rPr>
          <w:lang w:val="en-CA"/>
        </w:rPr>
        <w:t xml:space="preserve">breach </w:t>
      </w:r>
      <w:r w:rsidR="003A2AD1" w:rsidRPr="004E1DE3">
        <w:rPr>
          <w:lang w:val="en-CA"/>
        </w:rPr>
        <w:t xml:space="preserve">concerning this </w:t>
      </w:r>
      <w:r w:rsidR="00027F42" w:rsidRPr="004E1DE3">
        <w:rPr>
          <w:lang w:val="en-CA"/>
        </w:rPr>
        <w:t>personal</w:t>
      </w:r>
      <w:r w:rsidR="003A2AD1" w:rsidRPr="004E1DE3">
        <w:rPr>
          <w:lang w:val="en-CA"/>
        </w:rPr>
        <w:t xml:space="preserve"> </w:t>
      </w:r>
      <w:r w:rsidR="00027F42" w:rsidRPr="004E1DE3">
        <w:rPr>
          <w:lang w:val="en-CA"/>
        </w:rPr>
        <w:t>information</w:t>
      </w:r>
      <w:r w:rsidR="003A2AD1" w:rsidRPr="004E1DE3">
        <w:rPr>
          <w:lang w:val="en-CA"/>
        </w:rPr>
        <w:t xml:space="preserve"> resulting from the unauthorized access</w:t>
      </w:r>
      <w:r w:rsidR="00027F42" w:rsidRPr="004E1DE3">
        <w:rPr>
          <w:lang w:val="en-CA"/>
        </w:rPr>
        <w:t>.</w:t>
      </w:r>
    </w:p>
    <w:p w14:paraId="225C1D1D" w14:textId="77777777" w:rsidR="009B4E88" w:rsidRPr="004E1DE3" w:rsidRDefault="00573CA9" w:rsidP="007D1A3F">
      <w:pPr>
        <w:pStyle w:val="Paragrdouble"/>
        <w:tabs>
          <w:tab w:val="num" w:pos="851"/>
        </w:tabs>
        <w:spacing w:line="240" w:lineRule="auto"/>
        <w:ind w:left="0"/>
        <w:rPr>
          <w:lang w:val="en-CA"/>
        </w:rPr>
      </w:pPr>
      <w:r w:rsidRPr="004E1DE3">
        <w:rPr>
          <w:lang w:val="en-CA"/>
        </w:rPr>
        <w:t>Th</w:t>
      </w:r>
      <w:r w:rsidR="00376C5B" w:rsidRPr="004E1DE3">
        <w:rPr>
          <w:lang w:val="en-CA"/>
        </w:rPr>
        <w:t>us, th</w:t>
      </w:r>
      <w:r w:rsidRPr="004E1DE3">
        <w:rPr>
          <w:lang w:val="en-CA"/>
        </w:rPr>
        <w:t>e</w:t>
      </w:r>
      <w:r w:rsidR="00376C5B" w:rsidRPr="004E1DE3">
        <w:rPr>
          <w:lang w:val="en-CA"/>
        </w:rPr>
        <w:t>y argue that the</w:t>
      </w:r>
      <w:r w:rsidRPr="004E1DE3">
        <w:rPr>
          <w:lang w:val="en-CA"/>
        </w:rPr>
        <w:t xml:space="preserve"> cloud services </w:t>
      </w:r>
      <w:r w:rsidR="009249AB" w:rsidRPr="004E1DE3">
        <w:rPr>
          <w:lang w:val="en-CA"/>
        </w:rPr>
        <w:t>provider</w:t>
      </w:r>
      <w:r w:rsidRPr="004E1DE3">
        <w:rPr>
          <w:lang w:val="en-CA"/>
        </w:rPr>
        <w:t xml:space="preserve">, in this case </w:t>
      </w:r>
      <w:r w:rsidR="009249AB" w:rsidRPr="004E1DE3">
        <w:rPr>
          <w:lang w:val="en-CA"/>
        </w:rPr>
        <w:t xml:space="preserve">Amazon, </w:t>
      </w:r>
      <w:r w:rsidR="00376C5B" w:rsidRPr="004E1DE3">
        <w:rPr>
          <w:lang w:val="en-CA"/>
        </w:rPr>
        <w:t xml:space="preserve">cannot incur any liability to the </w:t>
      </w:r>
      <w:r w:rsidR="009249AB" w:rsidRPr="004E1DE3">
        <w:rPr>
          <w:lang w:val="en-CA"/>
        </w:rPr>
        <w:t>persons</w:t>
      </w:r>
      <w:r w:rsidR="00376C5B" w:rsidRPr="004E1DE3">
        <w:rPr>
          <w:lang w:val="en-CA"/>
        </w:rPr>
        <w:t xml:space="preserve"> to</w:t>
      </w:r>
      <w:r w:rsidR="0070141A" w:rsidRPr="004E1DE3">
        <w:rPr>
          <w:lang w:val="en-CA"/>
        </w:rPr>
        <w:t xml:space="preserve"> whom this information belongs on the sole basis that it was </w:t>
      </w:r>
      <w:r w:rsidR="009249AB" w:rsidRPr="004E1DE3">
        <w:rPr>
          <w:lang w:val="en-CA"/>
        </w:rPr>
        <w:t xml:space="preserve">Capital One </w:t>
      </w:r>
      <w:r w:rsidR="0070141A" w:rsidRPr="004E1DE3">
        <w:rPr>
          <w:lang w:val="en-CA"/>
        </w:rPr>
        <w:t>who collected the information from the members</w:t>
      </w:r>
      <w:r w:rsidR="009249AB" w:rsidRPr="004E1DE3">
        <w:rPr>
          <w:lang w:val="en-CA"/>
        </w:rPr>
        <w:t>.</w:t>
      </w:r>
    </w:p>
    <w:p w14:paraId="42D59CCE" w14:textId="77777777" w:rsidR="002B6993" w:rsidRPr="004E1DE3" w:rsidRDefault="00573CA9" w:rsidP="007D1A3F">
      <w:pPr>
        <w:pStyle w:val="Paragrdouble"/>
        <w:tabs>
          <w:tab w:val="num" w:pos="851"/>
        </w:tabs>
        <w:spacing w:line="240" w:lineRule="auto"/>
        <w:ind w:left="0"/>
        <w:rPr>
          <w:lang w:val="en-CA"/>
        </w:rPr>
      </w:pPr>
      <w:r w:rsidRPr="004E1DE3">
        <w:rPr>
          <w:lang w:val="en-CA"/>
        </w:rPr>
        <w:t>Amazon cite</w:t>
      </w:r>
      <w:r w:rsidR="0070141A" w:rsidRPr="004E1DE3">
        <w:rPr>
          <w:lang w:val="en-CA"/>
        </w:rPr>
        <w:t>s</w:t>
      </w:r>
      <w:r w:rsidRPr="004E1DE3">
        <w:rPr>
          <w:lang w:val="en-CA"/>
        </w:rPr>
        <w:t xml:space="preserve"> </w:t>
      </w:r>
      <w:r w:rsidR="0070141A" w:rsidRPr="004E1DE3">
        <w:rPr>
          <w:lang w:val="en-CA"/>
        </w:rPr>
        <w:t xml:space="preserve">no </w:t>
      </w:r>
      <w:r w:rsidRPr="004E1DE3">
        <w:rPr>
          <w:lang w:val="en-CA"/>
        </w:rPr>
        <w:t>Canadian</w:t>
      </w:r>
      <w:r w:rsidR="0070141A" w:rsidRPr="004E1DE3">
        <w:rPr>
          <w:lang w:val="en-CA"/>
        </w:rPr>
        <w:t xml:space="preserve"> court judgment or any other authority in support of this assertion.</w:t>
      </w:r>
      <w:r w:rsidRPr="004E1DE3">
        <w:rPr>
          <w:lang w:val="en-CA"/>
        </w:rPr>
        <w:t xml:space="preserve"> </w:t>
      </w:r>
    </w:p>
    <w:p w14:paraId="17ED5851" w14:textId="77777777" w:rsidR="00B00026" w:rsidRPr="004E1DE3" w:rsidRDefault="00573CA9" w:rsidP="007D1A3F">
      <w:pPr>
        <w:pStyle w:val="Paragrdouble"/>
        <w:tabs>
          <w:tab w:val="num" w:pos="851"/>
        </w:tabs>
        <w:spacing w:line="240" w:lineRule="auto"/>
        <w:ind w:left="0"/>
        <w:rPr>
          <w:lang w:val="en-CA"/>
        </w:rPr>
      </w:pPr>
      <w:r w:rsidRPr="004E1DE3">
        <w:rPr>
          <w:lang w:val="en-CA"/>
        </w:rPr>
        <w:lastRenderedPageBreak/>
        <w:t xml:space="preserve">Indeed, the </w:t>
      </w:r>
      <w:r w:rsidR="00BC2D99" w:rsidRPr="004E1DE3">
        <w:rPr>
          <w:lang w:val="en-CA"/>
        </w:rPr>
        <w:t>documents cit</w:t>
      </w:r>
      <w:r w:rsidRPr="004E1DE3">
        <w:rPr>
          <w:lang w:val="en-CA"/>
        </w:rPr>
        <w:t xml:space="preserve">ed by </w:t>
      </w:r>
      <w:r w:rsidR="00BC2D99" w:rsidRPr="004E1DE3">
        <w:rPr>
          <w:lang w:val="en-CA"/>
        </w:rPr>
        <w:t xml:space="preserve">Amazon </w:t>
      </w:r>
      <w:r w:rsidRPr="004E1DE3">
        <w:rPr>
          <w:lang w:val="en-CA"/>
        </w:rPr>
        <w:t xml:space="preserve">during its </w:t>
      </w:r>
      <w:r w:rsidR="00BC2D99" w:rsidRPr="004E1DE3">
        <w:rPr>
          <w:lang w:val="en-CA"/>
        </w:rPr>
        <w:t>argument</w:t>
      </w:r>
      <w:r w:rsidRPr="004E1DE3">
        <w:rPr>
          <w:lang w:val="en-CA"/>
        </w:rPr>
        <w:t>s, which are essentially recommendations made by the Privacy Commissioner of Canada</w:t>
      </w:r>
      <w:r w:rsidR="00BC2D99" w:rsidRPr="004E1DE3">
        <w:rPr>
          <w:lang w:val="en-CA"/>
        </w:rPr>
        <w:t xml:space="preserve"> </w:t>
      </w:r>
      <w:r w:rsidR="00D62FE6" w:rsidRPr="004E1DE3">
        <w:rPr>
          <w:lang w:val="en-CA"/>
        </w:rPr>
        <w:t>to businesses, organizations, and other persons who obtain p</w:t>
      </w:r>
      <w:r w:rsidR="00BC2D99" w:rsidRPr="004E1DE3">
        <w:rPr>
          <w:lang w:val="en-CA"/>
        </w:rPr>
        <w:t>ersonal</w:t>
      </w:r>
      <w:r w:rsidR="00D62FE6" w:rsidRPr="004E1DE3">
        <w:rPr>
          <w:lang w:val="en-CA"/>
        </w:rPr>
        <w:t xml:space="preserve"> </w:t>
      </w:r>
      <w:r w:rsidR="00BC2D99" w:rsidRPr="004E1DE3">
        <w:rPr>
          <w:lang w:val="en-CA"/>
        </w:rPr>
        <w:t>information</w:t>
      </w:r>
      <w:r w:rsidR="00D62FE6" w:rsidRPr="004E1DE3">
        <w:rPr>
          <w:lang w:val="en-CA"/>
        </w:rPr>
        <w:t xml:space="preserve"> and entrust them to third person</w:t>
      </w:r>
      <w:r w:rsidR="00BC2D99" w:rsidRPr="004E1DE3">
        <w:rPr>
          <w:lang w:val="en-CA"/>
        </w:rPr>
        <w:t>s</w:t>
      </w:r>
      <w:r w:rsidR="00D62FE6" w:rsidRPr="004E1DE3">
        <w:rPr>
          <w:lang w:val="en-CA"/>
        </w:rPr>
        <w:t xml:space="preserve">, indicate that the person to whom the data is first entrusted remains responsible and bound by the </w:t>
      </w:r>
      <w:r w:rsidR="00BC2D99" w:rsidRPr="004E1DE3">
        <w:rPr>
          <w:lang w:val="en-CA"/>
        </w:rPr>
        <w:t>obligation</w:t>
      </w:r>
      <w:r w:rsidR="00D62FE6" w:rsidRPr="004E1DE3">
        <w:rPr>
          <w:lang w:val="en-CA"/>
        </w:rPr>
        <w:t xml:space="preserve"> of information security, which seems perfectly </w:t>
      </w:r>
      <w:r w:rsidR="00BC2D99" w:rsidRPr="004E1DE3">
        <w:rPr>
          <w:lang w:val="en-CA"/>
        </w:rPr>
        <w:t>conce</w:t>
      </w:r>
      <w:r w:rsidR="00D62FE6" w:rsidRPr="004E1DE3">
        <w:rPr>
          <w:lang w:val="en-CA"/>
        </w:rPr>
        <w:t>i</w:t>
      </w:r>
      <w:r w:rsidR="00BC2D99" w:rsidRPr="004E1DE3">
        <w:rPr>
          <w:lang w:val="en-CA"/>
        </w:rPr>
        <w:t xml:space="preserve">vable </w:t>
      </w:r>
      <w:r w:rsidR="00D62FE6" w:rsidRPr="004E1DE3">
        <w:rPr>
          <w:lang w:val="en-CA"/>
        </w:rPr>
        <w:t xml:space="preserve">and logical, </w:t>
      </w:r>
      <w:r w:rsidR="005B517A" w:rsidRPr="004E1DE3">
        <w:rPr>
          <w:lang w:val="en-CA"/>
        </w:rPr>
        <w:t xml:space="preserve">but importantly, this is quite different </w:t>
      </w:r>
      <w:r w:rsidR="006D1D6A">
        <w:rPr>
          <w:lang w:val="en-CA"/>
        </w:rPr>
        <w:t>from</w:t>
      </w:r>
      <w:r w:rsidR="006D1D6A" w:rsidRPr="004E1DE3">
        <w:rPr>
          <w:lang w:val="en-CA"/>
        </w:rPr>
        <w:t xml:space="preserve"> </w:t>
      </w:r>
      <w:r w:rsidR="005B517A" w:rsidRPr="004E1DE3">
        <w:rPr>
          <w:lang w:val="en-CA"/>
        </w:rPr>
        <w:t xml:space="preserve">what </w:t>
      </w:r>
      <w:r w:rsidR="00BC2D99" w:rsidRPr="004E1DE3">
        <w:rPr>
          <w:lang w:val="en-CA"/>
        </w:rPr>
        <w:t xml:space="preserve">Amazon </w:t>
      </w:r>
      <w:r w:rsidR="005B517A" w:rsidRPr="004E1DE3">
        <w:rPr>
          <w:lang w:val="en-CA"/>
        </w:rPr>
        <w:t xml:space="preserve">argues because these notices and recommendations in no way suggest that a </w:t>
      </w:r>
      <w:r w:rsidR="00BC2D99" w:rsidRPr="004E1DE3">
        <w:rPr>
          <w:lang w:val="en-CA"/>
        </w:rPr>
        <w:t>provider</w:t>
      </w:r>
      <w:r w:rsidR="005B517A" w:rsidRPr="004E1DE3">
        <w:rPr>
          <w:lang w:val="en-CA"/>
        </w:rPr>
        <w:t xml:space="preserve"> </w:t>
      </w:r>
      <w:r w:rsidR="00BC2D99" w:rsidRPr="004E1DE3">
        <w:rPr>
          <w:lang w:val="en-CA"/>
        </w:rPr>
        <w:t>of</w:t>
      </w:r>
      <w:r w:rsidR="005B517A" w:rsidRPr="004E1DE3">
        <w:rPr>
          <w:lang w:val="en-CA"/>
        </w:rPr>
        <w:t xml:space="preserve"> hosting </w:t>
      </w:r>
      <w:r w:rsidR="00BC2D99" w:rsidRPr="004E1DE3">
        <w:rPr>
          <w:lang w:val="en-CA"/>
        </w:rPr>
        <w:t>services</w:t>
      </w:r>
      <w:r w:rsidR="005B517A" w:rsidRPr="004E1DE3">
        <w:rPr>
          <w:lang w:val="en-CA"/>
        </w:rPr>
        <w:t xml:space="preserve"> like </w:t>
      </w:r>
      <w:r w:rsidR="00BC2D99" w:rsidRPr="004E1DE3">
        <w:rPr>
          <w:lang w:val="en-CA"/>
        </w:rPr>
        <w:t xml:space="preserve">Amazon </w:t>
      </w:r>
      <w:r w:rsidR="005B517A" w:rsidRPr="004E1DE3">
        <w:rPr>
          <w:lang w:val="en-CA"/>
        </w:rPr>
        <w:t>is not liable</w:t>
      </w:r>
      <w:r w:rsidR="00BC2D99" w:rsidRPr="004E1DE3">
        <w:rPr>
          <w:lang w:val="en-CA"/>
        </w:rPr>
        <w:t>.</w:t>
      </w:r>
    </w:p>
    <w:p w14:paraId="0761C7DD" w14:textId="77777777" w:rsidR="008743FC" w:rsidRPr="004E1DE3" w:rsidRDefault="00573CA9" w:rsidP="007D1A3F">
      <w:pPr>
        <w:pStyle w:val="Paragrdouble"/>
        <w:tabs>
          <w:tab w:val="num" w:pos="851"/>
        </w:tabs>
        <w:spacing w:line="240" w:lineRule="auto"/>
        <w:ind w:left="0"/>
        <w:rPr>
          <w:lang w:val="en-CA"/>
        </w:rPr>
      </w:pPr>
      <w:r w:rsidRPr="004E1DE3">
        <w:rPr>
          <w:lang w:val="en-CA"/>
        </w:rPr>
        <w:t>In addition, the A</w:t>
      </w:r>
      <w:r w:rsidR="00940EDA" w:rsidRPr="004E1DE3">
        <w:rPr>
          <w:lang w:val="en-CA"/>
        </w:rPr>
        <w:t>pplication</w:t>
      </w:r>
      <w:r w:rsidRPr="004E1DE3">
        <w:rPr>
          <w:lang w:val="en-CA"/>
        </w:rPr>
        <w:t xml:space="preserve"> refers to a form of partnership</w:t>
      </w:r>
      <w:r>
        <w:rPr>
          <w:rStyle w:val="Appelnotedebasdep"/>
          <w:lang w:val="en-CA"/>
        </w:rPr>
        <w:footnoteReference w:id="56"/>
      </w:r>
      <w:r w:rsidR="00940EDA" w:rsidRPr="004E1DE3">
        <w:rPr>
          <w:lang w:val="en-CA"/>
        </w:rPr>
        <w:t xml:space="preserve"> </w:t>
      </w:r>
      <w:r w:rsidRPr="004E1DE3">
        <w:rPr>
          <w:lang w:val="en-CA"/>
        </w:rPr>
        <w:t xml:space="preserve">between </w:t>
      </w:r>
      <w:r w:rsidR="00940EDA" w:rsidRPr="004E1DE3">
        <w:rPr>
          <w:lang w:val="en-CA"/>
        </w:rPr>
        <w:t xml:space="preserve">Capital One </w:t>
      </w:r>
      <w:r w:rsidRPr="004E1DE3">
        <w:rPr>
          <w:lang w:val="en-CA"/>
        </w:rPr>
        <w:t>and</w:t>
      </w:r>
      <w:r w:rsidR="00940EDA" w:rsidRPr="004E1DE3">
        <w:rPr>
          <w:lang w:val="en-CA"/>
        </w:rPr>
        <w:t xml:space="preserve"> Amazon</w:t>
      </w:r>
      <w:r w:rsidRPr="004E1DE3">
        <w:rPr>
          <w:lang w:val="en-CA"/>
        </w:rPr>
        <w:t>,</w:t>
      </w:r>
      <w:r w:rsidR="00940EDA" w:rsidRPr="004E1DE3">
        <w:rPr>
          <w:lang w:val="en-CA"/>
        </w:rPr>
        <w:t xml:space="preserve"> </w:t>
      </w:r>
      <w:r w:rsidRPr="004E1DE3">
        <w:rPr>
          <w:lang w:val="en-CA"/>
        </w:rPr>
        <w:t xml:space="preserve">in the context of which each of them could and can still derive </w:t>
      </w:r>
      <w:r w:rsidR="00356BBE" w:rsidRPr="004E1DE3">
        <w:rPr>
          <w:lang w:val="en-CA"/>
        </w:rPr>
        <w:t>commercial</w:t>
      </w:r>
      <w:r w:rsidRPr="004E1DE3">
        <w:rPr>
          <w:lang w:val="en-CA"/>
        </w:rPr>
        <w:t xml:space="preserve"> and financial benefits,</w:t>
      </w:r>
      <w:r>
        <w:rPr>
          <w:rStyle w:val="Appelnotedebasdep"/>
          <w:lang w:val="en-CA"/>
        </w:rPr>
        <w:footnoteReference w:id="57"/>
      </w:r>
      <w:r w:rsidR="00487145" w:rsidRPr="004E1DE3">
        <w:rPr>
          <w:lang w:val="en-CA"/>
        </w:rPr>
        <w:t xml:space="preserve"> </w:t>
      </w:r>
      <w:r w:rsidR="00310B2F" w:rsidRPr="004E1DE3">
        <w:rPr>
          <w:lang w:val="en-CA"/>
        </w:rPr>
        <w:t>and pursuant to which</w:t>
      </w:r>
      <w:r w:rsidR="00487145" w:rsidRPr="004E1DE3">
        <w:rPr>
          <w:lang w:val="en-CA"/>
        </w:rPr>
        <w:t xml:space="preserve"> Capital One </w:t>
      </w:r>
      <w:r w:rsidR="00310B2F" w:rsidRPr="004E1DE3">
        <w:rPr>
          <w:lang w:val="en-CA"/>
        </w:rPr>
        <w:t xml:space="preserve">must make available to </w:t>
      </w:r>
      <w:r w:rsidR="00487145" w:rsidRPr="004E1DE3">
        <w:rPr>
          <w:lang w:val="en-CA"/>
        </w:rPr>
        <w:t xml:space="preserve">Amazon </w:t>
      </w:r>
      <w:r w:rsidR="00310B2F" w:rsidRPr="004E1DE3">
        <w:rPr>
          <w:lang w:val="en-CA"/>
        </w:rPr>
        <w:t xml:space="preserve">the largest possible amount of its clients’ </w:t>
      </w:r>
      <w:r w:rsidR="00487145" w:rsidRPr="004E1DE3">
        <w:rPr>
          <w:lang w:val="en-CA"/>
        </w:rPr>
        <w:t>personal</w:t>
      </w:r>
      <w:r w:rsidR="00310B2F" w:rsidRPr="004E1DE3">
        <w:rPr>
          <w:lang w:val="en-CA"/>
        </w:rPr>
        <w:t xml:space="preserve"> </w:t>
      </w:r>
      <w:r w:rsidR="00487145" w:rsidRPr="004E1DE3">
        <w:rPr>
          <w:lang w:val="en-CA"/>
        </w:rPr>
        <w:t>information</w:t>
      </w:r>
      <w:r w:rsidR="00310B2F" w:rsidRPr="004E1DE3">
        <w:rPr>
          <w:lang w:val="en-CA"/>
        </w:rPr>
        <w:t>, even</w:t>
      </w:r>
      <w:r w:rsidR="00897C4A">
        <w:rPr>
          <w:lang w:val="en-CA"/>
        </w:rPr>
        <w:t xml:space="preserve"> information</w:t>
      </w:r>
      <w:r w:rsidR="00310B2F" w:rsidRPr="004E1DE3">
        <w:rPr>
          <w:lang w:val="en-CA"/>
        </w:rPr>
        <w:t xml:space="preserve"> older than that require</w:t>
      </w:r>
      <w:r w:rsidR="00897C4A">
        <w:rPr>
          <w:lang w:val="en-CA"/>
        </w:rPr>
        <w:t>d</w:t>
      </w:r>
      <w:r w:rsidR="00310B2F" w:rsidRPr="004E1DE3">
        <w:rPr>
          <w:lang w:val="en-CA"/>
        </w:rPr>
        <w:t xml:space="preserve"> for its </w:t>
      </w:r>
      <w:r w:rsidR="00487145" w:rsidRPr="004E1DE3">
        <w:rPr>
          <w:lang w:val="en-CA"/>
        </w:rPr>
        <w:t>op</w:t>
      </w:r>
      <w:r w:rsidR="00310B2F" w:rsidRPr="004E1DE3">
        <w:rPr>
          <w:lang w:val="en-CA"/>
        </w:rPr>
        <w:t>e</w:t>
      </w:r>
      <w:r w:rsidR="00487145" w:rsidRPr="004E1DE3">
        <w:rPr>
          <w:lang w:val="en-CA"/>
        </w:rPr>
        <w:t xml:space="preserve">rations, </w:t>
      </w:r>
      <w:r w:rsidR="00310B2F" w:rsidRPr="004E1DE3">
        <w:rPr>
          <w:lang w:val="en-CA"/>
        </w:rPr>
        <w:t xml:space="preserve">so that </w:t>
      </w:r>
      <w:r w:rsidR="00487145" w:rsidRPr="004E1DE3">
        <w:rPr>
          <w:lang w:val="en-CA"/>
        </w:rPr>
        <w:t>Amazon</w:t>
      </w:r>
      <w:r w:rsidR="00310B2F" w:rsidRPr="004E1DE3">
        <w:rPr>
          <w:lang w:val="en-CA"/>
        </w:rPr>
        <w:t>, using its own servers and software</w:t>
      </w:r>
      <w:r w:rsidR="00487145" w:rsidRPr="004E1DE3">
        <w:rPr>
          <w:lang w:val="en-CA"/>
        </w:rPr>
        <w:t xml:space="preserve">, </w:t>
      </w:r>
      <w:r w:rsidR="00310B2F" w:rsidRPr="004E1DE3">
        <w:rPr>
          <w:lang w:val="en-CA"/>
        </w:rPr>
        <w:t xml:space="preserve">can </w:t>
      </w:r>
      <w:r w:rsidR="00D06F36" w:rsidRPr="004E1DE3">
        <w:rPr>
          <w:lang w:val="en-CA"/>
        </w:rPr>
        <w:t xml:space="preserve">use other artificial intelligence tools to generate other </w:t>
      </w:r>
      <w:r w:rsidR="00487145" w:rsidRPr="004E1DE3">
        <w:rPr>
          <w:lang w:val="en-CA"/>
        </w:rPr>
        <w:t>information</w:t>
      </w:r>
      <w:r w:rsidR="00D06F36" w:rsidRPr="004E1DE3">
        <w:rPr>
          <w:lang w:val="en-CA"/>
        </w:rPr>
        <w:t xml:space="preserve"> useful to its commercial operations and those of </w:t>
      </w:r>
      <w:r w:rsidR="00487145" w:rsidRPr="004E1DE3">
        <w:rPr>
          <w:lang w:val="en-CA"/>
        </w:rPr>
        <w:t>Capital One.</w:t>
      </w:r>
    </w:p>
    <w:p w14:paraId="4D3D11BF" w14:textId="77777777" w:rsidR="00CF2F6A" w:rsidRPr="004E1DE3" w:rsidRDefault="00573CA9" w:rsidP="007D1A3F">
      <w:pPr>
        <w:pStyle w:val="Paragrdouble"/>
        <w:tabs>
          <w:tab w:val="num" w:pos="851"/>
        </w:tabs>
        <w:spacing w:line="240" w:lineRule="auto"/>
        <w:ind w:left="0"/>
        <w:rPr>
          <w:lang w:val="en-CA"/>
        </w:rPr>
      </w:pPr>
      <w:r w:rsidRPr="004E1DE3">
        <w:rPr>
          <w:lang w:val="en-CA"/>
        </w:rPr>
        <w:t xml:space="preserve">In fact, </w:t>
      </w:r>
      <w:r w:rsidR="002C3C22" w:rsidRPr="004E1DE3">
        <w:rPr>
          <w:lang w:val="en-CA"/>
        </w:rPr>
        <w:t xml:space="preserve">Capital One </w:t>
      </w:r>
      <w:r w:rsidRPr="004E1DE3">
        <w:rPr>
          <w:lang w:val="en-CA"/>
        </w:rPr>
        <w:t>and</w:t>
      </w:r>
      <w:r w:rsidR="002C3C22" w:rsidRPr="004E1DE3">
        <w:rPr>
          <w:lang w:val="en-CA"/>
        </w:rPr>
        <w:t xml:space="preserve"> Amazon </w:t>
      </w:r>
      <w:r w:rsidRPr="004E1DE3">
        <w:rPr>
          <w:lang w:val="en-CA"/>
        </w:rPr>
        <w:t xml:space="preserve">jointly presented </w:t>
      </w:r>
      <w:r w:rsidR="00161466" w:rsidRPr="004E1DE3">
        <w:rPr>
          <w:lang w:val="en-CA"/>
        </w:rPr>
        <w:t xml:space="preserve">the </w:t>
      </w:r>
      <w:r w:rsidR="00161466" w:rsidRPr="00897C4A">
        <w:rPr>
          <w:lang w:val="en-CA"/>
        </w:rPr>
        <w:t>Cloud Custodian</w:t>
      </w:r>
      <w:r w:rsidR="00161466" w:rsidRPr="004E1DE3">
        <w:rPr>
          <w:i/>
          <w:iCs/>
          <w:lang w:val="en-CA"/>
        </w:rPr>
        <w:t xml:space="preserve"> </w:t>
      </w:r>
      <w:r w:rsidR="00161466" w:rsidRPr="004E1DE3">
        <w:rPr>
          <w:lang w:val="en-CA"/>
        </w:rPr>
        <w:t xml:space="preserve">software to the </w:t>
      </w:r>
      <w:r w:rsidR="002C3C22" w:rsidRPr="004E1DE3">
        <w:rPr>
          <w:lang w:val="en-CA"/>
        </w:rPr>
        <w:t xml:space="preserve">public </w:t>
      </w:r>
      <w:r w:rsidR="00161466" w:rsidRPr="004E1DE3">
        <w:rPr>
          <w:lang w:val="en-CA"/>
        </w:rPr>
        <w:t>i</w:t>
      </w:r>
      <w:r w:rsidR="002C3C22" w:rsidRPr="004E1DE3">
        <w:rPr>
          <w:lang w:val="en-CA"/>
        </w:rPr>
        <w:t>n 2016</w:t>
      </w:r>
      <w:r w:rsidR="00161466" w:rsidRPr="004E1DE3">
        <w:rPr>
          <w:lang w:val="en-CA"/>
        </w:rPr>
        <w:t>,</w:t>
      </w:r>
      <w:r>
        <w:rPr>
          <w:rStyle w:val="Appelnotedebasdep"/>
          <w:lang w:val="en-CA"/>
        </w:rPr>
        <w:footnoteReference w:id="58"/>
      </w:r>
      <w:r w:rsidR="00161466" w:rsidRPr="004E1DE3">
        <w:rPr>
          <w:lang w:val="en-CA"/>
        </w:rPr>
        <w:t xml:space="preserve"> in particular on their respective </w:t>
      </w:r>
      <w:r w:rsidR="002C3C22" w:rsidRPr="004E1DE3">
        <w:rPr>
          <w:lang w:val="en-CA"/>
        </w:rPr>
        <w:t>web</w:t>
      </w:r>
      <w:r w:rsidR="00161466" w:rsidRPr="004E1DE3">
        <w:rPr>
          <w:lang w:val="en-CA"/>
        </w:rPr>
        <w:t>sites.</w:t>
      </w:r>
      <w:r>
        <w:rPr>
          <w:rStyle w:val="Appelnotedebasdep"/>
          <w:lang w:val="en-CA"/>
        </w:rPr>
        <w:footnoteReference w:id="59"/>
      </w:r>
      <w:r w:rsidR="00161466" w:rsidRPr="004E1DE3">
        <w:rPr>
          <w:lang w:val="en-CA"/>
        </w:rPr>
        <w:t xml:space="preserve"> This software was intended to </w:t>
      </w:r>
      <w:r w:rsidR="00940EDA" w:rsidRPr="004E1DE3">
        <w:rPr>
          <w:lang w:val="en-CA"/>
        </w:rPr>
        <w:t>palli</w:t>
      </w:r>
      <w:r w:rsidR="0067644E" w:rsidRPr="004E1DE3">
        <w:rPr>
          <w:lang w:val="en-CA"/>
        </w:rPr>
        <w:t xml:space="preserve">ate or resolve the known or alleged </w:t>
      </w:r>
      <w:r w:rsidR="00940EDA" w:rsidRPr="004E1DE3">
        <w:rPr>
          <w:lang w:val="en-CA"/>
        </w:rPr>
        <w:t>vuln</w:t>
      </w:r>
      <w:r w:rsidR="0067644E" w:rsidRPr="004E1DE3">
        <w:rPr>
          <w:lang w:val="en-CA"/>
        </w:rPr>
        <w:t>e</w:t>
      </w:r>
      <w:r w:rsidR="00940EDA" w:rsidRPr="004E1DE3">
        <w:rPr>
          <w:lang w:val="en-CA"/>
        </w:rPr>
        <w:t>rabilit</w:t>
      </w:r>
      <w:r w:rsidR="0067644E" w:rsidRPr="004E1DE3">
        <w:rPr>
          <w:lang w:val="en-CA"/>
        </w:rPr>
        <w:t xml:space="preserve">y of </w:t>
      </w:r>
      <w:r w:rsidR="00940EDA" w:rsidRPr="004E1DE3">
        <w:rPr>
          <w:lang w:val="en-CA"/>
        </w:rPr>
        <w:t>Amazon</w:t>
      </w:r>
      <w:r w:rsidR="0067644E" w:rsidRPr="004E1DE3">
        <w:rPr>
          <w:lang w:val="en-CA"/>
        </w:rPr>
        <w:t>’s servers</w:t>
      </w:r>
      <w:r w:rsidR="00940EDA" w:rsidRPr="004E1DE3">
        <w:rPr>
          <w:lang w:val="en-CA"/>
        </w:rPr>
        <w:t xml:space="preserve"> </w:t>
      </w:r>
      <w:r w:rsidR="0067644E" w:rsidRPr="004E1DE3">
        <w:rPr>
          <w:lang w:val="en-CA"/>
        </w:rPr>
        <w:t xml:space="preserve">that were supposed to provide the desired </w:t>
      </w:r>
      <w:r w:rsidR="00940EDA" w:rsidRPr="004E1DE3">
        <w:rPr>
          <w:lang w:val="en-CA"/>
        </w:rPr>
        <w:t xml:space="preserve">protection. </w:t>
      </w:r>
    </w:p>
    <w:p w14:paraId="3ADEA986" w14:textId="77777777" w:rsidR="00B00026" w:rsidRPr="004E1DE3" w:rsidRDefault="00573CA9" w:rsidP="007D1A3F">
      <w:pPr>
        <w:pStyle w:val="Paragrdouble"/>
        <w:tabs>
          <w:tab w:val="num" w:pos="851"/>
        </w:tabs>
        <w:spacing w:line="240" w:lineRule="auto"/>
        <w:ind w:left="0"/>
        <w:rPr>
          <w:lang w:val="en-CA"/>
        </w:rPr>
      </w:pPr>
      <w:r w:rsidRPr="004E1DE3">
        <w:rPr>
          <w:lang w:val="en-CA"/>
        </w:rPr>
        <w:t xml:space="preserve">According to the allegations in the Application, </w:t>
      </w:r>
      <w:r w:rsidR="00AD1CD7" w:rsidRPr="004E1DE3">
        <w:rPr>
          <w:lang w:val="en-CA"/>
        </w:rPr>
        <w:t xml:space="preserve">Amazon </w:t>
      </w:r>
      <w:r w:rsidRPr="004E1DE3">
        <w:rPr>
          <w:lang w:val="en-CA"/>
        </w:rPr>
        <w:t xml:space="preserve">even encouraged the massive </w:t>
      </w:r>
      <w:r w:rsidR="00AD1CD7" w:rsidRPr="004E1DE3">
        <w:rPr>
          <w:lang w:val="en-CA"/>
        </w:rPr>
        <w:t xml:space="preserve">migration </w:t>
      </w:r>
      <w:r w:rsidRPr="004E1DE3">
        <w:rPr>
          <w:lang w:val="en-CA"/>
        </w:rPr>
        <w:t xml:space="preserve">of data collected by </w:t>
      </w:r>
      <w:r w:rsidR="00AD1CD7" w:rsidRPr="004E1DE3">
        <w:rPr>
          <w:lang w:val="en-CA"/>
        </w:rPr>
        <w:t>Capital One</w:t>
      </w:r>
      <w:r w:rsidRPr="004E1DE3">
        <w:rPr>
          <w:lang w:val="en-CA"/>
        </w:rPr>
        <w:t xml:space="preserve"> and kept by it until that time to </w:t>
      </w:r>
      <w:r w:rsidR="00AD1CD7" w:rsidRPr="004E1DE3">
        <w:rPr>
          <w:lang w:val="en-CA"/>
        </w:rPr>
        <w:t>Amazon</w:t>
      </w:r>
      <w:r w:rsidRPr="004E1DE3">
        <w:rPr>
          <w:lang w:val="en-CA"/>
        </w:rPr>
        <w:t xml:space="preserve">’s servers, as well as the </w:t>
      </w:r>
      <w:r w:rsidR="006557B9" w:rsidRPr="004E1DE3">
        <w:rPr>
          <w:lang w:val="en-CA"/>
        </w:rPr>
        <w:t>implementation</w:t>
      </w:r>
      <w:r w:rsidRPr="004E1DE3">
        <w:rPr>
          <w:lang w:val="en-CA"/>
        </w:rPr>
        <w:t xml:space="preserve"> of the process known as </w:t>
      </w:r>
      <w:r w:rsidR="008D43E0" w:rsidRPr="00897C4A">
        <w:rPr>
          <w:lang w:val="en-CA"/>
        </w:rPr>
        <w:t>Cloud Custodian</w:t>
      </w:r>
      <w:r w:rsidR="00A85365" w:rsidRPr="004E1DE3">
        <w:rPr>
          <w:lang w:val="en-CA"/>
        </w:rPr>
        <w:t>,</w:t>
      </w:r>
      <w:r>
        <w:rPr>
          <w:rStyle w:val="Appelnotedebasdep"/>
          <w:lang w:val="en-CA"/>
        </w:rPr>
        <w:footnoteReference w:id="60"/>
      </w:r>
      <w:r w:rsidR="00A85365" w:rsidRPr="004E1DE3">
        <w:rPr>
          <w:lang w:val="en-CA"/>
        </w:rPr>
        <w:t xml:space="preserve"> designed and implemented </w:t>
      </w:r>
      <w:r w:rsidR="00643A6C" w:rsidRPr="004E1DE3">
        <w:rPr>
          <w:lang w:val="en-CA"/>
        </w:rPr>
        <w:t xml:space="preserve">together with </w:t>
      </w:r>
      <w:r w:rsidR="00766461" w:rsidRPr="004E1DE3">
        <w:rPr>
          <w:lang w:val="en-CA"/>
        </w:rPr>
        <w:t xml:space="preserve">Capital One, </w:t>
      </w:r>
      <w:r w:rsidR="00643A6C" w:rsidRPr="004E1DE3">
        <w:rPr>
          <w:lang w:val="en-CA"/>
        </w:rPr>
        <w:t xml:space="preserve">while reassuring </w:t>
      </w:r>
      <w:r w:rsidR="00766461" w:rsidRPr="004E1DE3">
        <w:rPr>
          <w:lang w:val="en-CA"/>
        </w:rPr>
        <w:t>Canadian</w:t>
      </w:r>
      <w:r w:rsidR="00643A6C" w:rsidRPr="004E1DE3">
        <w:rPr>
          <w:lang w:val="en-CA"/>
        </w:rPr>
        <w:t xml:space="preserve"> consumers that their </w:t>
      </w:r>
      <w:r w:rsidR="006557B9" w:rsidRPr="004E1DE3">
        <w:rPr>
          <w:lang w:val="en-CA"/>
        </w:rPr>
        <w:t>local</w:t>
      </w:r>
      <w:r w:rsidR="00643A6C" w:rsidRPr="004E1DE3">
        <w:rPr>
          <w:lang w:val="en-CA"/>
        </w:rPr>
        <w:t xml:space="preserve"> servers and the </w:t>
      </w:r>
      <w:r w:rsidR="00766461" w:rsidRPr="004E1DE3">
        <w:rPr>
          <w:lang w:val="en-CA"/>
        </w:rPr>
        <w:t xml:space="preserve">architecture </w:t>
      </w:r>
      <w:r w:rsidR="00643A6C" w:rsidRPr="004E1DE3">
        <w:rPr>
          <w:lang w:val="en-CA"/>
        </w:rPr>
        <w:t xml:space="preserve">of their network would satisfy the requirements of organizations most sensitive to information security, to ultimately make available a protected </w:t>
      </w:r>
      <w:r w:rsidR="00766461" w:rsidRPr="004E1DE3">
        <w:rPr>
          <w:lang w:val="en-CA"/>
        </w:rPr>
        <w:t xml:space="preserve">environment </w:t>
      </w:r>
      <w:r w:rsidR="00643A6C" w:rsidRPr="004E1DE3">
        <w:rPr>
          <w:lang w:val="en-CA"/>
        </w:rPr>
        <w:t xml:space="preserve">to consumers choosing to use their local </w:t>
      </w:r>
      <w:r w:rsidR="00766461" w:rsidRPr="004E1DE3">
        <w:rPr>
          <w:lang w:val="en-CA"/>
        </w:rPr>
        <w:t>services (Canadians)</w:t>
      </w:r>
      <w:r w:rsidR="00643A6C" w:rsidRPr="004E1DE3">
        <w:rPr>
          <w:lang w:val="en-CA"/>
        </w:rPr>
        <w:t xml:space="preserve"> and thereby </w:t>
      </w:r>
      <w:r w:rsidR="00766461" w:rsidRPr="004E1DE3">
        <w:rPr>
          <w:lang w:val="en-CA"/>
        </w:rPr>
        <w:t>satisf</w:t>
      </w:r>
      <w:r w:rsidR="00643A6C" w:rsidRPr="004E1DE3">
        <w:rPr>
          <w:lang w:val="en-CA"/>
        </w:rPr>
        <w:t xml:space="preserve">y the federal regulation </w:t>
      </w:r>
      <w:r w:rsidR="006557B9" w:rsidRPr="004E1DE3">
        <w:rPr>
          <w:lang w:val="en-CA"/>
        </w:rPr>
        <w:t xml:space="preserve">of the </w:t>
      </w:r>
      <w:r w:rsidR="00766461" w:rsidRPr="004E1DE3">
        <w:rPr>
          <w:lang w:val="en-CA"/>
        </w:rPr>
        <w:t xml:space="preserve">protection </w:t>
      </w:r>
      <w:r w:rsidR="006557B9" w:rsidRPr="004E1DE3">
        <w:rPr>
          <w:lang w:val="en-CA"/>
        </w:rPr>
        <w:t xml:space="preserve">of </w:t>
      </w:r>
      <w:r w:rsidR="00766461" w:rsidRPr="004E1DE3">
        <w:rPr>
          <w:lang w:val="en-CA"/>
        </w:rPr>
        <w:t>personal</w:t>
      </w:r>
      <w:r w:rsidR="006557B9" w:rsidRPr="004E1DE3">
        <w:rPr>
          <w:lang w:val="en-CA"/>
        </w:rPr>
        <w:t xml:space="preserve"> </w:t>
      </w:r>
      <w:r w:rsidR="00766461" w:rsidRPr="004E1DE3">
        <w:rPr>
          <w:lang w:val="en-CA"/>
        </w:rPr>
        <w:t>information</w:t>
      </w:r>
      <w:r w:rsidR="006557B9" w:rsidRPr="004E1DE3">
        <w:rPr>
          <w:lang w:val="en-CA"/>
        </w:rPr>
        <w:t>.</w:t>
      </w:r>
      <w:r>
        <w:rPr>
          <w:rStyle w:val="Appelnotedebasdep"/>
          <w:lang w:val="en-CA"/>
        </w:rPr>
        <w:footnoteReference w:id="61"/>
      </w:r>
    </w:p>
    <w:p w14:paraId="0B1A4B0E" w14:textId="77777777" w:rsidR="008D43E0" w:rsidRPr="004E1DE3" w:rsidRDefault="00573CA9" w:rsidP="007D1A3F">
      <w:pPr>
        <w:pStyle w:val="Paragrdouble"/>
        <w:tabs>
          <w:tab w:val="num" w:pos="851"/>
        </w:tabs>
        <w:spacing w:line="240" w:lineRule="auto"/>
        <w:ind w:left="0"/>
        <w:rPr>
          <w:lang w:val="en-CA"/>
        </w:rPr>
      </w:pPr>
      <w:r w:rsidRPr="004E1DE3">
        <w:rPr>
          <w:lang w:val="en-CA"/>
        </w:rPr>
        <w:t xml:space="preserve">In view of these </w:t>
      </w:r>
      <w:r w:rsidR="00940EDA" w:rsidRPr="004E1DE3">
        <w:rPr>
          <w:lang w:val="en-CA"/>
        </w:rPr>
        <w:t>all</w:t>
      </w:r>
      <w:r w:rsidRPr="004E1DE3">
        <w:rPr>
          <w:lang w:val="en-CA"/>
        </w:rPr>
        <w:t>e</w:t>
      </w:r>
      <w:r w:rsidR="00940EDA" w:rsidRPr="004E1DE3">
        <w:rPr>
          <w:lang w:val="en-CA"/>
        </w:rPr>
        <w:t xml:space="preserve">gations, </w:t>
      </w:r>
      <w:r w:rsidRPr="004E1DE3">
        <w:rPr>
          <w:lang w:val="en-CA"/>
        </w:rPr>
        <w:t xml:space="preserve">it is not </w:t>
      </w:r>
      <w:r w:rsidR="00940EDA" w:rsidRPr="004E1DE3">
        <w:rPr>
          <w:lang w:val="en-CA"/>
        </w:rPr>
        <w:t xml:space="preserve">possible </w:t>
      </w:r>
      <w:r w:rsidRPr="004E1DE3">
        <w:rPr>
          <w:lang w:val="en-CA"/>
        </w:rPr>
        <w:t>for t</w:t>
      </w:r>
      <w:r w:rsidR="00940EDA" w:rsidRPr="004E1DE3">
        <w:rPr>
          <w:lang w:val="en-CA"/>
        </w:rPr>
        <w:t>he</w:t>
      </w:r>
      <w:r w:rsidRPr="004E1DE3">
        <w:rPr>
          <w:lang w:val="en-CA"/>
        </w:rPr>
        <w:t xml:space="preserve"> </w:t>
      </w:r>
      <w:r w:rsidR="00940EDA" w:rsidRPr="004E1DE3">
        <w:rPr>
          <w:lang w:val="en-CA"/>
        </w:rPr>
        <w:t>Court</w:t>
      </w:r>
      <w:r w:rsidRPr="004E1DE3">
        <w:rPr>
          <w:lang w:val="en-CA"/>
        </w:rPr>
        <w:t xml:space="preserve"> to </w:t>
      </w:r>
      <w:r w:rsidR="00940EDA" w:rsidRPr="004E1DE3">
        <w:rPr>
          <w:lang w:val="en-CA"/>
        </w:rPr>
        <w:t>minimi</w:t>
      </w:r>
      <w:r w:rsidRPr="004E1DE3">
        <w:rPr>
          <w:lang w:val="en-CA"/>
        </w:rPr>
        <w:t>z</w:t>
      </w:r>
      <w:r w:rsidR="00940EDA" w:rsidRPr="004E1DE3">
        <w:rPr>
          <w:lang w:val="en-CA"/>
        </w:rPr>
        <w:t>e</w:t>
      </w:r>
      <w:r w:rsidRPr="004E1DE3">
        <w:rPr>
          <w:lang w:val="en-CA"/>
        </w:rPr>
        <w:t xml:space="preserve"> </w:t>
      </w:r>
      <w:r w:rsidR="00940EDA" w:rsidRPr="004E1DE3">
        <w:rPr>
          <w:lang w:val="en-CA"/>
        </w:rPr>
        <w:t>Amazon</w:t>
      </w:r>
      <w:r w:rsidRPr="004E1DE3">
        <w:rPr>
          <w:lang w:val="en-CA"/>
        </w:rPr>
        <w:t xml:space="preserve">’s role, as it suggests, </w:t>
      </w:r>
      <w:r w:rsidR="00283779">
        <w:rPr>
          <w:lang w:val="en-CA"/>
        </w:rPr>
        <w:t>and</w:t>
      </w:r>
      <w:r w:rsidRPr="004E1DE3">
        <w:rPr>
          <w:lang w:val="en-CA"/>
        </w:rPr>
        <w:t xml:space="preserve"> </w:t>
      </w:r>
      <w:r w:rsidR="00D1298F" w:rsidRPr="004E1DE3">
        <w:rPr>
          <w:lang w:val="en-CA"/>
        </w:rPr>
        <w:t xml:space="preserve">narrow the application and scope of the Quebec </w:t>
      </w:r>
      <w:r w:rsidR="00D1298F" w:rsidRPr="004E1DE3">
        <w:rPr>
          <w:i/>
          <w:iCs/>
          <w:lang w:val="en-CA"/>
        </w:rPr>
        <w:t xml:space="preserve">Act respecting the protection of person information </w:t>
      </w:r>
      <w:r w:rsidR="00D1298F" w:rsidRPr="004E1DE3">
        <w:rPr>
          <w:lang w:val="en-CA"/>
        </w:rPr>
        <w:t xml:space="preserve">and possibly of the </w:t>
      </w:r>
      <w:r w:rsidR="002C4F7B" w:rsidRPr="004E1DE3">
        <w:rPr>
          <w:i/>
          <w:iCs/>
          <w:lang w:val="en-CA" w:eastAsia="fr-CA"/>
        </w:rPr>
        <w:t>Federal</w:t>
      </w:r>
      <w:r w:rsidR="00D1298F" w:rsidRPr="004E1DE3">
        <w:rPr>
          <w:i/>
          <w:iCs/>
          <w:lang w:val="en-CA"/>
        </w:rPr>
        <w:t xml:space="preserve"> Act </w:t>
      </w:r>
      <w:r w:rsidR="00D1298F" w:rsidRPr="004E1DE3">
        <w:rPr>
          <w:lang w:val="en-CA"/>
        </w:rPr>
        <w:t>in its regard</w:t>
      </w:r>
      <w:r w:rsidR="00940EDA" w:rsidRPr="004E1DE3">
        <w:rPr>
          <w:lang w:val="en-CA"/>
        </w:rPr>
        <w:t>.</w:t>
      </w:r>
    </w:p>
    <w:p w14:paraId="0ABE159B" w14:textId="77777777" w:rsidR="003166BB" w:rsidRPr="004E1DE3" w:rsidRDefault="00573CA9" w:rsidP="007D1A3F">
      <w:pPr>
        <w:pStyle w:val="Paragrdouble"/>
        <w:tabs>
          <w:tab w:val="num" w:pos="851"/>
        </w:tabs>
        <w:spacing w:line="240" w:lineRule="auto"/>
        <w:ind w:left="0"/>
        <w:rPr>
          <w:lang w:val="en-CA"/>
        </w:rPr>
      </w:pPr>
      <w:r w:rsidRPr="004E1DE3">
        <w:rPr>
          <w:lang w:val="en-CA"/>
        </w:rPr>
        <w:lastRenderedPageBreak/>
        <w:t xml:space="preserve">There is therefore a real </w:t>
      </w:r>
      <w:r w:rsidR="00CE281E" w:rsidRPr="004E1DE3">
        <w:rPr>
          <w:lang w:val="en-CA"/>
        </w:rPr>
        <w:t>possibilit</w:t>
      </w:r>
      <w:r w:rsidRPr="004E1DE3">
        <w:rPr>
          <w:lang w:val="en-CA"/>
        </w:rPr>
        <w:t xml:space="preserve">y that it will eventually be established that Amazon committed one or more </w:t>
      </w:r>
      <w:r w:rsidR="00CE281E" w:rsidRPr="004E1DE3">
        <w:rPr>
          <w:lang w:val="en-CA"/>
        </w:rPr>
        <w:t>extracontractual</w:t>
      </w:r>
      <w:r w:rsidRPr="004E1DE3">
        <w:rPr>
          <w:lang w:val="en-CA"/>
        </w:rPr>
        <w:t xml:space="preserve"> </w:t>
      </w:r>
      <w:r w:rsidR="00CE281E" w:rsidRPr="004E1DE3">
        <w:rPr>
          <w:lang w:val="en-CA"/>
        </w:rPr>
        <w:t>faults</w:t>
      </w:r>
      <w:r w:rsidRPr="004E1DE3">
        <w:rPr>
          <w:lang w:val="en-CA"/>
        </w:rPr>
        <w:t xml:space="preserve"> against </w:t>
      </w:r>
      <w:r w:rsidR="00CE281E" w:rsidRPr="004E1DE3">
        <w:rPr>
          <w:lang w:val="en-CA"/>
        </w:rPr>
        <w:t xml:space="preserve">Royer </w:t>
      </w:r>
      <w:r w:rsidRPr="004E1DE3">
        <w:rPr>
          <w:lang w:val="en-CA"/>
        </w:rPr>
        <w:t xml:space="preserve">and the putative </w:t>
      </w:r>
      <w:r w:rsidR="00FE31E7">
        <w:rPr>
          <w:lang w:val="en-CA"/>
        </w:rPr>
        <w:t xml:space="preserve">class </w:t>
      </w:r>
      <w:r w:rsidR="00CE281E" w:rsidRPr="004E1DE3">
        <w:rPr>
          <w:lang w:val="en-CA"/>
        </w:rPr>
        <w:t>memb</w:t>
      </w:r>
      <w:r w:rsidRPr="004E1DE3">
        <w:rPr>
          <w:lang w:val="en-CA"/>
        </w:rPr>
        <w:t>e</w:t>
      </w:r>
      <w:r w:rsidR="00CE281E" w:rsidRPr="004E1DE3">
        <w:rPr>
          <w:lang w:val="en-CA"/>
        </w:rPr>
        <w:t>r</w:t>
      </w:r>
      <w:r w:rsidR="00506636" w:rsidRPr="004E1DE3">
        <w:rPr>
          <w:lang w:val="en-CA"/>
        </w:rPr>
        <w:t>s</w:t>
      </w:r>
      <w:r w:rsidR="00CE281E" w:rsidRPr="004E1DE3">
        <w:rPr>
          <w:lang w:val="en-CA"/>
        </w:rPr>
        <w:t>.</w:t>
      </w:r>
    </w:p>
    <w:p w14:paraId="394F93A8" w14:textId="77777777" w:rsidR="007B1BEB" w:rsidRPr="004E1DE3" w:rsidRDefault="00573CA9" w:rsidP="007D1A3F">
      <w:pPr>
        <w:pStyle w:val="Paragrdouble"/>
        <w:tabs>
          <w:tab w:val="num" w:pos="851"/>
        </w:tabs>
        <w:spacing w:line="240" w:lineRule="auto"/>
        <w:ind w:left="0"/>
        <w:rPr>
          <w:i/>
          <w:iCs/>
          <w:lang w:val="en-CA"/>
        </w:rPr>
      </w:pPr>
      <w:r w:rsidRPr="004E1DE3">
        <w:rPr>
          <w:lang w:val="en-CA"/>
        </w:rPr>
        <w:t>In the alternative</w:t>
      </w:r>
      <w:r w:rsidR="000D5F39" w:rsidRPr="004E1DE3">
        <w:rPr>
          <w:lang w:val="en-CA"/>
        </w:rPr>
        <w:t xml:space="preserve">, Amazon </w:t>
      </w:r>
      <w:r w:rsidRPr="004E1DE3">
        <w:rPr>
          <w:lang w:val="en-CA"/>
        </w:rPr>
        <w:t xml:space="preserve">refutes the plaintiffs’ position that, in the event it </w:t>
      </w:r>
      <w:r w:rsidR="000D6BDB">
        <w:rPr>
          <w:lang w:val="en-CA"/>
        </w:rPr>
        <w:t xml:space="preserve">is </w:t>
      </w:r>
      <w:r w:rsidRPr="004E1DE3">
        <w:rPr>
          <w:lang w:val="en-CA"/>
        </w:rPr>
        <w:t xml:space="preserve"> </w:t>
      </w:r>
      <w:r w:rsidR="007E6334">
        <w:rPr>
          <w:lang w:val="en-CA"/>
        </w:rPr>
        <w:t xml:space="preserve">found </w:t>
      </w:r>
      <w:r w:rsidR="000D5F39" w:rsidRPr="004E1DE3">
        <w:rPr>
          <w:lang w:val="en-CA"/>
        </w:rPr>
        <w:t>extracontractual</w:t>
      </w:r>
      <w:r w:rsidR="007E6334">
        <w:rPr>
          <w:lang w:val="en-CA"/>
        </w:rPr>
        <w:t>ly</w:t>
      </w:r>
      <w:r w:rsidRPr="004E1DE3">
        <w:rPr>
          <w:lang w:val="en-CA"/>
        </w:rPr>
        <w:t xml:space="preserve"> </w:t>
      </w:r>
      <w:r w:rsidR="000D5F39" w:rsidRPr="004E1DE3">
        <w:rPr>
          <w:lang w:val="en-CA"/>
        </w:rPr>
        <w:t>liab</w:t>
      </w:r>
      <w:r w:rsidRPr="004E1DE3">
        <w:rPr>
          <w:lang w:val="en-CA"/>
        </w:rPr>
        <w:t xml:space="preserve">le, which it vigorously denies, all the defendants in the proceeding could be found solidarily liable, alleging that the action directed against </w:t>
      </w:r>
      <w:r w:rsidR="000D5F39" w:rsidRPr="004E1DE3">
        <w:rPr>
          <w:lang w:val="en-CA"/>
        </w:rPr>
        <w:t xml:space="preserve">Capital One </w:t>
      </w:r>
      <w:r w:rsidR="00D80D16" w:rsidRPr="004E1DE3">
        <w:rPr>
          <w:lang w:val="en-CA"/>
        </w:rPr>
        <w:t xml:space="preserve">is </w:t>
      </w:r>
      <w:r w:rsidR="000D5F39" w:rsidRPr="004E1DE3">
        <w:rPr>
          <w:lang w:val="en-CA"/>
        </w:rPr>
        <w:t>contractu</w:t>
      </w:r>
      <w:r w:rsidR="00D80D16" w:rsidRPr="004E1DE3">
        <w:rPr>
          <w:lang w:val="en-CA"/>
        </w:rPr>
        <w:t>a</w:t>
      </w:r>
      <w:r w:rsidR="000D5F39" w:rsidRPr="004E1DE3">
        <w:rPr>
          <w:lang w:val="en-CA"/>
        </w:rPr>
        <w:t>l</w:t>
      </w:r>
      <w:r w:rsidR="00D80D16" w:rsidRPr="004E1DE3">
        <w:rPr>
          <w:lang w:val="en-CA"/>
        </w:rPr>
        <w:t xml:space="preserve">, while against Amazon it is </w:t>
      </w:r>
      <w:r w:rsidR="000D5F39" w:rsidRPr="004E1DE3">
        <w:rPr>
          <w:lang w:val="en-CA"/>
        </w:rPr>
        <w:t>extracontractu</w:t>
      </w:r>
      <w:r w:rsidR="00D80D16" w:rsidRPr="004E1DE3">
        <w:rPr>
          <w:lang w:val="en-CA"/>
        </w:rPr>
        <w:t>a</w:t>
      </w:r>
      <w:r w:rsidR="000D5F39" w:rsidRPr="004E1DE3">
        <w:rPr>
          <w:lang w:val="en-CA"/>
        </w:rPr>
        <w:t xml:space="preserve">l, </w:t>
      </w:r>
      <w:r w:rsidR="00D80D16" w:rsidRPr="004E1DE3">
        <w:rPr>
          <w:lang w:val="en-CA"/>
        </w:rPr>
        <w:t xml:space="preserve">such that solidarily among these two groups of </w:t>
      </w:r>
      <w:r w:rsidR="000D5F39" w:rsidRPr="004E1DE3">
        <w:rPr>
          <w:lang w:val="en-CA"/>
        </w:rPr>
        <w:t>defendants</w:t>
      </w:r>
      <w:r w:rsidR="007E6334" w:rsidRPr="004E1DE3">
        <w:rPr>
          <w:lang w:val="en-CA"/>
        </w:rPr>
        <w:t xml:space="preserve">, </w:t>
      </w:r>
      <w:r w:rsidR="007E6334">
        <w:rPr>
          <w:lang w:val="en-CA"/>
        </w:rPr>
        <w:t xml:space="preserve">other than </w:t>
      </w:r>
      <w:r w:rsidR="007E6334" w:rsidRPr="004E1DE3">
        <w:rPr>
          <w:lang w:val="en-CA"/>
        </w:rPr>
        <w:t xml:space="preserve">mere </w:t>
      </w:r>
      <w:r w:rsidR="007E6334" w:rsidRPr="004E1DE3">
        <w:rPr>
          <w:i/>
          <w:iCs/>
          <w:lang w:val="en-CA"/>
        </w:rPr>
        <w:t xml:space="preserve">in solidum </w:t>
      </w:r>
      <w:r w:rsidR="007E6334" w:rsidRPr="004E1DE3">
        <w:rPr>
          <w:lang w:val="en-CA"/>
        </w:rPr>
        <w:t>liability</w:t>
      </w:r>
      <w:r w:rsidR="007E6334">
        <w:rPr>
          <w:lang w:val="en-CA"/>
        </w:rPr>
        <w:t>,</w:t>
      </w:r>
      <w:r w:rsidR="007E6334" w:rsidRPr="004E1DE3">
        <w:rPr>
          <w:lang w:val="en-CA"/>
        </w:rPr>
        <w:t xml:space="preserve"> </w:t>
      </w:r>
      <w:r w:rsidR="00D80D16" w:rsidRPr="004E1DE3">
        <w:rPr>
          <w:lang w:val="en-CA"/>
        </w:rPr>
        <w:t xml:space="preserve">cannot be asserted under </w:t>
      </w:r>
      <w:r w:rsidR="000D5F39" w:rsidRPr="004E1DE3">
        <w:rPr>
          <w:lang w:val="en-CA"/>
        </w:rPr>
        <w:t>article 1525 </w:t>
      </w:r>
      <w:r w:rsidR="00D80D16" w:rsidRPr="004E1DE3">
        <w:rPr>
          <w:lang w:val="en-CA"/>
        </w:rPr>
        <w:t>CCQ</w:t>
      </w:r>
      <w:r w:rsidR="00303108" w:rsidRPr="004E1DE3">
        <w:rPr>
          <w:i/>
          <w:iCs/>
          <w:lang w:val="en-CA"/>
        </w:rPr>
        <w:t>.</w:t>
      </w:r>
    </w:p>
    <w:p w14:paraId="3CE05E49" w14:textId="77777777" w:rsidR="00CE281E" w:rsidRPr="004E1DE3" w:rsidRDefault="00573CA9" w:rsidP="00CE281E">
      <w:pPr>
        <w:pStyle w:val="Paragrdouble"/>
        <w:tabs>
          <w:tab w:val="num" w:pos="851"/>
        </w:tabs>
        <w:spacing w:line="240" w:lineRule="auto"/>
        <w:ind w:left="0"/>
        <w:rPr>
          <w:i/>
          <w:iCs/>
          <w:lang w:val="en-CA"/>
        </w:rPr>
      </w:pPr>
      <w:r w:rsidRPr="004E1DE3">
        <w:rPr>
          <w:lang w:val="en-CA"/>
        </w:rPr>
        <w:t>In this regard, the plaint</w:t>
      </w:r>
      <w:r w:rsidR="00563369" w:rsidRPr="004E1DE3">
        <w:rPr>
          <w:lang w:val="en-CA"/>
        </w:rPr>
        <w:t>i</w:t>
      </w:r>
      <w:r w:rsidRPr="004E1DE3">
        <w:rPr>
          <w:lang w:val="en-CA"/>
        </w:rPr>
        <w:t xml:space="preserve">ffs are trying to </w:t>
      </w:r>
      <w:r w:rsidR="00940EDA" w:rsidRPr="004E1DE3">
        <w:rPr>
          <w:lang w:val="en-CA"/>
        </w:rPr>
        <w:t>assimil</w:t>
      </w:r>
      <w:r w:rsidRPr="004E1DE3">
        <w:rPr>
          <w:lang w:val="en-CA"/>
        </w:rPr>
        <w:t>at</w:t>
      </w:r>
      <w:r w:rsidR="00940EDA" w:rsidRPr="004E1DE3">
        <w:rPr>
          <w:lang w:val="en-CA"/>
        </w:rPr>
        <w:t xml:space="preserve">e Amazon </w:t>
      </w:r>
      <w:r w:rsidRPr="004E1DE3">
        <w:rPr>
          <w:lang w:val="en-CA"/>
        </w:rPr>
        <w:t xml:space="preserve">to </w:t>
      </w:r>
      <w:r w:rsidR="00940EDA" w:rsidRPr="004E1DE3">
        <w:rPr>
          <w:lang w:val="en-CA"/>
        </w:rPr>
        <w:t xml:space="preserve">Capital One </w:t>
      </w:r>
      <w:r w:rsidRPr="004E1DE3">
        <w:rPr>
          <w:lang w:val="en-CA"/>
        </w:rPr>
        <w:t>or place them on the same foo</w:t>
      </w:r>
      <w:r w:rsidR="00563369" w:rsidRPr="004E1DE3">
        <w:rPr>
          <w:lang w:val="en-CA"/>
        </w:rPr>
        <w:t>t</w:t>
      </w:r>
      <w:r w:rsidRPr="004E1DE3">
        <w:rPr>
          <w:lang w:val="en-CA"/>
        </w:rPr>
        <w:t xml:space="preserve">ing </w:t>
      </w:r>
      <w:r w:rsidR="00940EDA" w:rsidRPr="004E1DE3">
        <w:rPr>
          <w:lang w:val="en-CA"/>
        </w:rPr>
        <w:t xml:space="preserve">vis-à-vis </w:t>
      </w:r>
      <w:r w:rsidR="000A136B" w:rsidRPr="004E1DE3">
        <w:rPr>
          <w:lang w:val="en-CA"/>
        </w:rPr>
        <w:t>the</w:t>
      </w:r>
      <w:r w:rsidR="00940EDA" w:rsidRPr="004E1DE3">
        <w:rPr>
          <w:lang w:val="en-CA"/>
        </w:rPr>
        <w:t xml:space="preserve"> </w:t>
      </w:r>
      <w:r w:rsidR="007E6334">
        <w:rPr>
          <w:lang w:val="en-CA"/>
        </w:rPr>
        <w:t xml:space="preserve">class </w:t>
      </w:r>
      <w:r w:rsidR="00940EDA" w:rsidRPr="004E1DE3">
        <w:rPr>
          <w:lang w:val="en-CA"/>
        </w:rPr>
        <w:t>memb</w:t>
      </w:r>
      <w:r w:rsidR="000A136B" w:rsidRPr="004E1DE3">
        <w:rPr>
          <w:lang w:val="en-CA"/>
        </w:rPr>
        <w:t>e</w:t>
      </w:r>
      <w:r w:rsidR="00940EDA" w:rsidRPr="004E1DE3">
        <w:rPr>
          <w:lang w:val="en-CA"/>
        </w:rPr>
        <w:t>r</w:t>
      </w:r>
      <w:r w:rsidR="000A136B" w:rsidRPr="004E1DE3">
        <w:rPr>
          <w:lang w:val="en-CA"/>
        </w:rPr>
        <w:t>s</w:t>
      </w:r>
      <w:r w:rsidR="00940EDA" w:rsidRPr="004E1DE3">
        <w:rPr>
          <w:lang w:val="en-CA"/>
        </w:rPr>
        <w:t xml:space="preserve">, </w:t>
      </w:r>
      <w:r w:rsidR="000A136B" w:rsidRPr="004E1DE3">
        <w:rPr>
          <w:lang w:val="en-CA"/>
        </w:rPr>
        <w:t>by invo</w:t>
      </w:r>
      <w:r w:rsidR="00563369" w:rsidRPr="004E1DE3">
        <w:rPr>
          <w:lang w:val="en-CA"/>
        </w:rPr>
        <w:t>k</w:t>
      </w:r>
      <w:r w:rsidR="000A136B" w:rsidRPr="004E1DE3">
        <w:rPr>
          <w:lang w:val="en-CA"/>
        </w:rPr>
        <w:t xml:space="preserve">ing their common knowledge as of </w:t>
      </w:r>
      <w:r w:rsidR="00940EDA" w:rsidRPr="004E1DE3">
        <w:rPr>
          <w:lang w:val="en-CA"/>
        </w:rPr>
        <w:t xml:space="preserve">2018 </w:t>
      </w:r>
      <w:r w:rsidR="000A136B" w:rsidRPr="004E1DE3">
        <w:rPr>
          <w:lang w:val="en-CA"/>
        </w:rPr>
        <w:t xml:space="preserve">of their system’s </w:t>
      </w:r>
      <w:r w:rsidR="00940EDA" w:rsidRPr="004E1DE3">
        <w:rPr>
          <w:lang w:val="en-CA"/>
        </w:rPr>
        <w:t>vuln</w:t>
      </w:r>
      <w:r w:rsidR="000A136B" w:rsidRPr="004E1DE3">
        <w:rPr>
          <w:lang w:val="en-CA"/>
        </w:rPr>
        <w:t>e</w:t>
      </w:r>
      <w:r w:rsidR="00940EDA" w:rsidRPr="004E1DE3">
        <w:rPr>
          <w:lang w:val="en-CA"/>
        </w:rPr>
        <w:t>rabilit</w:t>
      </w:r>
      <w:r w:rsidR="000A136B" w:rsidRPr="004E1DE3">
        <w:rPr>
          <w:lang w:val="en-CA"/>
        </w:rPr>
        <w:t xml:space="preserve">y and of the insufficiency of the means used to compensate for it, such as the </w:t>
      </w:r>
      <w:r w:rsidR="00940EDA" w:rsidRPr="00283779">
        <w:rPr>
          <w:lang w:val="en-CA"/>
        </w:rPr>
        <w:t>Cloud Custodian</w:t>
      </w:r>
      <w:r w:rsidR="00940EDA" w:rsidRPr="004E1DE3">
        <w:rPr>
          <w:lang w:val="en-CA"/>
        </w:rPr>
        <w:t>.</w:t>
      </w:r>
    </w:p>
    <w:p w14:paraId="068DF096" w14:textId="77777777" w:rsidR="00FD0C16" w:rsidRPr="004E1DE3" w:rsidRDefault="00573CA9" w:rsidP="007D1A3F">
      <w:pPr>
        <w:pStyle w:val="Paragrdouble"/>
        <w:tabs>
          <w:tab w:val="num" w:pos="851"/>
        </w:tabs>
        <w:spacing w:line="240" w:lineRule="auto"/>
        <w:ind w:left="0"/>
        <w:rPr>
          <w:lang w:val="en-CA"/>
        </w:rPr>
      </w:pPr>
      <w:r w:rsidRPr="004E1DE3">
        <w:rPr>
          <w:lang w:val="en-CA"/>
        </w:rPr>
        <w:t>At first glance, t</w:t>
      </w:r>
      <w:r w:rsidR="0074488A" w:rsidRPr="004E1DE3">
        <w:rPr>
          <w:lang w:val="en-CA"/>
        </w:rPr>
        <w:t>he</w:t>
      </w:r>
      <w:r w:rsidRPr="004E1DE3">
        <w:rPr>
          <w:lang w:val="en-CA"/>
        </w:rPr>
        <w:t xml:space="preserve"> </w:t>
      </w:r>
      <w:r w:rsidR="0074488A" w:rsidRPr="004E1DE3">
        <w:rPr>
          <w:lang w:val="en-CA"/>
        </w:rPr>
        <w:t>Court</w:t>
      </w:r>
      <w:r w:rsidRPr="004E1DE3">
        <w:rPr>
          <w:lang w:val="en-CA"/>
        </w:rPr>
        <w:t xml:space="preserve"> agrees with </w:t>
      </w:r>
      <w:r w:rsidR="0074488A" w:rsidRPr="004E1DE3">
        <w:rPr>
          <w:lang w:val="en-CA"/>
        </w:rPr>
        <w:t>Amazon</w:t>
      </w:r>
      <w:r w:rsidRPr="004E1DE3">
        <w:rPr>
          <w:lang w:val="en-CA"/>
        </w:rPr>
        <w:t>’s argument that the facts alleged in the A</w:t>
      </w:r>
      <w:r w:rsidR="0074488A" w:rsidRPr="004E1DE3">
        <w:rPr>
          <w:lang w:val="en-CA"/>
        </w:rPr>
        <w:t>pplication</w:t>
      </w:r>
      <w:r w:rsidRPr="004E1DE3">
        <w:rPr>
          <w:lang w:val="en-CA"/>
        </w:rPr>
        <w:t xml:space="preserve"> and the </w:t>
      </w:r>
      <w:r w:rsidR="0074488A" w:rsidRPr="004E1DE3">
        <w:rPr>
          <w:lang w:val="en-CA"/>
        </w:rPr>
        <w:t>exhibit</w:t>
      </w:r>
      <w:r w:rsidRPr="004E1DE3">
        <w:rPr>
          <w:lang w:val="en-CA"/>
        </w:rPr>
        <w:t xml:space="preserve">s invoked in support </w:t>
      </w:r>
      <w:r w:rsidR="008E3995" w:rsidRPr="004E1DE3">
        <w:rPr>
          <w:lang w:val="en-CA"/>
        </w:rPr>
        <w:t>there</w:t>
      </w:r>
      <w:r w:rsidR="008E3995">
        <w:rPr>
          <w:lang w:val="en-CA"/>
        </w:rPr>
        <w:t>of</w:t>
      </w:r>
      <w:r w:rsidR="008E3995" w:rsidRPr="004E1DE3">
        <w:rPr>
          <w:lang w:val="en-CA"/>
        </w:rPr>
        <w:t xml:space="preserve"> </w:t>
      </w:r>
      <w:r w:rsidRPr="004E1DE3">
        <w:rPr>
          <w:lang w:val="en-CA"/>
        </w:rPr>
        <w:t xml:space="preserve">do not </w:t>
      </w:r>
      <w:r w:rsidR="008E3995">
        <w:rPr>
          <w:lang w:val="en-CA"/>
        </w:rPr>
        <w:t>serve as indicia</w:t>
      </w:r>
      <w:r w:rsidRPr="004E1DE3">
        <w:rPr>
          <w:lang w:val="en-CA"/>
        </w:rPr>
        <w:t xml:space="preserve"> of </w:t>
      </w:r>
      <w:r w:rsidR="00014183" w:rsidRPr="004E1DE3">
        <w:rPr>
          <w:lang w:val="en-CA"/>
        </w:rPr>
        <w:t xml:space="preserve">the same type of legal relationship between the </w:t>
      </w:r>
      <w:r w:rsidR="00D91343">
        <w:rPr>
          <w:lang w:val="en-CA"/>
        </w:rPr>
        <w:t xml:space="preserve">class </w:t>
      </w:r>
      <w:r w:rsidR="00014183" w:rsidRPr="004E1DE3">
        <w:rPr>
          <w:lang w:val="en-CA"/>
        </w:rPr>
        <w:t xml:space="preserve">members on the one hand, and </w:t>
      </w:r>
      <w:r w:rsidR="0074488A" w:rsidRPr="004E1DE3">
        <w:rPr>
          <w:lang w:val="en-CA"/>
        </w:rPr>
        <w:t xml:space="preserve">Capital One </w:t>
      </w:r>
      <w:r w:rsidR="00014183" w:rsidRPr="004E1DE3">
        <w:rPr>
          <w:lang w:val="en-CA"/>
        </w:rPr>
        <w:t xml:space="preserve">and </w:t>
      </w:r>
      <w:r w:rsidR="0074488A" w:rsidRPr="004E1DE3">
        <w:rPr>
          <w:lang w:val="en-CA"/>
        </w:rPr>
        <w:t xml:space="preserve">Amazon </w:t>
      </w:r>
      <w:r w:rsidR="00014183" w:rsidRPr="004E1DE3">
        <w:rPr>
          <w:lang w:val="en-CA"/>
        </w:rPr>
        <w:t>on the other</w:t>
      </w:r>
      <w:r w:rsidR="0074488A" w:rsidRPr="004E1DE3">
        <w:rPr>
          <w:lang w:val="en-CA"/>
        </w:rPr>
        <w:t xml:space="preserve">. </w:t>
      </w:r>
    </w:p>
    <w:p w14:paraId="0E536AB6" w14:textId="77777777" w:rsidR="004002F5" w:rsidRPr="004E1DE3" w:rsidRDefault="00573CA9" w:rsidP="007D1A3F">
      <w:pPr>
        <w:pStyle w:val="Paragrdouble"/>
        <w:tabs>
          <w:tab w:val="num" w:pos="851"/>
        </w:tabs>
        <w:spacing w:line="240" w:lineRule="auto"/>
        <w:ind w:left="0"/>
        <w:rPr>
          <w:lang w:val="en-CA"/>
        </w:rPr>
      </w:pPr>
      <w:r>
        <w:rPr>
          <w:lang w:val="en-CA"/>
        </w:rPr>
        <w:t>As a p</w:t>
      </w:r>
      <w:r w:rsidRPr="004E1DE3">
        <w:rPr>
          <w:lang w:val="en-CA"/>
        </w:rPr>
        <w:t>reliminar</w:t>
      </w:r>
      <w:r>
        <w:rPr>
          <w:lang w:val="en-CA"/>
        </w:rPr>
        <w:t>y matter</w:t>
      </w:r>
      <w:r w:rsidR="00EA78ED" w:rsidRPr="004E1DE3">
        <w:rPr>
          <w:lang w:val="en-CA"/>
        </w:rPr>
        <w:t xml:space="preserve">, it therefore seems possible to find that Amazon committed an </w:t>
      </w:r>
      <w:r w:rsidR="003166BB" w:rsidRPr="004E1DE3">
        <w:rPr>
          <w:lang w:val="en-CA"/>
        </w:rPr>
        <w:t>extracontractu</w:t>
      </w:r>
      <w:r w:rsidR="00EA78ED" w:rsidRPr="004E1DE3">
        <w:rPr>
          <w:lang w:val="en-CA"/>
        </w:rPr>
        <w:t>a</w:t>
      </w:r>
      <w:r w:rsidR="003166BB" w:rsidRPr="004E1DE3">
        <w:rPr>
          <w:lang w:val="en-CA"/>
        </w:rPr>
        <w:t>l</w:t>
      </w:r>
      <w:r w:rsidR="00EA78ED" w:rsidRPr="004E1DE3">
        <w:rPr>
          <w:lang w:val="en-CA"/>
        </w:rPr>
        <w:t xml:space="preserve"> fault</w:t>
      </w:r>
      <w:r w:rsidR="003166BB" w:rsidRPr="004E1DE3">
        <w:rPr>
          <w:lang w:val="en-CA"/>
        </w:rPr>
        <w:t xml:space="preserve">, </w:t>
      </w:r>
      <w:r w:rsidR="00EA78ED" w:rsidRPr="004E1DE3">
        <w:rPr>
          <w:lang w:val="en-CA"/>
        </w:rPr>
        <w:t xml:space="preserve">but not that there is </w:t>
      </w:r>
      <w:r w:rsidR="00494E1E">
        <w:rPr>
          <w:lang w:val="en-CA"/>
        </w:rPr>
        <w:t xml:space="preserve">potential </w:t>
      </w:r>
      <w:r w:rsidR="00EA78ED" w:rsidRPr="004E1DE3">
        <w:rPr>
          <w:lang w:val="en-CA"/>
        </w:rPr>
        <w:t xml:space="preserve">solidary liability among all the defendants </w:t>
      </w:r>
      <w:r w:rsidR="0042099A">
        <w:rPr>
          <w:lang w:val="en-CA"/>
        </w:rPr>
        <w:t xml:space="preserve">resulting from the application to them of </w:t>
      </w:r>
      <w:r w:rsidR="003166BB" w:rsidRPr="004E1DE3">
        <w:rPr>
          <w:lang w:val="en-CA"/>
        </w:rPr>
        <w:t>article 1525 </w:t>
      </w:r>
      <w:r w:rsidR="00EA78ED" w:rsidRPr="004E1DE3">
        <w:rPr>
          <w:lang w:val="en-CA"/>
        </w:rPr>
        <w:t>CC</w:t>
      </w:r>
      <w:r w:rsidR="003166BB" w:rsidRPr="004E1DE3">
        <w:rPr>
          <w:lang w:val="en-CA"/>
        </w:rPr>
        <w:t>Q</w:t>
      </w:r>
      <w:r w:rsidR="00EA78ED" w:rsidRPr="004E1DE3">
        <w:rPr>
          <w:lang w:val="en-CA"/>
        </w:rPr>
        <w:t xml:space="preserve"> </w:t>
      </w:r>
      <w:r w:rsidR="00494E1E">
        <w:rPr>
          <w:lang w:val="en-CA"/>
        </w:rPr>
        <w:t>having regard to</w:t>
      </w:r>
      <w:r w:rsidR="00EA78ED" w:rsidRPr="004E1DE3">
        <w:rPr>
          <w:lang w:val="en-CA"/>
        </w:rPr>
        <w:t xml:space="preserve"> the </w:t>
      </w:r>
      <w:r w:rsidR="003166BB" w:rsidRPr="004E1DE3">
        <w:rPr>
          <w:lang w:val="en-CA"/>
        </w:rPr>
        <w:t>provision</w:t>
      </w:r>
      <w:r w:rsidR="00EA78ED" w:rsidRPr="004E1DE3">
        <w:rPr>
          <w:lang w:val="en-CA"/>
        </w:rPr>
        <w:t xml:space="preserve">s of the Quebec </w:t>
      </w:r>
      <w:r w:rsidR="00EA78ED" w:rsidRPr="004E1DE3">
        <w:rPr>
          <w:i/>
          <w:iCs/>
          <w:lang w:val="en-CA"/>
        </w:rPr>
        <w:t xml:space="preserve">Act respecting the protection of personal information </w:t>
      </w:r>
      <w:r w:rsidR="00EA78ED" w:rsidRPr="004E1DE3">
        <w:rPr>
          <w:lang w:val="en-CA"/>
        </w:rPr>
        <w:t>and the CCQ</w:t>
      </w:r>
      <w:r w:rsidR="003166BB" w:rsidRPr="004E1DE3">
        <w:rPr>
          <w:lang w:val="en-CA"/>
        </w:rPr>
        <w:t>.</w:t>
      </w:r>
    </w:p>
    <w:p w14:paraId="31316EC8" w14:textId="77777777" w:rsidR="001949BD" w:rsidRPr="004E1DE3" w:rsidRDefault="00573CA9" w:rsidP="007D1A3F">
      <w:pPr>
        <w:pStyle w:val="Paragrdouble"/>
        <w:tabs>
          <w:tab w:val="num" w:pos="851"/>
        </w:tabs>
        <w:spacing w:line="240" w:lineRule="auto"/>
        <w:ind w:left="0"/>
        <w:rPr>
          <w:lang w:val="en-CA"/>
        </w:rPr>
      </w:pPr>
      <w:r w:rsidRPr="004E1DE3">
        <w:rPr>
          <w:lang w:val="en-CA"/>
        </w:rPr>
        <w:t xml:space="preserve">The </w:t>
      </w:r>
      <w:r w:rsidR="00CE281E" w:rsidRPr="004E1DE3">
        <w:rPr>
          <w:lang w:val="en-CA"/>
        </w:rPr>
        <w:t>judge</w:t>
      </w:r>
      <w:r w:rsidRPr="004E1DE3">
        <w:rPr>
          <w:lang w:val="en-CA"/>
        </w:rPr>
        <w:t xml:space="preserve"> hearing the case on the merits can eve</w:t>
      </w:r>
      <w:r w:rsidR="00A811E5" w:rsidRPr="004E1DE3">
        <w:rPr>
          <w:lang w:val="en-CA"/>
        </w:rPr>
        <w:t>ntually assess and will have to determine the outcome of this potential solida</w:t>
      </w:r>
      <w:r w:rsidR="00356BBE">
        <w:rPr>
          <w:lang w:val="en-CA"/>
        </w:rPr>
        <w:t>rity</w:t>
      </w:r>
      <w:r w:rsidR="00CE281E" w:rsidRPr="004E1DE3">
        <w:rPr>
          <w:lang w:val="en-CA"/>
        </w:rPr>
        <w:t xml:space="preserve">, </w:t>
      </w:r>
      <w:r w:rsidR="00A811E5" w:rsidRPr="004E1DE3">
        <w:rPr>
          <w:lang w:val="en-CA"/>
        </w:rPr>
        <w:t xml:space="preserve">being mindful of the fact that </w:t>
      </w:r>
      <w:r w:rsidR="00CE281E" w:rsidRPr="004E1DE3">
        <w:rPr>
          <w:lang w:val="en-CA"/>
        </w:rPr>
        <w:t xml:space="preserve">Capital One </w:t>
      </w:r>
      <w:r w:rsidR="00A811E5" w:rsidRPr="004E1DE3">
        <w:rPr>
          <w:lang w:val="en-CA"/>
        </w:rPr>
        <w:t xml:space="preserve">cannot be found liable both contractually and </w:t>
      </w:r>
      <w:r w:rsidR="00CE281E" w:rsidRPr="004E1DE3">
        <w:rPr>
          <w:lang w:val="en-CA"/>
        </w:rPr>
        <w:t>extracontractu</w:t>
      </w:r>
      <w:r w:rsidR="00A811E5" w:rsidRPr="004E1DE3">
        <w:rPr>
          <w:lang w:val="en-CA"/>
        </w:rPr>
        <w:t>ally.</w:t>
      </w:r>
      <w:r>
        <w:rPr>
          <w:rStyle w:val="Appelnotedebasdep"/>
          <w:lang w:val="en-CA"/>
        </w:rPr>
        <w:footnoteReference w:id="62"/>
      </w:r>
    </w:p>
    <w:p w14:paraId="5073BE01" w14:textId="77777777" w:rsidR="0093592B" w:rsidRPr="004E1DE3" w:rsidRDefault="00573CA9" w:rsidP="00BD01E0">
      <w:pPr>
        <w:pStyle w:val="Titre4"/>
        <w:rPr>
          <w:lang w:val="en-CA"/>
        </w:rPr>
      </w:pPr>
      <w:bookmarkStart w:id="24" w:name="_Toc256000011"/>
      <w:bookmarkStart w:id="25" w:name="_Toc148419874"/>
      <w:r w:rsidRPr="004E1DE3">
        <w:rPr>
          <w:lang w:val="en-CA"/>
        </w:rPr>
        <w:t xml:space="preserve">False or misleading </w:t>
      </w:r>
      <w:r w:rsidR="00111EC4" w:rsidRPr="004E1DE3">
        <w:rPr>
          <w:lang w:val="en-CA"/>
        </w:rPr>
        <w:t>representations</w:t>
      </w:r>
      <w:bookmarkEnd w:id="24"/>
      <w:bookmarkEnd w:id="25"/>
      <w:r w:rsidR="00940EDA" w:rsidRPr="004E1DE3">
        <w:rPr>
          <w:lang w:val="en-CA"/>
        </w:rPr>
        <w:tab/>
      </w:r>
    </w:p>
    <w:p w14:paraId="034D13EB" w14:textId="77777777" w:rsidR="00AD42E4" w:rsidRPr="004E1DE3" w:rsidRDefault="00573CA9" w:rsidP="007D1A3F">
      <w:pPr>
        <w:pStyle w:val="Paragrdouble"/>
        <w:tabs>
          <w:tab w:val="num" w:pos="851"/>
        </w:tabs>
        <w:spacing w:line="240" w:lineRule="auto"/>
        <w:ind w:left="0"/>
        <w:rPr>
          <w:lang w:val="en-CA"/>
        </w:rPr>
      </w:pPr>
      <w:r w:rsidRPr="004E1DE3">
        <w:rPr>
          <w:lang w:val="en-CA"/>
        </w:rPr>
        <w:t xml:space="preserve">The </w:t>
      </w:r>
      <w:r w:rsidR="00E85BC7" w:rsidRPr="004E1DE3">
        <w:rPr>
          <w:lang w:val="en-CA"/>
        </w:rPr>
        <w:t>Court</w:t>
      </w:r>
      <w:r w:rsidRPr="004E1DE3">
        <w:rPr>
          <w:lang w:val="en-CA"/>
        </w:rPr>
        <w:t xml:space="preserve"> </w:t>
      </w:r>
      <w:r w:rsidR="00DD7498">
        <w:rPr>
          <w:lang w:val="en-CA"/>
        </w:rPr>
        <w:t>would like to point out</w:t>
      </w:r>
      <w:r w:rsidRPr="004E1DE3">
        <w:rPr>
          <w:lang w:val="en-CA"/>
        </w:rPr>
        <w:t xml:space="preserve"> that the </w:t>
      </w:r>
      <w:r w:rsidR="00E85BC7" w:rsidRPr="004E1DE3">
        <w:rPr>
          <w:lang w:val="en-CA"/>
        </w:rPr>
        <w:t>all</w:t>
      </w:r>
      <w:r w:rsidRPr="004E1DE3">
        <w:rPr>
          <w:lang w:val="en-CA"/>
        </w:rPr>
        <w:t>e</w:t>
      </w:r>
      <w:r w:rsidR="00E85BC7" w:rsidRPr="004E1DE3">
        <w:rPr>
          <w:lang w:val="en-CA"/>
        </w:rPr>
        <w:t xml:space="preserve">gations </w:t>
      </w:r>
      <w:r w:rsidRPr="004E1DE3">
        <w:rPr>
          <w:lang w:val="en-CA"/>
        </w:rPr>
        <w:t>in the A</w:t>
      </w:r>
      <w:r w:rsidR="00E85BC7" w:rsidRPr="004E1DE3">
        <w:rPr>
          <w:lang w:val="en-CA"/>
        </w:rPr>
        <w:t>pplication,</w:t>
      </w:r>
      <w:r w:rsidRPr="004E1DE3">
        <w:rPr>
          <w:lang w:val="en-CA"/>
        </w:rPr>
        <w:t xml:space="preserve"> taken to be true at this stage of the </w:t>
      </w:r>
      <w:r w:rsidR="00E85BC7" w:rsidRPr="004E1DE3">
        <w:rPr>
          <w:lang w:val="en-CA"/>
        </w:rPr>
        <w:t>proceeding</w:t>
      </w:r>
      <w:r w:rsidR="00CC661E" w:rsidRPr="004E1DE3">
        <w:rPr>
          <w:lang w:val="en-CA"/>
        </w:rPr>
        <w:t>,</w:t>
      </w:r>
      <w:r w:rsidRPr="004E1DE3">
        <w:rPr>
          <w:lang w:val="en-CA"/>
        </w:rPr>
        <w:t xml:space="preserve"> do not establish the possibility of an action based on </w:t>
      </w:r>
      <w:r w:rsidR="00E85BC7" w:rsidRPr="004E1DE3">
        <w:rPr>
          <w:lang w:val="en-CA"/>
        </w:rPr>
        <w:t>false</w:t>
      </w:r>
      <w:r w:rsidRPr="004E1DE3">
        <w:rPr>
          <w:lang w:val="en-CA"/>
        </w:rPr>
        <w:t xml:space="preserve"> </w:t>
      </w:r>
      <w:r w:rsidR="00E85BC7" w:rsidRPr="004E1DE3">
        <w:rPr>
          <w:lang w:val="en-CA"/>
        </w:rPr>
        <w:t>or</w:t>
      </w:r>
      <w:r w:rsidRPr="004E1DE3">
        <w:rPr>
          <w:lang w:val="en-CA"/>
        </w:rPr>
        <w:t xml:space="preserve"> </w:t>
      </w:r>
      <w:r w:rsidR="00E85BC7" w:rsidRPr="004E1DE3">
        <w:rPr>
          <w:lang w:val="en-CA"/>
        </w:rPr>
        <w:t>misleading</w:t>
      </w:r>
      <w:r w:rsidRPr="004E1DE3">
        <w:rPr>
          <w:lang w:val="en-CA"/>
        </w:rPr>
        <w:t xml:space="preserve"> </w:t>
      </w:r>
      <w:r w:rsidR="00E85BC7" w:rsidRPr="004E1DE3">
        <w:rPr>
          <w:lang w:val="en-CA"/>
        </w:rPr>
        <w:t>representation</w:t>
      </w:r>
      <w:r w:rsidRPr="004E1DE3">
        <w:rPr>
          <w:lang w:val="en-CA"/>
        </w:rPr>
        <w:t xml:space="preserve">s by the Amazon </w:t>
      </w:r>
      <w:r w:rsidR="00E85BC7" w:rsidRPr="004E1DE3">
        <w:rPr>
          <w:lang w:val="en-CA"/>
        </w:rPr>
        <w:t>defendants</w:t>
      </w:r>
      <w:r w:rsidR="00CC661E" w:rsidRPr="004E1DE3">
        <w:rPr>
          <w:lang w:val="en-CA"/>
        </w:rPr>
        <w:t xml:space="preserve"> towards the </w:t>
      </w:r>
      <w:r w:rsidR="00211D64">
        <w:rPr>
          <w:lang w:val="en-CA"/>
        </w:rPr>
        <w:t xml:space="preserve">class </w:t>
      </w:r>
      <w:r w:rsidR="00CC661E" w:rsidRPr="004E1DE3">
        <w:rPr>
          <w:lang w:val="en-CA"/>
        </w:rPr>
        <w:t xml:space="preserve">members, as that notion is defined in the </w:t>
      </w:r>
      <w:r w:rsidR="00CC661E" w:rsidRPr="004E1DE3">
        <w:rPr>
          <w:i/>
          <w:iCs/>
          <w:lang w:val="en-CA"/>
        </w:rPr>
        <w:t>CPA</w:t>
      </w:r>
      <w:r w:rsidR="00E85BC7" w:rsidRPr="004E1DE3">
        <w:rPr>
          <w:lang w:val="en-CA"/>
        </w:rPr>
        <w:t xml:space="preserve">, </w:t>
      </w:r>
      <w:r w:rsidR="00CC661E" w:rsidRPr="004E1DE3">
        <w:rPr>
          <w:lang w:val="en-CA"/>
        </w:rPr>
        <w:t xml:space="preserve">according to the same reasoning applied above to </w:t>
      </w:r>
      <w:r w:rsidR="00E85BC7" w:rsidRPr="004E1DE3">
        <w:rPr>
          <w:lang w:val="en-CA"/>
        </w:rPr>
        <w:t>Capital One.</w:t>
      </w:r>
    </w:p>
    <w:p w14:paraId="3F01D2E5" w14:textId="77777777" w:rsidR="00D66ED5" w:rsidRPr="004E1DE3" w:rsidRDefault="00573CA9" w:rsidP="007D1A3F">
      <w:pPr>
        <w:pStyle w:val="Paragrdouble"/>
        <w:tabs>
          <w:tab w:val="num" w:pos="851"/>
        </w:tabs>
        <w:spacing w:line="240" w:lineRule="auto"/>
        <w:ind w:left="0"/>
        <w:rPr>
          <w:lang w:val="en-CA"/>
        </w:rPr>
      </w:pPr>
      <w:r w:rsidRPr="004E1DE3">
        <w:rPr>
          <w:lang w:val="en-CA"/>
        </w:rPr>
        <w:t xml:space="preserve">The </w:t>
      </w:r>
      <w:r w:rsidR="00356BBE" w:rsidRPr="004E1DE3">
        <w:rPr>
          <w:lang w:val="en-CA"/>
        </w:rPr>
        <w:t>plaintiffs’</w:t>
      </w:r>
      <w:r w:rsidRPr="004E1DE3">
        <w:rPr>
          <w:lang w:val="en-CA"/>
        </w:rPr>
        <w:t xml:space="preserve"> alle</w:t>
      </w:r>
      <w:r w:rsidR="00044F9B" w:rsidRPr="004E1DE3">
        <w:rPr>
          <w:lang w:val="en-CA"/>
        </w:rPr>
        <w:t xml:space="preserve">gations </w:t>
      </w:r>
      <w:r w:rsidRPr="004E1DE3">
        <w:rPr>
          <w:lang w:val="en-CA"/>
        </w:rPr>
        <w:t xml:space="preserve">rely on the </w:t>
      </w:r>
      <w:r w:rsidR="00044F9B" w:rsidRPr="004E1DE3">
        <w:rPr>
          <w:lang w:val="en-CA"/>
        </w:rPr>
        <w:t xml:space="preserve">prohibition </w:t>
      </w:r>
      <w:r w:rsidRPr="004E1DE3">
        <w:rPr>
          <w:lang w:val="en-CA"/>
        </w:rPr>
        <w:t xml:space="preserve">against </w:t>
      </w:r>
      <w:r w:rsidR="00044F9B" w:rsidRPr="004E1DE3">
        <w:rPr>
          <w:lang w:val="en-CA"/>
        </w:rPr>
        <w:t>prohibited</w:t>
      </w:r>
      <w:r w:rsidRPr="004E1DE3">
        <w:rPr>
          <w:lang w:val="en-CA"/>
        </w:rPr>
        <w:t xml:space="preserve"> </w:t>
      </w:r>
      <w:r w:rsidR="00044F9B" w:rsidRPr="004E1DE3">
        <w:rPr>
          <w:lang w:val="en-CA"/>
        </w:rPr>
        <w:t>practices</w:t>
      </w:r>
      <w:r w:rsidRPr="004E1DE3">
        <w:rPr>
          <w:lang w:val="en-CA"/>
        </w:rPr>
        <w:t xml:space="preserve"> under the </w:t>
      </w:r>
      <w:r w:rsidRPr="004E1DE3">
        <w:rPr>
          <w:i/>
          <w:iCs/>
          <w:lang w:val="en-CA"/>
        </w:rPr>
        <w:t>CPA</w:t>
      </w:r>
      <w:r w:rsidRPr="004E1DE3">
        <w:rPr>
          <w:lang w:val="en-CA"/>
        </w:rPr>
        <w:t xml:space="preserve">, which can result in the </w:t>
      </w:r>
      <w:r w:rsidR="00044F9B" w:rsidRPr="004E1DE3">
        <w:rPr>
          <w:lang w:val="en-CA"/>
        </w:rPr>
        <w:t>obligation</w:t>
      </w:r>
      <w:r w:rsidRPr="004E1DE3">
        <w:rPr>
          <w:lang w:val="en-CA"/>
        </w:rPr>
        <w:t xml:space="preserve"> to </w:t>
      </w:r>
      <w:r w:rsidR="00044F9B" w:rsidRPr="004E1DE3">
        <w:rPr>
          <w:lang w:val="en-CA"/>
        </w:rPr>
        <w:t>pay</w:t>
      </w:r>
      <w:r w:rsidRPr="004E1DE3">
        <w:rPr>
          <w:lang w:val="en-CA"/>
        </w:rPr>
        <w:t xml:space="preserve"> </w:t>
      </w:r>
      <w:r w:rsidR="00044F9B" w:rsidRPr="004E1DE3">
        <w:rPr>
          <w:lang w:val="en-CA"/>
        </w:rPr>
        <w:t>punitive</w:t>
      </w:r>
      <w:r w:rsidRPr="004E1DE3">
        <w:rPr>
          <w:lang w:val="en-CA"/>
        </w:rPr>
        <w:t xml:space="preserve"> </w:t>
      </w:r>
      <w:r w:rsidR="00044F9B" w:rsidRPr="004E1DE3">
        <w:rPr>
          <w:lang w:val="en-CA"/>
        </w:rPr>
        <w:t>damages</w:t>
      </w:r>
      <w:r w:rsidRPr="004E1DE3">
        <w:rPr>
          <w:lang w:val="en-CA"/>
        </w:rPr>
        <w:t xml:space="preserve"> under </w:t>
      </w:r>
      <w:r w:rsidR="00044F9B" w:rsidRPr="004E1DE3">
        <w:rPr>
          <w:lang w:val="en-CA"/>
        </w:rPr>
        <w:t xml:space="preserve">section 272 </w:t>
      </w:r>
      <w:r w:rsidRPr="004E1DE3">
        <w:rPr>
          <w:lang w:val="en-CA"/>
        </w:rPr>
        <w:t xml:space="preserve">of the </w:t>
      </w:r>
      <w:r w:rsidRPr="004E1DE3">
        <w:rPr>
          <w:i/>
          <w:iCs/>
          <w:lang w:val="en-CA"/>
        </w:rPr>
        <w:t>Act</w:t>
      </w:r>
      <w:r w:rsidR="00044F9B" w:rsidRPr="004E1DE3">
        <w:rPr>
          <w:lang w:val="en-CA"/>
        </w:rPr>
        <w:t>.</w:t>
      </w:r>
    </w:p>
    <w:p w14:paraId="440481B2" w14:textId="77777777" w:rsidR="00E85BC7" w:rsidRPr="004E1DE3" w:rsidRDefault="00573CA9" w:rsidP="00E85BC7">
      <w:pPr>
        <w:pStyle w:val="Paragrdouble"/>
        <w:tabs>
          <w:tab w:val="num" w:pos="851"/>
        </w:tabs>
        <w:spacing w:line="240" w:lineRule="auto"/>
        <w:ind w:left="0"/>
        <w:rPr>
          <w:lang w:val="en-CA"/>
        </w:rPr>
      </w:pPr>
      <w:r w:rsidRPr="004E1DE3">
        <w:rPr>
          <w:lang w:val="en-CA"/>
        </w:rPr>
        <w:lastRenderedPageBreak/>
        <w:t>F</w:t>
      </w:r>
      <w:r w:rsidR="00940EDA" w:rsidRPr="004E1DE3">
        <w:rPr>
          <w:lang w:val="en-CA"/>
        </w:rPr>
        <w:t xml:space="preserve">irst, </w:t>
      </w:r>
      <w:r w:rsidRPr="004E1DE3">
        <w:rPr>
          <w:lang w:val="en-CA"/>
        </w:rPr>
        <w:t>and the Court considers this determinative, there is no allegation suggesting that a consumer contract</w:t>
      </w:r>
      <w:r w:rsidR="00B5124E" w:rsidRPr="004E1DE3">
        <w:rPr>
          <w:lang w:val="en-CA"/>
        </w:rPr>
        <w:t xml:space="preserve">, a contract of sale, of lease of goods, or of service </w:t>
      </w:r>
      <w:r w:rsidRPr="004E1DE3">
        <w:rPr>
          <w:lang w:val="en-CA"/>
        </w:rPr>
        <w:t xml:space="preserve">may have been entered into </w:t>
      </w:r>
      <w:r w:rsidR="00B5124E" w:rsidRPr="004E1DE3">
        <w:rPr>
          <w:lang w:val="en-CA"/>
        </w:rPr>
        <w:t xml:space="preserve">by the plaintiffs and the </w:t>
      </w:r>
      <w:r w:rsidR="00D91343">
        <w:rPr>
          <w:lang w:val="en-CA"/>
        </w:rPr>
        <w:t xml:space="preserve">class </w:t>
      </w:r>
      <w:r w:rsidR="00B5124E" w:rsidRPr="004E1DE3">
        <w:rPr>
          <w:lang w:val="en-CA"/>
        </w:rPr>
        <w:t xml:space="preserve">members on the one hand, and </w:t>
      </w:r>
      <w:r w:rsidR="00940EDA" w:rsidRPr="004E1DE3">
        <w:rPr>
          <w:lang w:val="en-CA"/>
        </w:rPr>
        <w:t xml:space="preserve">Amazon </w:t>
      </w:r>
      <w:r w:rsidR="00B5124E" w:rsidRPr="004E1DE3">
        <w:rPr>
          <w:lang w:val="en-CA"/>
        </w:rPr>
        <w:t>on the other</w:t>
      </w:r>
      <w:r w:rsidR="00940EDA" w:rsidRPr="004E1DE3">
        <w:rPr>
          <w:lang w:val="en-CA"/>
        </w:rPr>
        <w:t>.</w:t>
      </w:r>
    </w:p>
    <w:p w14:paraId="7BF066B9" w14:textId="77777777" w:rsidR="00E85BC7" w:rsidRPr="004E1DE3" w:rsidRDefault="00573CA9" w:rsidP="00E85BC7">
      <w:pPr>
        <w:pStyle w:val="Paragrdouble"/>
        <w:tabs>
          <w:tab w:val="num" w:pos="851"/>
        </w:tabs>
        <w:spacing w:line="240" w:lineRule="auto"/>
        <w:ind w:left="0"/>
        <w:rPr>
          <w:szCs w:val="24"/>
          <w:lang w:val="en-CA"/>
        </w:rPr>
      </w:pPr>
      <w:r w:rsidRPr="004E1DE3">
        <w:rPr>
          <w:lang w:val="en-CA"/>
        </w:rPr>
        <w:t xml:space="preserve">It </w:t>
      </w:r>
      <w:r w:rsidR="00F3632F">
        <w:rPr>
          <w:lang w:val="en-CA"/>
        </w:rPr>
        <w:t>could</w:t>
      </w:r>
      <w:r w:rsidRPr="004E1DE3">
        <w:rPr>
          <w:lang w:val="en-CA"/>
        </w:rPr>
        <w:t xml:space="preserve"> </w:t>
      </w:r>
      <w:r w:rsidR="00940EDA" w:rsidRPr="004E1DE3">
        <w:rPr>
          <w:lang w:val="en-CA"/>
        </w:rPr>
        <w:t>ultim</w:t>
      </w:r>
      <w:r w:rsidRPr="004E1DE3">
        <w:rPr>
          <w:lang w:val="en-CA"/>
        </w:rPr>
        <w:t xml:space="preserve">ately have been argued by the plaintiffs that </w:t>
      </w:r>
      <w:r w:rsidR="00940EDA" w:rsidRPr="004E1DE3">
        <w:rPr>
          <w:lang w:val="en-CA"/>
        </w:rPr>
        <w:t>Amazon</w:t>
      </w:r>
      <w:r w:rsidRPr="004E1DE3">
        <w:rPr>
          <w:lang w:val="en-CA"/>
        </w:rPr>
        <w:t xml:space="preserve"> may have incurred liability solely </w:t>
      </w:r>
      <w:r w:rsidR="001333B3" w:rsidRPr="004E1DE3">
        <w:rPr>
          <w:lang w:val="en-CA"/>
        </w:rPr>
        <w:t xml:space="preserve">on the basis of </w:t>
      </w:r>
      <w:r w:rsidRPr="004E1DE3">
        <w:rPr>
          <w:lang w:val="en-CA"/>
        </w:rPr>
        <w:t xml:space="preserve">a </w:t>
      </w:r>
      <w:r w:rsidR="00940EDA" w:rsidRPr="004E1DE3">
        <w:rPr>
          <w:lang w:val="en-CA"/>
        </w:rPr>
        <w:t>prohibited</w:t>
      </w:r>
      <w:r w:rsidRPr="004E1DE3">
        <w:rPr>
          <w:lang w:val="en-CA"/>
        </w:rPr>
        <w:t xml:space="preserve"> </w:t>
      </w:r>
      <w:r w:rsidR="00940EDA" w:rsidRPr="004E1DE3">
        <w:rPr>
          <w:lang w:val="en-CA"/>
        </w:rPr>
        <w:t>practice</w:t>
      </w:r>
      <w:r w:rsidR="001333B3" w:rsidRPr="004E1DE3">
        <w:rPr>
          <w:lang w:val="en-CA"/>
        </w:rPr>
        <w:t xml:space="preserve"> it committed, because in such case, the </w:t>
      </w:r>
      <w:r w:rsidR="00940EDA" w:rsidRPr="004E1DE3">
        <w:rPr>
          <w:lang w:val="en-CA"/>
        </w:rPr>
        <w:t>d</w:t>
      </w:r>
      <w:r w:rsidR="001333B3" w:rsidRPr="004E1DE3">
        <w:rPr>
          <w:lang w:val="en-CA"/>
        </w:rPr>
        <w:t>e</w:t>
      </w:r>
      <w:r w:rsidR="00940EDA" w:rsidRPr="004E1DE3">
        <w:rPr>
          <w:lang w:val="en-CA"/>
        </w:rPr>
        <w:t xml:space="preserve">monstration </w:t>
      </w:r>
      <w:r w:rsidR="001333B3" w:rsidRPr="004E1DE3">
        <w:rPr>
          <w:lang w:val="en-CA"/>
        </w:rPr>
        <w:t xml:space="preserve">of a </w:t>
      </w:r>
      <w:r w:rsidR="00940EDA" w:rsidRPr="004E1DE3">
        <w:rPr>
          <w:lang w:val="en-CA"/>
        </w:rPr>
        <w:t>prohibited</w:t>
      </w:r>
      <w:r w:rsidR="001333B3" w:rsidRPr="004E1DE3">
        <w:rPr>
          <w:lang w:val="en-CA"/>
        </w:rPr>
        <w:t xml:space="preserve"> </w:t>
      </w:r>
      <w:r w:rsidR="00940EDA" w:rsidRPr="004E1DE3">
        <w:rPr>
          <w:lang w:val="en-CA"/>
        </w:rPr>
        <w:t>practice</w:t>
      </w:r>
      <w:r w:rsidR="001333B3" w:rsidRPr="004E1DE3">
        <w:rPr>
          <w:lang w:val="en-CA"/>
        </w:rPr>
        <w:t xml:space="preserve"> is not </w:t>
      </w:r>
      <w:r w:rsidR="00EF170F" w:rsidRPr="004E1DE3">
        <w:rPr>
          <w:lang w:val="en-CA"/>
        </w:rPr>
        <w:t>sub</w:t>
      </w:r>
      <w:r w:rsidR="00943B1C" w:rsidRPr="004E1DE3">
        <w:rPr>
          <w:lang w:val="en-CA"/>
        </w:rPr>
        <w:t xml:space="preserve">ordinate to </w:t>
      </w:r>
      <w:r w:rsidR="001333B3" w:rsidRPr="004E1DE3">
        <w:rPr>
          <w:lang w:val="en-CA"/>
        </w:rPr>
        <w:t xml:space="preserve">the </w:t>
      </w:r>
      <w:r w:rsidR="00943B1C" w:rsidRPr="004E1DE3">
        <w:rPr>
          <w:lang w:val="en-CA"/>
        </w:rPr>
        <w:t>making of</w:t>
      </w:r>
      <w:r w:rsidR="001333B3" w:rsidRPr="004E1DE3">
        <w:rPr>
          <w:rFonts w:cs="Arial"/>
          <w:szCs w:val="24"/>
          <w:shd w:val="clear" w:color="auto" w:fill="FFFFFF"/>
          <w:lang w:val="en-CA"/>
        </w:rPr>
        <w:t xml:space="preserve"> a</w:t>
      </w:r>
      <w:r w:rsidR="00940EDA" w:rsidRPr="004E1DE3">
        <w:rPr>
          <w:rFonts w:cs="Arial"/>
          <w:szCs w:val="24"/>
          <w:shd w:val="clear" w:color="auto" w:fill="FFFFFF"/>
          <w:lang w:val="en-CA"/>
        </w:rPr>
        <w:t xml:space="preserve"> contra</w:t>
      </w:r>
      <w:r w:rsidR="001333B3" w:rsidRPr="004E1DE3">
        <w:rPr>
          <w:rFonts w:cs="Arial"/>
          <w:szCs w:val="24"/>
          <w:shd w:val="clear" w:color="auto" w:fill="FFFFFF"/>
          <w:lang w:val="en-CA"/>
        </w:rPr>
        <w:t>c</w:t>
      </w:r>
      <w:r w:rsidR="00940EDA" w:rsidRPr="004E1DE3">
        <w:rPr>
          <w:rFonts w:cs="Arial"/>
          <w:szCs w:val="24"/>
          <w:shd w:val="clear" w:color="auto" w:fill="FFFFFF"/>
          <w:lang w:val="en-CA"/>
        </w:rPr>
        <w:t>t</w:t>
      </w:r>
      <w:r w:rsidR="001333B3" w:rsidRPr="004E1DE3">
        <w:rPr>
          <w:rFonts w:cs="Arial"/>
          <w:szCs w:val="24"/>
          <w:shd w:val="clear" w:color="auto" w:fill="FFFFFF"/>
          <w:lang w:val="en-CA"/>
        </w:rPr>
        <w:t>.</w:t>
      </w:r>
      <w:r>
        <w:rPr>
          <w:rStyle w:val="Appelnotedebasdep"/>
          <w:rFonts w:cs="Arial"/>
          <w:szCs w:val="24"/>
          <w:shd w:val="clear" w:color="auto" w:fill="FFFFFF"/>
          <w:lang w:val="en-CA"/>
        </w:rPr>
        <w:footnoteReference w:id="63"/>
      </w:r>
    </w:p>
    <w:p w14:paraId="50A1B7F9" w14:textId="77777777" w:rsidR="00E85BC7" w:rsidRPr="004E1DE3" w:rsidRDefault="00573CA9" w:rsidP="00E85BC7">
      <w:pPr>
        <w:pStyle w:val="Paragrdouble"/>
        <w:tabs>
          <w:tab w:val="num" w:pos="851"/>
        </w:tabs>
        <w:spacing w:line="240" w:lineRule="auto"/>
        <w:ind w:left="0"/>
        <w:rPr>
          <w:szCs w:val="24"/>
          <w:lang w:val="en-CA"/>
        </w:rPr>
      </w:pPr>
      <w:r>
        <w:rPr>
          <w:rFonts w:cs="Arial"/>
          <w:szCs w:val="24"/>
          <w:shd w:val="clear" w:color="auto" w:fill="FFFFFF"/>
          <w:lang w:val="en-CA"/>
        </w:rPr>
        <w:t>But t</w:t>
      </w:r>
      <w:r w:rsidR="00943B1C" w:rsidRPr="004E1DE3">
        <w:rPr>
          <w:rFonts w:cs="Arial"/>
          <w:szCs w:val="24"/>
          <w:shd w:val="clear" w:color="auto" w:fill="FFFFFF"/>
          <w:lang w:val="en-CA"/>
        </w:rPr>
        <w:t>he practice</w:t>
      </w:r>
      <w:r>
        <w:rPr>
          <w:rFonts w:cs="Arial"/>
          <w:szCs w:val="24"/>
          <w:shd w:val="clear" w:color="auto" w:fill="FFFFFF"/>
          <w:lang w:val="en-CA"/>
        </w:rPr>
        <w:t xml:space="preserve"> that</w:t>
      </w:r>
      <w:r w:rsidR="00D855C0" w:rsidRPr="004E1DE3">
        <w:rPr>
          <w:rFonts w:cs="Arial"/>
          <w:szCs w:val="24"/>
          <w:shd w:val="clear" w:color="auto" w:fill="FFFFFF"/>
          <w:lang w:val="en-CA"/>
        </w:rPr>
        <w:t xml:space="preserve"> is prohibited by the </w:t>
      </w:r>
      <w:r w:rsidR="00D855C0" w:rsidRPr="004E1DE3">
        <w:rPr>
          <w:rFonts w:cs="Arial"/>
          <w:i/>
          <w:iCs/>
          <w:szCs w:val="24"/>
          <w:shd w:val="clear" w:color="auto" w:fill="FFFFFF"/>
          <w:lang w:val="en-CA"/>
        </w:rPr>
        <w:t xml:space="preserve">CPA </w:t>
      </w:r>
      <w:r w:rsidR="00940EDA" w:rsidRPr="004E1DE3">
        <w:rPr>
          <w:rFonts w:cs="Arial"/>
          <w:szCs w:val="24"/>
          <w:shd w:val="clear" w:color="auto" w:fill="FFFFFF"/>
          <w:lang w:val="en-CA"/>
        </w:rPr>
        <w:t>consist</w:t>
      </w:r>
      <w:r w:rsidR="00D855C0" w:rsidRPr="004E1DE3">
        <w:rPr>
          <w:rFonts w:cs="Arial"/>
          <w:szCs w:val="24"/>
          <w:shd w:val="clear" w:color="auto" w:fill="FFFFFF"/>
          <w:lang w:val="en-CA"/>
        </w:rPr>
        <w:t xml:space="preserve">s of a </w:t>
      </w:r>
      <w:r w:rsidR="00940EDA" w:rsidRPr="004E1DE3">
        <w:rPr>
          <w:rFonts w:cs="Arial"/>
          <w:szCs w:val="24"/>
          <w:shd w:val="clear" w:color="auto" w:fill="FFFFFF"/>
          <w:lang w:val="en-CA"/>
        </w:rPr>
        <w:t>merchant</w:t>
      </w:r>
      <w:r w:rsidR="00D855C0" w:rsidRPr="004E1DE3">
        <w:rPr>
          <w:rFonts w:cs="Arial"/>
          <w:szCs w:val="24"/>
          <w:shd w:val="clear" w:color="auto" w:fill="FFFFFF"/>
          <w:lang w:val="en-CA"/>
        </w:rPr>
        <w:t xml:space="preserve"> making </w:t>
      </w:r>
      <w:r w:rsidR="00940EDA" w:rsidRPr="004E1DE3">
        <w:rPr>
          <w:rFonts w:cs="Arial"/>
          <w:szCs w:val="24"/>
          <w:shd w:val="clear" w:color="auto" w:fill="FFFFFF"/>
          <w:lang w:val="en-CA"/>
        </w:rPr>
        <w:t>false</w:t>
      </w:r>
      <w:r w:rsidR="00D855C0" w:rsidRPr="004E1DE3">
        <w:rPr>
          <w:rFonts w:cs="Arial"/>
          <w:szCs w:val="24"/>
          <w:shd w:val="clear" w:color="auto" w:fill="FFFFFF"/>
          <w:lang w:val="en-CA"/>
        </w:rPr>
        <w:t xml:space="preserve"> </w:t>
      </w:r>
      <w:r w:rsidR="00940EDA" w:rsidRPr="004E1DE3">
        <w:rPr>
          <w:rFonts w:cs="Arial"/>
          <w:szCs w:val="24"/>
          <w:shd w:val="clear" w:color="auto" w:fill="FFFFFF"/>
          <w:lang w:val="en-CA"/>
        </w:rPr>
        <w:t>or</w:t>
      </w:r>
      <w:r w:rsidR="00D855C0" w:rsidRPr="004E1DE3">
        <w:rPr>
          <w:rFonts w:cs="Arial"/>
          <w:szCs w:val="24"/>
          <w:shd w:val="clear" w:color="auto" w:fill="FFFFFF"/>
          <w:lang w:val="en-CA"/>
        </w:rPr>
        <w:t xml:space="preserve"> </w:t>
      </w:r>
      <w:r w:rsidR="00940EDA" w:rsidRPr="004E1DE3">
        <w:rPr>
          <w:rFonts w:cs="Arial"/>
          <w:szCs w:val="24"/>
          <w:shd w:val="clear" w:color="auto" w:fill="FFFFFF"/>
          <w:lang w:val="en-CA"/>
        </w:rPr>
        <w:t>misleading</w:t>
      </w:r>
      <w:r w:rsidR="00D855C0" w:rsidRPr="004E1DE3">
        <w:rPr>
          <w:rFonts w:cs="Arial"/>
          <w:szCs w:val="24"/>
          <w:shd w:val="clear" w:color="auto" w:fill="FFFFFF"/>
          <w:lang w:val="en-CA"/>
        </w:rPr>
        <w:t xml:space="preserve"> </w:t>
      </w:r>
      <w:r w:rsidR="00940EDA" w:rsidRPr="004E1DE3">
        <w:rPr>
          <w:rFonts w:cs="Arial"/>
          <w:szCs w:val="24"/>
          <w:shd w:val="clear" w:color="auto" w:fill="FFFFFF"/>
          <w:lang w:val="en-CA"/>
        </w:rPr>
        <w:t>representation</w:t>
      </w:r>
      <w:r w:rsidR="00D855C0" w:rsidRPr="004E1DE3">
        <w:rPr>
          <w:rFonts w:cs="Arial"/>
          <w:szCs w:val="24"/>
          <w:shd w:val="clear" w:color="auto" w:fill="FFFFFF"/>
          <w:lang w:val="en-CA"/>
        </w:rPr>
        <w:t xml:space="preserve">s to a consumer for the purpose of entering into a consumer contract with the consumer, which cannot be the case for </w:t>
      </w:r>
      <w:r w:rsidR="00940EDA" w:rsidRPr="004E1DE3">
        <w:rPr>
          <w:rFonts w:cs="Arial"/>
          <w:szCs w:val="24"/>
          <w:shd w:val="clear" w:color="auto" w:fill="FFFFFF"/>
          <w:lang w:val="en-CA"/>
        </w:rPr>
        <w:t>Amazon</w:t>
      </w:r>
      <w:r w:rsidR="00D855C0" w:rsidRPr="004E1DE3">
        <w:rPr>
          <w:rFonts w:cs="Arial"/>
          <w:szCs w:val="24"/>
          <w:shd w:val="clear" w:color="auto" w:fill="FFFFFF"/>
          <w:lang w:val="en-CA"/>
        </w:rPr>
        <w:t xml:space="preserve">, whose </w:t>
      </w:r>
      <w:r w:rsidR="00940EDA" w:rsidRPr="004E1DE3">
        <w:rPr>
          <w:rFonts w:cs="Arial"/>
          <w:szCs w:val="24"/>
          <w:shd w:val="clear" w:color="auto" w:fill="FFFFFF"/>
          <w:lang w:val="en-CA"/>
        </w:rPr>
        <w:t xml:space="preserve">services </w:t>
      </w:r>
      <w:r w:rsidR="00D855C0" w:rsidRPr="004E1DE3">
        <w:rPr>
          <w:rFonts w:cs="Arial"/>
          <w:szCs w:val="24"/>
          <w:shd w:val="clear" w:color="auto" w:fill="FFFFFF"/>
          <w:lang w:val="en-CA"/>
        </w:rPr>
        <w:t xml:space="preserve">are intended solely for </w:t>
      </w:r>
      <w:r w:rsidR="00940EDA" w:rsidRPr="004E1DE3">
        <w:rPr>
          <w:rFonts w:cs="Arial"/>
          <w:szCs w:val="24"/>
          <w:shd w:val="clear" w:color="auto" w:fill="FFFFFF"/>
          <w:lang w:val="en-CA"/>
        </w:rPr>
        <w:t xml:space="preserve">Capital One, </w:t>
      </w:r>
      <w:r w:rsidR="00D855C0" w:rsidRPr="004E1DE3">
        <w:rPr>
          <w:rFonts w:cs="Arial"/>
          <w:szCs w:val="24"/>
          <w:shd w:val="clear" w:color="auto" w:fill="FFFFFF"/>
          <w:lang w:val="en-CA"/>
        </w:rPr>
        <w:t xml:space="preserve">even if they were ultimately for the benefit </w:t>
      </w:r>
      <w:r w:rsidR="00CB2DD3" w:rsidRPr="004E1DE3">
        <w:rPr>
          <w:rFonts w:cs="Arial"/>
          <w:szCs w:val="24"/>
          <w:shd w:val="clear" w:color="auto" w:fill="FFFFFF"/>
          <w:lang w:val="en-CA"/>
        </w:rPr>
        <w:t>of Capital One’s clients</w:t>
      </w:r>
      <w:r w:rsidR="00940EDA" w:rsidRPr="004E1DE3">
        <w:rPr>
          <w:rFonts w:cs="Arial"/>
          <w:szCs w:val="24"/>
          <w:shd w:val="clear" w:color="auto" w:fill="FFFFFF"/>
          <w:lang w:val="en-CA"/>
        </w:rPr>
        <w:t>.</w:t>
      </w:r>
    </w:p>
    <w:p w14:paraId="671BB388" w14:textId="77777777" w:rsidR="00E85BC7" w:rsidRPr="004E1DE3" w:rsidRDefault="00573CA9" w:rsidP="00E85BC7">
      <w:pPr>
        <w:pStyle w:val="Paragrdouble"/>
        <w:tabs>
          <w:tab w:val="num" w:pos="851"/>
        </w:tabs>
        <w:spacing w:line="240" w:lineRule="auto"/>
        <w:ind w:left="0"/>
        <w:rPr>
          <w:i/>
          <w:iCs/>
          <w:lang w:val="en-CA"/>
        </w:rPr>
      </w:pPr>
      <w:r w:rsidRPr="004E1DE3">
        <w:rPr>
          <w:lang w:val="en-CA"/>
        </w:rPr>
        <w:t>Therefore, in the Court’s view, it cannot validly be argue</w:t>
      </w:r>
      <w:r w:rsidR="004A428B">
        <w:rPr>
          <w:lang w:val="en-CA"/>
        </w:rPr>
        <w:t>d</w:t>
      </w:r>
      <w:r w:rsidRPr="004E1DE3">
        <w:rPr>
          <w:lang w:val="en-CA"/>
        </w:rPr>
        <w:t>, even at the screening stage of the A</w:t>
      </w:r>
      <w:r w:rsidR="00940EDA" w:rsidRPr="004E1DE3">
        <w:rPr>
          <w:lang w:val="en-CA"/>
        </w:rPr>
        <w:t>pplication,</w:t>
      </w:r>
      <w:r w:rsidRPr="004E1DE3">
        <w:rPr>
          <w:lang w:val="en-CA"/>
        </w:rPr>
        <w:t xml:space="preserve"> that </w:t>
      </w:r>
      <w:r w:rsidR="00940EDA" w:rsidRPr="004E1DE3">
        <w:rPr>
          <w:lang w:val="en-CA"/>
        </w:rPr>
        <w:t xml:space="preserve">Amazon </w:t>
      </w:r>
      <w:r w:rsidRPr="004E1DE3">
        <w:rPr>
          <w:lang w:val="en-CA"/>
        </w:rPr>
        <w:t xml:space="preserve">may have incurred its liability for </w:t>
      </w:r>
      <w:r w:rsidR="00940EDA" w:rsidRPr="004E1DE3">
        <w:rPr>
          <w:lang w:val="en-CA"/>
        </w:rPr>
        <w:t>false</w:t>
      </w:r>
      <w:r w:rsidRPr="004E1DE3">
        <w:rPr>
          <w:lang w:val="en-CA"/>
        </w:rPr>
        <w:t xml:space="preserve"> </w:t>
      </w:r>
      <w:r w:rsidR="00940EDA" w:rsidRPr="004E1DE3">
        <w:rPr>
          <w:lang w:val="en-CA"/>
        </w:rPr>
        <w:t>or</w:t>
      </w:r>
      <w:r w:rsidRPr="004E1DE3">
        <w:rPr>
          <w:lang w:val="en-CA"/>
        </w:rPr>
        <w:t xml:space="preserve"> </w:t>
      </w:r>
      <w:r w:rsidR="00940EDA" w:rsidRPr="004E1DE3">
        <w:rPr>
          <w:lang w:val="en-CA"/>
        </w:rPr>
        <w:t>misleading</w:t>
      </w:r>
      <w:r w:rsidRPr="004E1DE3">
        <w:rPr>
          <w:lang w:val="en-CA"/>
        </w:rPr>
        <w:t xml:space="preserve"> </w:t>
      </w:r>
      <w:r w:rsidR="00940EDA" w:rsidRPr="004E1DE3">
        <w:rPr>
          <w:lang w:val="en-CA"/>
        </w:rPr>
        <w:t>representation</w:t>
      </w:r>
      <w:r w:rsidRPr="004E1DE3">
        <w:rPr>
          <w:lang w:val="en-CA"/>
        </w:rPr>
        <w:t>s</w:t>
      </w:r>
      <w:r w:rsidR="00940EDA" w:rsidRPr="004E1DE3">
        <w:rPr>
          <w:lang w:val="en-CA"/>
        </w:rPr>
        <w:t>,</w:t>
      </w:r>
      <w:r w:rsidRPr="004E1DE3">
        <w:rPr>
          <w:lang w:val="en-CA"/>
        </w:rPr>
        <w:t xml:space="preserve"> as defined in the </w:t>
      </w:r>
      <w:r w:rsidRPr="004E1DE3">
        <w:rPr>
          <w:i/>
          <w:iCs/>
          <w:lang w:val="en-CA"/>
        </w:rPr>
        <w:t>CPA</w:t>
      </w:r>
      <w:r w:rsidRPr="004E1DE3">
        <w:rPr>
          <w:lang w:val="en-CA"/>
        </w:rPr>
        <w:t xml:space="preserve">, towards the plaintiffs or putative </w:t>
      </w:r>
      <w:r w:rsidR="00626E0C">
        <w:rPr>
          <w:lang w:val="en-CA"/>
        </w:rPr>
        <w:t xml:space="preserve">class </w:t>
      </w:r>
      <w:r w:rsidRPr="004E1DE3">
        <w:rPr>
          <w:lang w:val="en-CA"/>
        </w:rPr>
        <w:t>members, because nothing shows or suggest</w:t>
      </w:r>
      <w:r w:rsidR="00B12A84">
        <w:rPr>
          <w:lang w:val="en-CA"/>
        </w:rPr>
        <w:t>s</w:t>
      </w:r>
      <w:r w:rsidRPr="004E1DE3">
        <w:rPr>
          <w:lang w:val="en-CA"/>
        </w:rPr>
        <w:t xml:space="preserve"> that it entered into a consumer contract with the members or</w:t>
      </w:r>
      <w:r w:rsidR="00FA11D2" w:rsidRPr="004E1DE3">
        <w:rPr>
          <w:lang w:val="en-CA"/>
        </w:rPr>
        <w:t xml:space="preserve"> attempted to incite them to do so by means of a </w:t>
      </w:r>
      <w:r w:rsidR="00940EDA" w:rsidRPr="004E1DE3">
        <w:rPr>
          <w:lang w:val="en-CA"/>
        </w:rPr>
        <w:t>prohibited</w:t>
      </w:r>
      <w:r w:rsidR="00FA11D2" w:rsidRPr="004E1DE3">
        <w:rPr>
          <w:lang w:val="en-CA"/>
        </w:rPr>
        <w:t xml:space="preserve"> </w:t>
      </w:r>
      <w:r w:rsidR="00940EDA" w:rsidRPr="004E1DE3">
        <w:rPr>
          <w:lang w:val="en-CA"/>
        </w:rPr>
        <w:t>practice.</w:t>
      </w:r>
    </w:p>
    <w:p w14:paraId="2CC34DB6" w14:textId="77777777" w:rsidR="00E85BC7" w:rsidRPr="004E1DE3" w:rsidRDefault="00573CA9" w:rsidP="00E85BC7">
      <w:pPr>
        <w:pStyle w:val="Paragrdouble"/>
        <w:tabs>
          <w:tab w:val="num" w:pos="851"/>
        </w:tabs>
        <w:spacing w:line="240" w:lineRule="auto"/>
        <w:ind w:left="0"/>
        <w:rPr>
          <w:i/>
          <w:iCs/>
          <w:lang w:val="en-CA"/>
        </w:rPr>
      </w:pPr>
      <w:r w:rsidRPr="004E1DE3">
        <w:rPr>
          <w:lang w:val="en-CA"/>
        </w:rPr>
        <w:t xml:space="preserve">Despite the plaintiffs’ references to Amazon’s website, it cannot be </w:t>
      </w:r>
      <w:r w:rsidR="00D22C74" w:rsidRPr="004E1DE3">
        <w:rPr>
          <w:lang w:val="en-CA"/>
        </w:rPr>
        <w:t>inferred from the allegation</w:t>
      </w:r>
      <w:r w:rsidR="00AD0117">
        <w:rPr>
          <w:lang w:val="en-CA"/>
        </w:rPr>
        <w:t>s</w:t>
      </w:r>
      <w:r w:rsidR="00D22C74" w:rsidRPr="004E1DE3">
        <w:rPr>
          <w:lang w:val="en-CA"/>
        </w:rPr>
        <w:t xml:space="preserve"> in their A</w:t>
      </w:r>
      <w:r w:rsidR="00940EDA" w:rsidRPr="004E1DE3">
        <w:rPr>
          <w:lang w:val="en-CA"/>
        </w:rPr>
        <w:t>pplication</w:t>
      </w:r>
      <w:r w:rsidR="00D22C74" w:rsidRPr="004E1DE3">
        <w:rPr>
          <w:lang w:val="en-CA"/>
        </w:rPr>
        <w:t xml:space="preserve"> that </w:t>
      </w:r>
      <w:r w:rsidR="00940EDA" w:rsidRPr="004E1DE3">
        <w:rPr>
          <w:lang w:val="en-CA"/>
        </w:rPr>
        <w:t xml:space="preserve">Amazon </w:t>
      </w:r>
      <w:r w:rsidR="00D22C74" w:rsidRPr="004E1DE3">
        <w:rPr>
          <w:lang w:val="en-CA"/>
        </w:rPr>
        <w:t xml:space="preserve">wanted or sought to enter into a consumer contract directly with the </w:t>
      </w:r>
      <w:r w:rsidR="00AD0117">
        <w:rPr>
          <w:lang w:val="en-CA"/>
        </w:rPr>
        <w:t xml:space="preserve">class </w:t>
      </w:r>
      <w:r w:rsidR="00940EDA" w:rsidRPr="004E1DE3">
        <w:rPr>
          <w:lang w:val="en-CA"/>
        </w:rPr>
        <w:t>memb</w:t>
      </w:r>
      <w:r w:rsidR="00D22C74" w:rsidRPr="004E1DE3">
        <w:rPr>
          <w:lang w:val="en-CA"/>
        </w:rPr>
        <w:t>e</w:t>
      </w:r>
      <w:r w:rsidR="00940EDA" w:rsidRPr="004E1DE3">
        <w:rPr>
          <w:lang w:val="en-CA"/>
        </w:rPr>
        <w:t xml:space="preserve">rs. </w:t>
      </w:r>
    </w:p>
    <w:p w14:paraId="5B8908C5" w14:textId="77777777" w:rsidR="00E85BC7" w:rsidRPr="004E1DE3" w:rsidRDefault="00573CA9" w:rsidP="00E85BC7">
      <w:pPr>
        <w:pStyle w:val="Paragrdouble"/>
        <w:tabs>
          <w:tab w:val="num" w:pos="851"/>
        </w:tabs>
        <w:spacing w:line="240" w:lineRule="auto"/>
        <w:ind w:left="0"/>
        <w:rPr>
          <w:lang w:val="en-CA"/>
        </w:rPr>
      </w:pPr>
      <w:r w:rsidRPr="004E1DE3">
        <w:rPr>
          <w:lang w:val="en-CA"/>
        </w:rPr>
        <w:t xml:space="preserve">Accordingly, nothing in the Application on its face supports the </w:t>
      </w:r>
      <w:r w:rsidR="00AD0117" w:rsidRPr="004E1DE3">
        <w:rPr>
          <w:lang w:val="en-CA"/>
        </w:rPr>
        <w:t>the</w:t>
      </w:r>
      <w:r w:rsidR="00AD0117">
        <w:rPr>
          <w:lang w:val="en-CA"/>
        </w:rPr>
        <w:t>ory</w:t>
      </w:r>
      <w:r w:rsidR="00AD0117" w:rsidRPr="004E1DE3">
        <w:rPr>
          <w:lang w:val="en-CA"/>
        </w:rPr>
        <w:t xml:space="preserve"> </w:t>
      </w:r>
      <w:r w:rsidRPr="004E1DE3">
        <w:rPr>
          <w:lang w:val="en-CA"/>
        </w:rPr>
        <w:t xml:space="preserve">that Amazon made </w:t>
      </w:r>
      <w:r w:rsidR="00940EDA" w:rsidRPr="004E1DE3">
        <w:rPr>
          <w:lang w:val="en-CA"/>
        </w:rPr>
        <w:t>false</w:t>
      </w:r>
      <w:r w:rsidRPr="004E1DE3">
        <w:rPr>
          <w:lang w:val="en-CA"/>
        </w:rPr>
        <w:t xml:space="preserve"> </w:t>
      </w:r>
      <w:r w:rsidR="00940EDA" w:rsidRPr="004E1DE3">
        <w:rPr>
          <w:lang w:val="en-CA"/>
        </w:rPr>
        <w:t>or</w:t>
      </w:r>
      <w:r w:rsidRPr="004E1DE3">
        <w:rPr>
          <w:lang w:val="en-CA"/>
        </w:rPr>
        <w:t xml:space="preserve"> </w:t>
      </w:r>
      <w:r w:rsidR="00940EDA" w:rsidRPr="004E1DE3">
        <w:rPr>
          <w:lang w:val="en-CA"/>
        </w:rPr>
        <w:t>misleading</w:t>
      </w:r>
      <w:r w:rsidRPr="004E1DE3">
        <w:rPr>
          <w:lang w:val="en-CA"/>
        </w:rPr>
        <w:t xml:space="preserve"> </w:t>
      </w:r>
      <w:r w:rsidR="00940EDA" w:rsidRPr="004E1DE3">
        <w:rPr>
          <w:lang w:val="en-CA"/>
        </w:rPr>
        <w:t>representation</w:t>
      </w:r>
      <w:r w:rsidRPr="004E1DE3">
        <w:rPr>
          <w:lang w:val="en-CA"/>
        </w:rPr>
        <w:t xml:space="preserve">s to the plaintiffs or the putative </w:t>
      </w:r>
      <w:r w:rsidR="00D91343">
        <w:rPr>
          <w:lang w:val="en-CA"/>
        </w:rPr>
        <w:t xml:space="preserve">class </w:t>
      </w:r>
      <w:r w:rsidRPr="004E1DE3">
        <w:rPr>
          <w:lang w:val="en-CA"/>
        </w:rPr>
        <w:t xml:space="preserve">members, or that the </w:t>
      </w:r>
      <w:r w:rsidRPr="004E1DE3">
        <w:rPr>
          <w:i/>
          <w:iCs/>
          <w:lang w:val="en-CA"/>
        </w:rPr>
        <w:t xml:space="preserve">CPA </w:t>
      </w:r>
      <w:r w:rsidRPr="004E1DE3">
        <w:rPr>
          <w:lang w:val="en-CA"/>
        </w:rPr>
        <w:t xml:space="preserve">applies to it, which must therefore be set aside in this case with respect to </w:t>
      </w:r>
      <w:r w:rsidR="00940EDA" w:rsidRPr="004E1DE3">
        <w:rPr>
          <w:lang w:val="en-CA"/>
        </w:rPr>
        <w:t>Amazon.</w:t>
      </w:r>
    </w:p>
    <w:p w14:paraId="33225C9C" w14:textId="77777777" w:rsidR="00E85BC7" w:rsidRPr="004E1DE3" w:rsidRDefault="00573CA9" w:rsidP="00E85BC7">
      <w:pPr>
        <w:pStyle w:val="Paragrdouble"/>
        <w:tabs>
          <w:tab w:val="num" w:pos="851"/>
        </w:tabs>
        <w:spacing w:line="240" w:lineRule="auto"/>
        <w:ind w:left="0"/>
        <w:rPr>
          <w:lang w:val="en-CA"/>
        </w:rPr>
      </w:pPr>
      <w:r w:rsidRPr="004E1DE3">
        <w:rPr>
          <w:lang w:val="en-CA"/>
        </w:rPr>
        <w:t>I</w:t>
      </w:r>
      <w:r w:rsidR="00940EDA" w:rsidRPr="004E1DE3">
        <w:rPr>
          <w:lang w:val="en-CA"/>
        </w:rPr>
        <w:t>n</w:t>
      </w:r>
      <w:r w:rsidRPr="004E1DE3">
        <w:rPr>
          <w:lang w:val="en-CA"/>
        </w:rPr>
        <w:t xml:space="preserve"> </w:t>
      </w:r>
      <w:r w:rsidR="00940EDA" w:rsidRPr="004E1DE3">
        <w:rPr>
          <w:lang w:val="en-CA"/>
        </w:rPr>
        <w:t>addition,</w:t>
      </w:r>
      <w:r w:rsidRPr="004E1DE3">
        <w:rPr>
          <w:lang w:val="en-CA"/>
        </w:rPr>
        <w:t xml:space="preserve"> as is also the case for </w:t>
      </w:r>
      <w:r w:rsidR="00940EDA" w:rsidRPr="004E1DE3">
        <w:rPr>
          <w:lang w:val="en-CA"/>
        </w:rPr>
        <w:t xml:space="preserve">Capital One, </w:t>
      </w:r>
      <w:r w:rsidRPr="004E1DE3">
        <w:rPr>
          <w:lang w:val="en-CA"/>
        </w:rPr>
        <w:t xml:space="preserve">the plaintiffs allege no specific facts establishing the false or misleading nature of a </w:t>
      </w:r>
      <w:r w:rsidR="00940EDA" w:rsidRPr="004E1DE3">
        <w:rPr>
          <w:lang w:val="en-CA"/>
        </w:rPr>
        <w:t>repr</w:t>
      </w:r>
      <w:r w:rsidRPr="004E1DE3">
        <w:rPr>
          <w:lang w:val="en-CA"/>
        </w:rPr>
        <w:t>e</w:t>
      </w:r>
      <w:r w:rsidR="00940EDA" w:rsidRPr="004E1DE3">
        <w:rPr>
          <w:lang w:val="en-CA"/>
        </w:rPr>
        <w:t xml:space="preserve">sentation </w:t>
      </w:r>
      <w:r w:rsidRPr="004E1DE3">
        <w:rPr>
          <w:lang w:val="en-CA"/>
        </w:rPr>
        <w:t xml:space="preserve">made by </w:t>
      </w:r>
      <w:r w:rsidR="00940EDA" w:rsidRPr="004E1DE3">
        <w:rPr>
          <w:lang w:val="en-CA"/>
        </w:rPr>
        <w:t xml:space="preserve">Amazon, </w:t>
      </w:r>
      <w:r w:rsidRPr="004E1DE3">
        <w:rPr>
          <w:lang w:val="en-CA"/>
        </w:rPr>
        <w:t xml:space="preserve">other than the occurrence of this </w:t>
      </w:r>
      <w:r w:rsidR="00940EDA" w:rsidRPr="004E1DE3">
        <w:rPr>
          <w:lang w:val="en-CA"/>
        </w:rPr>
        <w:t xml:space="preserve">intrusion </w:t>
      </w:r>
      <w:r w:rsidRPr="004E1DE3">
        <w:rPr>
          <w:lang w:val="en-CA"/>
        </w:rPr>
        <w:t xml:space="preserve">into its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hosting system</w:t>
      </w:r>
      <w:r w:rsidR="00940EDA" w:rsidRPr="004E1DE3">
        <w:rPr>
          <w:lang w:val="en-CA"/>
        </w:rPr>
        <w:t xml:space="preserve">, </w:t>
      </w:r>
      <w:r w:rsidR="00921B0B" w:rsidRPr="004E1DE3">
        <w:rPr>
          <w:lang w:val="en-CA"/>
        </w:rPr>
        <w:t xml:space="preserve">which may in itself </w:t>
      </w:r>
      <w:r w:rsidR="00940EDA" w:rsidRPr="004E1DE3">
        <w:rPr>
          <w:lang w:val="en-CA"/>
        </w:rPr>
        <w:t>constitu</w:t>
      </w:r>
      <w:r w:rsidR="00921B0B" w:rsidRPr="004E1DE3">
        <w:rPr>
          <w:lang w:val="en-CA"/>
        </w:rPr>
        <w:t>t</w:t>
      </w:r>
      <w:r w:rsidR="00940EDA" w:rsidRPr="004E1DE3">
        <w:rPr>
          <w:lang w:val="en-CA"/>
        </w:rPr>
        <w:t>e</w:t>
      </w:r>
      <w:r w:rsidR="00921B0B" w:rsidRPr="004E1DE3">
        <w:rPr>
          <w:lang w:val="en-CA"/>
        </w:rPr>
        <w:t xml:space="preserve"> an </w:t>
      </w:r>
      <w:r w:rsidR="00940EDA" w:rsidRPr="004E1DE3">
        <w:rPr>
          <w:lang w:val="en-CA"/>
        </w:rPr>
        <w:t>extracontractual</w:t>
      </w:r>
      <w:r w:rsidR="00921B0B" w:rsidRPr="004E1DE3">
        <w:rPr>
          <w:lang w:val="en-CA"/>
        </w:rPr>
        <w:t xml:space="preserve"> or statutory </w:t>
      </w:r>
      <w:r w:rsidR="00940EDA" w:rsidRPr="004E1DE3">
        <w:rPr>
          <w:lang w:val="en-CA"/>
        </w:rPr>
        <w:t>fault</w:t>
      </w:r>
      <w:r w:rsidR="00921B0B" w:rsidRPr="004E1DE3">
        <w:rPr>
          <w:lang w:val="en-CA"/>
        </w:rPr>
        <w:t>, as discussed above, but that in no way establishes that the representations Amazon made on the protection and security measures it implemented were false</w:t>
      </w:r>
      <w:r w:rsidR="00940EDA" w:rsidRPr="004E1DE3">
        <w:rPr>
          <w:lang w:val="en-CA"/>
        </w:rPr>
        <w:t xml:space="preserve">. </w:t>
      </w:r>
    </w:p>
    <w:p w14:paraId="4847ADDB" w14:textId="77777777" w:rsidR="00F6574A" w:rsidRPr="004E1DE3" w:rsidRDefault="00573CA9" w:rsidP="00BD01E0">
      <w:pPr>
        <w:pStyle w:val="Titre3"/>
        <w:rPr>
          <w:lang w:val="en-CA"/>
        </w:rPr>
      </w:pPr>
      <w:bookmarkStart w:id="26" w:name="_Toc256000012"/>
      <w:bookmarkStart w:id="27" w:name="_Toc148419875"/>
      <w:r w:rsidRPr="004E1DE3">
        <w:rPr>
          <w:lang w:val="en-CA"/>
        </w:rPr>
        <w:t>Pecuniary and non-pecuniary damages</w:t>
      </w:r>
      <w:bookmarkEnd w:id="26"/>
      <w:bookmarkEnd w:id="27"/>
    </w:p>
    <w:p w14:paraId="00E57498" w14:textId="77777777" w:rsidR="001047C3" w:rsidRPr="004E1DE3" w:rsidRDefault="00573CA9" w:rsidP="001047C3">
      <w:pPr>
        <w:pStyle w:val="Paragrdouble"/>
        <w:tabs>
          <w:tab w:val="num" w:pos="851"/>
        </w:tabs>
        <w:spacing w:line="240" w:lineRule="auto"/>
        <w:ind w:left="0"/>
        <w:rPr>
          <w:lang w:val="en-CA"/>
        </w:rPr>
      </w:pPr>
      <w:r w:rsidRPr="004E1DE3">
        <w:rPr>
          <w:lang w:val="en-CA"/>
        </w:rPr>
        <w:t>As for the damage</w:t>
      </w:r>
      <w:r w:rsidR="00D14871">
        <w:rPr>
          <w:lang w:val="en-CA"/>
        </w:rPr>
        <w:t>s</w:t>
      </w:r>
      <w:r w:rsidRPr="004E1DE3">
        <w:rPr>
          <w:lang w:val="en-CA"/>
        </w:rPr>
        <w:t xml:space="preserve"> of this nature that may be claimed, it should be recalled that a specific line of cases has developed in recent years with respect to the unauthorized access to </w:t>
      </w:r>
      <w:r w:rsidR="00F24107" w:rsidRPr="004E1DE3">
        <w:rPr>
          <w:lang w:val="en-CA"/>
        </w:rPr>
        <w:t>personal</w:t>
      </w:r>
      <w:r w:rsidRPr="004E1DE3">
        <w:rPr>
          <w:lang w:val="en-CA"/>
        </w:rPr>
        <w:t xml:space="preserve"> </w:t>
      </w:r>
      <w:r w:rsidR="00F24107" w:rsidRPr="004E1DE3">
        <w:rPr>
          <w:lang w:val="en-CA"/>
        </w:rPr>
        <w:t>information</w:t>
      </w:r>
      <w:r w:rsidRPr="004E1DE3">
        <w:rPr>
          <w:lang w:val="en-CA"/>
        </w:rPr>
        <w:t xml:space="preserve"> or the theft of personal information or </w:t>
      </w:r>
      <w:r w:rsidRPr="004E1DE3">
        <w:rPr>
          <w:lang w:val="en-CA"/>
        </w:rPr>
        <w:lastRenderedPageBreak/>
        <w:t xml:space="preserve">identity. This case law may be interpreted as rather </w:t>
      </w:r>
      <w:r w:rsidR="00F24107" w:rsidRPr="004E1DE3">
        <w:rPr>
          <w:lang w:val="en-CA"/>
        </w:rPr>
        <w:t xml:space="preserve">restrictive </w:t>
      </w:r>
      <w:r w:rsidRPr="004E1DE3">
        <w:rPr>
          <w:lang w:val="en-CA"/>
        </w:rPr>
        <w:t>regarding the possibility of claiming such damages</w:t>
      </w:r>
      <w:r w:rsidR="00F24107" w:rsidRPr="004E1DE3">
        <w:rPr>
          <w:lang w:val="en-CA"/>
        </w:rPr>
        <w:t>.</w:t>
      </w:r>
    </w:p>
    <w:p w14:paraId="7DB68A03" w14:textId="77777777" w:rsidR="001047C3" w:rsidRPr="004E1DE3" w:rsidRDefault="00573CA9" w:rsidP="001047C3">
      <w:pPr>
        <w:pStyle w:val="Paragrdouble"/>
        <w:tabs>
          <w:tab w:val="num" w:pos="851"/>
        </w:tabs>
        <w:spacing w:line="240" w:lineRule="auto"/>
        <w:ind w:left="0"/>
        <w:rPr>
          <w:lang w:val="en-CA"/>
        </w:rPr>
      </w:pPr>
      <w:r w:rsidRPr="004E1DE3">
        <w:rPr>
          <w:lang w:val="en-CA"/>
        </w:rPr>
        <w:t xml:space="preserve">The Court’s examination of this case law indicates that the facts alleged in the </w:t>
      </w:r>
      <w:r w:rsidR="00F24107" w:rsidRPr="004E1DE3">
        <w:rPr>
          <w:lang w:val="en-CA"/>
        </w:rPr>
        <w:t>application</w:t>
      </w:r>
      <w:r w:rsidRPr="004E1DE3">
        <w:rPr>
          <w:lang w:val="en-CA"/>
        </w:rPr>
        <w:t xml:space="preserve"> for </w:t>
      </w:r>
      <w:r w:rsidR="00F24107" w:rsidRPr="004E1DE3">
        <w:rPr>
          <w:lang w:val="en-CA"/>
        </w:rPr>
        <w:t>aut</w:t>
      </w:r>
      <w:r w:rsidRPr="004E1DE3">
        <w:rPr>
          <w:lang w:val="en-CA"/>
        </w:rPr>
        <w:t>h</w:t>
      </w:r>
      <w:r w:rsidR="00F24107" w:rsidRPr="004E1DE3">
        <w:rPr>
          <w:lang w:val="en-CA"/>
        </w:rPr>
        <w:t>ori</w:t>
      </w:r>
      <w:r w:rsidRPr="004E1DE3">
        <w:rPr>
          <w:lang w:val="en-CA"/>
        </w:rPr>
        <w:t>z</w:t>
      </w:r>
      <w:r w:rsidR="00F24107" w:rsidRPr="004E1DE3">
        <w:rPr>
          <w:lang w:val="en-CA"/>
        </w:rPr>
        <w:t>ation</w:t>
      </w:r>
      <w:r w:rsidRPr="004E1DE3">
        <w:rPr>
          <w:lang w:val="en-CA"/>
        </w:rPr>
        <w:t xml:space="preserve"> must reveal an </w:t>
      </w:r>
      <w:r w:rsidR="00F24107" w:rsidRPr="004E1DE3">
        <w:rPr>
          <w:lang w:val="en-CA"/>
        </w:rPr>
        <w:t>arguable</w:t>
      </w:r>
      <w:r w:rsidRPr="004E1DE3">
        <w:rPr>
          <w:lang w:val="en-CA"/>
        </w:rPr>
        <w:t xml:space="preserve"> case and establish </w:t>
      </w:r>
      <w:r w:rsidR="00F24107" w:rsidRPr="004E1DE3">
        <w:rPr>
          <w:lang w:val="en-CA"/>
        </w:rPr>
        <w:t xml:space="preserve">compensable </w:t>
      </w:r>
      <w:r w:rsidR="00FE1643" w:rsidRPr="004E1DE3">
        <w:rPr>
          <w:lang w:val="en-CA"/>
        </w:rPr>
        <w:t>injury</w:t>
      </w:r>
      <w:r w:rsidRPr="004E1DE3">
        <w:rPr>
          <w:lang w:val="en-CA"/>
        </w:rPr>
        <w:t xml:space="preserve"> at the </w:t>
      </w:r>
      <w:r w:rsidR="00452FA0" w:rsidRPr="004E1DE3">
        <w:rPr>
          <w:lang w:val="en-CA"/>
        </w:rPr>
        <w:t>authorization</w:t>
      </w:r>
      <w:r w:rsidRPr="004E1DE3">
        <w:rPr>
          <w:lang w:val="en-CA"/>
        </w:rPr>
        <w:t xml:space="preserve"> stage, such that the damages alleged must be more than</w:t>
      </w:r>
      <w:r w:rsidR="00452FA0" w:rsidRPr="004E1DE3">
        <w:rPr>
          <w:lang w:val="en-CA"/>
        </w:rPr>
        <w:t xml:space="preserve"> ordinary inconvenience or the </w:t>
      </w:r>
      <w:r w:rsidR="00F24107" w:rsidRPr="004E1DE3">
        <w:rPr>
          <w:lang w:val="en-CA"/>
        </w:rPr>
        <w:t>anxi</w:t>
      </w:r>
      <w:r w:rsidR="00452FA0" w:rsidRPr="004E1DE3">
        <w:rPr>
          <w:lang w:val="en-CA"/>
        </w:rPr>
        <w:t>ety and fea</w:t>
      </w:r>
      <w:r w:rsidR="008B7111">
        <w:rPr>
          <w:lang w:val="en-CA"/>
        </w:rPr>
        <w:t>r</w:t>
      </w:r>
      <w:r w:rsidR="00452FA0" w:rsidRPr="004E1DE3">
        <w:rPr>
          <w:lang w:val="en-CA"/>
        </w:rPr>
        <w:t xml:space="preserve"> that persons in such </w:t>
      </w:r>
      <w:r w:rsidR="00F24107" w:rsidRPr="004E1DE3">
        <w:rPr>
          <w:lang w:val="en-CA"/>
        </w:rPr>
        <w:t>circumstances</w:t>
      </w:r>
      <w:r w:rsidR="00452FA0" w:rsidRPr="004E1DE3">
        <w:rPr>
          <w:lang w:val="en-CA"/>
        </w:rPr>
        <w:t xml:space="preserve"> may experience. Uncertain, future, or hypothetical damage</w:t>
      </w:r>
      <w:r w:rsidR="008B7111">
        <w:rPr>
          <w:lang w:val="en-CA"/>
        </w:rPr>
        <w:t>s are</w:t>
      </w:r>
      <w:r w:rsidR="00452FA0" w:rsidRPr="004E1DE3">
        <w:rPr>
          <w:lang w:val="en-CA"/>
        </w:rPr>
        <w:t xml:space="preserve"> not a </w:t>
      </w:r>
      <w:r w:rsidR="00F24107" w:rsidRPr="004E1DE3">
        <w:rPr>
          <w:lang w:val="en-CA"/>
        </w:rPr>
        <w:t>compensable</w:t>
      </w:r>
      <w:r w:rsidR="00452FA0" w:rsidRPr="004E1DE3">
        <w:rPr>
          <w:lang w:val="en-CA"/>
        </w:rPr>
        <w:t xml:space="preserve"> </w:t>
      </w:r>
      <w:r w:rsidR="00FE1643" w:rsidRPr="004E1DE3">
        <w:rPr>
          <w:lang w:val="en-CA"/>
        </w:rPr>
        <w:t>injury</w:t>
      </w:r>
      <w:r w:rsidR="00F24107" w:rsidRPr="004E1DE3">
        <w:rPr>
          <w:lang w:val="en-CA"/>
        </w:rPr>
        <w:t>.</w:t>
      </w:r>
    </w:p>
    <w:p w14:paraId="5ED98808" w14:textId="77777777" w:rsidR="001047C3" w:rsidRPr="004E1DE3" w:rsidRDefault="00573CA9" w:rsidP="001047C3">
      <w:pPr>
        <w:pStyle w:val="Paragrdouble"/>
        <w:tabs>
          <w:tab w:val="num" w:pos="851"/>
        </w:tabs>
        <w:spacing w:line="240" w:lineRule="auto"/>
        <w:ind w:left="0"/>
        <w:rPr>
          <w:lang w:val="en-CA"/>
        </w:rPr>
      </w:pPr>
      <w:r w:rsidRPr="004E1DE3">
        <w:rPr>
          <w:lang w:val="en-CA"/>
        </w:rPr>
        <w:t xml:space="preserve">In </w:t>
      </w:r>
      <w:r w:rsidR="00940EDA" w:rsidRPr="004E1DE3">
        <w:rPr>
          <w:i/>
          <w:iCs/>
          <w:lang w:val="en-CA"/>
        </w:rPr>
        <w:t>Mustapha</w:t>
      </w:r>
      <w:r w:rsidRPr="004E1DE3">
        <w:rPr>
          <w:lang w:val="en-CA"/>
        </w:rPr>
        <w:t>,</w:t>
      </w:r>
      <w:r>
        <w:rPr>
          <w:rStyle w:val="Appelnotedebasdep"/>
          <w:lang w:val="en-CA"/>
        </w:rPr>
        <w:footnoteReference w:id="64"/>
      </w:r>
      <w:r w:rsidR="00940EDA" w:rsidRPr="004E1DE3">
        <w:rPr>
          <w:lang w:val="en-CA"/>
        </w:rPr>
        <w:t> </w:t>
      </w:r>
      <w:r w:rsidRPr="004E1DE3">
        <w:rPr>
          <w:lang w:val="en-CA"/>
        </w:rPr>
        <w:t xml:space="preserve">an </w:t>
      </w:r>
      <w:r w:rsidR="00940EDA" w:rsidRPr="004E1DE3">
        <w:rPr>
          <w:lang w:val="en-CA"/>
        </w:rPr>
        <w:t>Ontario</w:t>
      </w:r>
      <w:r w:rsidRPr="004E1DE3">
        <w:rPr>
          <w:lang w:val="en-CA"/>
        </w:rPr>
        <w:t xml:space="preserve"> case, the Supreme Court first decided that injury </w:t>
      </w:r>
      <w:r w:rsidR="00940EDA" w:rsidRPr="004E1DE3">
        <w:rPr>
          <w:lang w:val="en-CA"/>
        </w:rPr>
        <w:t xml:space="preserve">compensable </w:t>
      </w:r>
      <w:r w:rsidRPr="004E1DE3">
        <w:rPr>
          <w:lang w:val="en-CA"/>
        </w:rPr>
        <w:t>by damages must be more than psychological upset</w:t>
      </w:r>
      <w:r w:rsidR="00940EDA" w:rsidRPr="004E1DE3">
        <w:rPr>
          <w:lang w:val="en-CA"/>
        </w:rPr>
        <w:t>:</w:t>
      </w:r>
    </w:p>
    <w:p w14:paraId="5A447259" w14:textId="77777777" w:rsidR="001047C3" w:rsidRPr="004E1DE3" w:rsidRDefault="00573CA9" w:rsidP="001047C3">
      <w:pPr>
        <w:pStyle w:val="Citationenretrait"/>
        <w:rPr>
          <w:rFonts w:ascii="Times New Roman" w:hAnsi="Times New Roman"/>
          <w:lang w:val="en-CA" w:eastAsia="fr-CA"/>
        </w:rPr>
      </w:pPr>
      <w:r w:rsidRPr="004E1DE3">
        <w:rPr>
          <w:szCs w:val="22"/>
          <w:lang w:val="en-CA"/>
        </w:rPr>
        <w:t>[8]</w:t>
      </w:r>
      <w:r w:rsidRPr="004E1DE3">
        <w:rPr>
          <w:sz w:val="20"/>
          <w:lang w:val="en-CA"/>
        </w:rPr>
        <w:t xml:space="preserve"> </w:t>
      </w:r>
      <w:r w:rsidR="006F0FCD" w:rsidRPr="004E1DE3">
        <w:rPr>
          <w:lang w:val="en-CA"/>
        </w:rPr>
        <w:t xml:space="preserve">Generally, a plaintiff who suffers personal injury will be found to have suffered damage. Damage for purposes of this inquiry includes psychological injury. The distinction between physical and mental injury is elusive and arguably artificial in the context of tort. … </w:t>
      </w:r>
      <w:r w:rsidRPr="004E1DE3">
        <w:rPr>
          <w:lang w:val="en-CA"/>
        </w:rPr>
        <w:t>:</w:t>
      </w:r>
    </w:p>
    <w:p w14:paraId="0EE39933" w14:textId="77777777" w:rsidR="001047C3" w:rsidRPr="004E1DE3" w:rsidRDefault="00573CA9" w:rsidP="001047C3">
      <w:pPr>
        <w:pStyle w:val="Citationenretrait"/>
        <w:ind w:left="1462" w:right="1105"/>
        <w:rPr>
          <w:lang w:val="en-CA"/>
        </w:rPr>
      </w:pPr>
      <w:r w:rsidRPr="004E1DE3">
        <w:rPr>
          <w:color w:val="000000"/>
          <w:lang w:val="en-CA"/>
        </w:rPr>
        <w:t>In an age when medical knowledge is expanding fast, and psychiatric knowledge with it, it would not be sensible to commit the law to a distinction between physical and psychiatric injury, which may already seem somewhat artificial, and may soon be altogether outmoded. </w:t>
      </w:r>
      <w:r w:rsidRPr="004E1DE3">
        <w:rPr>
          <w:color w:val="000000"/>
          <w:u w:val="single"/>
          <w:lang w:val="en-CA"/>
        </w:rPr>
        <w:t>Nothing will be gained by treating them as different “kinds” of personal injury, so as to require the application of different tests in law.</w:t>
      </w:r>
      <w:r w:rsidRPr="004E1DE3">
        <w:rPr>
          <w:color w:val="000000"/>
          <w:lang w:val="en-CA"/>
        </w:rPr>
        <w:t> [Emphasis added.]</w:t>
      </w:r>
    </w:p>
    <w:p w14:paraId="4C78FD56" w14:textId="77777777" w:rsidR="001047C3" w:rsidRPr="004E1DE3" w:rsidRDefault="00573CA9" w:rsidP="001047C3">
      <w:pPr>
        <w:pStyle w:val="Citationenretrait"/>
        <w:rPr>
          <w:lang w:val="en-CA"/>
        </w:rPr>
      </w:pPr>
      <w:r w:rsidRPr="004E1DE3">
        <w:rPr>
          <w:lang w:val="en-CA"/>
        </w:rPr>
        <w:t>[9</w:t>
      </w:r>
      <w:r w:rsidRPr="004E1DE3">
        <w:rPr>
          <w:u w:val="single"/>
          <w:lang w:val="en-CA"/>
        </w:rPr>
        <w:t xml:space="preserve">] </w:t>
      </w:r>
      <w:r w:rsidR="006F0FCD" w:rsidRPr="004E1DE3">
        <w:rPr>
          <w:u w:val="single"/>
          <w:lang w:val="en-CA"/>
        </w:rPr>
        <w:t>This said, psychological disturbance that rises to the level of personal injury must be distinguished from psychological upset. Personal injury at law connotes serious trauma or illness</w:t>
      </w:r>
      <w:r w:rsidR="00331313" w:rsidRPr="004E1DE3">
        <w:rPr>
          <w:u w:val="single"/>
          <w:lang w:val="en-CA"/>
        </w:rPr>
        <w:t xml:space="preserve"> …</w:t>
      </w:r>
      <w:r w:rsidR="006F0FCD" w:rsidRPr="004E1DE3">
        <w:rPr>
          <w:u w:val="single"/>
          <w:lang w:val="en-CA"/>
        </w:rPr>
        <w:t> The law does not recognize upset, disgust, anxiety, agitation or other mental states that fall short of injury. I would not purport to define compensable injury exhaustively, except to say that it must be serious and prolonged and rise above the ordinary annoyances, anxieties and fears that people living in society routinely, if sometimes reluctantly, accept</w:t>
      </w:r>
      <w:r w:rsidR="006F0FCD" w:rsidRPr="004E1DE3">
        <w:rPr>
          <w:lang w:val="en-CA"/>
        </w:rPr>
        <w:t>. … Quite simply, minor and transient upsets do not constitute personal </w:t>
      </w:r>
      <w:r w:rsidR="006F0FCD" w:rsidRPr="004E1DE3">
        <w:rPr>
          <w:i/>
          <w:iCs/>
          <w:lang w:val="en-CA"/>
        </w:rPr>
        <w:t>injury</w:t>
      </w:r>
      <w:r w:rsidR="006F0FCD" w:rsidRPr="004E1DE3">
        <w:rPr>
          <w:lang w:val="en-CA"/>
        </w:rPr>
        <w:t>, and hence do not amount to damage.</w:t>
      </w:r>
    </w:p>
    <w:p w14:paraId="589BB4D7" w14:textId="77777777" w:rsidR="001047C3" w:rsidRPr="004E1DE3" w:rsidRDefault="00573CA9" w:rsidP="001047C3">
      <w:pPr>
        <w:pStyle w:val="Citationenretrait"/>
        <w:jc w:val="right"/>
        <w:rPr>
          <w:lang w:val="en-CA"/>
        </w:rPr>
      </w:pPr>
      <w:r w:rsidRPr="004E1DE3">
        <w:rPr>
          <w:lang w:val="en-CA"/>
        </w:rPr>
        <w:tab/>
      </w:r>
      <w:r w:rsidRPr="004E1DE3">
        <w:rPr>
          <w:lang w:val="en-CA"/>
        </w:rPr>
        <w:tab/>
      </w:r>
      <w:r w:rsidRPr="004E1DE3">
        <w:rPr>
          <w:lang w:val="en-CA"/>
        </w:rPr>
        <w:tab/>
      </w:r>
      <w:r w:rsidRPr="004E1DE3">
        <w:rPr>
          <w:lang w:val="en-CA"/>
        </w:rPr>
        <w:tab/>
      </w:r>
      <w:r w:rsidRPr="004E1DE3">
        <w:rPr>
          <w:lang w:val="en-CA"/>
        </w:rPr>
        <w:tab/>
      </w:r>
      <w:r w:rsidRPr="004E1DE3">
        <w:rPr>
          <w:lang w:val="en-CA"/>
        </w:rPr>
        <w:tab/>
      </w:r>
      <w:r w:rsidR="002176DF" w:rsidRPr="004E1DE3">
        <w:rPr>
          <w:lang w:val="en-CA"/>
        </w:rPr>
        <w:t>[Emphasis added; citation</w:t>
      </w:r>
      <w:r w:rsidR="006F0FCD" w:rsidRPr="004E1DE3">
        <w:rPr>
          <w:lang w:val="en-CA"/>
        </w:rPr>
        <w:t>s</w:t>
      </w:r>
      <w:r w:rsidR="002176DF" w:rsidRPr="004E1DE3">
        <w:rPr>
          <w:lang w:val="en-CA"/>
        </w:rPr>
        <w:t xml:space="preserve"> omitted.]</w:t>
      </w:r>
    </w:p>
    <w:p w14:paraId="68758BD2" w14:textId="77777777" w:rsidR="001047C3" w:rsidRPr="004E1DE3" w:rsidRDefault="00573CA9" w:rsidP="001047C3">
      <w:pPr>
        <w:pStyle w:val="Paragrsimple"/>
        <w:tabs>
          <w:tab w:val="clear" w:pos="2062"/>
          <w:tab w:val="clear" w:pos="4755"/>
          <w:tab w:val="num" w:pos="0"/>
        </w:tabs>
        <w:ind w:left="0"/>
        <w:rPr>
          <w:lang w:val="en-CA"/>
        </w:rPr>
      </w:pPr>
      <w:r w:rsidRPr="004E1DE3">
        <w:rPr>
          <w:lang w:val="en-CA"/>
        </w:rPr>
        <w:t xml:space="preserve"> </w:t>
      </w:r>
      <w:r w:rsidR="000037C9" w:rsidRPr="004E1DE3">
        <w:rPr>
          <w:lang w:val="en-CA"/>
        </w:rPr>
        <w:t xml:space="preserve">Next, the </w:t>
      </w:r>
      <w:r w:rsidRPr="004E1DE3">
        <w:rPr>
          <w:lang w:val="en-CA"/>
        </w:rPr>
        <w:t>Supreme</w:t>
      </w:r>
      <w:r w:rsidR="000037C9" w:rsidRPr="004E1DE3">
        <w:rPr>
          <w:lang w:val="en-CA"/>
        </w:rPr>
        <w:t xml:space="preserve"> </w:t>
      </w:r>
      <w:r w:rsidRPr="004E1DE3">
        <w:rPr>
          <w:lang w:val="en-CA"/>
        </w:rPr>
        <w:t>Court expl</w:t>
      </w:r>
      <w:r w:rsidR="000037C9" w:rsidRPr="004E1DE3">
        <w:rPr>
          <w:lang w:val="en-CA"/>
        </w:rPr>
        <w:t>ained that to be compe</w:t>
      </w:r>
      <w:r w:rsidR="00331313" w:rsidRPr="004E1DE3">
        <w:rPr>
          <w:lang w:val="en-CA"/>
        </w:rPr>
        <w:t>n</w:t>
      </w:r>
      <w:r w:rsidR="000037C9" w:rsidRPr="004E1DE3">
        <w:rPr>
          <w:lang w:val="en-CA"/>
        </w:rPr>
        <w:t>sable</w:t>
      </w:r>
      <w:r w:rsidR="00331313" w:rsidRPr="004E1DE3">
        <w:rPr>
          <w:lang w:val="en-CA"/>
        </w:rPr>
        <w:t>, such injury must not be too remote</w:t>
      </w:r>
      <w:r w:rsidRPr="004E1DE3">
        <w:rPr>
          <w:lang w:val="en-CA"/>
        </w:rPr>
        <w:t>:</w:t>
      </w:r>
    </w:p>
    <w:p w14:paraId="0081F0D4" w14:textId="77777777" w:rsidR="001047C3" w:rsidRPr="004E1DE3" w:rsidRDefault="00573CA9" w:rsidP="001047C3">
      <w:pPr>
        <w:pStyle w:val="Citationenretrait"/>
        <w:rPr>
          <w:u w:val="single"/>
          <w:lang w:val="en-CA"/>
        </w:rPr>
      </w:pPr>
      <w:r w:rsidRPr="004E1DE3">
        <w:rPr>
          <w:u w:val="single"/>
          <w:lang w:val="en-CA"/>
        </w:rPr>
        <w:t>The remoteness inquiry depends not only upon the degree of probability required to meet the reasonable foreseeability requirement, but also upon whether or not the plaintiff is considered objectively or subjectively</w:t>
      </w:r>
      <w:r w:rsidRPr="004E1DE3">
        <w:rPr>
          <w:lang w:val="en-CA"/>
        </w:rPr>
        <w:t xml:space="preserve">. One of the questions that arose in this case was whether, in judging whether the personal injury was foreseeable, one looks at a person of “ordinary fortitude” or at a particular plaintiff with his or her particular vulnerabilities. This question may be acute in </w:t>
      </w:r>
      <w:r w:rsidRPr="004E1DE3">
        <w:rPr>
          <w:lang w:val="en-CA"/>
        </w:rPr>
        <w:lastRenderedPageBreak/>
        <w:t>claims for mental injury, since there is a wide variation in how particular people respond to particular stressors. </w:t>
      </w:r>
      <w:r w:rsidRPr="004E1DE3">
        <w:rPr>
          <w:u w:val="single"/>
          <w:lang w:val="en-CA"/>
        </w:rPr>
        <w:t>The law has consistently held — albeit within the duty of care analysis — that the question is what a person of ordinary fortitude would suffer</w:t>
      </w:r>
      <w:r w:rsidRPr="004E1DE3">
        <w:rPr>
          <w:lang w:val="en-CA"/>
        </w:rPr>
        <w:t xml:space="preserve"> …</w:t>
      </w:r>
    </w:p>
    <w:p w14:paraId="140099F5" w14:textId="77777777" w:rsidR="001047C3" w:rsidRPr="004E1DE3" w:rsidRDefault="00573CA9" w:rsidP="001047C3">
      <w:pPr>
        <w:pStyle w:val="Paragrsimple"/>
        <w:tabs>
          <w:tab w:val="clear" w:pos="2062"/>
          <w:tab w:val="clear" w:pos="4755"/>
          <w:tab w:val="num" w:pos="0"/>
        </w:tabs>
        <w:ind w:left="0"/>
        <w:rPr>
          <w:i/>
          <w:iCs/>
          <w:lang w:val="en-CA"/>
        </w:rPr>
      </w:pPr>
      <w:r w:rsidRPr="004E1DE3">
        <w:rPr>
          <w:lang w:val="en-CA"/>
        </w:rPr>
        <w:t xml:space="preserve">This approach was followed in </w:t>
      </w:r>
      <w:r w:rsidR="00940EDA" w:rsidRPr="004E1DE3">
        <w:rPr>
          <w:lang w:val="en-CA"/>
        </w:rPr>
        <w:t>Qu</w:t>
      </w:r>
      <w:r w:rsidRPr="004E1DE3">
        <w:rPr>
          <w:lang w:val="en-CA"/>
        </w:rPr>
        <w:t>e</w:t>
      </w:r>
      <w:r w:rsidR="00940EDA" w:rsidRPr="004E1DE3">
        <w:rPr>
          <w:lang w:val="en-CA"/>
        </w:rPr>
        <w:t>bec,</w:t>
      </w:r>
      <w:r w:rsidRPr="004E1DE3">
        <w:rPr>
          <w:lang w:val="en-CA"/>
        </w:rPr>
        <w:t xml:space="preserve"> in particular in </w:t>
      </w:r>
      <w:r w:rsidR="00C77BB3" w:rsidRPr="004E1DE3">
        <w:rPr>
          <w:i/>
          <w:iCs/>
          <w:lang w:val="en-CA"/>
        </w:rPr>
        <w:t>L</w:t>
      </w:r>
      <w:r w:rsidR="00C77BB3">
        <w:rPr>
          <w:i/>
          <w:iCs/>
          <w:lang w:val="en-CA"/>
        </w:rPr>
        <w:t>i</w:t>
      </w:r>
      <w:r w:rsidR="00C77BB3" w:rsidRPr="004E1DE3">
        <w:rPr>
          <w:i/>
          <w:iCs/>
          <w:lang w:val="en-CA"/>
        </w:rPr>
        <w:t xml:space="preserve"> </w:t>
      </w:r>
      <w:r w:rsidR="002176DF" w:rsidRPr="004E1DE3">
        <w:rPr>
          <w:i/>
          <w:iCs/>
          <w:lang w:val="en-CA"/>
        </w:rPr>
        <w:t>c.</w:t>
      </w:r>
      <w:r w:rsidR="00940EDA" w:rsidRPr="004E1DE3">
        <w:rPr>
          <w:lang w:val="en-CA"/>
        </w:rPr>
        <w:t xml:space="preserve"> </w:t>
      </w:r>
      <w:r w:rsidR="00940EDA" w:rsidRPr="004E1DE3">
        <w:rPr>
          <w:i/>
          <w:iCs/>
          <w:lang w:val="en-CA"/>
        </w:rPr>
        <w:t>Equifax</w:t>
      </w:r>
      <w:r w:rsidR="002176DF" w:rsidRPr="004E1DE3">
        <w:rPr>
          <w:lang w:val="en-CA"/>
        </w:rPr>
        <w:t>:</w:t>
      </w:r>
      <w:r>
        <w:rPr>
          <w:rStyle w:val="Appelnotedebasdep"/>
          <w:lang w:val="en-CA"/>
        </w:rPr>
        <w:footnoteReference w:id="65"/>
      </w:r>
    </w:p>
    <w:p w14:paraId="761F1488" w14:textId="77777777" w:rsidR="002176DF" w:rsidRPr="004E1DE3" w:rsidRDefault="00573CA9" w:rsidP="001047C3">
      <w:pPr>
        <w:pStyle w:val="Citationenretrait"/>
        <w:rPr>
          <w:rFonts w:cs="Arial"/>
          <w:szCs w:val="22"/>
          <w:lang w:val="en-CA"/>
        </w:rPr>
      </w:pPr>
      <w:r w:rsidRPr="004E1DE3">
        <w:rPr>
          <w:rFonts w:cs="Arial"/>
          <w:szCs w:val="22"/>
          <w:lang w:val="en-CA"/>
        </w:rPr>
        <w:t>[</w:t>
      </w:r>
      <w:r w:rsidRPr="004E1DE3">
        <w:rPr>
          <w:rFonts w:cs="Arial"/>
          <w:smallCaps/>
          <w:szCs w:val="22"/>
          <w:lang w:val="en-CA"/>
        </w:rPr>
        <w:t>translation</w:t>
      </w:r>
      <w:r w:rsidRPr="004E1DE3">
        <w:rPr>
          <w:rFonts w:cs="Arial"/>
          <w:szCs w:val="22"/>
          <w:lang w:val="en-CA"/>
        </w:rPr>
        <w:t>]</w:t>
      </w:r>
    </w:p>
    <w:p w14:paraId="2163AA85" w14:textId="77777777" w:rsidR="001047C3" w:rsidRPr="004E1DE3" w:rsidRDefault="00573CA9" w:rsidP="001047C3">
      <w:pPr>
        <w:pStyle w:val="Citationenretrait"/>
        <w:rPr>
          <w:rFonts w:cs="Arial"/>
          <w:szCs w:val="22"/>
          <w:lang w:val="en-CA"/>
        </w:rPr>
      </w:pPr>
      <w:r w:rsidRPr="004E1DE3">
        <w:rPr>
          <w:rFonts w:cs="Arial"/>
          <w:szCs w:val="22"/>
          <w:lang w:val="en-CA"/>
        </w:rPr>
        <w:t>[26]       </w:t>
      </w:r>
      <w:r w:rsidR="000B0B5D" w:rsidRPr="004E1DE3">
        <w:rPr>
          <w:rFonts w:cs="Arial"/>
          <w:szCs w:val="22"/>
          <w:lang w:val="en-CA"/>
        </w:rPr>
        <w:t>Recall that the colour of right must be analyzed in light of the plaintiff’s personal situation</w:t>
      </w:r>
      <w:r w:rsidRPr="004E1DE3">
        <w:rPr>
          <w:rFonts w:cs="Arial"/>
          <w:szCs w:val="22"/>
          <w:lang w:val="en-CA"/>
        </w:rPr>
        <w:t>.</w:t>
      </w:r>
    </w:p>
    <w:p w14:paraId="07916AFD" w14:textId="77777777" w:rsidR="001047C3" w:rsidRPr="004E1DE3" w:rsidRDefault="00573CA9" w:rsidP="001047C3">
      <w:pPr>
        <w:pStyle w:val="paragrsimple0"/>
        <w:spacing w:before="120" w:beforeAutospacing="0" w:after="120" w:afterAutospacing="0"/>
        <w:ind w:left="709" w:right="679"/>
        <w:jc w:val="both"/>
        <w:rPr>
          <w:rFonts w:ascii="Arial" w:hAnsi="Arial" w:cs="Arial"/>
          <w:sz w:val="22"/>
          <w:szCs w:val="22"/>
          <w:lang w:val="en-CA"/>
        </w:rPr>
      </w:pPr>
      <w:r w:rsidRPr="004E1DE3">
        <w:rPr>
          <w:rFonts w:ascii="Arial" w:hAnsi="Arial" w:cs="Arial"/>
          <w:sz w:val="22"/>
          <w:szCs w:val="22"/>
          <w:lang w:val="en-CA"/>
        </w:rPr>
        <w:t>[27]</w:t>
      </w:r>
      <w:r w:rsidRPr="004E1DE3">
        <w:rPr>
          <w:sz w:val="22"/>
          <w:szCs w:val="22"/>
          <w:lang w:val="en-CA"/>
        </w:rPr>
        <w:t>     </w:t>
      </w:r>
      <w:r w:rsidR="008702B8" w:rsidRPr="004E1DE3">
        <w:rPr>
          <w:sz w:val="22"/>
          <w:szCs w:val="22"/>
          <w:lang w:val="en-CA"/>
        </w:rPr>
        <w:t xml:space="preserve">  </w:t>
      </w:r>
      <w:r w:rsidR="000B0B5D" w:rsidRPr="004E1DE3">
        <w:rPr>
          <w:rFonts w:ascii="Arial" w:hAnsi="Arial" w:cs="Arial"/>
          <w:sz w:val="22"/>
          <w:szCs w:val="22"/>
          <w:lang w:val="en-CA"/>
        </w:rPr>
        <w:t xml:space="preserve">According to the allegations in the Amended </w:t>
      </w:r>
      <w:r w:rsidRPr="004E1DE3">
        <w:rPr>
          <w:rFonts w:ascii="Arial" w:hAnsi="Arial" w:cs="Arial"/>
          <w:sz w:val="22"/>
          <w:szCs w:val="22"/>
          <w:lang w:val="en-CA"/>
        </w:rPr>
        <w:t xml:space="preserve">application, </w:t>
      </w:r>
      <w:r w:rsidR="000B0B5D" w:rsidRPr="004E1DE3">
        <w:rPr>
          <w:rFonts w:ascii="Arial" w:hAnsi="Arial" w:cs="Arial"/>
          <w:sz w:val="22"/>
          <w:szCs w:val="22"/>
          <w:lang w:val="en-CA"/>
        </w:rPr>
        <w:t xml:space="preserve">the plaintiff was not the </w:t>
      </w:r>
      <w:r w:rsidRPr="004E1DE3">
        <w:rPr>
          <w:rFonts w:ascii="Arial" w:hAnsi="Arial" w:cs="Arial"/>
          <w:sz w:val="22"/>
          <w:szCs w:val="22"/>
          <w:lang w:val="en-CA"/>
        </w:rPr>
        <w:t>victim</w:t>
      </w:r>
      <w:r w:rsidR="000B0B5D" w:rsidRPr="004E1DE3">
        <w:rPr>
          <w:rFonts w:ascii="Arial" w:hAnsi="Arial" w:cs="Arial"/>
          <w:sz w:val="22"/>
          <w:szCs w:val="22"/>
          <w:lang w:val="en-CA"/>
        </w:rPr>
        <w:t xml:space="preserve"> of </w:t>
      </w:r>
      <w:r w:rsidRPr="004E1DE3">
        <w:rPr>
          <w:rFonts w:ascii="Arial" w:hAnsi="Arial" w:cs="Arial"/>
          <w:sz w:val="22"/>
          <w:szCs w:val="22"/>
          <w:lang w:val="en-CA"/>
        </w:rPr>
        <w:t>identit</w:t>
      </w:r>
      <w:r w:rsidR="000B0B5D" w:rsidRPr="004E1DE3">
        <w:rPr>
          <w:rFonts w:ascii="Arial" w:hAnsi="Arial" w:cs="Arial"/>
          <w:sz w:val="22"/>
          <w:szCs w:val="22"/>
          <w:lang w:val="en-CA"/>
        </w:rPr>
        <w:t xml:space="preserve">y theft and has not yet had to spend any money to purchase continuous credit </w:t>
      </w:r>
      <w:r w:rsidRPr="004E1DE3">
        <w:rPr>
          <w:rFonts w:ascii="Arial" w:hAnsi="Arial" w:cs="Arial"/>
          <w:sz w:val="22"/>
          <w:szCs w:val="22"/>
          <w:lang w:val="en-CA"/>
        </w:rPr>
        <w:t xml:space="preserve">monitoring </w:t>
      </w:r>
      <w:r w:rsidR="000B0B5D" w:rsidRPr="004E1DE3">
        <w:rPr>
          <w:rFonts w:ascii="Arial" w:hAnsi="Arial" w:cs="Arial"/>
          <w:sz w:val="22"/>
          <w:szCs w:val="22"/>
          <w:lang w:val="en-CA"/>
        </w:rPr>
        <w:t xml:space="preserve">services or suffered any </w:t>
      </w:r>
      <w:r w:rsidRPr="004E1DE3">
        <w:rPr>
          <w:rFonts w:ascii="Arial" w:hAnsi="Arial" w:cs="Arial"/>
          <w:sz w:val="22"/>
          <w:szCs w:val="22"/>
          <w:lang w:val="en-CA"/>
        </w:rPr>
        <w:t>trouble</w:t>
      </w:r>
      <w:r w:rsidR="000B0B5D" w:rsidRPr="004E1DE3">
        <w:rPr>
          <w:rFonts w:ascii="Arial" w:hAnsi="Arial" w:cs="Arial"/>
          <w:sz w:val="22"/>
          <w:szCs w:val="22"/>
          <w:lang w:val="en-CA"/>
        </w:rPr>
        <w:t xml:space="preserve"> and </w:t>
      </w:r>
      <w:r w:rsidRPr="004E1DE3">
        <w:rPr>
          <w:rFonts w:ascii="Arial" w:hAnsi="Arial" w:cs="Arial"/>
          <w:sz w:val="22"/>
          <w:szCs w:val="22"/>
          <w:lang w:val="en-CA"/>
        </w:rPr>
        <w:t>inconv</w:t>
      </w:r>
      <w:r w:rsidR="000B0B5D" w:rsidRPr="004E1DE3">
        <w:rPr>
          <w:rFonts w:ascii="Arial" w:hAnsi="Arial" w:cs="Arial"/>
          <w:sz w:val="22"/>
          <w:szCs w:val="22"/>
          <w:lang w:val="en-CA"/>
        </w:rPr>
        <w:t>e</w:t>
      </w:r>
      <w:r w:rsidRPr="004E1DE3">
        <w:rPr>
          <w:rFonts w:ascii="Arial" w:hAnsi="Arial" w:cs="Arial"/>
          <w:sz w:val="22"/>
          <w:szCs w:val="22"/>
          <w:lang w:val="en-CA"/>
        </w:rPr>
        <w:t>nien</w:t>
      </w:r>
      <w:r w:rsidR="000B0B5D" w:rsidRPr="004E1DE3">
        <w:rPr>
          <w:rFonts w:ascii="Arial" w:hAnsi="Arial" w:cs="Arial"/>
          <w:sz w:val="22"/>
          <w:szCs w:val="22"/>
          <w:lang w:val="en-CA"/>
        </w:rPr>
        <w:t xml:space="preserve">ce associated with the cancellation of </w:t>
      </w:r>
      <w:r w:rsidRPr="004E1DE3">
        <w:rPr>
          <w:rFonts w:ascii="Arial" w:hAnsi="Arial" w:cs="Arial"/>
          <w:sz w:val="22"/>
          <w:szCs w:val="22"/>
          <w:lang w:val="en-CA"/>
        </w:rPr>
        <w:t>credit</w:t>
      </w:r>
      <w:r w:rsidR="000B0B5D" w:rsidRPr="004E1DE3">
        <w:rPr>
          <w:rFonts w:ascii="Arial" w:hAnsi="Arial" w:cs="Arial"/>
          <w:sz w:val="22"/>
          <w:szCs w:val="22"/>
          <w:lang w:val="en-CA"/>
        </w:rPr>
        <w:t xml:space="preserve"> </w:t>
      </w:r>
      <w:r w:rsidRPr="004E1DE3">
        <w:rPr>
          <w:rFonts w:ascii="Arial" w:hAnsi="Arial" w:cs="Arial"/>
          <w:sz w:val="22"/>
          <w:szCs w:val="22"/>
          <w:lang w:val="en-CA"/>
        </w:rPr>
        <w:t>cards</w:t>
      </w:r>
      <w:r w:rsidR="000B0B5D" w:rsidRPr="004E1DE3">
        <w:rPr>
          <w:rFonts w:ascii="Arial" w:hAnsi="Arial" w:cs="Arial"/>
          <w:sz w:val="22"/>
          <w:szCs w:val="22"/>
          <w:lang w:val="en-CA"/>
        </w:rPr>
        <w:t xml:space="preserve"> and the </w:t>
      </w:r>
      <w:r w:rsidRPr="004E1DE3">
        <w:rPr>
          <w:rFonts w:ascii="Arial" w:hAnsi="Arial" w:cs="Arial"/>
          <w:sz w:val="22"/>
          <w:szCs w:val="22"/>
          <w:lang w:val="en-CA"/>
        </w:rPr>
        <w:t>organi</w:t>
      </w:r>
      <w:r w:rsidR="000B0B5D" w:rsidRPr="004E1DE3">
        <w:rPr>
          <w:rFonts w:ascii="Arial" w:hAnsi="Arial" w:cs="Arial"/>
          <w:sz w:val="22"/>
          <w:szCs w:val="22"/>
          <w:lang w:val="en-CA"/>
        </w:rPr>
        <w:t>z</w:t>
      </w:r>
      <w:r w:rsidRPr="004E1DE3">
        <w:rPr>
          <w:rFonts w:ascii="Arial" w:hAnsi="Arial" w:cs="Arial"/>
          <w:sz w:val="22"/>
          <w:szCs w:val="22"/>
          <w:lang w:val="en-CA"/>
        </w:rPr>
        <w:t xml:space="preserve">ation </w:t>
      </w:r>
      <w:r w:rsidR="000B0B5D" w:rsidRPr="004E1DE3">
        <w:rPr>
          <w:rFonts w:ascii="Arial" w:hAnsi="Arial" w:cs="Arial"/>
          <w:sz w:val="22"/>
          <w:szCs w:val="22"/>
          <w:lang w:val="en-CA"/>
        </w:rPr>
        <w:t xml:space="preserve">of credit </w:t>
      </w:r>
      <w:r w:rsidRPr="004E1DE3">
        <w:rPr>
          <w:rFonts w:ascii="Arial" w:hAnsi="Arial" w:cs="Arial"/>
          <w:sz w:val="22"/>
          <w:szCs w:val="22"/>
          <w:lang w:val="en-CA"/>
        </w:rPr>
        <w:t xml:space="preserve">monitoring </w:t>
      </w:r>
      <w:r w:rsidR="000B0B5D" w:rsidRPr="004E1DE3">
        <w:rPr>
          <w:rFonts w:ascii="Arial" w:hAnsi="Arial" w:cs="Arial"/>
          <w:sz w:val="22"/>
          <w:szCs w:val="22"/>
          <w:lang w:val="en-CA"/>
        </w:rPr>
        <w:t>services, for example</w:t>
      </w:r>
      <w:r w:rsidRPr="004E1DE3">
        <w:rPr>
          <w:rFonts w:ascii="Arial" w:hAnsi="Arial" w:cs="Arial"/>
          <w:sz w:val="22"/>
          <w:szCs w:val="22"/>
          <w:lang w:val="en-CA"/>
        </w:rPr>
        <w:t>.</w:t>
      </w:r>
      <w:r w:rsidR="008702B8" w:rsidRPr="004E1DE3">
        <w:rPr>
          <w:rFonts w:ascii="Arial" w:hAnsi="Arial" w:cs="Arial"/>
          <w:sz w:val="22"/>
          <w:szCs w:val="22"/>
          <w:lang w:val="en-CA"/>
        </w:rPr>
        <w:t xml:space="preserve"> The plaintiff describes future risk and expenses. He adds that he has suffered “</w:t>
      </w:r>
      <w:r w:rsidRPr="004E1DE3">
        <w:rPr>
          <w:rFonts w:ascii="Arial" w:hAnsi="Arial" w:cs="Arial"/>
          <w:sz w:val="22"/>
          <w:szCs w:val="22"/>
          <w:lang w:val="en-CA"/>
        </w:rPr>
        <w:t>mental distress</w:t>
      </w:r>
      <w:r w:rsidR="008702B8" w:rsidRPr="004E1DE3">
        <w:rPr>
          <w:rFonts w:ascii="Arial" w:hAnsi="Arial" w:cs="Arial"/>
          <w:sz w:val="22"/>
          <w:szCs w:val="22"/>
          <w:lang w:val="en-CA"/>
        </w:rPr>
        <w:t>”</w:t>
      </w:r>
      <w:r w:rsidRPr="004E1DE3">
        <w:rPr>
          <w:rFonts w:ascii="Arial" w:hAnsi="Arial" w:cs="Arial"/>
          <w:sz w:val="22"/>
          <w:szCs w:val="22"/>
          <w:lang w:val="en-CA"/>
        </w:rPr>
        <w:t>. </w:t>
      </w:r>
      <w:r w:rsidR="002176DF" w:rsidRPr="004E1DE3">
        <w:rPr>
          <w:rFonts w:ascii="Arial" w:hAnsi="Arial" w:cs="Arial"/>
          <w:sz w:val="22"/>
          <w:szCs w:val="22"/>
          <w:lang w:val="en-CA"/>
        </w:rPr>
        <w:t>Is this sufficient?</w:t>
      </w:r>
      <w:r w:rsidRPr="004E1DE3">
        <w:rPr>
          <w:rFonts w:ascii="Arial" w:hAnsi="Arial" w:cs="Arial"/>
          <w:sz w:val="22"/>
          <w:szCs w:val="22"/>
          <w:lang w:val="en-CA"/>
        </w:rPr>
        <w:t> </w:t>
      </w:r>
      <w:r w:rsidR="002176DF" w:rsidRPr="004E1DE3">
        <w:rPr>
          <w:rFonts w:ascii="Arial" w:hAnsi="Arial" w:cs="Arial"/>
          <w:sz w:val="22"/>
          <w:szCs w:val="22"/>
          <w:lang w:val="en-CA"/>
        </w:rPr>
        <w:t>The Court does not think so.</w:t>
      </w:r>
      <w:r w:rsidRPr="004E1DE3">
        <w:rPr>
          <w:rFonts w:ascii="Arial" w:hAnsi="Arial" w:cs="Arial"/>
          <w:sz w:val="22"/>
          <w:szCs w:val="22"/>
          <w:lang w:val="en-CA"/>
        </w:rPr>
        <w:t> </w:t>
      </w:r>
      <w:r w:rsidR="002176DF" w:rsidRPr="004E1DE3">
        <w:rPr>
          <w:rFonts w:ascii="Arial" w:hAnsi="Arial" w:cs="Arial"/>
          <w:sz w:val="22"/>
          <w:szCs w:val="22"/>
          <w:lang w:val="en-CA"/>
        </w:rPr>
        <w:t>Here is why.</w:t>
      </w:r>
    </w:p>
    <w:p w14:paraId="70C22800" w14:textId="77777777" w:rsidR="001047C3" w:rsidRPr="004E1DE3" w:rsidRDefault="00573CA9" w:rsidP="001047C3">
      <w:pPr>
        <w:pStyle w:val="paragrsimple0"/>
        <w:spacing w:before="120" w:beforeAutospacing="0" w:after="120" w:afterAutospacing="0"/>
        <w:ind w:left="709" w:right="679"/>
        <w:jc w:val="both"/>
        <w:rPr>
          <w:rFonts w:ascii="Arial" w:hAnsi="Arial" w:cs="Arial"/>
          <w:sz w:val="22"/>
          <w:szCs w:val="22"/>
          <w:lang w:val="en-CA"/>
        </w:rPr>
      </w:pPr>
      <w:r w:rsidRPr="004E1DE3">
        <w:rPr>
          <w:rFonts w:ascii="Arial" w:hAnsi="Arial" w:cs="Arial"/>
          <w:sz w:val="22"/>
          <w:szCs w:val="22"/>
          <w:lang w:val="en-CA"/>
        </w:rPr>
        <w:t>[28]</w:t>
      </w:r>
      <w:r w:rsidRPr="004E1DE3">
        <w:rPr>
          <w:sz w:val="22"/>
          <w:szCs w:val="22"/>
          <w:lang w:val="en-CA"/>
        </w:rPr>
        <w:t xml:space="preserve">      </w:t>
      </w:r>
      <w:r w:rsidR="008702B8" w:rsidRPr="004E1DE3">
        <w:rPr>
          <w:rFonts w:ascii="Arial" w:hAnsi="Arial" w:cs="Arial"/>
          <w:sz w:val="22"/>
          <w:szCs w:val="22"/>
          <w:lang w:val="en-CA"/>
        </w:rPr>
        <w:t xml:space="preserve">In </w:t>
      </w:r>
      <w:r w:rsidRPr="004E1DE3">
        <w:rPr>
          <w:rFonts w:ascii="Arial" w:hAnsi="Arial" w:cs="Arial"/>
          <w:i/>
          <w:iCs/>
          <w:sz w:val="22"/>
          <w:szCs w:val="22"/>
          <w:lang w:val="en-CA"/>
        </w:rPr>
        <w:t>Zuckerman c. Target Corporation</w:t>
      </w:r>
      <w:r w:rsidRPr="004E1DE3">
        <w:rPr>
          <w:rFonts w:ascii="Arial" w:hAnsi="Arial" w:cs="Arial"/>
          <w:sz w:val="22"/>
          <w:szCs w:val="22"/>
          <w:lang w:val="en-CA"/>
        </w:rPr>
        <w:t xml:space="preserve">, </w:t>
      </w:r>
      <w:r w:rsidR="008702B8" w:rsidRPr="004E1DE3">
        <w:rPr>
          <w:rFonts w:ascii="Arial" w:hAnsi="Arial" w:cs="Arial"/>
          <w:sz w:val="22"/>
          <w:szCs w:val="22"/>
          <w:lang w:val="en-CA"/>
        </w:rPr>
        <w:t xml:space="preserve">the </w:t>
      </w:r>
      <w:r w:rsidRPr="004E1DE3">
        <w:rPr>
          <w:rFonts w:ascii="Arial" w:hAnsi="Arial" w:cs="Arial"/>
          <w:sz w:val="22"/>
          <w:szCs w:val="22"/>
          <w:lang w:val="en-CA"/>
        </w:rPr>
        <w:t>Superior</w:t>
      </w:r>
      <w:r w:rsidR="008702B8" w:rsidRPr="004E1DE3">
        <w:rPr>
          <w:rFonts w:ascii="Arial" w:hAnsi="Arial" w:cs="Arial"/>
          <w:sz w:val="22"/>
          <w:szCs w:val="22"/>
          <w:lang w:val="en-CA"/>
        </w:rPr>
        <w:t xml:space="preserve"> </w:t>
      </w:r>
      <w:r w:rsidRPr="004E1DE3">
        <w:rPr>
          <w:rFonts w:ascii="Arial" w:hAnsi="Arial" w:cs="Arial"/>
          <w:sz w:val="22"/>
          <w:szCs w:val="22"/>
          <w:lang w:val="en-CA"/>
        </w:rPr>
        <w:t>Court</w:t>
      </w:r>
      <w:r w:rsidR="008702B8" w:rsidRPr="004E1DE3">
        <w:rPr>
          <w:rFonts w:ascii="Arial" w:hAnsi="Arial" w:cs="Arial"/>
          <w:sz w:val="22"/>
          <w:szCs w:val="22"/>
          <w:lang w:val="en-CA"/>
        </w:rPr>
        <w:t xml:space="preserve"> summarized the state of </w:t>
      </w:r>
      <w:r w:rsidRPr="004E1DE3">
        <w:rPr>
          <w:rFonts w:ascii="Arial" w:hAnsi="Arial" w:cs="Arial"/>
          <w:sz w:val="22"/>
          <w:szCs w:val="22"/>
          <w:lang w:val="en-CA"/>
        </w:rPr>
        <w:t>Quebec</w:t>
      </w:r>
      <w:r w:rsidR="008702B8" w:rsidRPr="004E1DE3">
        <w:rPr>
          <w:rFonts w:ascii="Arial" w:hAnsi="Arial" w:cs="Arial"/>
          <w:sz w:val="22"/>
          <w:szCs w:val="22"/>
          <w:lang w:val="en-CA"/>
        </w:rPr>
        <w:t xml:space="preserve"> </w:t>
      </w:r>
      <w:r w:rsidRPr="004E1DE3">
        <w:rPr>
          <w:rFonts w:ascii="Arial" w:hAnsi="Arial" w:cs="Arial"/>
          <w:sz w:val="22"/>
          <w:szCs w:val="22"/>
          <w:lang w:val="en-CA"/>
        </w:rPr>
        <w:t>law</w:t>
      </w:r>
      <w:r w:rsidR="008702B8" w:rsidRPr="004E1DE3">
        <w:rPr>
          <w:rFonts w:ascii="Arial" w:hAnsi="Arial" w:cs="Arial"/>
          <w:sz w:val="22"/>
          <w:szCs w:val="22"/>
          <w:lang w:val="en-CA"/>
        </w:rPr>
        <w:t xml:space="preserve"> on damages in such cases as follows</w:t>
      </w:r>
      <w:r w:rsidRPr="004E1DE3">
        <w:rPr>
          <w:rFonts w:ascii="Arial" w:hAnsi="Arial" w:cs="Arial"/>
          <w:sz w:val="22"/>
          <w:szCs w:val="22"/>
          <w:lang w:val="en-CA"/>
        </w:rPr>
        <w:t>:</w:t>
      </w:r>
    </w:p>
    <w:p w14:paraId="63857BC3" w14:textId="77777777" w:rsidR="001047C3" w:rsidRPr="004E1DE3" w:rsidRDefault="00573CA9" w:rsidP="001047C3">
      <w:pPr>
        <w:pStyle w:val="paragrsimple0"/>
        <w:spacing w:before="120" w:beforeAutospacing="0" w:after="120" w:afterAutospacing="0"/>
        <w:ind w:left="1276" w:right="963"/>
        <w:jc w:val="both"/>
        <w:rPr>
          <w:rFonts w:ascii="Arial" w:hAnsi="Arial" w:cs="Arial"/>
          <w:sz w:val="22"/>
          <w:szCs w:val="22"/>
          <w:lang w:val="en-CA"/>
        </w:rPr>
      </w:pPr>
      <w:r w:rsidRPr="004E1DE3">
        <w:rPr>
          <w:rFonts w:ascii="Arial" w:hAnsi="Arial" w:cs="Arial"/>
          <w:sz w:val="22"/>
          <w:szCs w:val="22"/>
          <w:lang w:val="en-CA"/>
        </w:rPr>
        <w:t>[73]      The Court concludes that the monitoring of bank accounts and credit cards constitute normal activities and not inconveniences for which the account or card holder can recover damages.  However, other matters such as setting up credit monitoring and security alerts, obtaining credit reports, and cancelling cards or closing accounts and replacing them are not “ordinary annoyances, anxieties and fears that people living in society routinely, if sometimes reluctantly, accept” but may amount to something more.  These are potentially matters for which class members would be entitled to compensation.</w:t>
      </w:r>
    </w:p>
    <w:p w14:paraId="12E9DA1C" w14:textId="77777777" w:rsidR="001047C3" w:rsidRPr="004E1DE3" w:rsidRDefault="00573CA9" w:rsidP="001047C3">
      <w:pPr>
        <w:pStyle w:val="paragrsimple0"/>
        <w:spacing w:before="120" w:beforeAutospacing="0" w:after="120" w:afterAutospacing="0"/>
        <w:ind w:left="1276" w:right="963"/>
        <w:jc w:val="both"/>
        <w:rPr>
          <w:rFonts w:ascii="Arial" w:hAnsi="Arial" w:cs="Arial"/>
          <w:sz w:val="22"/>
          <w:szCs w:val="22"/>
          <w:lang w:val="en-CA"/>
        </w:rPr>
      </w:pPr>
      <w:r w:rsidRPr="004E1DE3">
        <w:rPr>
          <w:rFonts w:ascii="Arial" w:hAnsi="Arial" w:cs="Arial"/>
          <w:sz w:val="22"/>
          <w:szCs w:val="22"/>
          <w:lang w:val="en-CA"/>
        </w:rPr>
        <w:t>[77]      Zuckerman does not allege that he was the victim of fraud or identity theft.  It is possible that he was the victim of fraud or identity theft and does not know it or that he will be the victim of fraud or identity theft in the future, but those possibilities seem increasingly remote with the passage of time.</w:t>
      </w:r>
    </w:p>
    <w:p w14:paraId="306117B9" w14:textId="77777777" w:rsidR="001047C3" w:rsidRPr="004E1DE3" w:rsidRDefault="00573CA9" w:rsidP="001047C3">
      <w:pPr>
        <w:pStyle w:val="paragrsimple0"/>
        <w:spacing w:before="120" w:beforeAutospacing="0" w:after="120" w:afterAutospacing="0"/>
        <w:ind w:left="1276" w:right="963"/>
        <w:jc w:val="both"/>
        <w:rPr>
          <w:rFonts w:ascii="Arial" w:hAnsi="Arial" w:cs="Arial"/>
          <w:sz w:val="22"/>
          <w:szCs w:val="22"/>
          <w:lang w:val="en-CA"/>
        </w:rPr>
      </w:pPr>
      <w:r w:rsidRPr="004E1DE3">
        <w:rPr>
          <w:rFonts w:ascii="Arial" w:hAnsi="Arial" w:cs="Arial"/>
          <w:sz w:val="22"/>
          <w:szCs w:val="22"/>
          <w:lang w:val="en-CA"/>
        </w:rPr>
        <w:t>[78]      Zuckerman cannot found the class action on damages that he did not suffer.  He must allege that he suffered damages personally.  Whether he can include in the class persons who suffered damages different from those that he suffered is a matter that the Court will consider, if it authorizes the class action, in the description of the class and the identification of the issues and the conclusions. </w:t>
      </w:r>
    </w:p>
    <w:p w14:paraId="17D7ECDA" w14:textId="77777777" w:rsidR="001047C3" w:rsidRPr="004E1DE3" w:rsidRDefault="00573CA9" w:rsidP="001047C3">
      <w:pPr>
        <w:pStyle w:val="paragrsimple0"/>
        <w:spacing w:before="120" w:beforeAutospacing="0" w:after="120" w:afterAutospacing="0"/>
        <w:ind w:left="709" w:right="679"/>
        <w:jc w:val="both"/>
        <w:rPr>
          <w:rFonts w:ascii="Arial" w:hAnsi="Arial" w:cs="Arial"/>
          <w:sz w:val="22"/>
          <w:szCs w:val="22"/>
          <w:lang w:val="en-CA"/>
        </w:rPr>
      </w:pPr>
      <w:r w:rsidRPr="004E1DE3">
        <w:rPr>
          <w:rFonts w:ascii="Arial" w:hAnsi="Arial" w:cs="Arial"/>
          <w:sz w:val="22"/>
          <w:szCs w:val="22"/>
          <w:lang w:val="en-CA"/>
        </w:rPr>
        <w:lastRenderedPageBreak/>
        <w:t>[29]</w:t>
      </w:r>
      <w:r w:rsidRPr="004E1DE3">
        <w:rPr>
          <w:sz w:val="22"/>
          <w:szCs w:val="22"/>
          <w:lang w:val="en-CA"/>
        </w:rPr>
        <w:t>        </w:t>
      </w:r>
      <w:r w:rsidR="008702B8" w:rsidRPr="004E1DE3">
        <w:rPr>
          <w:rFonts w:ascii="Arial" w:hAnsi="Arial" w:cs="Arial"/>
          <w:sz w:val="22"/>
          <w:szCs w:val="22"/>
          <w:lang w:val="en-CA"/>
        </w:rPr>
        <w:t xml:space="preserve">These statements echo the </w:t>
      </w:r>
      <w:r w:rsidRPr="004E1DE3">
        <w:rPr>
          <w:rFonts w:ascii="Arial" w:hAnsi="Arial" w:cs="Arial"/>
          <w:sz w:val="22"/>
          <w:szCs w:val="22"/>
          <w:lang w:val="en-CA"/>
        </w:rPr>
        <w:t xml:space="preserve">concept </w:t>
      </w:r>
      <w:r w:rsidR="008702B8" w:rsidRPr="004E1DE3">
        <w:rPr>
          <w:rFonts w:ascii="Arial" w:hAnsi="Arial" w:cs="Arial"/>
          <w:sz w:val="22"/>
          <w:szCs w:val="22"/>
          <w:lang w:val="en-CA"/>
        </w:rPr>
        <w:t xml:space="preserve">that the risk of developing a future injury, such as a disease or </w:t>
      </w:r>
      <w:r w:rsidRPr="004E1DE3">
        <w:rPr>
          <w:rFonts w:ascii="Arial" w:hAnsi="Arial" w:cs="Arial"/>
          <w:sz w:val="22"/>
          <w:szCs w:val="22"/>
          <w:lang w:val="en-CA"/>
        </w:rPr>
        <w:t>infection</w:t>
      </w:r>
      <w:r w:rsidR="008702B8" w:rsidRPr="004E1DE3">
        <w:rPr>
          <w:rFonts w:ascii="Arial" w:hAnsi="Arial" w:cs="Arial"/>
          <w:sz w:val="22"/>
          <w:szCs w:val="22"/>
          <w:lang w:val="en-CA"/>
        </w:rPr>
        <w:t xml:space="preserve">, is not compensable damage in </w:t>
      </w:r>
      <w:r w:rsidRPr="004E1DE3">
        <w:rPr>
          <w:rFonts w:ascii="Arial" w:hAnsi="Arial" w:cs="Arial"/>
          <w:sz w:val="22"/>
          <w:szCs w:val="22"/>
          <w:lang w:val="en-CA"/>
        </w:rPr>
        <w:t>Quebec</w:t>
      </w:r>
      <w:r w:rsidR="008702B8" w:rsidRPr="004E1DE3">
        <w:rPr>
          <w:rFonts w:ascii="Arial" w:hAnsi="Arial" w:cs="Arial"/>
          <w:sz w:val="22"/>
          <w:szCs w:val="22"/>
          <w:lang w:val="en-CA"/>
        </w:rPr>
        <w:t xml:space="preserve"> </w:t>
      </w:r>
      <w:r w:rsidRPr="004E1DE3">
        <w:rPr>
          <w:rFonts w:ascii="Arial" w:hAnsi="Arial" w:cs="Arial"/>
          <w:sz w:val="22"/>
          <w:szCs w:val="22"/>
          <w:lang w:val="en-CA"/>
        </w:rPr>
        <w:t>law. </w:t>
      </w:r>
      <w:r w:rsidR="00287B1B" w:rsidRPr="004E1DE3">
        <w:rPr>
          <w:rFonts w:ascii="Arial" w:hAnsi="Arial" w:cs="Arial"/>
          <w:sz w:val="22"/>
          <w:szCs w:val="22"/>
          <w:lang w:val="en-CA"/>
        </w:rPr>
        <w:t xml:space="preserve">It is uncertain and hypothetical damage, prohibited under </w:t>
      </w:r>
      <w:r w:rsidRPr="003C36BF">
        <w:rPr>
          <w:rFonts w:ascii="Arial" w:hAnsi="Arial" w:cs="Arial"/>
          <w:sz w:val="22"/>
          <w:szCs w:val="22"/>
          <w:u w:val="single"/>
          <w:lang w:val="en-CA"/>
        </w:rPr>
        <w:t>article</w:t>
      </w:r>
      <w:r w:rsidRPr="004E1DE3">
        <w:rPr>
          <w:rStyle w:val="Hyperlien"/>
          <w:rFonts w:ascii="Arial" w:hAnsi="Arial" w:cs="Arial"/>
          <w:color w:val="auto"/>
          <w:sz w:val="22"/>
          <w:szCs w:val="22"/>
          <w:u w:val="none"/>
          <w:lang w:val="en-CA"/>
        </w:rPr>
        <w:t xml:space="preserve"> 1611</w:t>
      </w:r>
      <w:r w:rsidRPr="004E1DE3">
        <w:rPr>
          <w:rFonts w:ascii="Arial" w:hAnsi="Arial" w:cs="Arial"/>
          <w:sz w:val="22"/>
          <w:szCs w:val="22"/>
          <w:lang w:val="en-CA"/>
        </w:rPr>
        <w:t> </w:t>
      </w:r>
      <w:r w:rsidRPr="004E1DE3">
        <w:rPr>
          <w:rStyle w:val="Hyperlien"/>
          <w:rFonts w:ascii="Arial" w:hAnsi="Arial" w:cs="Arial"/>
          <w:color w:val="auto"/>
          <w:sz w:val="22"/>
          <w:szCs w:val="22"/>
          <w:u w:val="none"/>
          <w:lang w:val="en-CA"/>
        </w:rPr>
        <w:t>C</w:t>
      </w:r>
      <w:r w:rsidR="00283CA5" w:rsidRPr="004E1DE3">
        <w:rPr>
          <w:rStyle w:val="Hyperlien"/>
          <w:rFonts w:ascii="Arial" w:hAnsi="Arial" w:cs="Arial"/>
          <w:color w:val="auto"/>
          <w:sz w:val="22"/>
          <w:szCs w:val="22"/>
          <w:u w:val="none"/>
          <w:lang w:val="en-CA"/>
        </w:rPr>
        <w:t>C</w:t>
      </w:r>
      <w:r w:rsidRPr="004E1DE3">
        <w:rPr>
          <w:rStyle w:val="Hyperlien"/>
          <w:rFonts w:ascii="Arial" w:hAnsi="Arial" w:cs="Arial"/>
          <w:color w:val="auto"/>
          <w:sz w:val="22"/>
          <w:szCs w:val="22"/>
          <w:u w:val="none"/>
          <w:lang w:val="en-CA"/>
        </w:rPr>
        <w:t>Q</w:t>
      </w:r>
      <w:r w:rsidRPr="004E1DE3">
        <w:rPr>
          <w:rFonts w:ascii="Arial" w:hAnsi="Arial" w:cs="Arial"/>
          <w:sz w:val="22"/>
          <w:szCs w:val="22"/>
          <w:lang w:val="en-CA"/>
        </w:rPr>
        <w:t> </w:t>
      </w:r>
      <w:r w:rsidR="00283CA5" w:rsidRPr="004E1DE3">
        <w:rPr>
          <w:rFonts w:ascii="Arial" w:hAnsi="Arial" w:cs="Arial"/>
          <w:sz w:val="22"/>
          <w:szCs w:val="22"/>
          <w:lang w:val="en-CA"/>
        </w:rPr>
        <w:t xml:space="preserve">and the relevant authorities on the matter. A risk is not </w:t>
      </w:r>
      <w:r w:rsidR="00EF7014">
        <w:rPr>
          <w:rFonts w:ascii="Arial" w:hAnsi="Arial" w:cs="Arial"/>
          <w:sz w:val="22"/>
          <w:szCs w:val="22"/>
          <w:lang w:val="en-CA"/>
        </w:rPr>
        <w:t xml:space="preserve">an </w:t>
      </w:r>
      <w:r w:rsidR="00283CA5" w:rsidRPr="004E1DE3">
        <w:rPr>
          <w:rFonts w:ascii="Arial" w:hAnsi="Arial" w:cs="Arial"/>
          <w:sz w:val="22"/>
          <w:szCs w:val="22"/>
          <w:lang w:val="en-CA"/>
        </w:rPr>
        <w:t xml:space="preserve">injury that is </w:t>
      </w:r>
      <w:r w:rsidRPr="004E1DE3">
        <w:rPr>
          <w:rFonts w:ascii="Arial" w:hAnsi="Arial" w:cs="Arial"/>
          <w:sz w:val="22"/>
          <w:szCs w:val="22"/>
          <w:lang w:val="en-CA"/>
        </w:rPr>
        <w:t>certain.</w:t>
      </w:r>
    </w:p>
    <w:p w14:paraId="51A6161A" w14:textId="77777777" w:rsidR="001047C3" w:rsidRPr="004E1DE3" w:rsidRDefault="00573CA9" w:rsidP="001047C3">
      <w:pPr>
        <w:pStyle w:val="paragrsimple0"/>
        <w:spacing w:before="120" w:beforeAutospacing="0" w:after="120" w:afterAutospacing="0"/>
        <w:ind w:left="709" w:right="679"/>
        <w:jc w:val="both"/>
        <w:rPr>
          <w:rFonts w:ascii="Arial" w:hAnsi="Arial" w:cs="Arial"/>
          <w:sz w:val="22"/>
          <w:szCs w:val="22"/>
          <w:lang w:val="en-CA"/>
        </w:rPr>
      </w:pPr>
      <w:r w:rsidRPr="004E1DE3">
        <w:rPr>
          <w:rFonts w:ascii="Arial" w:hAnsi="Arial" w:cs="Arial"/>
          <w:sz w:val="22"/>
          <w:szCs w:val="22"/>
          <w:lang w:val="en-CA"/>
        </w:rPr>
        <w:t>[30]</w:t>
      </w:r>
      <w:r w:rsidRPr="004E1DE3">
        <w:rPr>
          <w:sz w:val="22"/>
          <w:szCs w:val="22"/>
          <w:lang w:val="en-CA"/>
        </w:rPr>
        <w:t>       </w:t>
      </w:r>
      <w:r w:rsidR="00283CA5" w:rsidRPr="004E1DE3">
        <w:rPr>
          <w:sz w:val="22"/>
          <w:szCs w:val="22"/>
          <w:lang w:val="en-CA"/>
        </w:rPr>
        <w:t xml:space="preserve"> </w:t>
      </w:r>
      <w:r w:rsidR="00283CA5" w:rsidRPr="004E1DE3">
        <w:rPr>
          <w:rFonts w:ascii="Arial" w:hAnsi="Arial" w:cs="Arial"/>
          <w:sz w:val="22"/>
          <w:szCs w:val="22"/>
          <w:lang w:val="en-CA"/>
        </w:rPr>
        <w:t xml:space="preserve">In the </w:t>
      </w:r>
      <w:r w:rsidRPr="004E1DE3">
        <w:rPr>
          <w:rFonts w:ascii="Arial" w:hAnsi="Arial" w:cs="Arial"/>
          <w:sz w:val="22"/>
          <w:szCs w:val="22"/>
          <w:lang w:val="en-CA"/>
        </w:rPr>
        <w:t>circumstances,</w:t>
      </w:r>
      <w:r w:rsidR="00283CA5" w:rsidRPr="004E1DE3">
        <w:rPr>
          <w:rFonts w:ascii="Arial" w:hAnsi="Arial" w:cs="Arial"/>
          <w:sz w:val="22"/>
          <w:szCs w:val="22"/>
          <w:lang w:val="en-CA"/>
        </w:rPr>
        <w:t xml:space="preserve"> the plaintiff has no </w:t>
      </w:r>
      <w:r w:rsidRPr="004E1DE3">
        <w:rPr>
          <w:rFonts w:ascii="Arial" w:hAnsi="Arial" w:cs="Arial"/>
          <w:sz w:val="22"/>
          <w:szCs w:val="22"/>
          <w:lang w:val="en-CA"/>
        </w:rPr>
        <w:t>colour</w:t>
      </w:r>
      <w:r w:rsidR="00234BCB" w:rsidRPr="004E1DE3">
        <w:rPr>
          <w:rFonts w:ascii="Arial" w:hAnsi="Arial" w:cs="Arial"/>
          <w:sz w:val="22"/>
          <w:szCs w:val="22"/>
          <w:lang w:val="en-CA"/>
        </w:rPr>
        <w:t xml:space="preserve"> </w:t>
      </w:r>
      <w:r w:rsidRPr="004E1DE3">
        <w:rPr>
          <w:rFonts w:ascii="Arial" w:hAnsi="Arial" w:cs="Arial"/>
          <w:sz w:val="22"/>
          <w:szCs w:val="22"/>
          <w:lang w:val="en-CA"/>
        </w:rPr>
        <w:t>of</w:t>
      </w:r>
      <w:r w:rsidR="00234BCB" w:rsidRPr="004E1DE3">
        <w:rPr>
          <w:rFonts w:ascii="Arial" w:hAnsi="Arial" w:cs="Arial"/>
          <w:sz w:val="22"/>
          <w:szCs w:val="22"/>
          <w:lang w:val="en-CA"/>
        </w:rPr>
        <w:t xml:space="preserve"> </w:t>
      </w:r>
      <w:r w:rsidRPr="004E1DE3">
        <w:rPr>
          <w:rFonts w:ascii="Arial" w:hAnsi="Arial" w:cs="Arial"/>
          <w:sz w:val="22"/>
          <w:szCs w:val="22"/>
          <w:lang w:val="en-CA"/>
        </w:rPr>
        <w:t>right</w:t>
      </w:r>
      <w:r w:rsidR="00234BCB" w:rsidRPr="004E1DE3">
        <w:rPr>
          <w:rFonts w:ascii="Arial" w:hAnsi="Arial" w:cs="Arial"/>
          <w:sz w:val="22"/>
          <w:szCs w:val="22"/>
          <w:lang w:val="en-CA"/>
        </w:rPr>
        <w:t xml:space="preserve"> to the following damages</w:t>
      </w:r>
      <w:r w:rsidRPr="004E1DE3">
        <w:rPr>
          <w:rFonts w:ascii="Arial" w:hAnsi="Arial" w:cs="Arial"/>
          <w:sz w:val="22"/>
          <w:szCs w:val="22"/>
          <w:lang w:val="en-CA"/>
        </w:rPr>
        <w:t>:</w:t>
      </w:r>
    </w:p>
    <w:p w14:paraId="6BAAB20B" w14:textId="77777777" w:rsidR="001047C3" w:rsidRPr="004E1DE3" w:rsidRDefault="00573CA9" w:rsidP="001047C3">
      <w:pPr>
        <w:pStyle w:val="paragrsimple0"/>
        <w:spacing w:before="120" w:beforeAutospacing="0" w:after="120" w:afterAutospacing="0"/>
        <w:ind w:left="1560" w:right="1104"/>
        <w:jc w:val="both"/>
        <w:rPr>
          <w:rFonts w:ascii="Arial" w:hAnsi="Arial" w:cs="Arial"/>
          <w:sz w:val="22"/>
          <w:szCs w:val="22"/>
          <w:lang w:val="en-CA"/>
        </w:rPr>
      </w:pPr>
      <w:r w:rsidRPr="004E1DE3">
        <w:rPr>
          <w:rFonts w:ascii="Arial" w:hAnsi="Arial" w:cs="Arial"/>
          <w:sz w:val="22"/>
          <w:szCs w:val="22"/>
          <w:lang w:val="en-CA"/>
        </w:rPr>
        <w:t>•</w:t>
      </w:r>
      <w:r w:rsidRPr="004E1DE3">
        <w:rPr>
          <w:sz w:val="22"/>
          <w:szCs w:val="22"/>
          <w:lang w:val="en-CA"/>
        </w:rPr>
        <w:t>         </w:t>
      </w:r>
      <w:r w:rsidR="005844B4" w:rsidRPr="004E1DE3">
        <w:rPr>
          <w:rFonts w:ascii="Arial" w:hAnsi="Arial" w:cs="Arial"/>
          <w:sz w:val="22"/>
          <w:szCs w:val="22"/>
          <w:lang w:val="en-CA"/>
        </w:rPr>
        <w:t xml:space="preserve">Economic  loss resulting from the purchase of continuous credit </w:t>
      </w:r>
      <w:r w:rsidRPr="004E1DE3">
        <w:rPr>
          <w:rFonts w:ascii="Arial" w:hAnsi="Arial" w:cs="Arial"/>
          <w:sz w:val="22"/>
          <w:szCs w:val="22"/>
          <w:lang w:val="en-CA"/>
        </w:rPr>
        <w:t>monitoring</w:t>
      </w:r>
      <w:r w:rsidR="005844B4" w:rsidRPr="004E1DE3">
        <w:rPr>
          <w:rFonts w:ascii="Arial" w:hAnsi="Arial" w:cs="Arial"/>
          <w:sz w:val="22"/>
          <w:szCs w:val="22"/>
          <w:lang w:val="en-CA"/>
        </w:rPr>
        <w:t xml:space="preserve"> services, among other</w:t>
      </w:r>
      <w:r w:rsidR="00F806E4" w:rsidRPr="004E1DE3">
        <w:rPr>
          <w:rFonts w:ascii="Arial" w:hAnsi="Arial" w:cs="Arial"/>
          <w:sz w:val="22"/>
          <w:szCs w:val="22"/>
          <w:lang w:val="en-CA"/>
        </w:rPr>
        <w:t>s</w:t>
      </w:r>
      <w:r w:rsidRPr="004E1DE3">
        <w:rPr>
          <w:rFonts w:ascii="Arial" w:hAnsi="Arial" w:cs="Arial"/>
          <w:sz w:val="22"/>
          <w:szCs w:val="22"/>
          <w:lang w:val="en-CA"/>
        </w:rPr>
        <w:t>;</w:t>
      </w:r>
      <w:r w:rsidR="00EF7014">
        <w:rPr>
          <w:rFonts w:ascii="Arial" w:hAnsi="Arial" w:cs="Arial"/>
          <w:sz w:val="22"/>
          <w:szCs w:val="22"/>
          <w:lang w:val="en-CA"/>
        </w:rPr>
        <w:t xml:space="preserve"> and</w:t>
      </w:r>
    </w:p>
    <w:p w14:paraId="0E7D3E98" w14:textId="77777777" w:rsidR="001047C3" w:rsidRPr="004E1DE3" w:rsidRDefault="00573CA9" w:rsidP="001047C3">
      <w:pPr>
        <w:pStyle w:val="paragrsimple0"/>
        <w:spacing w:before="120" w:beforeAutospacing="0" w:after="120" w:afterAutospacing="0"/>
        <w:ind w:left="1560" w:right="1104"/>
        <w:jc w:val="both"/>
        <w:rPr>
          <w:rFonts w:ascii="Arial" w:hAnsi="Arial" w:cs="Arial"/>
          <w:sz w:val="22"/>
          <w:szCs w:val="22"/>
          <w:lang w:val="en-CA"/>
        </w:rPr>
      </w:pPr>
      <w:r w:rsidRPr="004E1DE3">
        <w:rPr>
          <w:rFonts w:ascii="Arial" w:hAnsi="Arial" w:cs="Arial"/>
          <w:sz w:val="22"/>
          <w:szCs w:val="22"/>
          <w:lang w:val="en-CA"/>
        </w:rPr>
        <w:t>•</w:t>
      </w:r>
      <w:r w:rsidRPr="004E1DE3">
        <w:rPr>
          <w:sz w:val="22"/>
          <w:szCs w:val="22"/>
          <w:lang w:val="en-CA"/>
        </w:rPr>
        <w:t>         </w:t>
      </w:r>
      <w:r w:rsidRPr="004E1DE3">
        <w:rPr>
          <w:rFonts w:ascii="Arial" w:hAnsi="Arial" w:cs="Arial"/>
          <w:sz w:val="22"/>
          <w:szCs w:val="22"/>
          <w:lang w:val="en-CA"/>
        </w:rPr>
        <w:t>Trouble</w:t>
      </w:r>
      <w:r w:rsidR="005844B4" w:rsidRPr="004E1DE3">
        <w:rPr>
          <w:rFonts w:ascii="Arial" w:hAnsi="Arial" w:cs="Arial"/>
          <w:sz w:val="22"/>
          <w:szCs w:val="22"/>
          <w:lang w:val="en-CA"/>
        </w:rPr>
        <w:t xml:space="preserve"> and </w:t>
      </w:r>
      <w:r w:rsidRPr="004E1DE3">
        <w:rPr>
          <w:rFonts w:ascii="Arial" w:hAnsi="Arial" w:cs="Arial"/>
          <w:sz w:val="22"/>
          <w:szCs w:val="22"/>
          <w:lang w:val="en-CA"/>
        </w:rPr>
        <w:t>inconv</w:t>
      </w:r>
      <w:r w:rsidR="005844B4" w:rsidRPr="004E1DE3">
        <w:rPr>
          <w:rFonts w:ascii="Arial" w:hAnsi="Arial" w:cs="Arial"/>
          <w:sz w:val="22"/>
          <w:szCs w:val="22"/>
          <w:lang w:val="en-CA"/>
        </w:rPr>
        <w:t xml:space="preserve">enience </w:t>
      </w:r>
      <w:r w:rsidRPr="004E1DE3">
        <w:rPr>
          <w:rFonts w:ascii="Arial" w:hAnsi="Arial" w:cs="Arial"/>
          <w:sz w:val="22"/>
          <w:szCs w:val="22"/>
          <w:lang w:val="en-CA"/>
        </w:rPr>
        <w:t>associ</w:t>
      </w:r>
      <w:r w:rsidR="005844B4" w:rsidRPr="004E1DE3">
        <w:rPr>
          <w:rFonts w:ascii="Arial" w:hAnsi="Arial" w:cs="Arial"/>
          <w:sz w:val="22"/>
          <w:szCs w:val="22"/>
          <w:lang w:val="en-CA"/>
        </w:rPr>
        <w:t>ated</w:t>
      </w:r>
      <w:r w:rsidR="00F806E4" w:rsidRPr="004E1DE3">
        <w:rPr>
          <w:rFonts w:ascii="Arial" w:hAnsi="Arial" w:cs="Arial"/>
          <w:sz w:val="22"/>
          <w:szCs w:val="22"/>
          <w:lang w:val="en-CA"/>
        </w:rPr>
        <w:t xml:space="preserve"> with the cancellation of </w:t>
      </w:r>
      <w:r w:rsidRPr="004E1DE3">
        <w:rPr>
          <w:rFonts w:ascii="Arial" w:hAnsi="Arial" w:cs="Arial"/>
          <w:sz w:val="22"/>
          <w:szCs w:val="22"/>
          <w:lang w:val="en-CA"/>
        </w:rPr>
        <w:t>credit</w:t>
      </w:r>
      <w:r w:rsidR="00F806E4" w:rsidRPr="004E1DE3">
        <w:rPr>
          <w:rFonts w:ascii="Arial" w:hAnsi="Arial" w:cs="Arial"/>
          <w:sz w:val="22"/>
          <w:szCs w:val="22"/>
          <w:lang w:val="en-CA"/>
        </w:rPr>
        <w:t xml:space="preserve"> </w:t>
      </w:r>
      <w:r w:rsidRPr="004E1DE3">
        <w:rPr>
          <w:rFonts w:ascii="Arial" w:hAnsi="Arial" w:cs="Arial"/>
          <w:sz w:val="22"/>
          <w:szCs w:val="22"/>
          <w:lang w:val="en-CA"/>
        </w:rPr>
        <w:t>card</w:t>
      </w:r>
      <w:r w:rsidR="00F806E4" w:rsidRPr="004E1DE3">
        <w:rPr>
          <w:rFonts w:ascii="Arial" w:hAnsi="Arial" w:cs="Arial"/>
          <w:sz w:val="22"/>
          <w:szCs w:val="22"/>
          <w:lang w:val="en-CA"/>
        </w:rPr>
        <w:t xml:space="preserve">s and the </w:t>
      </w:r>
      <w:r w:rsidRPr="004E1DE3">
        <w:rPr>
          <w:rFonts w:ascii="Arial" w:hAnsi="Arial" w:cs="Arial"/>
          <w:sz w:val="22"/>
          <w:szCs w:val="22"/>
          <w:lang w:val="en-CA"/>
        </w:rPr>
        <w:t>organi</w:t>
      </w:r>
      <w:r w:rsidR="00F806E4" w:rsidRPr="004E1DE3">
        <w:rPr>
          <w:rFonts w:ascii="Arial" w:hAnsi="Arial" w:cs="Arial"/>
          <w:sz w:val="22"/>
          <w:szCs w:val="22"/>
          <w:lang w:val="en-CA"/>
        </w:rPr>
        <w:t>z</w:t>
      </w:r>
      <w:r w:rsidRPr="004E1DE3">
        <w:rPr>
          <w:rFonts w:ascii="Arial" w:hAnsi="Arial" w:cs="Arial"/>
          <w:sz w:val="22"/>
          <w:szCs w:val="22"/>
          <w:lang w:val="en-CA"/>
        </w:rPr>
        <w:t xml:space="preserve">ation </w:t>
      </w:r>
      <w:r w:rsidR="00F806E4" w:rsidRPr="004E1DE3">
        <w:rPr>
          <w:rFonts w:ascii="Arial" w:hAnsi="Arial" w:cs="Arial"/>
          <w:sz w:val="22"/>
          <w:szCs w:val="22"/>
          <w:lang w:val="en-CA"/>
        </w:rPr>
        <w:t xml:space="preserve">of credit </w:t>
      </w:r>
      <w:r w:rsidRPr="004E1DE3">
        <w:rPr>
          <w:rFonts w:ascii="Arial" w:hAnsi="Arial" w:cs="Arial"/>
          <w:sz w:val="22"/>
          <w:szCs w:val="22"/>
          <w:lang w:val="en-CA"/>
        </w:rPr>
        <w:t xml:space="preserve">monitoring </w:t>
      </w:r>
      <w:r w:rsidR="00F806E4" w:rsidRPr="004E1DE3">
        <w:rPr>
          <w:rFonts w:ascii="Arial" w:hAnsi="Arial" w:cs="Arial"/>
          <w:sz w:val="22"/>
          <w:szCs w:val="22"/>
          <w:lang w:val="en-CA"/>
        </w:rPr>
        <w:t>services, among others</w:t>
      </w:r>
      <w:r w:rsidRPr="004E1DE3">
        <w:rPr>
          <w:rFonts w:ascii="Arial" w:hAnsi="Arial" w:cs="Arial"/>
          <w:sz w:val="22"/>
          <w:szCs w:val="22"/>
          <w:lang w:val="en-CA"/>
        </w:rPr>
        <w:t>.</w:t>
      </w:r>
    </w:p>
    <w:p w14:paraId="75D70496" w14:textId="77777777" w:rsidR="001047C3" w:rsidRPr="004E1DE3" w:rsidRDefault="00573CA9" w:rsidP="001047C3">
      <w:pPr>
        <w:pStyle w:val="paragrsimple0"/>
        <w:spacing w:before="120" w:beforeAutospacing="0" w:after="120" w:afterAutospacing="0"/>
        <w:ind w:left="709" w:right="679"/>
        <w:jc w:val="both"/>
        <w:rPr>
          <w:rFonts w:ascii="Arial" w:hAnsi="Arial" w:cs="Arial"/>
          <w:color w:val="000000"/>
          <w:sz w:val="22"/>
          <w:szCs w:val="22"/>
          <w:lang w:val="en-CA"/>
        </w:rPr>
      </w:pPr>
      <w:r w:rsidRPr="004E1DE3">
        <w:rPr>
          <w:rFonts w:ascii="Arial" w:hAnsi="Arial" w:cs="Arial"/>
          <w:sz w:val="22"/>
          <w:szCs w:val="22"/>
          <w:lang w:val="en-CA"/>
        </w:rPr>
        <w:t>[31]</w:t>
      </w:r>
      <w:r w:rsidRPr="004E1DE3">
        <w:rPr>
          <w:sz w:val="22"/>
          <w:szCs w:val="22"/>
          <w:lang w:val="en-CA"/>
        </w:rPr>
        <w:t>        </w:t>
      </w:r>
      <w:r w:rsidR="00062BC8" w:rsidRPr="004E1DE3">
        <w:rPr>
          <w:rFonts w:ascii="Arial" w:hAnsi="Arial" w:cs="Arial"/>
          <w:sz w:val="22"/>
          <w:szCs w:val="22"/>
          <w:lang w:val="en-CA"/>
        </w:rPr>
        <w:t>I</w:t>
      </w:r>
      <w:r w:rsidRPr="004E1DE3">
        <w:rPr>
          <w:rFonts w:ascii="Arial" w:hAnsi="Arial" w:cs="Arial"/>
          <w:sz w:val="22"/>
          <w:szCs w:val="22"/>
          <w:lang w:val="en-CA"/>
        </w:rPr>
        <w:t>n</w:t>
      </w:r>
      <w:r w:rsidR="00062BC8" w:rsidRPr="004E1DE3">
        <w:rPr>
          <w:rFonts w:ascii="Arial" w:hAnsi="Arial" w:cs="Arial"/>
          <w:sz w:val="22"/>
          <w:szCs w:val="22"/>
          <w:lang w:val="en-CA"/>
        </w:rPr>
        <w:t xml:space="preserve"> </w:t>
      </w:r>
      <w:r w:rsidRPr="004E1DE3">
        <w:rPr>
          <w:rFonts w:ascii="Arial" w:hAnsi="Arial" w:cs="Arial"/>
          <w:sz w:val="22"/>
          <w:szCs w:val="22"/>
          <w:lang w:val="en-CA"/>
        </w:rPr>
        <w:t>addition,</w:t>
      </w:r>
      <w:r w:rsidR="00062BC8" w:rsidRPr="004E1DE3">
        <w:rPr>
          <w:rFonts w:ascii="Arial" w:hAnsi="Arial" w:cs="Arial"/>
          <w:sz w:val="22"/>
          <w:szCs w:val="22"/>
          <w:lang w:val="en-CA"/>
        </w:rPr>
        <w:t xml:space="preserve"> the “</w:t>
      </w:r>
      <w:r w:rsidRPr="004E1DE3">
        <w:rPr>
          <w:rFonts w:ascii="Arial" w:hAnsi="Arial" w:cs="Arial"/>
          <w:sz w:val="22"/>
          <w:szCs w:val="22"/>
          <w:lang w:val="en-CA"/>
        </w:rPr>
        <w:t>mental distress</w:t>
      </w:r>
      <w:r w:rsidR="00062BC8" w:rsidRPr="004E1DE3">
        <w:rPr>
          <w:rFonts w:ascii="Arial" w:hAnsi="Arial" w:cs="Arial"/>
          <w:sz w:val="22"/>
          <w:szCs w:val="22"/>
          <w:lang w:val="en-CA"/>
        </w:rPr>
        <w:t>” alleged by the plaintiff</w:t>
      </w:r>
      <w:r w:rsidRPr="004E1DE3">
        <w:rPr>
          <w:rFonts w:ascii="Arial" w:hAnsi="Arial" w:cs="Arial"/>
          <w:sz w:val="22"/>
          <w:szCs w:val="22"/>
          <w:lang w:val="en-CA"/>
        </w:rPr>
        <w:t xml:space="preserve"> </w:t>
      </w:r>
      <w:r w:rsidR="00F00D25" w:rsidRPr="004E1DE3">
        <w:rPr>
          <w:rFonts w:ascii="Arial" w:hAnsi="Arial" w:cs="Arial"/>
          <w:sz w:val="22"/>
          <w:szCs w:val="22"/>
          <w:lang w:val="en-CA"/>
        </w:rPr>
        <w:t>is not characterized or described in a manner that exceeds the ordinary annoyances, anxieties and fears that people living in society routinely, if sometimes reluctantly, accept. </w:t>
      </w:r>
      <w:r w:rsidR="00EC4D3D" w:rsidRPr="004E1DE3">
        <w:rPr>
          <w:rFonts w:ascii="Arial" w:hAnsi="Arial" w:cs="Arial"/>
          <w:sz w:val="22"/>
          <w:szCs w:val="22"/>
          <w:lang w:val="en-CA"/>
        </w:rPr>
        <w:t>More details would have been required, rather that mere allegations</w:t>
      </w:r>
      <w:r w:rsidRPr="004E1DE3">
        <w:rPr>
          <w:rFonts w:ascii="Arial" w:hAnsi="Arial" w:cs="Arial"/>
          <w:sz w:val="22"/>
          <w:szCs w:val="22"/>
          <w:lang w:val="en-CA"/>
        </w:rPr>
        <w:t>.</w:t>
      </w:r>
      <w:r w:rsidR="006302DA" w:rsidRPr="004E1DE3">
        <w:rPr>
          <w:rFonts w:ascii="Arial" w:hAnsi="Arial" w:cs="Arial"/>
          <w:sz w:val="22"/>
          <w:szCs w:val="22"/>
          <w:lang w:val="en-CA"/>
        </w:rPr>
        <w:t xml:space="preserve"> According to the allegations in the Amended </w:t>
      </w:r>
      <w:r w:rsidRPr="004E1DE3">
        <w:rPr>
          <w:rFonts w:ascii="Arial" w:hAnsi="Arial" w:cs="Arial"/>
          <w:sz w:val="22"/>
          <w:szCs w:val="22"/>
          <w:lang w:val="en-CA"/>
        </w:rPr>
        <w:t>application</w:t>
      </w:r>
      <w:r w:rsidRPr="004E1DE3">
        <w:rPr>
          <w:rFonts w:ascii="Arial" w:hAnsi="Arial" w:cs="Arial"/>
          <w:color w:val="000000"/>
          <w:sz w:val="22"/>
          <w:szCs w:val="22"/>
          <w:lang w:val="en-CA"/>
        </w:rPr>
        <w:t xml:space="preserve">, </w:t>
      </w:r>
      <w:r w:rsidRPr="004E1DE3">
        <w:rPr>
          <w:rFonts w:ascii="Arial" w:hAnsi="Arial" w:cs="Arial"/>
          <w:sz w:val="22"/>
          <w:szCs w:val="22"/>
          <w:lang w:val="en-CA"/>
        </w:rPr>
        <w:t>the</w:t>
      </w:r>
      <w:r w:rsidR="006302DA" w:rsidRPr="004E1DE3">
        <w:rPr>
          <w:rFonts w:ascii="Arial" w:hAnsi="Arial" w:cs="Arial"/>
          <w:sz w:val="22"/>
          <w:szCs w:val="22"/>
          <w:lang w:val="en-CA"/>
        </w:rPr>
        <w:t xml:space="preserve"> </w:t>
      </w:r>
      <w:r w:rsidRPr="004E1DE3">
        <w:rPr>
          <w:rFonts w:ascii="Arial" w:hAnsi="Arial" w:cs="Arial"/>
          <w:sz w:val="22"/>
          <w:szCs w:val="22"/>
          <w:lang w:val="en-CA"/>
        </w:rPr>
        <w:t>Court</w:t>
      </w:r>
      <w:r w:rsidR="006302DA" w:rsidRPr="004E1DE3">
        <w:rPr>
          <w:rFonts w:ascii="Arial" w:hAnsi="Arial" w:cs="Arial"/>
          <w:sz w:val="22"/>
          <w:szCs w:val="22"/>
          <w:lang w:val="en-CA"/>
        </w:rPr>
        <w:t xml:space="preserve"> finds that this injury alleged by the plaintiff is negligible and therefore has no </w:t>
      </w:r>
      <w:r w:rsidRPr="004E1DE3">
        <w:rPr>
          <w:rFonts w:ascii="Arial" w:hAnsi="Arial" w:cs="Arial"/>
          <w:sz w:val="22"/>
          <w:szCs w:val="22"/>
          <w:lang w:val="en-CA"/>
        </w:rPr>
        <w:t>colour</w:t>
      </w:r>
      <w:r w:rsidR="006302DA" w:rsidRPr="004E1DE3">
        <w:rPr>
          <w:rFonts w:ascii="Arial" w:hAnsi="Arial" w:cs="Arial"/>
          <w:sz w:val="22"/>
          <w:szCs w:val="22"/>
          <w:lang w:val="en-CA"/>
        </w:rPr>
        <w:t xml:space="preserve"> </w:t>
      </w:r>
      <w:r w:rsidRPr="004E1DE3">
        <w:rPr>
          <w:rFonts w:ascii="Arial" w:hAnsi="Arial" w:cs="Arial"/>
          <w:sz w:val="22"/>
          <w:szCs w:val="22"/>
          <w:lang w:val="en-CA"/>
        </w:rPr>
        <w:t>of</w:t>
      </w:r>
      <w:r w:rsidR="006302DA" w:rsidRPr="004E1DE3">
        <w:rPr>
          <w:rFonts w:ascii="Arial" w:hAnsi="Arial" w:cs="Arial"/>
          <w:sz w:val="22"/>
          <w:szCs w:val="22"/>
          <w:lang w:val="en-CA"/>
        </w:rPr>
        <w:t xml:space="preserve"> </w:t>
      </w:r>
      <w:r w:rsidRPr="004E1DE3">
        <w:rPr>
          <w:rFonts w:ascii="Arial" w:hAnsi="Arial" w:cs="Arial"/>
          <w:sz w:val="22"/>
          <w:szCs w:val="22"/>
          <w:lang w:val="en-CA"/>
        </w:rPr>
        <w:t>right</w:t>
      </w:r>
      <w:r w:rsidRPr="004E1DE3">
        <w:rPr>
          <w:rFonts w:ascii="Arial" w:hAnsi="Arial" w:cs="Arial"/>
          <w:color w:val="000000"/>
          <w:sz w:val="22"/>
          <w:szCs w:val="22"/>
          <w:lang w:val="en-CA"/>
        </w:rPr>
        <w:t>.</w:t>
      </w:r>
    </w:p>
    <w:p w14:paraId="54D7F79C" w14:textId="77777777" w:rsidR="001047C3" w:rsidRPr="004E1DE3" w:rsidRDefault="00573CA9" w:rsidP="001047C3">
      <w:pPr>
        <w:pStyle w:val="paragrsimple0"/>
        <w:spacing w:before="120" w:beforeAutospacing="0" w:after="120" w:afterAutospacing="0"/>
        <w:ind w:left="709" w:right="679"/>
        <w:jc w:val="both"/>
        <w:rPr>
          <w:rFonts w:ascii="Arial" w:hAnsi="Arial" w:cs="Arial"/>
          <w:color w:val="000000"/>
          <w:sz w:val="22"/>
          <w:szCs w:val="22"/>
          <w:lang w:val="en-CA"/>
        </w:rPr>
      </w:pPr>
      <w:r w:rsidRPr="004E1DE3">
        <w:rPr>
          <w:rFonts w:ascii="Arial" w:hAnsi="Arial" w:cs="Arial"/>
          <w:color w:val="000000"/>
          <w:sz w:val="22"/>
          <w:szCs w:val="22"/>
          <w:lang w:val="en-CA"/>
        </w:rPr>
        <w:t>[32]</w:t>
      </w:r>
      <w:r w:rsidRPr="004E1DE3">
        <w:rPr>
          <w:color w:val="000000"/>
          <w:sz w:val="22"/>
          <w:szCs w:val="22"/>
          <w:lang w:val="en-CA"/>
        </w:rPr>
        <w:t>        </w:t>
      </w:r>
      <w:r w:rsidR="006302DA" w:rsidRPr="004E1DE3">
        <w:rPr>
          <w:rFonts w:ascii="Arial" w:hAnsi="Arial" w:cs="Arial"/>
          <w:color w:val="000000"/>
          <w:sz w:val="22"/>
          <w:szCs w:val="22"/>
          <w:lang w:val="en-CA"/>
        </w:rPr>
        <w:t xml:space="preserve">Last, </w:t>
      </w:r>
      <w:r w:rsidR="00671028" w:rsidRPr="004E1DE3">
        <w:rPr>
          <w:rFonts w:ascii="Arial" w:hAnsi="Arial" w:cs="Arial"/>
          <w:color w:val="000000"/>
          <w:sz w:val="22"/>
          <w:szCs w:val="22"/>
          <w:lang w:val="en-CA"/>
        </w:rPr>
        <w:t>there are no</w:t>
      </w:r>
      <w:r w:rsidR="006302DA" w:rsidRPr="004E1DE3">
        <w:rPr>
          <w:rFonts w:ascii="Arial" w:hAnsi="Arial" w:cs="Arial"/>
          <w:color w:val="000000"/>
          <w:sz w:val="22"/>
          <w:szCs w:val="22"/>
          <w:lang w:val="en-CA"/>
        </w:rPr>
        <w:t xml:space="preserve"> [</w:t>
      </w:r>
      <w:r w:rsidR="006302DA" w:rsidRPr="004E1DE3">
        <w:rPr>
          <w:rFonts w:ascii="Arial" w:hAnsi="Arial" w:cs="Arial"/>
          <w:smallCaps/>
          <w:color w:val="000000"/>
          <w:sz w:val="22"/>
          <w:szCs w:val="22"/>
          <w:lang w:val="en-CA"/>
        </w:rPr>
        <w:t>translation</w:t>
      </w:r>
      <w:r w:rsidR="006302DA" w:rsidRPr="004E1DE3">
        <w:rPr>
          <w:rFonts w:ascii="Arial" w:hAnsi="Arial" w:cs="Arial"/>
          <w:color w:val="000000"/>
          <w:sz w:val="22"/>
          <w:szCs w:val="22"/>
          <w:lang w:val="en-CA"/>
        </w:rPr>
        <w:t>] “</w:t>
      </w:r>
      <w:r w:rsidR="00671028" w:rsidRPr="004E1DE3">
        <w:rPr>
          <w:rFonts w:ascii="Arial" w:hAnsi="Arial" w:cs="Arial"/>
          <w:color w:val="000000"/>
          <w:sz w:val="22"/>
          <w:szCs w:val="22"/>
          <w:lang w:val="en-CA"/>
        </w:rPr>
        <w:t>other losses”</w:t>
      </w:r>
      <w:r w:rsidR="006302DA" w:rsidRPr="004E1DE3">
        <w:rPr>
          <w:rFonts w:ascii="Arial" w:hAnsi="Arial" w:cs="Arial"/>
          <w:color w:val="000000"/>
          <w:sz w:val="22"/>
          <w:szCs w:val="22"/>
          <w:lang w:val="en-CA"/>
        </w:rPr>
        <w:t xml:space="preserve"> </w:t>
      </w:r>
      <w:r w:rsidRPr="004E1DE3">
        <w:rPr>
          <w:rFonts w:ascii="Arial" w:hAnsi="Arial" w:cs="Arial"/>
          <w:sz w:val="22"/>
          <w:szCs w:val="22"/>
          <w:lang w:val="en-CA"/>
        </w:rPr>
        <w:t>alleged</w:t>
      </w:r>
      <w:r w:rsidR="00671028" w:rsidRPr="004E1DE3">
        <w:rPr>
          <w:rFonts w:ascii="Arial" w:hAnsi="Arial" w:cs="Arial"/>
          <w:sz w:val="22"/>
          <w:szCs w:val="22"/>
          <w:lang w:val="en-CA"/>
        </w:rPr>
        <w:t xml:space="preserve"> by the plaintiff</w:t>
      </w:r>
      <w:r w:rsidRPr="004E1DE3">
        <w:rPr>
          <w:rFonts w:ascii="Arial" w:hAnsi="Arial" w:cs="Arial"/>
          <w:color w:val="000000"/>
          <w:sz w:val="22"/>
          <w:szCs w:val="22"/>
          <w:lang w:val="en-CA"/>
        </w:rPr>
        <w:t>. </w:t>
      </w:r>
      <w:r w:rsidR="002176DF" w:rsidRPr="004E1DE3">
        <w:rPr>
          <w:rFonts w:ascii="Arial" w:hAnsi="Arial" w:cs="Arial"/>
          <w:color w:val="000000"/>
          <w:sz w:val="22"/>
          <w:szCs w:val="22"/>
          <w:lang w:val="en-CA"/>
        </w:rPr>
        <w:t xml:space="preserve">There is therefore no </w:t>
      </w:r>
      <w:r w:rsidRPr="004E1DE3">
        <w:rPr>
          <w:rFonts w:ascii="Arial" w:hAnsi="Arial" w:cs="Arial"/>
          <w:sz w:val="22"/>
          <w:szCs w:val="22"/>
          <w:lang w:val="en-CA"/>
        </w:rPr>
        <w:t>colour</w:t>
      </w:r>
      <w:r w:rsidR="002176DF" w:rsidRPr="004E1DE3">
        <w:rPr>
          <w:rFonts w:ascii="Arial" w:hAnsi="Arial" w:cs="Arial"/>
          <w:sz w:val="22"/>
          <w:szCs w:val="22"/>
          <w:lang w:val="en-CA"/>
        </w:rPr>
        <w:t xml:space="preserve"> </w:t>
      </w:r>
      <w:r w:rsidRPr="004E1DE3">
        <w:rPr>
          <w:rFonts w:ascii="Arial" w:hAnsi="Arial" w:cs="Arial"/>
          <w:sz w:val="22"/>
          <w:szCs w:val="22"/>
          <w:lang w:val="en-CA"/>
        </w:rPr>
        <w:t>of</w:t>
      </w:r>
      <w:r w:rsidR="002176DF" w:rsidRPr="004E1DE3">
        <w:rPr>
          <w:rFonts w:ascii="Arial" w:hAnsi="Arial" w:cs="Arial"/>
          <w:sz w:val="22"/>
          <w:szCs w:val="22"/>
          <w:lang w:val="en-CA"/>
        </w:rPr>
        <w:t xml:space="preserve"> </w:t>
      </w:r>
      <w:r w:rsidRPr="004E1DE3">
        <w:rPr>
          <w:rFonts w:ascii="Arial" w:hAnsi="Arial" w:cs="Arial"/>
          <w:sz w:val="22"/>
          <w:szCs w:val="22"/>
          <w:lang w:val="en-CA"/>
        </w:rPr>
        <w:t>right</w:t>
      </w:r>
      <w:r w:rsidR="002176DF" w:rsidRPr="004E1DE3">
        <w:rPr>
          <w:rFonts w:ascii="Arial" w:hAnsi="Arial" w:cs="Arial"/>
          <w:sz w:val="22"/>
          <w:szCs w:val="22"/>
          <w:lang w:val="en-CA"/>
        </w:rPr>
        <w:t xml:space="preserve"> in this </w:t>
      </w:r>
      <w:r w:rsidRPr="004E1DE3">
        <w:rPr>
          <w:rFonts w:ascii="Arial" w:hAnsi="Arial" w:cs="Arial"/>
          <w:sz w:val="22"/>
          <w:szCs w:val="22"/>
          <w:lang w:val="en-CA"/>
        </w:rPr>
        <w:t>respect</w:t>
      </w:r>
      <w:r w:rsidRPr="004E1DE3">
        <w:rPr>
          <w:rFonts w:ascii="Arial" w:hAnsi="Arial" w:cs="Arial"/>
          <w:color w:val="000000"/>
          <w:sz w:val="22"/>
          <w:szCs w:val="22"/>
          <w:lang w:val="en-CA"/>
        </w:rPr>
        <w:t>.</w:t>
      </w:r>
    </w:p>
    <w:p w14:paraId="7C430518" w14:textId="77777777" w:rsidR="001047C3" w:rsidRPr="004E1DE3" w:rsidRDefault="00573CA9" w:rsidP="001047C3">
      <w:pPr>
        <w:pStyle w:val="paragrsimple0"/>
        <w:spacing w:before="120" w:beforeAutospacing="0" w:after="120" w:afterAutospacing="0"/>
        <w:ind w:left="709" w:right="679"/>
        <w:jc w:val="both"/>
        <w:rPr>
          <w:rFonts w:ascii="Arial" w:hAnsi="Arial" w:cs="Arial"/>
          <w:color w:val="000000"/>
          <w:sz w:val="22"/>
          <w:szCs w:val="22"/>
          <w:lang w:val="en-CA"/>
        </w:rPr>
      </w:pPr>
      <w:r w:rsidRPr="004E1DE3">
        <w:rPr>
          <w:rFonts w:ascii="Arial" w:hAnsi="Arial" w:cs="Arial"/>
          <w:color w:val="000000"/>
          <w:sz w:val="22"/>
          <w:szCs w:val="22"/>
          <w:lang w:val="en-CA"/>
        </w:rPr>
        <w:t>[33]</w:t>
      </w:r>
      <w:r w:rsidRPr="004E1DE3">
        <w:rPr>
          <w:color w:val="000000"/>
          <w:sz w:val="22"/>
          <w:szCs w:val="22"/>
          <w:lang w:val="en-CA"/>
        </w:rPr>
        <w:t>        </w:t>
      </w:r>
      <w:r w:rsidR="00671028" w:rsidRPr="004E1DE3">
        <w:rPr>
          <w:rFonts w:ascii="Arial" w:hAnsi="Arial" w:cs="Arial"/>
          <w:sz w:val="22"/>
          <w:szCs w:val="22"/>
          <w:lang w:val="en-CA"/>
        </w:rPr>
        <w:t>T</w:t>
      </w:r>
      <w:r w:rsidRPr="004E1DE3">
        <w:rPr>
          <w:rFonts w:ascii="Arial" w:hAnsi="Arial" w:cs="Arial"/>
          <w:sz w:val="22"/>
          <w:szCs w:val="22"/>
          <w:lang w:val="en-CA"/>
        </w:rPr>
        <w:t>he</w:t>
      </w:r>
      <w:r w:rsidR="00671028" w:rsidRPr="004E1DE3">
        <w:rPr>
          <w:rFonts w:ascii="Arial" w:hAnsi="Arial" w:cs="Arial"/>
          <w:sz w:val="22"/>
          <w:szCs w:val="22"/>
          <w:lang w:val="en-CA"/>
        </w:rPr>
        <w:t xml:space="preserve"> </w:t>
      </w:r>
      <w:r w:rsidRPr="004E1DE3">
        <w:rPr>
          <w:rFonts w:ascii="Arial" w:hAnsi="Arial" w:cs="Arial"/>
          <w:sz w:val="22"/>
          <w:szCs w:val="22"/>
          <w:lang w:val="en-CA"/>
        </w:rPr>
        <w:t>Court</w:t>
      </w:r>
      <w:r w:rsidRPr="004E1DE3">
        <w:rPr>
          <w:rFonts w:ascii="Arial" w:hAnsi="Arial" w:cs="Arial"/>
          <w:color w:val="000000"/>
          <w:sz w:val="22"/>
          <w:szCs w:val="22"/>
          <w:lang w:val="en-CA"/>
        </w:rPr>
        <w:t xml:space="preserve"> note</w:t>
      </w:r>
      <w:r w:rsidR="00671028" w:rsidRPr="004E1DE3">
        <w:rPr>
          <w:rFonts w:ascii="Arial" w:hAnsi="Arial" w:cs="Arial"/>
          <w:color w:val="000000"/>
          <w:sz w:val="22"/>
          <w:szCs w:val="22"/>
          <w:lang w:val="en-CA"/>
        </w:rPr>
        <w:t>s in conclusion that the plaintiff</w:t>
      </w:r>
      <w:r w:rsidR="001425FB" w:rsidRPr="004E1DE3">
        <w:rPr>
          <w:rFonts w:ascii="Arial" w:hAnsi="Arial" w:cs="Arial"/>
          <w:color w:val="000000"/>
          <w:sz w:val="22"/>
          <w:szCs w:val="22"/>
          <w:lang w:val="en-CA"/>
        </w:rPr>
        <w:t xml:space="preserve"> does not allege that he received a letter from the </w:t>
      </w:r>
      <w:r w:rsidRPr="004E1DE3">
        <w:rPr>
          <w:rFonts w:ascii="Arial" w:hAnsi="Arial" w:cs="Arial"/>
          <w:sz w:val="22"/>
          <w:szCs w:val="22"/>
          <w:lang w:val="en-CA"/>
        </w:rPr>
        <w:t>defendants</w:t>
      </w:r>
      <w:r w:rsidR="001425FB" w:rsidRPr="004E1DE3">
        <w:rPr>
          <w:rFonts w:ascii="Arial" w:hAnsi="Arial" w:cs="Arial"/>
          <w:sz w:val="22"/>
          <w:szCs w:val="22"/>
          <w:lang w:val="en-CA"/>
        </w:rPr>
        <w:t xml:space="preserve"> inform</w:t>
      </w:r>
      <w:r w:rsidR="006E388F" w:rsidRPr="004E1DE3">
        <w:rPr>
          <w:rFonts w:ascii="Arial" w:hAnsi="Arial" w:cs="Arial"/>
          <w:sz w:val="22"/>
          <w:szCs w:val="22"/>
          <w:lang w:val="en-CA"/>
        </w:rPr>
        <w:t>ing him that he may have been affected by the</w:t>
      </w:r>
      <w:r w:rsidR="00AB5598" w:rsidRPr="004E1DE3">
        <w:rPr>
          <w:rFonts w:ascii="Arial" w:hAnsi="Arial" w:cs="Arial"/>
          <w:sz w:val="22"/>
          <w:szCs w:val="22"/>
          <w:lang w:val="en-CA"/>
        </w:rPr>
        <w:t xml:space="preserve"> hacking</w:t>
      </w:r>
      <w:r w:rsidR="006E388F" w:rsidRPr="004E1DE3">
        <w:rPr>
          <w:rFonts w:ascii="Arial" w:hAnsi="Arial" w:cs="Arial"/>
          <w:sz w:val="22"/>
          <w:szCs w:val="22"/>
          <w:lang w:val="en-CA"/>
        </w:rPr>
        <w:t xml:space="preserve"> </w:t>
      </w:r>
      <w:r w:rsidRPr="004E1DE3">
        <w:rPr>
          <w:rFonts w:ascii="Arial" w:hAnsi="Arial" w:cs="Arial"/>
          <w:color w:val="000000"/>
          <w:sz w:val="22"/>
          <w:szCs w:val="22"/>
          <w:lang w:val="en-CA"/>
        </w:rPr>
        <w:t>incident</w:t>
      </w:r>
      <w:r w:rsidR="00AB5598" w:rsidRPr="004E1DE3">
        <w:rPr>
          <w:rFonts w:ascii="Arial" w:hAnsi="Arial" w:cs="Arial"/>
          <w:color w:val="000000"/>
          <w:sz w:val="22"/>
          <w:szCs w:val="22"/>
          <w:lang w:val="en-CA"/>
        </w:rPr>
        <w:t>, as described in E</w:t>
      </w:r>
      <w:r w:rsidRPr="004E1DE3">
        <w:rPr>
          <w:rFonts w:ascii="Arial" w:hAnsi="Arial" w:cs="Arial"/>
          <w:sz w:val="22"/>
          <w:szCs w:val="22"/>
          <w:lang w:val="en-CA"/>
        </w:rPr>
        <w:t>xhibits</w:t>
      </w:r>
      <w:r w:rsidRPr="004E1DE3">
        <w:rPr>
          <w:rFonts w:ascii="Arial" w:hAnsi="Arial" w:cs="Arial"/>
          <w:color w:val="000000"/>
          <w:sz w:val="22"/>
          <w:szCs w:val="22"/>
          <w:lang w:val="en-CA"/>
        </w:rPr>
        <w:t xml:space="preserve"> D-1A, D-1B</w:t>
      </w:r>
      <w:r w:rsidR="00AB5598" w:rsidRPr="004E1DE3">
        <w:rPr>
          <w:rFonts w:ascii="Arial" w:hAnsi="Arial" w:cs="Arial"/>
          <w:color w:val="000000"/>
          <w:sz w:val="22"/>
          <w:szCs w:val="22"/>
          <w:lang w:val="en-CA"/>
        </w:rPr>
        <w:t>, and</w:t>
      </w:r>
      <w:r w:rsidRPr="004E1DE3">
        <w:rPr>
          <w:rFonts w:ascii="Arial" w:hAnsi="Arial" w:cs="Arial"/>
          <w:color w:val="000000"/>
          <w:sz w:val="22"/>
          <w:szCs w:val="22"/>
          <w:lang w:val="en-CA"/>
        </w:rPr>
        <w:t xml:space="preserve"> D-2.</w:t>
      </w:r>
    </w:p>
    <w:p w14:paraId="3227595D" w14:textId="77777777" w:rsidR="001047C3" w:rsidRPr="004E1DE3" w:rsidRDefault="00573CA9" w:rsidP="001047C3">
      <w:pPr>
        <w:pStyle w:val="paragrsimple0"/>
        <w:spacing w:before="120" w:beforeAutospacing="0" w:after="120" w:afterAutospacing="0"/>
        <w:ind w:left="709" w:right="679"/>
        <w:jc w:val="both"/>
        <w:rPr>
          <w:rFonts w:ascii="Arial" w:hAnsi="Arial" w:cs="Arial"/>
          <w:color w:val="000000"/>
          <w:sz w:val="22"/>
          <w:szCs w:val="22"/>
          <w:lang w:val="en-CA"/>
        </w:rPr>
      </w:pPr>
      <w:r w:rsidRPr="004E1DE3">
        <w:rPr>
          <w:rFonts w:ascii="Arial" w:hAnsi="Arial" w:cs="Arial"/>
          <w:color w:val="000000"/>
          <w:sz w:val="22"/>
          <w:szCs w:val="22"/>
          <w:lang w:val="en-CA"/>
        </w:rPr>
        <w:t>[34]</w:t>
      </w:r>
      <w:r w:rsidRPr="004E1DE3">
        <w:rPr>
          <w:color w:val="000000"/>
          <w:sz w:val="22"/>
          <w:szCs w:val="22"/>
          <w:lang w:val="en-CA"/>
        </w:rPr>
        <w:t>        </w:t>
      </w:r>
      <w:r w:rsidR="00D315B1" w:rsidRPr="004E1DE3">
        <w:rPr>
          <w:rFonts w:ascii="Arial" w:hAnsi="Arial" w:cs="Arial"/>
          <w:sz w:val="22"/>
          <w:szCs w:val="22"/>
          <w:lang w:val="en-CA"/>
        </w:rPr>
        <w:t>T</w:t>
      </w:r>
      <w:r w:rsidRPr="004E1DE3">
        <w:rPr>
          <w:rFonts w:ascii="Arial" w:hAnsi="Arial" w:cs="Arial"/>
          <w:sz w:val="22"/>
          <w:szCs w:val="22"/>
          <w:lang w:val="en-CA"/>
        </w:rPr>
        <w:t>he</w:t>
      </w:r>
      <w:r w:rsidR="00D315B1" w:rsidRPr="004E1DE3">
        <w:rPr>
          <w:rFonts w:ascii="Arial" w:hAnsi="Arial" w:cs="Arial"/>
          <w:sz w:val="22"/>
          <w:szCs w:val="22"/>
          <w:lang w:val="en-CA"/>
        </w:rPr>
        <w:t xml:space="preserve"> </w:t>
      </w:r>
      <w:r w:rsidRPr="004E1DE3">
        <w:rPr>
          <w:rFonts w:ascii="Arial" w:hAnsi="Arial" w:cs="Arial"/>
          <w:sz w:val="22"/>
          <w:szCs w:val="22"/>
          <w:lang w:val="en-CA"/>
        </w:rPr>
        <w:t>Court</w:t>
      </w:r>
      <w:r w:rsidR="00D315B1" w:rsidRPr="004E1DE3">
        <w:rPr>
          <w:rFonts w:ascii="Arial" w:hAnsi="Arial" w:cs="Arial"/>
          <w:sz w:val="22"/>
          <w:szCs w:val="22"/>
          <w:lang w:val="en-CA"/>
        </w:rPr>
        <w:t xml:space="preserve"> finds that the plaintiff</w:t>
      </w:r>
      <w:r w:rsidR="009E0D58" w:rsidRPr="004E1DE3">
        <w:rPr>
          <w:rFonts w:ascii="Arial" w:hAnsi="Arial" w:cs="Arial"/>
          <w:sz w:val="22"/>
          <w:szCs w:val="22"/>
          <w:lang w:val="en-CA"/>
        </w:rPr>
        <w:t xml:space="preserve"> did not establish </w:t>
      </w:r>
      <w:r w:rsidRPr="004E1DE3">
        <w:rPr>
          <w:rFonts w:ascii="Arial" w:hAnsi="Arial" w:cs="Arial"/>
          <w:sz w:val="22"/>
          <w:szCs w:val="22"/>
          <w:lang w:val="en-CA"/>
        </w:rPr>
        <w:t>compensatory</w:t>
      </w:r>
      <w:r w:rsidR="009E0D58" w:rsidRPr="004E1DE3">
        <w:rPr>
          <w:rFonts w:ascii="Arial" w:hAnsi="Arial" w:cs="Arial"/>
          <w:sz w:val="22"/>
          <w:szCs w:val="22"/>
          <w:lang w:val="en-CA"/>
        </w:rPr>
        <w:t xml:space="preserve"> </w:t>
      </w:r>
      <w:r w:rsidRPr="004E1DE3">
        <w:rPr>
          <w:rFonts w:ascii="Arial" w:hAnsi="Arial" w:cs="Arial"/>
          <w:sz w:val="22"/>
          <w:szCs w:val="22"/>
          <w:lang w:val="en-CA"/>
        </w:rPr>
        <w:t>damage</w:t>
      </w:r>
      <w:r w:rsidR="009E0D58" w:rsidRPr="004E1DE3">
        <w:rPr>
          <w:rFonts w:ascii="Arial" w:hAnsi="Arial" w:cs="Arial"/>
          <w:sz w:val="22"/>
          <w:szCs w:val="22"/>
          <w:lang w:val="en-CA"/>
        </w:rPr>
        <w:t xml:space="preserve"> in his personal case, which means that the </w:t>
      </w:r>
      <w:r w:rsidRPr="004E1DE3">
        <w:rPr>
          <w:rFonts w:ascii="Arial" w:hAnsi="Arial" w:cs="Arial"/>
          <w:sz w:val="22"/>
          <w:szCs w:val="22"/>
          <w:lang w:val="en-CA"/>
        </w:rPr>
        <w:t>class</w:t>
      </w:r>
      <w:r w:rsidR="009E0D58" w:rsidRPr="004E1DE3">
        <w:rPr>
          <w:rFonts w:ascii="Arial" w:hAnsi="Arial" w:cs="Arial"/>
          <w:sz w:val="22"/>
          <w:szCs w:val="22"/>
          <w:lang w:val="en-CA"/>
        </w:rPr>
        <w:t xml:space="preserve"> </w:t>
      </w:r>
      <w:r w:rsidRPr="004E1DE3">
        <w:rPr>
          <w:rFonts w:ascii="Arial" w:hAnsi="Arial" w:cs="Arial"/>
          <w:sz w:val="22"/>
          <w:szCs w:val="22"/>
          <w:lang w:val="en-CA"/>
        </w:rPr>
        <w:t>action</w:t>
      </w:r>
      <w:r w:rsidR="009E0D58" w:rsidRPr="004E1DE3">
        <w:rPr>
          <w:rFonts w:ascii="Arial" w:hAnsi="Arial" w:cs="Arial"/>
          <w:sz w:val="22"/>
          <w:szCs w:val="22"/>
          <w:lang w:val="en-CA"/>
        </w:rPr>
        <w:t xml:space="preserve"> has no </w:t>
      </w:r>
      <w:r w:rsidRPr="004E1DE3">
        <w:rPr>
          <w:rFonts w:ascii="Arial" w:hAnsi="Arial" w:cs="Arial"/>
          <w:sz w:val="22"/>
          <w:szCs w:val="22"/>
          <w:lang w:val="en-CA"/>
        </w:rPr>
        <w:t>colour</w:t>
      </w:r>
      <w:r w:rsidR="009E0D58" w:rsidRPr="004E1DE3">
        <w:rPr>
          <w:rFonts w:ascii="Arial" w:hAnsi="Arial" w:cs="Arial"/>
          <w:sz w:val="22"/>
          <w:szCs w:val="22"/>
          <w:lang w:val="en-CA"/>
        </w:rPr>
        <w:t xml:space="preserve"> </w:t>
      </w:r>
      <w:r w:rsidRPr="004E1DE3">
        <w:rPr>
          <w:rFonts w:ascii="Arial" w:hAnsi="Arial" w:cs="Arial"/>
          <w:sz w:val="22"/>
          <w:szCs w:val="22"/>
          <w:lang w:val="en-CA"/>
        </w:rPr>
        <w:t>of</w:t>
      </w:r>
      <w:r w:rsidR="009E0D58" w:rsidRPr="004E1DE3">
        <w:rPr>
          <w:rFonts w:ascii="Arial" w:hAnsi="Arial" w:cs="Arial"/>
          <w:sz w:val="22"/>
          <w:szCs w:val="22"/>
          <w:lang w:val="en-CA"/>
        </w:rPr>
        <w:t xml:space="preserve"> </w:t>
      </w:r>
      <w:r w:rsidRPr="004E1DE3">
        <w:rPr>
          <w:rFonts w:ascii="Arial" w:hAnsi="Arial" w:cs="Arial"/>
          <w:sz w:val="22"/>
          <w:szCs w:val="22"/>
          <w:lang w:val="en-CA"/>
        </w:rPr>
        <w:t>right</w:t>
      </w:r>
      <w:r w:rsidR="009E0D58" w:rsidRPr="004E1DE3">
        <w:rPr>
          <w:rFonts w:ascii="Arial" w:hAnsi="Arial" w:cs="Arial"/>
          <w:sz w:val="22"/>
          <w:szCs w:val="22"/>
          <w:lang w:val="en-CA"/>
        </w:rPr>
        <w:t xml:space="preserve"> and cannot be authorized in this regard</w:t>
      </w:r>
      <w:r w:rsidRPr="004E1DE3">
        <w:rPr>
          <w:rFonts w:ascii="Arial" w:hAnsi="Arial" w:cs="Arial"/>
          <w:color w:val="000000"/>
          <w:sz w:val="22"/>
          <w:szCs w:val="22"/>
          <w:lang w:val="en-CA"/>
        </w:rPr>
        <w:t>. </w:t>
      </w:r>
      <w:r w:rsidR="009E0D58" w:rsidRPr="004E1DE3">
        <w:rPr>
          <w:rFonts w:ascii="Arial" w:hAnsi="Arial" w:cs="Arial"/>
          <w:color w:val="000000"/>
          <w:sz w:val="22"/>
          <w:szCs w:val="22"/>
          <w:lang w:val="en-CA"/>
        </w:rPr>
        <w:t>At this time</w:t>
      </w:r>
      <w:r w:rsidRPr="004E1DE3">
        <w:rPr>
          <w:rFonts w:ascii="Arial" w:hAnsi="Arial" w:cs="Arial"/>
          <w:color w:val="000000"/>
          <w:sz w:val="22"/>
          <w:szCs w:val="22"/>
          <w:lang w:val="en-CA"/>
        </w:rPr>
        <w:t xml:space="preserve">, </w:t>
      </w:r>
      <w:r w:rsidRPr="004E1DE3">
        <w:rPr>
          <w:rFonts w:ascii="Arial" w:hAnsi="Arial" w:cs="Arial"/>
          <w:sz w:val="22"/>
          <w:szCs w:val="22"/>
          <w:lang w:val="en-CA"/>
        </w:rPr>
        <w:t>Quebec</w:t>
      </w:r>
      <w:r w:rsidR="009E0D58" w:rsidRPr="004E1DE3">
        <w:rPr>
          <w:rFonts w:ascii="Arial" w:hAnsi="Arial" w:cs="Arial"/>
          <w:sz w:val="22"/>
          <w:szCs w:val="22"/>
          <w:lang w:val="en-CA"/>
        </w:rPr>
        <w:t xml:space="preserve"> </w:t>
      </w:r>
      <w:r w:rsidRPr="004E1DE3">
        <w:rPr>
          <w:rFonts w:ascii="Arial" w:hAnsi="Arial" w:cs="Arial"/>
          <w:sz w:val="22"/>
          <w:szCs w:val="22"/>
          <w:lang w:val="en-CA"/>
        </w:rPr>
        <w:t>law</w:t>
      </w:r>
      <w:r w:rsidR="00825F9B" w:rsidRPr="004E1DE3">
        <w:rPr>
          <w:rFonts w:ascii="Arial" w:hAnsi="Arial" w:cs="Arial"/>
          <w:sz w:val="22"/>
          <w:szCs w:val="22"/>
          <w:lang w:val="en-CA"/>
        </w:rPr>
        <w:t xml:space="preserve"> does not recognize the mere fact that personal information is in the unauthorized possession of third persons, without more, as </w:t>
      </w:r>
      <w:r w:rsidRPr="004E1DE3">
        <w:rPr>
          <w:rFonts w:ascii="Arial" w:hAnsi="Arial" w:cs="Arial"/>
          <w:sz w:val="22"/>
          <w:szCs w:val="22"/>
          <w:lang w:val="en-CA"/>
        </w:rPr>
        <w:t>compensatory</w:t>
      </w:r>
      <w:r w:rsidR="00825F9B" w:rsidRPr="004E1DE3">
        <w:rPr>
          <w:rFonts w:ascii="Arial" w:hAnsi="Arial" w:cs="Arial"/>
          <w:sz w:val="22"/>
          <w:szCs w:val="22"/>
          <w:lang w:val="en-CA"/>
        </w:rPr>
        <w:t xml:space="preserve"> </w:t>
      </w:r>
      <w:r w:rsidRPr="004E1DE3">
        <w:rPr>
          <w:rFonts w:ascii="Arial" w:hAnsi="Arial" w:cs="Arial"/>
          <w:sz w:val="22"/>
          <w:szCs w:val="22"/>
          <w:lang w:val="en-CA"/>
        </w:rPr>
        <w:t>damage</w:t>
      </w:r>
      <w:r w:rsidRPr="004E1DE3">
        <w:rPr>
          <w:rFonts w:ascii="Arial" w:hAnsi="Arial" w:cs="Arial"/>
          <w:color w:val="000000"/>
          <w:sz w:val="22"/>
          <w:szCs w:val="22"/>
          <w:lang w:val="en-CA"/>
        </w:rPr>
        <w:t>.</w:t>
      </w:r>
    </w:p>
    <w:p w14:paraId="2A9C1124" w14:textId="77777777" w:rsidR="001047C3" w:rsidRPr="004E1DE3" w:rsidRDefault="00573CA9" w:rsidP="001047C3">
      <w:pPr>
        <w:pStyle w:val="paragrsimple0"/>
        <w:spacing w:before="120" w:beforeAutospacing="0" w:after="120" w:afterAutospacing="0"/>
        <w:ind w:left="709" w:right="679"/>
        <w:jc w:val="right"/>
        <w:rPr>
          <w:rFonts w:ascii="Arial" w:hAnsi="Arial" w:cs="Arial"/>
          <w:color w:val="000000"/>
          <w:sz w:val="22"/>
          <w:szCs w:val="22"/>
          <w:lang w:val="en-CA"/>
        </w:rPr>
      </w:pPr>
      <w:r w:rsidRPr="004E1DE3">
        <w:rPr>
          <w:rFonts w:ascii="Arial" w:hAnsi="Arial" w:cs="Arial"/>
          <w:color w:val="000000"/>
          <w:sz w:val="22"/>
          <w:szCs w:val="22"/>
          <w:lang w:val="en-CA"/>
        </w:rPr>
        <w:tab/>
      </w:r>
      <w:r w:rsidRPr="004E1DE3">
        <w:rPr>
          <w:rFonts w:ascii="Arial" w:hAnsi="Arial" w:cs="Arial"/>
          <w:color w:val="000000"/>
          <w:sz w:val="22"/>
          <w:szCs w:val="22"/>
          <w:lang w:val="en-CA"/>
        </w:rPr>
        <w:tab/>
      </w:r>
      <w:r w:rsidRPr="004E1DE3">
        <w:rPr>
          <w:rFonts w:ascii="Arial" w:hAnsi="Arial" w:cs="Arial"/>
          <w:color w:val="000000"/>
          <w:sz w:val="22"/>
          <w:szCs w:val="22"/>
          <w:lang w:val="en-CA"/>
        </w:rPr>
        <w:tab/>
      </w:r>
      <w:r w:rsidRPr="004E1DE3">
        <w:rPr>
          <w:rFonts w:ascii="Arial" w:hAnsi="Arial" w:cs="Arial"/>
          <w:color w:val="000000"/>
          <w:sz w:val="22"/>
          <w:szCs w:val="22"/>
          <w:lang w:val="en-CA"/>
        </w:rPr>
        <w:tab/>
      </w:r>
      <w:r w:rsidRPr="004E1DE3">
        <w:rPr>
          <w:rFonts w:ascii="Arial" w:hAnsi="Arial" w:cs="Arial"/>
          <w:color w:val="000000"/>
          <w:sz w:val="22"/>
          <w:szCs w:val="22"/>
          <w:lang w:val="en-CA"/>
        </w:rPr>
        <w:tab/>
      </w:r>
      <w:r w:rsidRPr="004E1DE3">
        <w:rPr>
          <w:rFonts w:ascii="Arial" w:hAnsi="Arial" w:cs="Arial"/>
          <w:color w:val="000000"/>
          <w:sz w:val="22"/>
          <w:szCs w:val="22"/>
          <w:lang w:val="en-CA"/>
        </w:rPr>
        <w:tab/>
      </w:r>
      <w:r w:rsidRPr="004E1DE3">
        <w:rPr>
          <w:rFonts w:ascii="Arial" w:hAnsi="Arial" w:cs="Arial"/>
          <w:color w:val="000000"/>
          <w:sz w:val="22"/>
          <w:szCs w:val="22"/>
          <w:lang w:val="en-CA"/>
        </w:rPr>
        <w:tab/>
      </w:r>
      <w:r w:rsidRPr="004E1DE3">
        <w:rPr>
          <w:rFonts w:ascii="Arial" w:hAnsi="Arial" w:cs="Arial"/>
          <w:color w:val="000000"/>
          <w:sz w:val="22"/>
          <w:szCs w:val="22"/>
          <w:lang w:val="en-CA"/>
        </w:rPr>
        <w:tab/>
      </w:r>
      <w:r w:rsidRPr="004E1DE3">
        <w:rPr>
          <w:rFonts w:ascii="Arial" w:hAnsi="Arial" w:cs="Arial"/>
          <w:color w:val="000000"/>
          <w:sz w:val="22"/>
          <w:szCs w:val="22"/>
          <w:lang w:val="en-CA"/>
        </w:rPr>
        <w:tab/>
      </w:r>
      <w:r w:rsidR="002176DF" w:rsidRPr="004E1DE3">
        <w:rPr>
          <w:rFonts w:ascii="Arial" w:hAnsi="Arial" w:cs="Arial"/>
          <w:color w:val="000000"/>
          <w:sz w:val="22"/>
          <w:szCs w:val="22"/>
          <w:lang w:val="en-CA"/>
        </w:rPr>
        <w:t>[Citation</w:t>
      </w:r>
      <w:r w:rsidR="00825F9B" w:rsidRPr="004E1DE3">
        <w:rPr>
          <w:rFonts w:ascii="Arial" w:hAnsi="Arial" w:cs="Arial"/>
          <w:color w:val="000000"/>
          <w:sz w:val="22"/>
          <w:szCs w:val="22"/>
          <w:lang w:val="en-CA"/>
        </w:rPr>
        <w:t>s</w:t>
      </w:r>
      <w:r w:rsidR="002176DF" w:rsidRPr="004E1DE3">
        <w:rPr>
          <w:rFonts w:ascii="Arial" w:hAnsi="Arial" w:cs="Arial"/>
          <w:color w:val="000000"/>
          <w:sz w:val="22"/>
          <w:szCs w:val="22"/>
          <w:lang w:val="en-CA"/>
        </w:rPr>
        <w:t xml:space="preserve"> omitted.]</w:t>
      </w:r>
    </w:p>
    <w:p w14:paraId="404A4913" w14:textId="77777777" w:rsidR="001047C3" w:rsidRPr="004E1DE3" w:rsidRDefault="00573CA9" w:rsidP="001047C3">
      <w:pPr>
        <w:pStyle w:val="Paragrdouble"/>
        <w:tabs>
          <w:tab w:val="num" w:pos="851"/>
        </w:tabs>
        <w:spacing w:line="240" w:lineRule="auto"/>
        <w:ind w:left="0"/>
        <w:rPr>
          <w:lang w:val="en-CA"/>
        </w:rPr>
      </w:pPr>
      <w:r w:rsidRPr="004E1DE3">
        <w:rPr>
          <w:lang w:val="en-CA"/>
        </w:rPr>
        <w:t xml:space="preserve">In addition, according to the </w:t>
      </w:r>
      <w:r w:rsidR="00940EDA" w:rsidRPr="004E1DE3">
        <w:rPr>
          <w:lang w:val="en-CA"/>
        </w:rPr>
        <w:t xml:space="preserve">defendants, </w:t>
      </w:r>
      <w:r w:rsidRPr="004E1DE3">
        <w:rPr>
          <w:lang w:val="en-CA"/>
        </w:rPr>
        <w:t>this case</w:t>
      </w:r>
      <w:r w:rsidR="001C53E6" w:rsidRPr="004E1DE3">
        <w:rPr>
          <w:lang w:val="en-CA"/>
        </w:rPr>
        <w:t xml:space="preserve"> can also be distinguished from other cases</w:t>
      </w:r>
      <w:r>
        <w:rPr>
          <w:rStyle w:val="Appelnotedebasdep"/>
          <w:lang w:val="en-CA"/>
        </w:rPr>
        <w:footnoteReference w:id="66"/>
      </w:r>
      <w:r w:rsidR="00940EDA" w:rsidRPr="004E1DE3">
        <w:rPr>
          <w:lang w:val="en-CA"/>
        </w:rPr>
        <w:t xml:space="preserve"> </w:t>
      </w:r>
      <w:r w:rsidR="001C53E6" w:rsidRPr="004E1DE3">
        <w:rPr>
          <w:lang w:val="en-CA"/>
        </w:rPr>
        <w:t xml:space="preserve">in which </w:t>
      </w:r>
      <w:r w:rsidR="00940EDA" w:rsidRPr="004E1DE3">
        <w:rPr>
          <w:lang w:val="en-CA"/>
        </w:rPr>
        <w:t>compensable</w:t>
      </w:r>
      <w:r w:rsidR="001C53E6" w:rsidRPr="004E1DE3">
        <w:rPr>
          <w:lang w:val="en-CA"/>
        </w:rPr>
        <w:t xml:space="preserve"> damage was established and in which, according to the </w:t>
      </w:r>
      <w:r w:rsidR="00940EDA" w:rsidRPr="004E1DE3">
        <w:rPr>
          <w:lang w:val="en-CA"/>
        </w:rPr>
        <w:t>evidence</w:t>
      </w:r>
      <w:r w:rsidR="001C53E6" w:rsidRPr="004E1DE3">
        <w:rPr>
          <w:lang w:val="en-CA"/>
        </w:rPr>
        <w:t xml:space="preserve"> adduced, </w:t>
      </w:r>
      <w:r w:rsidR="00940EDA" w:rsidRPr="004E1DE3">
        <w:rPr>
          <w:lang w:val="en-CA"/>
        </w:rPr>
        <w:t>fraud r</w:t>
      </w:r>
      <w:r w:rsidR="001C53E6" w:rsidRPr="004E1DE3">
        <w:rPr>
          <w:lang w:val="en-CA"/>
        </w:rPr>
        <w:t>e</w:t>
      </w:r>
      <w:r w:rsidR="00940EDA" w:rsidRPr="004E1DE3">
        <w:rPr>
          <w:lang w:val="en-CA"/>
        </w:rPr>
        <w:t>sult</w:t>
      </w:r>
      <w:r w:rsidR="001C53E6" w:rsidRPr="004E1DE3">
        <w:rPr>
          <w:lang w:val="en-CA"/>
        </w:rPr>
        <w:t>ing from the theft of data had been committed, which is not the case here</w:t>
      </w:r>
      <w:r w:rsidR="00940EDA" w:rsidRPr="004E1DE3">
        <w:rPr>
          <w:lang w:val="en-CA"/>
        </w:rPr>
        <w:t xml:space="preserve">, </w:t>
      </w:r>
      <w:r w:rsidR="001C53E6" w:rsidRPr="004E1DE3">
        <w:rPr>
          <w:lang w:val="en-CA"/>
        </w:rPr>
        <w:t xml:space="preserve">as evidenced by the results of the inquiry held before a US criminal </w:t>
      </w:r>
      <w:r w:rsidR="00940EDA" w:rsidRPr="004E1DE3">
        <w:rPr>
          <w:lang w:val="en-CA"/>
        </w:rPr>
        <w:t>court</w:t>
      </w:r>
      <w:r w:rsidR="001C53E6" w:rsidRPr="004E1DE3">
        <w:rPr>
          <w:lang w:val="en-CA"/>
        </w:rPr>
        <w:t xml:space="preserve"> on the facts and acts committed by </w:t>
      </w:r>
      <w:r w:rsidR="00940EDA" w:rsidRPr="004E1DE3">
        <w:rPr>
          <w:lang w:val="en-CA"/>
        </w:rPr>
        <w:t xml:space="preserve">Paige A. Thompson, </w:t>
      </w:r>
      <w:r w:rsidR="001C53E6" w:rsidRPr="004E1DE3">
        <w:rPr>
          <w:lang w:val="en-CA"/>
        </w:rPr>
        <w:t>which found that she did not or could not have used this unlawfully obtained data</w:t>
      </w:r>
      <w:r w:rsidR="00940EDA" w:rsidRPr="004E1DE3">
        <w:rPr>
          <w:lang w:val="en-CA"/>
        </w:rPr>
        <w:t>.</w:t>
      </w:r>
    </w:p>
    <w:p w14:paraId="7CE2442D" w14:textId="77777777" w:rsidR="00A11F33" w:rsidRPr="004E1DE3" w:rsidRDefault="00573CA9" w:rsidP="007D1A3F">
      <w:pPr>
        <w:pStyle w:val="Paragrdouble"/>
        <w:tabs>
          <w:tab w:val="num" w:pos="851"/>
        </w:tabs>
        <w:spacing w:line="240" w:lineRule="auto"/>
        <w:ind w:left="0"/>
        <w:rPr>
          <w:lang w:val="en-CA"/>
        </w:rPr>
      </w:pPr>
      <w:r w:rsidRPr="004E1DE3">
        <w:rPr>
          <w:lang w:val="en-CA"/>
        </w:rPr>
        <w:lastRenderedPageBreak/>
        <w:t xml:space="preserve">Accordingly, the </w:t>
      </w:r>
      <w:r w:rsidR="00F172E1" w:rsidRPr="004E1DE3">
        <w:rPr>
          <w:lang w:val="en-CA"/>
        </w:rPr>
        <w:t>defendants</w:t>
      </w:r>
      <w:r w:rsidRPr="004E1DE3">
        <w:rPr>
          <w:lang w:val="en-CA"/>
        </w:rPr>
        <w:t xml:space="preserve"> submit that to obtain pecuniary compensatory </w:t>
      </w:r>
      <w:r w:rsidR="00F172E1" w:rsidRPr="004E1DE3">
        <w:rPr>
          <w:lang w:val="en-CA"/>
        </w:rPr>
        <w:t>damages</w:t>
      </w:r>
      <w:r w:rsidRPr="004E1DE3">
        <w:rPr>
          <w:lang w:val="en-CA"/>
        </w:rPr>
        <w:t xml:space="preserve">, the plaintiffs must establish that such damages can be assessed or </w:t>
      </w:r>
      <w:r w:rsidR="00F172E1" w:rsidRPr="004E1DE3">
        <w:rPr>
          <w:lang w:val="en-CA"/>
        </w:rPr>
        <w:t>quantifi</w:t>
      </w:r>
      <w:r w:rsidRPr="004E1DE3">
        <w:rPr>
          <w:lang w:val="en-CA"/>
        </w:rPr>
        <w:t>ed</w:t>
      </w:r>
      <w:r w:rsidR="00F172E1" w:rsidRPr="004E1DE3">
        <w:rPr>
          <w:lang w:val="en-CA"/>
        </w:rPr>
        <w:t>,</w:t>
      </w:r>
      <w:r w:rsidRPr="004E1DE3">
        <w:rPr>
          <w:lang w:val="en-CA"/>
        </w:rPr>
        <w:t xml:space="preserve"> such that </w:t>
      </w:r>
      <w:r w:rsidR="00F172E1" w:rsidRPr="004E1DE3">
        <w:rPr>
          <w:lang w:val="en-CA"/>
        </w:rPr>
        <w:t>the</w:t>
      </w:r>
      <w:r w:rsidRPr="004E1DE3">
        <w:rPr>
          <w:lang w:val="en-CA"/>
        </w:rPr>
        <w:t xml:space="preserve"> </w:t>
      </w:r>
      <w:r w:rsidR="00F172E1" w:rsidRPr="004E1DE3">
        <w:rPr>
          <w:lang w:val="en-CA"/>
        </w:rPr>
        <w:t>Court</w:t>
      </w:r>
      <w:r w:rsidRPr="004E1DE3">
        <w:rPr>
          <w:lang w:val="en-CA"/>
        </w:rPr>
        <w:t xml:space="preserve"> should not consider the risk of future injury, even if it is alleged, because it cannot lawfully be compensated under </w:t>
      </w:r>
      <w:r w:rsidR="00F172E1" w:rsidRPr="004E1DE3">
        <w:rPr>
          <w:lang w:val="en-CA"/>
        </w:rPr>
        <w:t>Quebec</w:t>
      </w:r>
      <w:r w:rsidRPr="004E1DE3">
        <w:rPr>
          <w:lang w:val="en-CA"/>
        </w:rPr>
        <w:t xml:space="preserve"> </w:t>
      </w:r>
      <w:r w:rsidR="00F172E1" w:rsidRPr="004E1DE3">
        <w:rPr>
          <w:lang w:val="en-CA"/>
        </w:rPr>
        <w:t>law</w:t>
      </w:r>
      <w:r w:rsidRPr="004E1DE3">
        <w:rPr>
          <w:lang w:val="en-CA"/>
        </w:rPr>
        <w:t>.</w:t>
      </w:r>
      <w:r>
        <w:rPr>
          <w:rStyle w:val="Appelnotedebasdep"/>
          <w:lang w:val="en-CA"/>
        </w:rPr>
        <w:footnoteReference w:id="67"/>
      </w:r>
    </w:p>
    <w:p w14:paraId="0F5E703B" w14:textId="77777777" w:rsidR="0074253C" w:rsidRPr="004E1DE3" w:rsidRDefault="00573CA9" w:rsidP="0074253C">
      <w:pPr>
        <w:pStyle w:val="Paragrdouble"/>
        <w:tabs>
          <w:tab w:val="num" w:pos="851"/>
        </w:tabs>
        <w:spacing w:line="240" w:lineRule="auto"/>
        <w:ind w:left="0"/>
        <w:rPr>
          <w:lang w:val="en-CA"/>
        </w:rPr>
      </w:pPr>
      <w:r w:rsidRPr="004E1DE3">
        <w:rPr>
          <w:lang w:val="en-CA"/>
        </w:rPr>
        <w:t>Essenti</w:t>
      </w:r>
      <w:r w:rsidR="009A0C25" w:rsidRPr="004E1DE3">
        <w:rPr>
          <w:lang w:val="en-CA"/>
        </w:rPr>
        <w:t xml:space="preserve">ally, the facts giving rise to a cause of </w:t>
      </w:r>
      <w:r w:rsidRPr="004E1DE3">
        <w:rPr>
          <w:lang w:val="en-CA"/>
        </w:rPr>
        <w:t>action</w:t>
      </w:r>
      <w:r w:rsidR="009A0C25" w:rsidRPr="004E1DE3">
        <w:rPr>
          <w:lang w:val="en-CA"/>
        </w:rPr>
        <w:t xml:space="preserve"> alleged by the plaintiffs in this case are limited to this unlawful and unauthorized access by </w:t>
      </w:r>
      <w:r w:rsidRPr="004E1DE3">
        <w:rPr>
          <w:lang w:val="en-CA"/>
        </w:rPr>
        <w:t xml:space="preserve">Paige A. Thompson </w:t>
      </w:r>
      <w:r w:rsidR="009A0C25" w:rsidRPr="004E1DE3">
        <w:rPr>
          <w:lang w:val="en-CA"/>
        </w:rPr>
        <w:t xml:space="preserve">on March </w:t>
      </w:r>
      <w:r w:rsidRPr="004E1DE3">
        <w:rPr>
          <w:lang w:val="en-CA"/>
        </w:rPr>
        <w:t xml:space="preserve">22 </w:t>
      </w:r>
      <w:r w:rsidR="009A0C25" w:rsidRPr="004E1DE3">
        <w:rPr>
          <w:lang w:val="en-CA"/>
        </w:rPr>
        <w:t>and</w:t>
      </w:r>
      <w:r w:rsidRPr="004E1DE3">
        <w:rPr>
          <w:lang w:val="en-CA"/>
        </w:rPr>
        <w:t xml:space="preserve"> 23</w:t>
      </w:r>
      <w:r w:rsidR="009A0C25" w:rsidRPr="004E1DE3">
        <w:rPr>
          <w:lang w:val="en-CA"/>
        </w:rPr>
        <w:t xml:space="preserve">, </w:t>
      </w:r>
      <w:r w:rsidRPr="004E1DE3">
        <w:rPr>
          <w:lang w:val="en-CA"/>
        </w:rPr>
        <w:t>2019</w:t>
      </w:r>
      <w:r w:rsidR="009A0C25" w:rsidRPr="004E1DE3">
        <w:rPr>
          <w:lang w:val="en-CA"/>
        </w:rPr>
        <w:t>, with respect to which the inquiry revealed that, although she admitted the acts alleged against her, she did not disclose the personal information obtained to anyone or use it in any manner</w:t>
      </w:r>
      <w:r w:rsidRPr="004E1DE3">
        <w:rPr>
          <w:lang w:val="en-CA"/>
        </w:rPr>
        <w:t>.</w:t>
      </w:r>
    </w:p>
    <w:p w14:paraId="350440E8" w14:textId="77777777" w:rsidR="009C2A65" w:rsidRPr="004E1DE3" w:rsidRDefault="00573CA9" w:rsidP="009C2A65">
      <w:pPr>
        <w:pStyle w:val="Paragrdouble"/>
        <w:tabs>
          <w:tab w:val="num" w:pos="851"/>
        </w:tabs>
        <w:spacing w:line="240" w:lineRule="auto"/>
        <w:ind w:left="0"/>
        <w:rPr>
          <w:lang w:val="en-CA"/>
        </w:rPr>
      </w:pPr>
      <w:r w:rsidRPr="004E1DE3">
        <w:rPr>
          <w:lang w:val="en-CA"/>
        </w:rPr>
        <w:t>There is no specific allegation in the A</w:t>
      </w:r>
      <w:r w:rsidR="00940EDA" w:rsidRPr="004E1DE3">
        <w:rPr>
          <w:lang w:val="en-CA"/>
        </w:rPr>
        <w:t>pplication,</w:t>
      </w:r>
      <w:r w:rsidRPr="004E1DE3">
        <w:rPr>
          <w:lang w:val="en-CA"/>
        </w:rPr>
        <w:t xml:space="preserve"> not even in its fourth amended version</w:t>
      </w:r>
      <w:r w:rsidR="00940EDA" w:rsidRPr="004E1DE3">
        <w:rPr>
          <w:lang w:val="en-CA"/>
        </w:rPr>
        <w:t xml:space="preserve">, </w:t>
      </w:r>
      <w:r w:rsidR="009256CE" w:rsidRPr="004E1DE3">
        <w:rPr>
          <w:lang w:val="en-CA"/>
        </w:rPr>
        <w:t xml:space="preserve">of the occurrence of identity theft or any difficulty </w:t>
      </w:r>
      <w:r w:rsidR="00076B31" w:rsidRPr="004E1DE3">
        <w:rPr>
          <w:lang w:val="en-CA"/>
        </w:rPr>
        <w:t xml:space="preserve">arising from this unauthorized access that could have resulted in </w:t>
      </w:r>
      <w:r w:rsidR="008D36BD" w:rsidRPr="004E1DE3">
        <w:rPr>
          <w:lang w:val="en-CA"/>
        </w:rPr>
        <w:t>expenses</w:t>
      </w:r>
      <w:r w:rsidR="00076B31" w:rsidRPr="004E1DE3">
        <w:rPr>
          <w:lang w:val="en-CA"/>
        </w:rPr>
        <w:t xml:space="preserve"> for the plaintiffs or any steps taken or disbursements made following the unlawful use or theft of </w:t>
      </w:r>
      <w:r w:rsidR="00940EDA" w:rsidRPr="004E1DE3">
        <w:rPr>
          <w:lang w:val="en-CA"/>
        </w:rPr>
        <w:t>personal</w:t>
      </w:r>
      <w:r w:rsidR="00076B31" w:rsidRPr="004E1DE3">
        <w:rPr>
          <w:lang w:val="en-CA"/>
        </w:rPr>
        <w:t xml:space="preserve"> </w:t>
      </w:r>
      <w:r w:rsidR="00940EDA" w:rsidRPr="004E1DE3">
        <w:rPr>
          <w:lang w:val="en-CA"/>
        </w:rPr>
        <w:t>information</w:t>
      </w:r>
      <w:r w:rsidR="00076B31" w:rsidRPr="004E1DE3">
        <w:rPr>
          <w:lang w:val="en-CA"/>
        </w:rPr>
        <w:t xml:space="preserve"> since the events that occurred in </w:t>
      </w:r>
      <w:r w:rsidR="00940EDA" w:rsidRPr="004E1DE3">
        <w:rPr>
          <w:lang w:val="en-CA"/>
        </w:rPr>
        <w:t>March 2019.</w:t>
      </w:r>
    </w:p>
    <w:p w14:paraId="7F3AC3F7" w14:textId="77777777" w:rsidR="009C2A65" w:rsidRPr="004E1DE3" w:rsidRDefault="00573CA9" w:rsidP="009C2A65">
      <w:pPr>
        <w:pStyle w:val="Paragrdouble"/>
        <w:tabs>
          <w:tab w:val="num" w:pos="851"/>
        </w:tabs>
        <w:spacing w:line="240" w:lineRule="auto"/>
        <w:ind w:left="0"/>
        <w:rPr>
          <w:lang w:val="en-CA"/>
        </w:rPr>
      </w:pPr>
      <w:r w:rsidRPr="004E1DE3">
        <w:rPr>
          <w:lang w:val="en-CA"/>
        </w:rPr>
        <w:t xml:space="preserve">Of course, we cannot </w:t>
      </w:r>
      <w:r w:rsidR="00EB3C6E" w:rsidRPr="004E1DE3">
        <w:rPr>
          <w:lang w:val="en-CA"/>
        </w:rPr>
        <w:t xml:space="preserve">set aside the fear of the risk that </w:t>
      </w:r>
      <w:r w:rsidR="009F612B">
        <w:rPr>
          <w:lang w:val="en-CA"/>
        </w:rPr>
        <w:t xml:space="preserve">another </w:t>
      </w:r>
      <w:r w:rsidR="00EB3C6E" w:rsidRPr="004E1DE3">
        <w:rPr>
          <w:lang w:val="en-CA"/>
        </w:rPr>
        <w:t xml:space="preserve">access </w:t>
      </w:r>
      <w:r w:rsidR="009F612B">
        <w:rPr>
          <w:lang w:val="en-CA"/>
        </w:rPr>
        <w:t xml:space="preserve">will </w:t>
      </w:r>
      <w:r w:rsidR="00EB3C6E" w:rsidRPr="004E1DE3">
        <w:rPr>
          <w:lang w:val="en-CA"/>
        </w:rPr>
        <w:t>occur</w:t>
      </w:r>
      <w:r w:rsidR="00CA4226">
        <w:rPr>
          <w:lang w:val="en-CA"/>
        </w:rPr>
        <w:t>,</w:t>
      </w:r>
      <w:r w:rsidR="00EB3C6E" w:rsidRPr="004E1DE3">
        <w:rPr>
          <w:lang w:val="en-CA"/>
        </w:rPr>
        <w:t xml:space="preserve"> or </w:t>
      </w:r>
      <w:r w:rsidR="009F612B">
        <w:rPr>
          <w:lang w:val="en-CA"/>
        </w:rPr>
        <w:t>could have</w:t>
      </w:r>
      <w:r w:rsidR="009F612B" w:rsidRPr="004E1DE3">
        <w:rPr>
          <w:lang w:val="en-CA"/>
        </w:rPr>
        <w:t xml:space="preserve"> </w:t>
      </w:r>
      <w:r w:rsidR="00EB3C6E" w:rsidRPr="004E1DE3">
        <w:rPr>
          <w:lang w:val="en-CA"/>
        </w:rPr>
        <w:t xml:space="preserve">occurred since </w:t>
      </w:r>
      <w:r w:rsidR="00940EDA" w:rsidRPr="004E1DE3">
        <w:rPr>
          <w:lang w:val="en-CA"/>
        </w:rPr>
        <w:t xml:space="preserve">2019 </w:t>
      </w:r>
      <w:r w:rsidR="00EB3C6E" w:rsidRPr="004E1DE3">
        <w:rPr>
          <w:lang w:val="en-CA"/>
        </w:rPr>
        <w:t xml:space="preserve">and that </w:t>
      </w:r>
      <w:r w:rsidR="00940EDA" w:rsidRPr="004E1DE3">
        <w:rPr>
          <w:lang w:val="en-CA"/>
        </w:rPr>
        <w:t>personal</w:t>
      </w:r>
      <w:r w:rsidR="00EB3C6E" w:rsidRPr="004E1DE3">
        <w:rPr>
          <w:lang w:val="en-CA"/>
        </w:rPr>
        <w:t xml:space="preserve"> </w:t>
      </w:r>
      <w:r w:rsidR="00940EDA" w:rsidRPr="004E1DE3">
        <w:rPr>
          <w:lang w:val="en-CA"/>
        </w:rPr>
        <w:t>information</w:t>
      </w:r>
      <w:r w:rsidR="00EB3C6E" w:rsidRPr="004E1DE3">
        <w:rPr>
          <w:lang w:val="en-CA"/>
        </w:rPr>
        <w:t xml:space="preserve"> was stolen and distributed, but not yet used. Once again, however, this </w:t>
      </w:r>
      <w:r w:rsidR="001D03B6">
        <w:rPr>
          <w:lang w:val="en-CA"/>
        </w:rPr>
        <w:t>consists of</w:t>
      </w:r>
      <w:r w:rsidR="00EB3C6E" w:rsidRPr="004E1DE3">
        <w:rPr>
          <w:lang w:val="en-CA"/>
        </w:rPr>
        <w:t xml:space="preserve"> </w:t>
      </w:r>
      <w:r w:rsidR="00940EDA" w:rsidRPr="004E1DE3">
        <w:rPr>
          <w:lang w:val="en-CA"/>
        </w:rPr>
        <w:t>sp</w:t>
      </w:r>
      <w:r w:rsidR="00EB3C6E" w:rsidRPr="004E1DE3">
        <w:rPr>
          <w:lang w:val="en-CA"/>
        </w:rPr>
        <w:t>e</w:t>
      </w:r>
      <w:r w:rsidR="00940EDA" w:rsidRPr="004E1DE3">
        <w:rPr>
          <w:lang w:val="en-CA"/>
        </w:rPr>
        <w:t xml:space="preserve">culation </w:t>
      </w:r>
      <w:r w:rsidR="00EB3C6E" w:rsidRPr="004E1DE3">
        <w:rPr>
          <w:lang w:val="en-CA"/>
        </w:rPr>
        <w:t>and hypothes</w:t>
      </w:r>
      <w:r w:rsidR="006D44A6">
        <w:rPr>
          <w:lang w:val="en-CA"/>
        </w:rPr>
        <w:t>e</w:t>
      </w:r>
      <w:r w:rsidR="00EB3C6E" w:rsidRPr="004E1DE3">
        <w:rPr>
          <w:lang w:val="en-CA"/>
        </w:rPr>
        <w:t>s</w:t>
      </w:r>
      <w:r w:rsidR="00940EDA" w:rsidRPr="004E1DE3">
        <w:rPr>
          <w:lang w:val="en-CA"/>
        </w:rPr>
        <w:t>.</w:t>
      </w:r>
    </w:p>
    <w:p w14:paraId="0C7CEA12" w14:textId="77777777" w:rsidR="00D1622D" w:rsidRPr="004E1DE3" w:rsidRDefault="00573CA9" w:rsidP="00D1622D">
      <w:pPr>
        <w:pStyle w:val="Paragrdouble"/>
        <w:tabs>
          <w:tab w:val="num" w:pos="851"/>
        </w:tabs>
        <w:spacing w:line="240" w:lineRule="auto"/>
        <w:ind w:left="0"/>
        <w:rPr>
          <w:lang w:val="en-CA"/>
        </w:rPr>
      </w:pPr>
      <w:r w:rsidRPr="004E1DE3">
        <w:rPr>
          <w:lang w:val="en-CA"/>
        </w:rPr>
        <w:t xml:space="preserve">According to the </w:t>
      </w:r>
      <w:r w:rsidR="00940EDA" w:rsidRPr="004E1DE3">
        <w:rPr>
          <w:lang w:val="en-CA"/>
        </w:rPr>
        <w:t>defendants,</w:t>
      </w:r>
      <w:r w:rsidRPr="004E1DE3">
        <w:rPr>
          <w:lang w:val="en-CA"/>
        </w:rPr>
        <w:t xml:space="preserve"> there is therefore no future, direct, and foreseeable injury,</w:t>
      </w:r>
      <w:r>
        <w:rPr>
          <w:rStyle w:val="Appelnotedebasdep"/>
          <w:lang w:val="en-CA"/>
        </w:rPr>
        <w:footnoteReference w:id="68"/>
      </w:r>
      <w:r w:rsidR="00940EDA" w:rsidRPr="004E1DE3">
        <w:rPr>
          <w:lang w:val="en-CA"/>
        </w:rPr>
        <w:t xml:space="preserve"> </w:t>
      </w:r>
      <w:r w:rsidR="00FB16A5" w:rsidRPr="004E1DE3">
        <w:rPr>
          <w:lang w:val="en-CA"/>
        </w:rPr>
        <w:t xml:space="preserve">because the injury invoked is not only </w:t>
      </w:r>
      <w:r w:rsidR="00940EDA" w:rsidRPr="004E1DE3">
        <w:rPr>
          <w:lang w:val="en-CA"/>
        </w:rPr>
        <w:t>hypoth</w:t>
      </w:r>
      <w:r w:rsidR="00FB16A5" w:rsidRPr="004E1DE3">
        <w:rPr>
          <w:lang w:val="en-CA"/>
        </w:rPr>
        <w:t xml:space="preserve">etical and uncertain, but also </w:t>
      </w:r>
      <w:r w:rsidR="00940EDA" w:rsidRPr="004E1DE3">
        <w:rPr>
          <w:lang w:val="en-CA"/>
        </w:rPr>
        <w:t>improbable</w:t>
      </w:r>
      <w:r w:rsidR="00FB16A5" w:rsidRPr="004E1DE3">
        <w:rPr>
          <w:lang w:val="en-CA"/>
        </w:rPr>
        <w:t xml:space="preserve">, and it is </w:t>
      </w:r>
      <w:r w:rsidR="00940EDA" w:rsidRPr="004E1DE3">
        <w:rPr>
          <w:lang w:val="en-CA"/>
        </w:rPr>
        <w:t>diffic</w:t>
      </w:r>
      <w:r w:rsidR="00FB16A5" w:rsidRPr="004E1DE3">
        <w:rPr>
          <w:lang w:val="en-CA"/>
        </w:rPr>
        <w:t>ult, even impossible, to assess</w:t>
      </w:r>
      <w:r w:rsidR="00940EDA" w:rsidRPr="004E1DE3">
        <w:rPr>
          <w:lang w:val="en-CA"/>
        </w:rPr>
        <w:t>.</w:t>
      </w:r>
    </w:p>
    <w:p w14:paraId="2F2C7A73" w14:textId="77777777" w:rsidR="00F24107" w:rsidRPr="004E1DE3" w:rsidRDefault="00573CA9" w:rsidP="00F24107">
      <w:pPr>
        <w:pStyle w:val="Paragrdouble"/>
        <w:tabs>
          <w:tab w:val="num" w:pos="851"/>
        </w:tabs>
        <w:spacing w:line="240" w:lineRule="auto"/>
        <w:ind w:left="0"/>
        <w:rPr>
          <w:lang w:val="en-CA"/>
        </w:rPr>
      </w:pPr>
      <w:r w:rsidRPr="004E1DE3">
        <w:rPr>
          <w:lang w:val="en-CA"/>
        </w:rPr>
        <w:t>The plaintiffs claim that the total value of the</w:t>
      </w:r>
      <w:r w:rsidR="00500399">
        <w:rPr>
          <w:lang w:val="en-CA"/>
        </w:rPr>
        <w:t>ir patrimonies and that of the class</w:t>
      </w:r>
      <w:r w:rsidRPr="004E1DE3">
        <w:rPr>
          <w:lang w:val="en-CA"/>
        </w:rPr>
        <w:t xml:space="preserve"> members</w:t>
      </w:r>
      <w:r w:rsidR="00251ECD">
        <w:rPr>
          <w:lang w:val="en-CA"/>
        </w:rPr>
        <w:t xml:space="preserve"> </w:t>
      </w:r>
      <w:r w:rsidR="00F56DB6" w:rsidRPr="004E1DE3">
        <w:rPr>
          <w:lang w:val="en-CA"/>
        </w:rPr>
        <w:t xml:space="preserve">have been negatively affected by this unauthorized access of their </w:t>
      </w:r>
      <w:r w:rsidR="00940EDA" w:rsidRPr="004E1DE3">
        <w:rPr>
          <w:lang w:val="en-CA"/>
        </w:rPr>
        <w:t>personal</w:t>
      </w:r>
      <w:r w:rsidR="00F56DB6" w:rsidRPr="004E1DE3">
        <w:rPr>
          <w:lang w:val="en-CA"/>
        </w:rPr>
        <w:t xml:space="preserve"> </w:t>
      </w:r>
      <w:r w:rsidR="00940EDA" w:rsidRPr="004E1DE3">
        <w:rPr>
          <w:lang w:val="en-CA"/>
        </w:rPr>
        <w:t>information</w:t>
      </w:r>
      <w:r w:rsidR="00F56DB6" w:rsidRPr="004E1DE3">
        <w:rPr>
          <w:lang w:val="en-CA"/>
        </w:rPr>
        <w:t xml:space="preserve">. The same is true for their </w:t>
      </w:r>
      <w:r w:rsidR="00AA7FB2" w:rsidRPr="004E1DE3">
        <w:rPr>
          <w:lang w:val="en-CA"/>
        </w:rPr>
        <w:t xml:space="preserve">credit scores. They also claim that the </w:t>
      </w:r>
      <w:r w:rsidR="00481EC1">
        <w:rPr>
          <w:lang w:val="en-CA"/>
        </w:rPr>
        <w:t>membership</w:t>
      </w:r>
      <w:r w:rsidR="00481EC1" w:rsidRPr="004E1DE3">
        <w:rPr>
          <w:lang w:val="en-CA"/>
        </w:rPr>
        <w:t xml:space="preserve"> </w:t>
      </w:r>
      <w:r w:rsidR="00AA7FB2" w:rsidRPr="004E1DE3">
        <w:rPr>
          <w:lang w:val="en-CA"/>
        </w:rPr>
        <w:t>fees</w:t>
      </w:r>
      <w:r w:rsidR="009151D0" w:rsidRPr="004E1DE3">
        <w:rPr>
          <w:lang w:val="en-CA"/>
        </w:rPr>
        <w:t xml:space="preserve"> for this </w:t>
      </w:r>
      <w:r w:rsidR="00940EDA" w:rsidRPr="004E1DE3">
        <w:rPr>
          <w:lang w:val="en-CA"/>
        </w:rPr>
        <w:t>credit</w:t>
      </w:r>
      <w:r w:rsidR="009151D0" w:rsidRPr="004E1DE3">
        <w:rPr>
          <w:lang w:val="en-CA"/>
        </w:rPr>
        <w:t xml:space="preserve"> </w:t>
      </w:r>
      <w:r w:rsidR="00940EDA" w:rsidRPr="004E1DE3">
        <w:rPr>
          <w:lang w:val="en-CA"/>
        </w:rPr>
        <w:t>card</w:t>
      </w:r>
      <w:r w:rsidR="009151D0" w:rsidRPr="004E1DE3">
        <w:rPr>
          <w:lang w:val="en-CA"/>
        </w:rPr>
        <w:t xml:space="preserve"> have become too high because </w:t>
      </w:r>
      <w:r w:rsidR="00DD7C21" w:rsidRPr="004E1DE3">
        <w:rPr>
          <w:lang w:val="en-CA"/>
        </w:rPr>
        <w:t>they are not justified</w:t>
      </w:r>
      <w:r w:rsidR="00940EDA" w:rsidRPr="004E1DE3">
        <w:rPr>
          <w:lang w:val="en-CA"/>
        </w:rPr>
        <w:t>.</w:t>
      </w:r>
    </w:p>
    <w:p w14:paraId="5862534F" w14:textId="77777777" w:rsidR="00F24107" w:rsidRPr="004E1DE3" w:rsidRDefault="00573CA9" w:rsidP="00F24107">
      <w:pPr>
        <w:pStyle w:val="Paragrdouble"/>
        <w:tabs>
          <w:tab w:val="num" w:pos="851"/>
        </w:tabs>
        <w:spacing w:line="240" w:lineRule="auto"/>
        <w:ind w:left="0"/>
        <w:rPr>
          <w:lang w:val="en-CA"/>
        </w:rPr>
      </w:pPr>
      <w:r w:rsidRPr="004E1DE3">
        <w:rPr>
          <w:lang w:val="en-CA"/>
        </w:rPr>
        <w:t xml:space="preserve">In support of their claims, the plaintiffs invoke the </w:t>
      </w:r>
      <w:r w:rsidR="00940EDA" w:rsidRPr="004E1DE3">
        <w:rPr>
          <w:lang w:val="en-CA"/>
        </w:rPr>
        <w:t>statisti</w:t>
      </w:r>
      <w:r w:rsidRPr="004E1DE3">
        <w:rPr>
          <w:lang w:val="en-CA"/>
        </w:rPr>
        <w:t xml:space="preserve">cs obtained by the </w:t>
      </w:r>
      <w:r w:rsidR="00A242D3" w:rsidRPr="004E1DE3">
        <w:rPr>
          <w:lang w:val="en-CA"/>
        </w:rPr>
        <w:t>Office of the Privacy Commissioner of Canada</w:t>
      </w:r>
      <w:r>
        <w:rPr>
          <w:rStyle w:val="Appelnotedebasdep"/>
          <w:lang w:val="en-CA"/>
        </w:rPr>
        <w:footnoteReference w:id="69"/>
      </w:r>
      <w:r w:rsidR="00940EDA" w:rsidRPr="004E1DE3">
        <w:rPr>
          <w:lang w:val="en-CA"/>
        </w:rPr>
        <w:t xml:space="preserve"> </w:t>
      </w:r>
      <w:r w:rsidR="00A242D3" w:rsidRPr="004E1DE3">
        <w:rPr>
          <w:lang w:val="en-CA"/>
        </w:rPr>
        <w:t xml:space="preserve">and from studies and surveys conducted in </w:t>
      </w:r>
      <w:r w:rsidR="00940EDA" w:rsidRPr="004E1DE3">
        <w:rPr>
          <w:lang w:val="en-CA"/>
        </w:rPr>
        <w:t xml:space="preserve">Canada </w:t>
      </w:r>
      <w:r w:rsidR="00A242D3" w:rsidRPr="004E1DE3">
        <w:rPr>
          <w:lang w:val="en-CA"/>
        </w:rPr>
        <w:t xml:space="preserve">and </w:t>
      </w:r>
      <w:r w:rsidR="00940EDA" w:rsidRPr="004E1DE3">
        <w:rPr>
          <w:lang w:val="en-CA"/>
        </w:rPr>
        <w:t>the</w:t>
      </w:r>
      <w:r w:rsidR="00A242D3" w:rsidRPr="004E1DE3">
        <w:rPr>
          <w:lang w:val="en-CA"/>
        </w:rPr>
        <w:t xml:space="preserve"> </w:t>
      </w:r>
      <w:r w:rsidR="00940EDA" w:rsidRPr="004E1DE3">
        <w:rPr>
          <w:lang w:val="en-CA"/>
        </w:rPr>
        <w:t>United</w:t>
      </w:r>
      <w:r w:rsidR="00A242D3" w:rsidRPr="004E1DE3">
        <w:rPr>
          <w:lang w:val="en-CA"/>
        </w:rPr>
        <w:t xml:space="preserve"> </w:t>
      </w:r>
      <w:r w:rsidR="00940EDA" w:rsidRPr="004E1DE3">
        <w:rPr>
          <w:lang w:val="en-CA"/>
        </w:rPr>
        <w:t>States,</w:t>
      </w:r>
      <w:r w:rsidR="00A242D3" w:rsidRPr="004E1DE3">
        <w:rPr>
          <w:lang w:val="en-CA"/>
        </w:rPr>
        <w:t xml:space="preserve"> in particular regarding the theft of social insurance numbers.</w:t>
      </w:r>
      <w:r>
        <w:rPr>
          <w:rStyle w:val="Appelnotedebasdep"/>
          <w:lang w:val="en-CA"/>
        </w:rPr>
        <w:footnoteReference w:id="70"/>
      </w:r>
    </w:p>
    <w:p w14:paraId="4F22ED1E" w14:textId="77777777" w:rsidR="00F24107" w:rsidRPr="004E1DE3" w:rsidRDefault="00573CA9" w:rsidP="00B9112C">
      <w:pPr>
        <w:pStyle w:val="Paragrdouble"/>
        <w:tabs>
          <w:tab w:val="num" w:pos="851"/>
        </w:tabs>
        <w:spacing w:line="240" w:lineRule="auto"/>
        <w:ind w:left="0"/>
        <w:rPr>
          <w:lang w:val="en-CA"/>
        </w:rPr>
      </w:pPr>
      <w:r w:rsidRPr="004E1DE3">
        <w:rPr>
          <w:lang w:val="en-CA"/>
        </w:rPr>
        <w:t xml:space="preserve">In addition to the fact that this access currently seems to have had no </w:t>
      </w:r>
      <w:r w:rsidR="00940EDA" w:rsidRPr="004E1DE3">
        <w:rPr>
          <w:lang w:val="en-CA"/>
        </w:rPr>
        <w:t xml:space="preserve">tangible </w:t>
      </w:r>
      <w:r w:rsidRPr="004E1DE3">
        <w:rPr>
          <w:lang w:val="en-CA"/>
        </w:rPr>
        <w:t xml:space="preserve">effect, </w:t>
      </w:r>
      <w:r w:rsidR="00940EDA" w:rsidRPr="004E1DE3">
        <w:rPr>
          <w:lang w:val="en-CA"/>
        </w:rPr>
        <w:t>the</w:t>
      </w:r>
      <w:r w:rsidRPr="004E1DE3">
        <w:rPr>
          <w:lang w:val="en-CA"/>
        </w:rPr>
        <w:t xml:space="preserve"> </w:t>
      </w:r>
      <w:r w:rsidR="00940EDA" w:rsidRPr="004E1DE3">
        <w:rPr>
          <w:lang w:val="en-CA"/>
        </w:rPr>
        <w:t>Court</w:t>
      </w:r>
      <w:r w:rsidRPr="004E1DE3">
        <w:rPr>
          <w:lang w:val="en-CA"/>
        </w:rPr>
        <w:t xml:space="preserve"> considers it quite difficult, even </w:t>
      </w:r>
      <w:r w:rsidR="00940EDA" w:rsidRPr="004E1DE3">
        <w:rPr>
          <w:lang w:val="en-CA"/>
        </w:rPr>
        <w:t>impossible</w:t>
      </w:r>
      <w:r w:rsidR="00285563" w:rsidRPr="004E1DE3">
        <w:rPr>
          <w:lang w:val="en-CA"/>
        </w:rPr>
        <w:t>,</w:t>
      </w:r>
      <w:r w:rsidR="00940EDA" w:rsidRPr="004E1DE3">
        <w:rPr>
          <w:lang w:val="en-CA"/>
        </w:rPr>
        <w:t xml:space="preserve"> </w:t>
      </w:r>
      <w:r w:rsidR="00285563" w:rsidRPr="004E1DE3">
        <w:rPr>
          <w:lang w:val="en-CA"/>
        </w:rPr>
        <w:t xml:space="preserve">on the basis of the evidence presented to it, to assess a loss of value of this information or a loss </w:t>
      </w:r>
      <w:r w:rsidR="00285563" w:rsidRPr="004E1DE3">
        <w:rPr>
          <w:lang w:val="en-CA"/>
        </w:rPr>
        <w:lastRenderedPageBreak/>
        <w:t>corresponding to the re</w:t>
      </w:r>
      <w:r w:rsidR="00940EDA" w:rsidRPr="004E1DE3">
        <w:rPr>
          <w:lang w:val="en-CA"/>
        </w:rPr>
        <w:t xml:space="preserve">duction </w:t>
      </w:r>
      <w:r w:rsidR="00285563" w:rsidRPr="004E1DE3">
        <w:rPr>
          <w:lang w:val="en-CA"/>
        </w:rPr>
        <w:t>in value of the s</w:t>
      </w:r>
      <w:r w:rsidR="00940EDA" w:rsidRPr="004E1DE3">
        <w:rPr>
          <w:lang w:val="en-CA"/>
        </w:rPr>
        <w:t>ervices offer</w:t>
      </w:r>
      <w:r w:rsidR="00285563" w:rsidRPr="004E1DE3">
        <w:rPr>
          <w:lang w:val="en-CA"/>
        </w:rPr>
        <w:t xml:space="preserve">ed or the risks </w:t>
      </w:r>
      <w:r w:rsidR="00940EDA" w:rsidRPr="004E1DE3">
        <w:rPr>
          <w:lang w:val="en-CA"/>
        </w:rPr>
        <w:t>associ</w:t>
      </w:r>
      <w:r w:rsidR="00285563" w:rsidRPr="004E1DE3">
        <w:rPr>
          <w:lang w:val="en-CA"/>
        </w:rPr>
        <w:t xml:space="preserve">ated with anticipated eventual difficulties </w:t>
      </w:r>
      <w:r w:rsidR="00C85AF8" w:rsidRPr="004E1DE3">
        <w:rPr>
          <w:lang w:val="en-CA"/>
        </w:rPr>
        <w:t xml:space="preserve">when making future credit </w:t>
      </w:r>
      <w:r w:rsidR="00940EDA" w:rsidRPr="004E1DE3">
        <w:rPr>
          <w:lang w:val="en-CA"/>
        </w:rPr>
        <w:t>applications.</w:t>
      </w:r>
    </w:p>
    <w:p w14:paraId="09EF7590" w14:textId="77777777" w:rsidR="00F24107" w:rsidRPr="004E1DE3" w:rsidRDefault="00573CA9" w:rsidP="00F24107">
      <w:pPr>
        <w:pStyle w:val="Paragrdouble"/>
        <w:tabs>
          <w:tab w:val="num" w:pos="851"/>
        </w:tabs>
        <w:spacing w:line="240" w:lineRule="auto"/>
        <w:ind w:left="0"/>
        <w:rPr>
          <w:lang w:val="en-CA"/>
        </w:rPr>
      </w:pPr>
      <w:r w:rsidRPr="004E1DE3">
        <w:rPr>
          <w:lang w:val="en-CA"/>
        </w:rPr>
        <w:t xml:space="preserve">Last, the plaintiffs seek compensation for the injury arising from the defendants’ lack of </w:t>
      </w:r>
      <w:r w:rsidR="00940EDA" w:rsidRPr="004E1DE3">
        <w:rPr>
          <w:lang w:val="en-CA"/>
        </w:rPr>
        <w:t xml:space="preserve">diligence </w:t>
      </w:r>
      <w:r w:rsidR="00EC0028" w:rsidRPr="004E1DE3">
        <w:rPr>
          <w:lang w:val="en-CA"/>
        </w:rPr>
        <w:t xml:space="preserve">to minimize the possible </w:t>
      </w:r>
      <w:r w:rsidR="00940EDA" w:rsidRPr="004E1DE3">
        <w:rPr>
          <w:lang w:val="en-CA"/>
        </w:rPr>
        <w:t>cons</w:t>
      </w:r>
      <w:r w:rsidR="00EC0028" w:rsidRPr="004E1DE3">
        <w:rPr>
          <w:lang w:val="en-CA"/>
        </w:rPr>
        <w:t>e</w:t>
      </w:r>
      <w:r w:rsidR="00940EDA" w:rsidRPr="004E1DE3">
        <w:rPr>
          <w:lang w:val="en-CA"/>
        </w:rPr>
        <w:t xml:space="preserve">quences </w:t>
      </w:r>
      <w:r w:rsidR="00EC0028" w:rsidRPr="004E1DE3">
        <w:rPr>
          <w:lang w:val="en-CA"/>
        </w:rPr>
        <w:t xml:space="preserve">of this unauthorized access. They fault </w:t>
      </w:r>
      <w:r w:rsidR="00940EDA" w:rsidRPr="004E1DE3">
        <w:rPr>
          <w:lang w:val="en-CA"/>
        </w:rPr>
        <w:t xml:space="preserve">Capital One </w:t>
      </w:r>
      <w:r w:rsidR="00EC0028" w:rsidRPr="004E1DE3">
        <w:rPr>
          <w:lang w:val="en-CA"/>
        </w:rPr>
        <w:t xml:space="preserve">for having waited until </w:t>
      </w:r>
      <w:r w:rsidR="00940EDA" w:rsidRPr="004E1DE3">
        <w:rPr>
          <w:lang w:val="en-CA"/>
        </w:rPr>
        <w:t xml:space="preserve">July </w:t>
      </w:r>
      <w:r w:rsidR="00EC0028" w:rsidRPr="004E1DE3">
        <w:rPr>
          <w:lang w:val="en-CA"/>
        </w:rPr>
        <w:t xml:space="preserve">29, </w:t>
      </w:r>
      <w:r w:rsidR="00940EDA" w:rsidRPr="004E1DE3">
        <w:rPr>
          <w:lang w:val="en-CA"/>
        </w:rPr>
        <w:t>2019</w:t>
      </w:r>
      <w:r w:rsidR="00EC0028" w:rsidRPr="004E1DE3">
        <w:rPr>
          <w:lang w:val="en-CA"/>
        </w:rPr>
        <w:t xml:space="preserve">, to </w:t>
      </w:r>
      <w:r w:rsidR="00940EDA" w:rsidRPr="004E1DE3">
        <w:rPr>
          <w:lang w:val="en-CA"/>
        </w:rPr>
        <w:t>inform</w:t>
      </w:r>
      <w:r w:rsidR="00EC0028" w:rsidRPr="004E1DE3">
        <w:rPr>
          <w:lang w:val="en-CA"/>
        </w:rPr>
        <w:t xml:space="preserve"> the </w:t>
      </w:r>
      <w:r w:rsidR="00940EDA" w:rsidRPr="004E1DE3">
        <w:rPr>
          <w:lang w:val="en-CA"/>
        </w:rPr>
        <w:t>public</w:t>
      </w:r>
      <w:r w:rsidR="00DB713B" w:rsidRPr="004E1DE3">
        <w:rPr>
          <w:lang w:val="en-CA"/>
        </w:rPr>
        <w:t xml:space="preserve"> in a </w:t>
      </w:r>
      <w:r w:rsidR="00940EDA" w:rsidRPr="004E1DE3">
        <w:rPr>
          <w:lang w:val="en-CA"/>
        </w:rPr>
        <w:t>communiqué</w:t>
      </w:r>
      <w:r w:rsidR="00DB713B" w:rsidRPr="004E1DE3">
        <w:rPr>
          <w:lang w:val="en-CA"/>
        </w:rPr>
        <w:t xml:space="preserve"> that this </w:t>
      </w:r>
      <w:r w:rsidR="00940EDA" w:rsidRPr="004E1DE3">
        <w:rPr>
          <w:lang w:val="en-CA"/>
        </w:rPr>
        <w:t>confidentialit</w:t>
      </w:r>
      <w:r w:rsidR="00DB713B" w:rsidRPr="004E1DE3">
        <w:rPr>
          <w:lang w:val="en-CA"/>
        </w:rPr>
        <w:t xml:space="preserve">y incident had occurred four </w:t>
      </w:r>
      <w:r w:rsidR="00940EDA" w:rsidRPr="004E1DE3">
        <w:rPr>
          <w:lang w:val="en-CA"/>
        </w:rPr>
        <w:t>months</w:t>
      </w:r>
      <w:r w:rsidR="00DB713B" w:rsidRPr="004E1DE3">
        <w:rPr>
          <w:lang w:val="en-CA"/>
        </w:rPr>
        <w:t xml:space="preserve"> earlier and claim that </w:t>
      </w:r>
      <w:r w:rsidR="00940EDA" w:rsidRPr="004E1DE3">
        <w:rPr>
          <w:lang w:val="en-CA"/>
        </w:rPr>
        <w:t xml:space="preserve">Capital One </w:t>
      </w:r>
      <w:r w:rsidR="00DB713B" w:rsidRPr="004E1DE3">
        <w:rPr>
          <w:lang w:val="en-CA"/>
        </w:rPr>
        <w:t>may have been informed of this</w:t>
      </w:r>
      <w:r w:rsidR="00940EDA" w:rsidRPr="004E1DE3">
        <w:rPr>
          <w:lang w:val="en-CA"/>
        </w:rPr>
        <w:t xml:space="preserve"> incident </w:t>
      </w:r>
      <w:r w:rsidR="00DB713B" w:rsidRPr="004E1DE3">
        <w:rPr>
          <w:lang w:val="en-CA"/>
        </w:rPr>
        <w:t xml:space="preserve">before </w:t>
      </w:r>
      <w:r w:rsidR="00940EDA" w:rsidRPr="004E1DE3">
        <w:rPr>
          <w:lang w:val="en-CA"/>
        </w:rPr>
        <w:t>July</w:t>
      </w:r>
      <w:r w:rsidR="00DB713B" w:rsidRPr="004E1DE3">
        <w:rPr>
          <w:lang w:val="en-CA"/>
        </w:rPr>
        <w:t xml:space="preserve"> 17,</w:t>
      </w:r>
      <w:r w:rsidR="00940EDA" w:rsidRPr="004E1DE3">
        <w:rPr>
          <w:lang w:val="en-CA"/>
        </w:rPr>
        <w:t xml:space="preserve"> 2019.</w:t>
      </w:r>
    </w:p>
    <w:p w14:paraId="427DCABD" w14:textId="77777777" w:rsidR="00F24107" w:rsidRPr="004E1DE3" w:rsidRDefault="00573CA9" w:rsidP="00F24107">
      <w:pPr>
        <w:pStyle w:val="Paragrdouble"/>
        <w:tabs>
          <w:tab w:val="num" w:pos="851"/>
        </w:tabs>
        <w:spacing w:line="240" w:lineRule="auto"/>
        <w:ind w:left="0"/>
        <w:rPr>
          <w:lang w:val="en-CA"/>
        </w:rPr>
      </w:pPr>
      <w:r w:rsidRPr="004E1DE3">
        <w:rPr>
          <w:lang w:val="en-CA"/>
        </w:rPr>
        <w:t>Nothing is alleged by the plaintiffs on the actual impact of such delay</w:t>
      </w:r>
      <w:r w:rsidR="00CE33AD" w:rsidRPr="004E1DE3">
        <w:rPr>
          <w:lang w:val="en-CA"/>
        </w:rPr>
        <w:t xml:space="preserve">, because </w:t>
      </w:r>
      <w:r w:rsidR="00FD7503">
        <w:rPr>
          <w:lang w:val="en-CA"/>
        </w:rPr>
        <w:t>at the time of</w:t>
      </w:r>
      <w:r w:rsidR="00CE33AD" w:rsidRPr="004E1DE3">
        <w:rPr>
          <w:lang w:val="en-CA"/>
        </w:rPr>
        <w:t xml:space="preserve"> </w:t>
      </w:r>
      <w:r w:rsidR="00940EDA" w:rsidRPr="004E1DE3">
        <w:rPr>
          <w:lang w:val="en-CA"/>
        </w:rPr>
        <w:t>Paige A. Thomson</w:t>
      </w:r>
      <w:r w:rsidR="00CE33AD" w:rsidRPr="004E1DE3">
        <w:rPr>
          <w:lang w:val="en-CA"/>
        </w:rPr>
        <w:t xml:space="preserve">’s arrest on </w:t>
      </w:r>
      <w:r w:rsidR="00940EDA" w:rsidRPr="004E1DE3">
        <w:rPr>
          <w:lang w:val="en-CA"/>
        </w:rPr>
        <w:t>August</w:t>
      </w:r>
      <w:r w:rsidR="00CE33AD" w:rsidRPr="004E1DE3">
        <w:rPr>
          <w:lang w:val="en-CA"/>
        </w:rPr>
        <w:t xml:space="preserve"> 28,</w:t>
      </w:r>
      <w:r w:rsidR="00940EDA" w:rsidRPr="004E1DE3">
        <w:rPr>
          <w:lang w:val="en-CA"/>
        </w:rPr>
        <w:t xml:space="preserve"> 2019,</w:t>
      </w:r>
      <w:r w:rsidR="00CE33AD" w:rsidRPr="004E1DE3">
        <w:rPr>
          <w:lang w:val="en-CA"/>
        </w:rPr>
        <w:t xml:space="preserve"> she had not yet used or reproduced the </w:t>
      </w:r>
      <w:r w:rsidR="00940EDA" w:rsidRPr="004E1DE3">
        <w:rPr>
          <w:lang w:val="en-CA"/>
        </w:rPr>
        <w:t>personal</w:t>
      </w:r>
      <w:r w:rsidR="00CE33AD" w:rsidRPr="004E1DE3">
        <w:rPr>
          <w:lang w:val="en-CA"/>
        </w:rPr>
        <w:t xml:space="preserve"> </w:t>
      </w:r>
      <w:r w:rsidR="00940EDA" w:rsidRPr="004E1DE3">
        <w:rPr>
          <w:lang w:val="en-CA"/>
        </w:rPr>
        <w:t>information</w:t>
      </w:r>
      <w:r w:rsidR="00CE33AD" w:rsidRPr="004E1DE3">
        <w:rPr>
          <w:lang w:val="en-CA"/>
        </w:rPr>
        <w:t xml:space="preserve"> obtained, nor had she been able to sell or </w:t>
      </w:r>
      <w:r w:rsidR="00940EDA" w:rsidRPr="004E1DE3">
        <w:rPr>
          <w:lang w:val="en-CA"/>
        </w:rPr>
        <w:t>distribu</w:t>
      </w:r>
      <w:r w:rsidR="00CE33AD" w:rsidRPr="004E1DE3">
        <w:rPr>
          <w:lang w:val="en-CA"/>
        </w:rPr>
        <w:t>t</w:t>
      </w:r>
      <w:r w:rsidR="00940EDA" w:rsidRPr="004E1DE3">
        <w:rPr>
          <w:lang w:val="en-CA"/>
        </w:rPr>
        <w:t>e</w:t>
      </w:r>
      <w:r w:rsidR="00CE33AD" w:rsidRPr="004E1DE3">
        <w:rPr>
          <w:lang w:val="en-CA"/>
        </w:rPr>
        <w:t xml:space="preserve"> </w:t>
      </w:r>
      <w:r w:rsidR="00FD7503">
        <w:rPr>
          <w:lang w:val="en-CA"/>
        </w:rPr>
        <w:t>it</w:t>
      </w:r>
      <w:r w:rsidR="00940EDA" w:rsidRPr="004E1DE3">
        <w:rPr>
          <w:lang w:val="en-CA"/>
        </w:rPr>
        <w:t>.</w:t>
      </w:r>
    </w:p>
    <w:p w14:paraId="6ED77BB1" w14:textId="77777777" w:rsidR="009C2A65" w:rsidRPr="004E1DE3" w:rsidRDefault="00573CA9" w:rsidP="007D1A3F">
      <w:pPr>
        <w:pStyle w:val="Paragrdouble"/>
        <w:tabs>
          <w:tab w:val="num" w:pos="851"/>
        </w:tabs>
        <w:spacing w:line="240" w:lineRule="auto"/>
        <w:ind w:left="0"/>
        <w:rPr>
          <w:lang w:val="en-CA"/>
        </w:rPr>
      </w:pPr>
      <w:r w:rsidRPr="004E1DE3">
        <w:rPr>
          <w:lang w:val="en-CA"/>
        </w:rPr>
        <w:t xml:space="preserve">However, the Court is of the view that the issue of monitoring costs </w:t>
      </w:r>
      <w:r w:rsidR="00DF3451" w:rsidRPr="004E1DE3">
        <w:rPr>
          <w:lang w:val="en-CA"/>
        </w:rPr>
        <w:t>requires a different approach</w:t>
      </w:r>
      <w:r w:rsidR="00DF7EFC" w:rsidRPr="004E1DE3">
        <w:rPr>
          <w:lang w:val="en-CA"/>
        </w:rPr>
        <w:t>.</w:t>
      </w:r>
    </w:p>
    <w:p w14:paraId="5BB116A2" w14:textId="77777777" w:rsidR="00BB5819" w:rsidRPr="004E1DE3" w:rsidRDefault="00573CA9" w:rsidP="007D1A3F">
      <w:pPr>
        <w:pStyle w:val="Paragrdouble"/>
        <w:tabs>
          <w:tab w:val="num" w:pos="851"/>
        </w:tabs>
        <w:spacing w:line="240" w:lineRule="auto"/>
        <w:ind w:left="0"/>
        <w:rPr>
          <w:lang w:val="en-CA"/>
        </w:rPr>
      </w:pPr>
      <w:r w:rsidRPr="004E1DE3">
        <w:rPr>
          <w:lang w:val="en-CA"/>
        </w:rPr>
        <w:t xml:space="preserve">Indeed, it seems necessary to make a </w:t>
      </w:r>
      <w:r w:rsidR="005A60FD" w:rsidRPr="004E1DE3">
        <w:rPr>
          <w:lang w:val="en-CA"/>
        </w:rPr>
        <w:t>distinction</w:t>
      </w:r>
      <w:r w:rsidRPr="004E1DE3">
        <w:rPr>
          <w:lang w:val="en-CA"/>
        </w:rPr>
        <w:t xml:space="preserve"> here, as this Court did in </w:t>
      </w:r>
      <w:r w:rsidR="005A60FD" w:rsidRPr="004E1DE3">
        <w:rPr>
          <w:rFonts w:cs="Arial"/>
          <w:i/>
          <w:iCs/>
          <w:szCs w:val="24"/>
          <w:lang w:val="en-CA"/>
        </w:rPr>
        <w:t>Zuckerman c. Target Corporation</w:t>
      </w:r>
      <w:r w:rsidRPr="004E1DE3">
        <w:rPr>
          <w:rFonts w:cs="Arial"/>
          <w:szCs w:val="24"/>
          <w:lang w:val="en-CA"/>
        </w:rPr>
        <w:t>, referred to above, between</w:t>
      </w:r>
      <w:r w:rsidR="007A11D1" w:rsidRPr="004E1DE3">
        <w:rPr>
          <w:rFonts w:cs="Arial"/>
          <w:szCs w:val="24"/>
          <w:lang w:val="en-CA"/>
        </w:rPr>
        <w:t xml:space="preserve"> random or ad hoc, or even frequent and regular ve</w:t>
      </w:r>
      <w:r w:rsidR="00940EDA" w:rsidRPr="004E1DE3">
        <w:rPr>
          <w:lang w:val="en-CA"/>
        </w:rPr>
        <w:t xml:space="preserve">rifications </w:t>
      </w:r>
      <w:r w:rsidR="007A11D1" w:rsidRPr="004E1DE3">
        <w:rPr>
          <w:lang w:val="en-CA"/>
        </w:rPr>
        <w:t>of the</w:t>
      </w:r>
      <w:r w:rsidR="00602EAD">
        <w:rPr>
          <w:lang w:val="en-CA"/>
        </w:rPr>
        <w:t>ir clients’</w:t>
      </w:r>
      <w:r w:rsidR="007A11D1" w:rsidRPr="004E1DE3">
        <w:rPr>
          <w:lang w:val="en-CA"/>
        </w:rPr>
        <w:t xml:space="preserve"> bank accounts and statements that financial </w:t>
      </w:r>
      <w:r w:rsidR="00940EDA" w:rsidRPr="004E1DE3">
        <w:rPr>
          <w:lang w:val="en-CA"/>
        </w:rPr>
        <w:t xml:space="preserve">institutions </w:t>
      </w:r>
      <w:r w:rsidR="007A11D1" w:rsidRPr="004E1DE3">
        <w:rPr>
          <w:lang w:val="en-CA"/>
        </w:rPr>
        <w:t>may conduct</w:t>
      </w:r>
      <w:r w:rsidR="00E43470" w:rsidRPr="004E1DE3">
        <w:rPr>
          <w:lang w:val="en-CA"/>
        </w:rPr>
        <w:t xml:space="preserve"> </w:t>
      </w:r>
      <w:r w:rsidR="007A11D1" w:rsidRPr="004E1DE3">
        <w:rPr>
          <w:lang w:val="en-CA"/>
        </w:rPr>
        <w:t xml:space="preserve">for the purposes of preventing and monitoring </w:t>
      </w:r>
      <w:r w:rsidR="00940EDA" w:rsidRPr="004E1DE3">
        <w:rPr>
          <w:lang w:val="en-CA"/>
        </w:rPr>
        <w:t>fraud,</w:t>
      </w:r>
      <w:r w:rsidR="00E43470" w:rsidRPr="004E1DE3">
        <w:rPr>
          <w:lang w:val="en-CA"/>
        </w:rPr>
        <w:t xml:space="preserve"> even in the a</w:t>
      </w:r>
      <w:r w:rsidR="00940EDA" w:rsidRPr="004E1DE3">
        <w:rPr>
          <w:lang w:val="en-CA"/>
        </w:rPr>
        <w:t xml:space="preserve">bsence </w:t>
      </w:r>
      <w:r w:rsidR="00E43470" w:rsidRPr="004E1DE3">
        <w:rPr>
          <w:lang w:val="en-CA"/>
        </w:rPr>
        <w:t xml:space="preserve">of a </w:t>
      </w:r>
      <w:r w:rsidR="00940EDA" w:rsidRPr="004E1DE3">
        <w:rPr>
          <w:lang w:val="en-CA"/>
        </w:rPr>
        <w:t>confidentialit</w:t>
      </w:r>
      <w:r w:rsidR="00E43470" w:rsidRPr="004E1DE3">
        <w:rPr>
          <w:lang w:val="en-CA"/>
        </w:rPr>
        <w:t>y incident, like the one that occurred in this case, because these acts are part of the</w:t>
      </w:r>
      <w:r w:rsidR="00BC65A6" w:rsidRPr="004E1DE3">
        <w:rPr>
          <w:lang w:val="en-CA"/>
        </w:rPr>
        <w:t xml:space="preserve"> </w:t>
      </w:r>
      <w:r w:rsidR="00382E20">
        <w:rPr>
          <w:lang w:val="en-CA"/>
        </w:rPr>
        <w:t>day-to-day operations</w:t>
      </w:r>
      <w:r w:rsidR="00BC65A6" w:rsidRPr="004E1DE3">
        <w:rPr>
          <w:lang w:val="en-CA"/>
        </w:rPr>
        <w:t xml:space="preserve"> of financial </w:t>
      </w:r>
      <w:r w:rsidR="00940EDA" w:rsidRPr="004E1DE3">
        <w:rPr>
          <w:lang w:val="en-CA"/>
        </w:rPr>
        <w:t xml:space="preserve">institutions </w:t>
      </w:r>
      <w:r w:rsidR="00BC65A6" w:rsidRPr="004E1DE3">
        <w:rPr>
          <w:lang w:val="en-CA"/>
        </w:rPr>
        <w:t xml:space="preserve">and the banking </w:t>
      </w:r>
      <w:r w:rsidR="00940EDA" w:rsidRPr="004E1DE3">
        <w:rPr>
          <w:lang w:val="en-CA"/>
        </w:rPr>
        <w:t xml:space="preserve">services </w:t>
      </w:r>
      <w:r w:rsidR="00BC65A6" w:rsidRPr="004E1DE3">
        <w:rPr>
          <w:lang w:val="en-CA"/>
        </w:rPr>
        <w:t xml:space="preserve">they generally provide to all theirs clients </w:t>
      </w:r>
      <w:r w:rsidR="00382E20">
        <w:rPr>
          <w:lang w:val="en-CA"/>
        </w:rPr>
        <w:t>at no</w:t>
      </w:r>
      <w:r w:rsidR="00382E20" w:rsidRPr="004E1DE3">
        <w:rPr>
          <w:lang w:val="en-CA"/>
        </w:rPr>
        <w:t xml:space="preserve"> </w:t>
      </w:r>
      <w:r w:rsidR="00BC65A6" w:rsidRPr="004E1DE3">
        <w:rPr>
          <w:lang w:val="en-CA"/>
        </w:rPr>
        <w:t xml:space="preserve">additional </w:t>
      </w:r>
      <w:r w:rsidR="00382E20">
        <w:rPr>
          <w:lang w:val="en-CA"/>
        </w:rPr>
        <w:t>charge</w:t>
      </w:r>
      <w:r w:rsidR="00BC65A6" w:rsidRPr="004E1DE3">
        <w:rPr>
          <w:lang w:val="en-CA"/>
        </w:rPr>
        <w:t>, and the ve</w:t>
      </w:r>
      <w:r w:rsidR="00940EDA" w:rsidRPr="004E1DE3">
        <w:rPr>
          <w:lang w:val="en-CA"/>
        </w:rPr>
        <w:t xml:space="preserve">rification </w:t>
      </w:r>
      <w:r w:rsidR="00BC65A6" w:rsidRPr="004E1DE3">
        <w:rPr>
          <w:lang w:val="en-CA"/>
        </w:rPr>
        <w:t xml:space="preserve">and monitoring of clients’ accounts and statements following an </w:t>
      </w:r>
      <w:r w:rsidR="00940EDA" w:rsidRPr="004E1DE3">
        <w:rPr>
          <w:lang w:val="en-CA"/>
        </w:rPr>
        <w:t>intrusion,</w:t>
      </w:r>
      <w:r w:rsidR="00BC65A6" w:rsidRPr="004E1DE3">
        <w:rPr>
          <w:lang w:val="en-CA"/>
        </w:rPr>
        <w:t xml:space="preserve"> which </w:t>
      </w:r>
      <w:r w:rsidR="00940EDA" w:rsidRPr="004E1DE3">
        <w:rPr>
          <w:lang w:val="en-CA"/>
        </w:rPr>
        <w:t xml:space="preserve">services </w:t>
      </w:r>
      <w:r w:rsidR="00BC65A6" w:rsidRPr="004E1DE3">
        <w:rPr>
          <w:lang w:val="en-CA"/>
        </w:rPr>
        <w:t xml:space="preserve">form part of </w:t>
      </w:r>
      <w:r w:rsidR="00940EDA" w:rsidRPr="004E1DE3">
        <w:rPr>
          <w:lang w:val="en-CA"/>
        </w:rPr>
        <w:t>Capital One</w:t>
      </w:r>
      <w:r w:rsidR="00BC65A6" w:rsidRPr="004E1DE3">
        <w:rPr>
          <w:lang w:val="en-CA"/>
        </w:rPr>
        <w:t>’s specific offer for a period of two years at no charge</w:t>
      </w:r>
      <w:r w:rsidR="00940EDA" w:rsidRPr="004E1DE3">
        <w:rPr>
          <w:lang w:val="en-CA"/>
        </w:rPr>
        <w:t>,</w:t>
      </w:r>
      <w:r w:rsidR="00BC65A6" w:rsidRPr="004E1DE3">
        <w:rPr>
          <w:lang w:val="en-CA"/>
        </w:rPr>
        <w:t xml:space="preserve"> even though the </w:t>
      </w:r>
      <w:r w:rsidR="00940EDA" w:rsidRPr="004E1DE3">
        <w:rPr>
          <w:lang w:val="en-CA"/>
        </w:rPr>
        <w:t>evidence</w:t>
      </w:r>
      <w:r w:rsidR="00BC65A6" w:rsidRPr="004E1DE3">
        <w:rPr>
          <w:lang w:val="en-CA"/>
        </w:rPr>
        <w:t xml:space="preserve"> adduced in this case does not allow us to make a particular </w:t>
      </w:r>
      <w:r w:rsidR="00940EDA" w:rsidRPr="004E1DE3">
        <w:rPr>
          <w:lang w:val="en-CA"/>
        </w:rPr>
        <w:t>distinction</w:t>
      </w:r>
      <w:r w:rsidR="009D28B2" w:rsidRPr="004E1DE3">
        <w:rPr>
          <w:lang w:val="en-CA"/>
        </w:rPr>
        <w:t xml:space="preserve"> regarding the </w:t>
      </w:r>
      <w:r w:rsidR="00940EDA" w:rsidRPr="004E1DE3">
        <w:rPr>
          <w:lang w:val="en-CA"/>
        </w:rPr>
        <w:t xml:space="preserve">nature </w:t>
      </w:r>
      <w:r w:rsidR="009D28B2" w:rsidRPr="004E1DE3">
        <w:rPr>
          <w:lang w:val="en-CA"/>
        </w:rPr>
        <w:t>of the ve</w:t>
      </w:r>
      <w:r w:rsidR="00940EDA" w:rsidRPr="004E1DE3">
        <w:rPr>
          <w:lang w:val="en-CA"/>
        </w:rPr>
        <w:t xml:space="preserve">rifications </w:t>
      </w:r>
      <w:r w:rsidR="009D28B2" w:rsidRPr="004E1DE3">
        <w:rPr>
          <w:lang w:val="en-CA"/>
        </w:rPr>
        <w:t>conducted</w:t>
      </w:r>
      <w:r w:rsidR="00940EDA" w:rsidRPr="004E1DE3">
        <w:rPr>
          <w:lang w:val="en-CA"/>
        </w:rPr>
        <w:t>.</w:t>
      </w:r>
    </w:p>
    <w:p w14:paraId="33BE1CE5" w14:textId="77777777" w:rsidR="00BB5819" w:rsidRPr="004E1DE3" w:rsidRDefault="00573CA9" w:rsidP="00BE0656">
      <w:pPr>
        <w:pStyle w:val="Paragrdouble"/>
        <w:tabs>
          <w:tab w:val="num" w:pos="851"/>
        </w:tabs>
        <w:spacing w:line="240" w:lineRule="auto"/>
        <w:ind w:left="0"/>
        <w:rPr>
          <w:lang w:val="en-CA"/>
        </w:rPr>
      </w:pPr>
      <w:r w:rsidRPr="004E1DE3">
        <w:rPr>
          <w:lang w:val="en-CA"/>
        </w:rPr>
        <w:t xml:space="preserve">In </w:t>
      </w:r>
      <w:r w:rsidR="00940EDA" w:rsidRPr="004E1DE3">
        <w:rPr>
          <w:lang w:val="en-CA"/>
        </w:rPr>
        <w:t xml:space="preserve">addition, </w:t>
      </w:r>
      <w:r w:rsidR="00FB4F0E" w:rsidRPr="004E1DE3">
        <w:rPr>
          <w:lang w:val="en-CA"/>
        </w:rPr>
        <w:t>the ve</w:t>
      </w:r>
      <w:r w:rsidR="00940EDA" w:rsidRPr="004E1DE3">
        <w:rPr>
          <w:lang w:val="en-CA"/>
        </w:rPr>
        <w:t xml:space="preserve">rification </w:t>
      </w:r>
      <w:r w:rsidR="00FB4F0E" w:rsidRPr="004E1DE3">
        <w:rPr>
          <w:lang w:val="en-CA"/>
        </w:rPr>
        <w:t xml:space="preserve">and monitoring services offered at no charge in this case do not arise from the use of data, the theft of </w:t>
      </w:r>
      <w:r w:rsidR="00940EDA" w:rsidRPr="004E1DE3">
        <w:rPr>
          <w:lang w:val="en-CA"/>
        </w:rPr>
        <w:t>personal</w:t>
      </w:r>
      <w:r w:rsidR="00FB4F0E" w:rsidRPr="004E1DE3">
        <w:rPr>
          <w:lang w:val="en-CA"/>
        </w:rPr>
        <w:t xml:space="preserve"> </w:t>
      </w:r>
      <w:r w:rsidR="00940EDA" w:rsidRPr="004E1DE3">
        <w:rPr>
          <w:lang w:val="en-CA"/>
        </w:rPr>
        <w:t>information</w:t>
      </w:r>
      <w:r w:rsidR="00FB4F0E" w:rsidRPr="004E1DE3">
        <w:rPr>
          <w:lang w:val="en-CA"/>
        </w:rPr>
        <w:t xml:space="preserve">, or </w:t>
      </w:r>
      <w:r w:rsidR="00940EDA" w:rsidRPr="004E1DE3">
        <w:rPr>
          <w:lang w:val="en-CA"/>
        </w:rPr>
        <w:t>fraud,</w:t>
      </w:r>
      <w:r w:rsidR="00FB4F0E" w:rsidRPr="004E1DE3">
        <w:rPr>
          <w:lang w:val="en-CA"/>
        </w:rPr>
        <w:t xml:space="preserve"> but solely </w:t>
      </w:r>
      <w:r w:rsidR="00382E20">
        <w:rPr>
          <w:lang w:val="en-CA"/>
        </w:rPr>
        <w:t xml:space="preserve">from </w:t>
      </w:r>
      <w:r w:rsidR="00FB4F0E" w:rsidRPr="004E1DE3">
        <w:rPr>
          <w:lang w:val="en-CA"/>
        </w:rPr>
        <w:t xml:space="preserve">the occurrence of the </w:t>
      </w:r>
      <w:r w:rsidR="00940EDA" w:rsidRPr="004E1DE3">
        <w:rPr>
          <w:lang w:val="en-CA"/>
        </w:rPr>
        <w:t>confidentialit</w:t>
      </w:r>
      <w:r w:rsidR="00FB4F0E" w:rsidRPr="004E1DE3">
        <w:rPr>
          <w:lang w:val="en-CA"/>
        </w:rPr>
        <w:t xml:space="preserve">y incident itself and the risks it entails, despite the </w:t>
      </w:r>
      <w:r w:rsidR="00940EDA" w:rsidRPr="004E1DE3">
        <w:rPr>
          <w:lang w:val="en-CA"/>
        </w:rPr>
        <w:t xml:space="preserve">absence </w:t>
      </w:r>
      <w:r w:rsidR="00FB4F0E" w:rsidRPr="004E1DE3">
        <w:rPr>
          <w:lang w:val="en-CA"/>
        </w:rPr>
        <w:t xml:space="preserve">of known </w:t>
      </w:r>
      <w:r w:rsidR="00940EDA" w:rsidRPr="004E1DE3">
        <w:rPr>
          <w:lang w:val="en-CA"/>
        </w:rPr>
        <w:t>cons</w:t>
      </w:r>
      <w:r w:rsidR="00FB4F0E" w:rsidRPr="004E1DE3">
        <w:rPr>
          <w:lang w:val="en-CA"/>
        </w:rPr>
        <w:t>e</w:t>
      </w:r>
      <w:r w:rsidR="00940EDA" w:rsidRPr="004E1DE3">
        <w:rPr>
          <w:lang w:val="en-CA"/>
        </w:rPr>
        <w:t>quence</w:t>
      </w:r>
      <w:r w:rsidR="00FB4F0E" w:rsidRPr="004E1DE3">
        <w:rPr>
          <w:lang w:val="en-CA"/>
        </w:rPr>
        <w:t xml:space="preserve">s in view of the results of the inquiry concerning the acts of </w:t>
      </w:r>
      <w:r w:rsidR="00940EDA" w:rsidRPr="004E1DE3">
        <w:rPr>
          <w:lang w:val="en-CA"/>
        </w:rPr>
        <w:t>Paige A. Thompson.</w:t>
      </w:r>
    </w:p>
    <w:p w14:paraId="1F674114" w14:textId="77777777" w:rsidR="00BB5819" w:rsidRPr="004E1DE3" w:rsidRDefault="00573CA9" w:rsidP="00BE0656">
      <w:pPr>
        <w:pStyle w:val="Paragrdouble"/>
        <w:tabs>
          <w:tab w:val="num" w:pos="851"/>
        </w:tabs>
        <w:spacing w:line="240" w:lineRule="auto"/>
        <w:ind w:left="0"/>
        <w:rPr>
          <w:lang w:val="en-CA"/>
        </w:rPr>
      </w:pPr>
      <w:r w:rsidRPr="004E1DE3">
        <w:rPr>
          <w:lang w:val="en-CA"/>
        </w:rPr>
        <w:t>A</w:t>
      </w:r>
      <w:r w:rsidR="00F33653" w:rsidRPr="004E1DE3">
        <w:rPr>
          <w:lang w:val="en-CA"/>
        </w:rPr>
        <w:t xml:space="preserve">lso, by the fact of its offer to provide </w:t>
      </w:r>
      <w:r w:rsidRPr="004E1DE3">
        <w:rPr>
          <w:lang w:val="en-CA"/>
        </w:rPr>
        <w:t>v</w:t>
      </w:r>
      <w:r w:rsidR="00F33653" w:rsidRPr="004E1DE3">
        <w:rPr>
          <w:lang w:val="en-CA"/>
        </w:rPr>
        <w:t>e</w:t>
      </w:r>
      <w:r w:rsidRPr="004E1DE3">
        <w:rPr>
          <w:lang w:val="en-CA"/>
        </w:rPr>
        <w:t xml:space="preserve">rification </w:t>
      </w:r>
      <w:r w:rsidR="00F33653" w:rsidRPr="004E1DE3">
        <w:rPr>
          <w:lang w:val="en-CA"/>
        </w:rPr>
        <w:t xml:space="preserve">and monitoring services, and regardless of the sufficiency of that offer, </w:t>
      </w:r>
      <w:r w:rsidRPr="004E1DE3">
        <w:rPr>
          <w:lang w:val="en-CA"/>
        </w:rPr>
        <w:t xml:space="preserve">Capital One </w:t>
      </w:r>
      <w:r w:rsidR="00F33653" w:rsidRPr="004E1DE3">
        <w:rPr>
          <w:lang w:val="en-CA"/>
        </w:rPr>
        <w:t>seems to recognize</w:t>
      </w:r>
      <w:r w:rsidRPr="004E1DE3">
        <w:rPr>
          <w:lang w:val="en-CA"/>
        </w:rPr>
        <w:t xml:space="preserve">, </w:t>
      </w:r>
      <w:r w:rsidR="006476EB" w:rsidRPr="004E1DE3">
        <w:rPr>
          <w:lang w:val="en-CA"/>
        </w:rPr>
        <w:t xml:space="preserve">to some extent, that it is a special </w:t>
      </w:r>
      <w:r w:rsidRPr="004E1DE3">
        <w:rPr>
          <w:lang w:val="en-CA"/>
        </w:rPr>
        <w:t xml:space="preserve">situation </w:t>
      </w:r>
      <w:r w:rsidR="006476EB" w:rsidRPr="004E1DE3">
        <w:rPr>
          <w:lang w:val="en-CA"/>
        </w:rPr>
        <w:t>that require</w:t>
      </w:r>
      <w:r w:rsidR="00F96D40">
        <w:rPr>
          <w:lang w:val="en-CA"/>
        </w:rPr>
        <w:t>s</w:t>
      </w:r>
      <w:r w:rsidR="006476EB" w:rsidRPr="004E1DE3">
        <w:rPr>
          <w:lang w:val="en-CA"/>
        </w:rPr>
        <w:t xml:space="preserve"> such monitoring of its clients’ accounts and statements</w:t>
      </w:r>
      <w:r w:rsidRPr="004E1DE3">
        <w:rPr>
          <w:lang w:val="en-CA"/>
        </w:rPr>
        <w:t>.</w:t>
      </w:r>
    </w:p>
    <w:p w14:paraId="57386578" w14:textId="77777777" w:rsidR="00F24107" w:rsidRPr="004E1DE3" w:rsidRDefault="00573CA9" w:rsidP="00A267B8">
      <w:pPr>
        <w:pStyle w:val="Paragrdouble"/>
        <w:tabs>
          <w:tab w:val="num" w:pos="851"/>
        </w:tabs>
        <w:spacing w:line="240" w:lineRule="auto"/>
        <w:ind w:left="0"/>
        <w:rPr>
          <w:lang w:val="en-CA"/>
        </w:rPr>
      </w:pPr>
      <w:r w:rsidRPr="004E1DE3">
        <w:rPr>
          <w:lang w:val="en-CA"/>
        </w:rPr>
        <w:t xml:space="preserve">The plaintiffs allege that this two-year period during which they can benefit from such verification and monitoring services at no charge is </w:t>
      </w:r>
      <w:r w:rsidR="00D73451" w:rsidRPr="004E1DE3">
        <w:rPr>
          <w:lang w:val="en-CA"/>
        </w:rPr>
        <w:t xml:space="preserve">clearly </w:t>
      </w:r>
      <w:r w:rsidR="0085135E" w:rsidRPr="004E1DE3">
        <w:rPr>
          <w:lang w:val="en-CA"/>
        </w:rPr>
        <w:t>insuffi</w:t>
      </w:r>
      <w:r w:rsidR="00D73451" w:rsidRPr="004E1DE3">
        <w:rPr>
          <w:lang w:val="en-CA"/>
        </w:rPr>
        <w:t xml:space="preserve">cient. According to them, in matters involving the theft of personal information, a person can never truly </w:t>
      </w:r>
      <w:r w:rsidR="00D73451" w:rsidRPr="004E1DE3">
        <w:rPr>
          <w:lang w:val="en-CA"/>
        </w:rPr>
        <w:lastRenderedPageBreak/>
        <w:t xml:space="preserve">be protected from </w:t>
      </w:r>
      <w:r w:rsidR="0085135E" w:rsidRPr="004E1DE3">
        <w:rPr>
          <w:lang w:val="en-CA"/>
        </w:rPr>
        <w:t>fraud</w:t>
      </w:r>
      <w:r w:rsidR="00D73451" w:rsidRPr="004E1DE3">
        <w:rPr>
          <w:lang w:val="en-CA"/>
        </w:rPr>
        <w:t xml:space="preserve"> despite the </w:t>
      </w:r>
      <w:r w:rsidR="0085135E" w:rsidRPr="004E1DE3">
        <w:rPr>
          <w:lang w:val="en-CA"/>
        </w:rPr>
        <w:t xml:space="preserve">passage </w:t>
      </w:r>
      <w:r w:rsidR="00D73451" w:rsidRPr="004E1DE3">
        <w:rPr>
          <w:lang w:val="en-CA"/>
        </w:rPr>
        <w:t xml:space="preserve">of time, and they invoke several emails received from putative </w:t>
      </w:r>
      <w:r w:rsidR="00C011BC">
        <w:rPr>
          <w:lang w:val="en-CA"/>
        </w:rPr>
        <w:t xml:space="preserve">class </w:t>
      </w:r>
      <w:r w:rsidR="00D73451" w:rsidRPr="004E1DE3">
        <w:rPr>
          <w:lang w:val="en-CA"/>
        </w:rPr>
        <w:t>members to this effect</w:t>
      </w:r>
      <w:r w:rsidR="0085135E" w:rsidRPr="004E1DE3">
        <w:rPr>
          <w:lang w:val="en-CA"/>
        </w:rPr>
        <w:t>.</w:t>
      </w:r>
    </w:p>
    <w:p w14:paraId="29999831" w14:textId="77777777" w:rsidR="00A267B8" w:rsidRPr="004E1DE3" w:rsidRDefault="00573CA9" w:rsidP="007D1A3F">
      <w:pPr>
        <w:pStyle w:val="Paragrdouble"/>
        <w:tabs>
          <w:tab w:val="num" w:pos="851"/>
        </w:tabs>
        <w:spacing w:line="240" w:lineRule="auto"/>
        <w:ind w:left="0"/>
        <w:rPr>
          <w:lang w:val="en-CA"/>
        </w:rPr>
      </w:pPr>
      <w:r w:rsidRPr="004E1DE3">
        <w:rPr>
          <w:lang w:val="en-CA"/>
        </w:rPr>
        <w:t>There is therefore o</w:t>
      </w:r>
      <w:r w:rsidR="00FB1D2E" w:rsidRPr="004E1DE3">
        <w:rPr>
          <w:lang w:val="en-CA"/>
        </w:rPr>
        <w:t xml:space="preserve">nly one remaining </w:t>
      </w:r>
      <w:r w:rsidR="00940EDA" w:rsidRPr="004E1DE3">
        <w:rPr>
          <w:lang w:val="en-CA"/>
        </w:rPr>
        <w:t>question,</w:t>
      </w:r>
      <w:r w:rsidR="00FB1D2E" w:rsidRPr="004E1DE3">
        <w:rPr>
          <w:lang w:val="en-CA"/>
        </w:rPr>
        <w:t xml:space="preserve"> that is, the sufficiency of this two</w:t>
      </w:r>
      <w:r w:rsidR="007E7277">
        <w:rPr>
          <w:lang w:val="en-CA"/>
        </w:rPr>
        <w:noBreakHyphen/>
      </w:r>
      <w:r w:rsidR="00FB1D2E" w:rsidRPr="004E1DE3">
        <w:rPr>
          <w:lang w:val="en-CA"/>
        </w:rPr>
        <w:t xml:space="preserve">year period because it seems clear that this </w:t>
      </w:r>
      <w:r w:rsidR="00940EDA" w:rsidRPr="004E1DE3">
        <w:rPr>
          <w:lang w:val="en-CA"/>
        </w:rPr>
        <w:t>v</w:t>
      </w:r>
      <w:r w:rsidR="00FB1D2E" w:rsidRPr="004E1DE3">
        <w:rPr>
          <w:lang w:val="en-CA"/>
        </w:rPr>
        <w:t>e</w:t>
      </w:r>
      <w:r w:rsidR="00940EDA" w:rsidRPr="004E1DE3">
        <w:rPr>
          <w:lang w:val="en-CA"/>
        </w:rPr>
        <w:t xml:space="preserve">rification </w:t>
      </w:r>
      <w:r w:rsidR="00FB1D2E" w:rsidRPr="004E1DE3">
        <w:rPr>
          <w:lang w:val="en-CA"/>
        </w:rPr>
        <w:t xml:space="preserve">and monitoring process is necessary, or at least useful, and that it arises directly from this </w:t>
      </w:r>
      <w:r w:rsidR="00940EDA" w:rsidRPr="004E1DE3">
        <w:rPr>
          <w:lang w:val="en-CA"/>
        </w:rPr>
        <w:t>confidentialit</w:t>
      </w:r>
      <w:r w:rsidR="00FB1D2E" w:rsidRPr="004E1DE3">
        <w:rPr>
          <w:lang w:val="en-CA"/>
        </w:rPr>
        <w:t>y incident</w:t>
      </w:r>
      <w:r w:rsidR="00940EDA" w:rsidRPr="004E1DE3">
        <w:rPr>
          <w:lang w:val="en-CA"/>
        </w:rPr>
        <w:t>.</w:t>
      </w:r>
    </w:p>
    <w:p w14:paraId="0470635A" w14:textId="77777777" w:rsidR="00A267B8" w:rsidRPr="004E1DE3" w:rsidRDefault="00573CA9" w:rsidP="00165C83">
      <w:pPr>
        <w:pStyle w:val="Paragrdouble"/>
        <w:tabs>
          <w:tab w:val="num" w:pos="851"/>
        </w:tabs>
        <w:spacing w:line="240" w:lineRule="auto"/>
        <w:ind w:left="0"/>
        <w:rPr>
          <w:lang w:val="en-CA"/>
        </w:rPr>
      </w:pPr>
      <w:r w:rsidRPr="004E1DE3">
        <w:rPr>
          <w:lang w:val="en-CA"/>
        </w:rPr>
        <w:t>Indeed, it may be an inconvenience that is more than ordinary, which the judge hearing the merits will have to assess, that may extend over a period longer than two years, and that may also result in a disbursement of money</w:t>
      </w:r>
      <w:r w:rsidR="00940EDA" w:rsidRPr="004E1DE3">
        <w:rPr>
          <w:lang w:val="en-CA"/>
        </w:rPr>
        <w:t>.</w:t>
      </w:r>
    </w:p>
    <w:p w14:paraId="66A0151C" w14:textId="77777777" w:rsidR="0085135E" w:rsidRPr="004E1DE3" w:rsidRDefault="00573CA9" w:rsidP="007D1A3F">
      <w:pPr>
        <w:pStyle w:val="Paragrdouble"/>
        <w:tabs>
          <w:tab w:val="num" w:pos="851"/>
        </w:tabs>
        <w:spacing w:line="240" w:lineRule="auto"/>
        <w:ind w:left="0"/>
        <w:rPr>
          <w:lang w:val="en-CA"/>
        </w:rPr>
      </w:pPr>
      <w:r w:rsidRPr="004E1DE3">
        <w:rPr>
          <w:lang w:val="en-CA"/>
        </w:rPr>
        <w:t xml:space="preserve">It may even be suggested that this two-year period is a standard that is known, recognized, and followed by those in the industry, </w:t>
      </w:r>
      <w:r w:rsidR="002E6D0E" w:rsidRPr="004E1DE3">
        <w:rPr>
          <w:lang w:val="en-CA"/>
        </w:rPr>
        <w:t>and accordingly, ultimately just as known by those malicious and ill-intentioned persons who simply wait for that two-year period known in the industry to elapse before perpetrating their wrongdoing</w:t>
      </w:r>
      <w:r w:rsidR="00940EDA" w:rsidRPr="004E1DE3">
        <w:rPr>
          <w:lang w:val="en-CA"/>
        </w:rPr>
        <w:t>.</w:t>
      </w:r>
    </w:p>
    <w:p w14:paraId="2656D3D3" w14:textId="77777777" w:rsidR="00206783" w:rsidRPr="004E1DE3" w:rsidRDefault="00573CA9" w:rsidP="00206783">
      <w:pPr>
        <w:pStyle w:val="Paragrdouble"/>
        <w:tabs>
          <w:tab w:val="num" w:pos="851"/>
        </w:tabs>
        <w:spacing w:line="240" w:lineRule="auto"/>
        <w:ind w:left="0"/>
        <w:rPr>
          <w:lang w:val="en-CA"/>
        </w:rPr>
      </w:pPr>
      <w:r w:rsidRPr="004E1DE3">
        <w:rPr>
          <w:lang w:val="en-CA"/>
        </w:rPr>
        <w:t xml:space="preserve">In </w:t>
      </w:r>
      <w:r w:rsidR="00940EDA" w:rsidRPr="004E1DE3">
        <w:rPr>
          <w:i/>
          <w:iCs/>
          <w:lang w:val="en-CA"/>
        </w:rPr>
        <w:t>Zucherman c</w:t>
      </w:r>
      <w:r w:rsidR="00940EDA" w:rsidRPr="004E1DE3">
        <w:rPr>
          <w:lang w:val="en-CA"/>
        </w:rPr>
        <w:t>.</w:t>
      </w:r>
      <w:r w:rsidR="007A7214" w:rsidRPr="004E1DE3">
        <w:rPr>
          <w:lang w:val="en-CA"/>
        </w:rPr>
        <w:t xml:space="preserve"> </w:t>
      </w:r>
      <w:r w:rsidR="00940EDA" w:rsidRPr="004E1DE3">
        <w:rPr>
          <w:i/>
          <w:iCs/>
          <w:lang w:val="en-CA"/>
        </w:rPr>
        <w:t>Target Corporation</w:t>
      </w:r>
      <w:r w:rsidRPr="004E1DE3">
        <w:rPr>
          <w:lang w:val="en-CA"/>
        </w:rPr>
        <w:t>,</w:t>
      </w:r>
      <w:r>
        <w:rPr>
          <w:rStyle w:val="Appelnotedebasdep"/>
          <w:lang w:val="en-CA"/>
        </w:rPr>
        <w:footnoteReference w:id="71"/>
      </w:r>
      <w:r w:rsidRPr="004E1DE3">
        <w:rPr>
          <w:lang w:val="en-CA"/>
        </w:rPr>
        <w:t xml:space="preserve"> </w:t>
      </w:r>
      <w:r w:rsidR="00940EDA" w:rsidRPr="004E1DE3">
        <w:rPr>
          <w:lang w:val="en-CA"/>
        </w:rPr>
        <w:t>Hamilton</w:t>
      </w:r>
      <w:r w:rsidRPr="004E1DE3">
        <w:rPr>
          <w:lang w:val="en-CA"/>
        </w:rPr>
        <w:t xml:space="preserve"> J.</w:t>
      </w:r>
      <w:r w:rsidR="00940EDA" w:rsidRPr="004E1DE3">
        <w:rPr>
          <w:lang w:val="en-CA"/>
        </w:rPr>
        <w:t xml:space="preserve">, </w:t>
      </w:r>
      <w:r w:rsidRPr="004E1DE3">
        <w:rPr>
          <w:lang w:val="en-CA"/>
        </w:rPr>
        <w:t xml:space="preserve">now of the Court of Appeal, preferred to leave </w:t>
      </w:r>
      <w:r w:rsidR="008D36BD" w:rsidRPr="004E1DE3">
        <w:rPr>
          <w:lang w:val="en-CA"/>
        </w:rPr>
        <w:t xml:space="preserve">for the </w:t>
      </w:r>
      <w:r w:rsidR="006F273D" w:rsidRPr="004E1DE3">
        <w:rPr>
          <w:lang w:val="en-CA"/>
        </w:rPr>
        <w:t xml:space="preserve">trial </w:t>
      </w:r>
      <w:r w:rsidR="008D36BD" w:rsidRPr="004E1DE3">
        <w:rPr>
          <w:lang w:val="en-CA"/>
        </w:rPr>
        <w:t xml:space="preserve">judge </w:t>
      </w:r>
      <w:r w:rsidRPr="004E1DE3">
        <w:rPr>
          <w:lang w:val="en-CA"/>
        </w:rPr>
        <w:t>the issue of determining whether a</w:t>
      </w:r>
      <w:r w:rsidR="008D36BD" w:rsidRPr="004E1DE3">
        <w:rPr>
          <w:lang w:val="en-CA"/>
        </w:rPr>
        <w:t xml:space="preserve">n expense </w:t>
      </w:r>
      <w:r w:rsidRPr="004E1DE3">
        <w:rPr>
          <w:lang w:val="en-CA"/>
        </w:rPr>
        <w:t>of $</w:t>
      </w:r>
      <w:r w:rsidR="008D36BD" w:rsidRPr="004E1DE3">
        <w:rPr>
          <w:lang w:val="en-CA"/>
        </w:rPr>
        <w:t>19.95 made by a representative for the costs of monitoring his account could be considered a compensable injury</w:t>
      </w:r>
      <w:r w:rsidR="00940EDA" w:rsidRPr="004E1DE3">
        <w:rPr>
          <w:lang w:val="en-CA"/>
        </w:rPr>
        <w:t>.</w:t>
      </w:r>
    </w:p>
    <w:p w14:paraId="6C091AC5" w14:textId="77777777" w:rsidR="00206783" w:rsidRPr="004E1DE3" w:rsidRDefault="00573CA9" w:rsidP="00206783">
      <w:pPr>
        <w:pStyle w:val="Paragrdouble"/>
        <w:tabs>
          <w:tab w:val="num" w:pos="851"/>
        </w:tabs>
        <w:spacing w:line="240" w:lineRule="auto"/>
        <w:ind w:left="0"/>
        <w:rPr>
          <w:lang w:val="en-CA"/>
        </w:rPr>
      </w:pPr>
      <w:r w:rsidRPr="004E1DE3">
        <w:rPr>
          <w:lang w:val="en-CA"/>
        </w:rPr>
        <w:t xml:space="preserve">In </w:t>
      </w:r>
      <w:r w:rsidR="00940EDA" w:rsidRPr="004E1DE3">
        <w:rPr>
          <w:i/>
          <w:iCs/>
          <w:lang w:val="en-CA"/>
        </w:rPr>
        <w:t>Lévy c.</w:t>
      </w:r>
      <w:r w:rsidR="00940EDA" w:rsidRPr="004E1DE3">
        <w:rPr>
          <w:lang w:val="en-CA"/>
        </w:rPr>
        <w:t xml:space="preserve"> </w:t>
      </w:r>
      <w:r w:rsidR="00940EDA" w:rsidRPr="004E1DE3">
        <w:rPr>
          <w:i/>
          <w:iCs/>
          <w:lang w:val="en-CA"/>
        </w:rPr>
        <w:t>Nissan</w:t>
      </w:r>
      <w:r w:rsidRPr="004E1DE3">
        <w:rPr>
          <w:lang w:val="en-CA"/>
        </w:rPr>
        <w:t>,</w:t>
      </w:r>
      <w:r>
        <w:rPr>
          <w:rStyle w:val="Appelnotedebasdep"/>
          <w:i/>
          <w:iCs/>
          <w:lang w:val="en-CA"/>
        </w:rPr>
        <w:footnoteReference w:id="72"/>
      </w:r>
      <w:r w:rsidRPr="004E1DE3">
        <w:rPr>
          <w:lang w:val="en-CA"/>
        </w:rPr>
        <w:t xml:space="preserve"> the Court of Appeal</w:t>
      </w:r>
      <w:r w:rsidR="00F22191" w:rsidRPr="004E1DE3">
        <w:rPr>
          <w:lang w:val="en-CA"/>
        </w:rPr>
        <w:t xml:space="preserve"> upheld the </w:t>
      </w:r>
      <w:r w:rsidR="00E40EED" w:rsidRPr="004E1DE3">
        <w:rPr>
          <w:lang w:val="en-CA"/>
        </w:rPr>
        <w:t>ju</w:t>
      </w:r>
      <w:r w:rsidR="00F22191" w:rsidRPr="004E1DE3">
        <w:rPr>
          <w:lang w:val="en-CA"/>
        </w:rPr>
        <w:t>d</w:t>
      </w:r>
      <w:r w:rsidR="00E40EED" w:rsidRPr="004E1DE3">
        <w:rPr>
          <w:lang w:val="en-CA"/>
        </w:rPr>
        <w:t xml:space="preserve">gment </w:t>
      </w:r>
      <w:r w:rsidR="00F22191" w:rsidRPr="004E1DE3">
        <w:rPr>
          <w:lang w:val="en-CA"/>
        </w:rPr>
        <w:t xml:space="preserve">of the </w:t>
      </w:r>
      <w:r w:rsidR="00E40EED" w:rsidRPr="004E1DE3">
        <w:rPr>
          <w:lang w:val="en-CA"/>
        </w:rPr>
        <w:t>Superior</w:t>
      </w:r>
      <w:r w:rsidR="00F22191" w:rsidRPr="004E1DE3">
        <w:rPr>
          <w:lang w:val="en-CA"/>
        </w:rPr>
        <w:t xml:space="preserve"> </w:t>
      </w:r>
      <w:r w:rsidR="00E40EED" w:rsidRPr="004E1DE3">
        <w:rPr>
          <w:lang w:val="en-CA"/>
        </w:rPr>
        <w:t>Court</w:t>
      </w:r>
      <w:r w:rsidR="00F22191" w:rsidRPr="004E1DE3">
        <w:rPr>
          <w:lang w:val="en-CA"/>
        </w:rPr>
        <w:t xml:space="preserve"> finding</w:t>
      </w:r>
      <w:r w:rsidR="006D17A8" w:rsidRPr="004E1DE3">
        <w:rPr>
          <w:lang w:val="en-CA"/>
        </w:rPr>
        <w:t xml:space="preserve">, as Hamilton J. did, </w:t>
      </w:r>
      <w:r w:rsidR="00F22191" w:rsidRPr="004E1DE3">
        <w:rPr>
          <w:lang w:val="en-CA"/>
        </w:rPr>
        <w:t xml:space="preserve">that it was more </w:t>
      </w:r>
      <w:r w:rsidR="00E40EED" w:rsidRPr="004E1DE3">
        <w:rPr>
          <w:lang w:val="en-CA"/>
        </w:rPr>
        <w:t>appropri</w:t>
      </w:r>
      <w:r w:rsidR="006D17A8" w:rsidRPr="004E1DE3">
        <w:rPr>
          <w:lang w:val="en-CA"/>
        </w:rPr>
        <w:t>ate for the</w:t>
      </w:r>
      <w:r w:rsidR="006F273D" w:rsidRPr="004E1DE3">
        <w:rPr>
          <w:lang w:val="en-CA"/>
        </w:rPr>
        <w:t xml:space="preserve"> trial</w:t>
      </w:r>
      <w:r w:rsidR="006D17A8" w:rsidRPr="004E1DE3">
        <w:rPr>
          <w:lang w:val="en-CA"/>
        </w:rPr>
        <w:t xml:space="preserve"> judge to determine the possibility of claiming</w:t>
      </w:r>
      <w:r w:rsidR="00CA5D9A" w:rsidRPr="004E1DE3">
        <w:rPr>
          <w:lang w:val="en-CA"/>
        </w:rPr>
        <w:t xml:space="preserve"> the</w:t>
      </w:r>
      <w:r w:rsidR="006D17A8" w:rsidRPr="004E1DE3">
        <w:rPr>
          <w:lang w:val="en-CA"/>
        </w:rPr>
        <w:t xml:space="preserve"> cost</w:t>
      </w:r>
      <w:r w:rsidR="00CA5D9A" w:rsidRPr="004E1DE3">
        <w:rPr>
          <w:lang w:val="en-CA"/>
        </w:rPr>
        <w:t xml:space="preserve"> of</w:t>
      </w:r>
      <w:r w:rsidR="006D17A8" w:rsidRPr="004E1DE3">
        <w:rPr>
          <w:lang w:val="en-CA"/>
        </w:rPr>
        <w:t xml:space="preserve"> monitor</w:t>
      </w:r>
      <w:r w:rsidR="00CA5D9A" w:rsidRPr="004E1DE3">
        <w:rPr>
          <w:lang w:val="en-CA"/>
        </w:rPr>
        <w:t>ing</w:t>
      </w:r>
      <w:r w:rsidR="006D17A8" w:rsidRPr="004E1DE3">
        <w:rPr>
          <w:lang w:val="en-CA"/>
        </w:rPr>
        <w:t xml:space="preserve"> bank accounts, giving the </w:t>
      </w:r>
      <w:r w:rsidR="007E7277">
        <w:rPr>
          <w:lang w:val="en-CA"/>
        </w:rPr>
        <w:t>plaintiff</w:t>
      </w:r>
      <w:r w:rsidR="007E7277" w:rsidRPr="004E1DE3">
        <w:rPr>
          <w:lang w:val="en-CA"/>
        </w:rPr>
        <w:t xml:space="preserve"> </w:t>
      </w:r>
      <w:r w:rsidR="006D17A8" w:rsidRPr="004E1DE3">
        <w:rPr>
          <w:lang w:val="en-CA"/>
        </w:rPr>
        <w:t>the benefit of the doubt</w:t>
      </w:r>
      <w:r w:rsidR="00E40EED" w:rsidRPr="004E1DE3">
        <w:rPr>
          <w:lang w:val="en-CA"/>
        </w:rPr>
        <w:t>.</w:t>
      </w:r>
    </w:p>
    <w:p w14:paraId="3454DE98" w14:textId="77777777" w:rsidR="001F7CBF" w:rsidRPr="004E1DE3" w:rsidRDefault="00573CA9" w:rsidP="00206783">
      <w:pPr>
        <w:pStyle w:val="Paragrdouble"/>
        <w:tabs>
          <w:tab w:val="num" w:pos="851"/>
        </w:tabs>
        <w:spacing w:line="240" w:lineRule="auto"/>
        <w:ind w:left="0"/>
        <w:rPr>
          <w:lang w:val="en-CA"/>
        </w:rPr>
      </w:pPr>
      <w:r w:rsidRPr="004E1DE3">
        <w:rPr>
          <w:lang w:val="en-CA"/>
        </w:rPr>
        <w:t xml:space="preserve">More recently, this </w:t>
      </w:r>
      <w:r w:rsidR="00940EDA" w:rsidRPr="004E1DE3">
        <w:rPr>
          <w:lang w:val="en-CA"/>
        </w:rPr>
        <w:t>Court aut</w:t>
      </w:r>
      <w:r w:rsidRPr="004E1DE3">
        <w:rPr>
          <w:lang w:val="en-CA"/>
        </w:rPr>
        <w:t xml:space="preserve">horized a </w:t>
      </w:r>
      <w:r w:rsidR="00940EDA" w:rsidRPr="004E1DE3">
        <w:rPr>
          <w:lang w:val="en-CA"/>
        </w:rPr>
        <w:t>class</w:t>
      </w:r>
      <w:r w:rsidRPr="004E1DE3">
        <w:rPr>
          <w:lang w:val="en-CA"/>
        </w:rPr>
        <w:t xml:space="preserve"> </w:t>
      </w:r>
      <w:r w:rsidR="00940EDA" w:rsidRPr="004E1DE3">
        <w:rPr>
          <w:lang w:val="en-CA"/>
        </w:rPr>
        <w:t>action</w:t>
      </w:r>
      <w:r w:rsidRPr="004E1DE3">
        <w:rPr>
          <w:lang w:val="en-CA"/>
        </w:rPr>
        <w:t xml:space="preserve"> in which there was no allegation of data theft, but only </w:t>
      </w:r>
      <w:r w:rsidR="00940EDA" w:rsidRPr="004E1DE3">
        <w:rPr>
          <w:lang w:val="en-CA"/>
        </w:rPr>
        <w:t xml:space="preserve">stress, </w:t>
      </w:r>
      <w:r w:rsidRPr="004E1DE3">
        <w:rPr>
          <w:lang w:val="en-CA"/>
        </w:rPr>
        <w:t>fear, and anxiety, in particular because the data had been made public</w:t>
      </w:r>
      <w:r w:rsidR="00940EDA" w:rsidRPr="004E1DE3">
        <w:rPr>
          <w:lang w:val="en-CA"/>
        </w:rPr>
        <w:t>.</w:t>
      </w:r>
    </w:p>
    <w:p w14:paraId="36EC3DC4" w14:textId="77777777" w:rsidR="00E40EED" w:rsidRPr="004E1DE3" w:rsidRDefault="00573CA9" w:rsidP="00CA5D9A">
      <w:pPr>
        <w:pStyle w:val="Paragrdouble"/>
        <w:tabs>
          <w:tab w:val="num" w:pos="851"/>
        </w:tabs>
        <w:spacing w:line="240" w:lineRule="auto"/>
        <w:ind w:left="0"/>
        <w:rPr>
          <w:lang w:val="en-CA"/>
        </w:rPr>
      </w:pPr>
      <w:r w:rsidRPr="004E1DE3">
        <w:rPr>
          <w:lang w:val="en-CA"/>
        </w:rPr>
        <w:t xml:space="preserve">The cost of monitoring bank accounts was claimed on the </w:t>
      </w:r>
      <w:r w:rsidR="0074253C" w:rsidRPr="004E1DE3">
        <w:rPr>
          <w:lang w:val="en-CA"/>
        </w:rPr>
        <w:t>ground</w:t>
      </w:r>
      <w:r w:rsidRPr="004E1DE3">
        <w:rPr>
          <w:lang w:val="en-CA"/>
        </w:rPr>
        <w:t xml:space="preserve"> that the period of one year offered at no charge was </w:t>
      </w:r>
      <w:r w:rsidR="0074253C" w:rsidRPr="004E1DE3">
        <w:rPr>
          <w:lang w:val="en-CA"/>
        </w:rPr>
        <w:t>insuffi</w:t>
      </w:r>
      <w:r w:rsidRPr="004E1DE3">
        <w:rPr>
          <w:lang w:val="en-CA"/>
        </w:rPr>
        <w:t>cient,</w:t>
      </w:r>
      <w:r>
        <w:rPr>
          <w:rStyle w:val="Appelnotedebasdep"/>
          <w:lang w:val="en-CA"/>
        </w:rPr>
        <w:footnoteReference w:id="73"/>
      </w:r>
      <w:r w:rsidRPr="004E1DE3">
        <w:rPr>
          <w:lang w:val="en-CA"/>
        </w:rPr>
        <w:t xml:space="preserve"> and </w:t>
      </w:r>
      <w:r w:rsidR="000A12BA" w:rsidRPr="004E1DE3">
        <w:rPr>
          <w:lang w:val="en-CA"/>
        </w:rPr>
        <w:t>aut</w:t>
      </w:r>
      <w:r w:rsidRPr="004E1DE3">
        <w:rPr>
          <w:lang w:val="en-CA"/>
        </w:rPr>
        <w:t>h</w:t>
      </w:r>
      <w:r w:rsidR="000A12BA" w:rsidRPr="004E1DE3">
        <w:rPr>
          <w:lang w:val="en-CA"/>
        </w:rPr>
        <w:t>ori</w:t>
      </w:r>
      <w:r w:rsidRPr="004E1DE3">
        <w:rPr>
          <w:lang w:val="en-CA"/>
        </w:rPr>
        <w:t>z</w:t>
      </w:r>
      <w:r w:rsidR="000A12BA" w:rsidRPr="004E1DE3">
        <w:rPr>
          <w:lang w:val="en-CA"/>
        </w:rPr>
        <w:t xml:space="preserve">ation </w:t>
      </w:r>
      <w:r w:rsidRPr="004E1DE3">
        <w:rPr>
          <w:lang w:val="en-CA"/>
        </w:rPr>
        <w:t xml:space="preserve">to institute a </w:t>
      </w:r>
      <w:r w:rsidR="000A12BA" w:rsidRPr="004E1DE3">
        <w:rPr>
          <w:lang w:val="en-CA"/>
        </w:rPr>
        <w:t>class</w:t>
      </w:r>
      <w:r w:rsidRPr="004E1DE3">
        <w:rPr>
          <w:lang w:val="en-CA"/>
        </w:rPr>
        <w:t xml:space="preserve"> </w:t>
      </w:r>
      <w:r w:rsidR="000A12BA" w:rsidRPr="004E1DE3">
        <w:rPr>
          <w:lang w:val="en-CA"/>
        </w:rPr>
        <w:t>action</w:t>
      </w:r>
      <w:r w:rsidRPr="004E1DE3">
        <w:rPr>
          <w:lang w:val="en-CA"/>
        </w:rPr>
        <w:t xml:space="preserve"> was granted</w:t>
      </w:r>
      <w:r w:rsidR="000A12BA" w:rsidRPr="004E1DE3">
        <w:rPr>
          <w:lang w:val="en-CA"/>
        </w:rPr>
        <w:t>.</w:t>
      </w:r>
    </w:p>
    <w:p w14:paraId="200A6C29" w14:textId="77777777" w:rsidR="00F24107" w:rsidRPr="004E1DE3" w:rsidRDefault="00573CA9" w:rsidP="0085135E">
      <w:pPr>
        <w:pStyle w:val="Paragrdouble"/>
        <w:tabs>
          <w:tab w:val="num" w:pos="851"/>
        </w:tabs>
        <w:spacing w:line="240" w:lineRule="auto"/>
        <w:ind w:left="0"/>
        <w:rPr>
          <w:lang w:val="en-CA"/>
        </w:rPr>
      </w:pPr>
      <w:r w:rsidRPr="004E1DE3">
        <w:rPr>
          <w:lang w:val="en-CA"/>
        </w:rPr>
        <w:t>At the time of the hearing, this two-year period of monitoring at no charge had presumably expired</w:t>
      </w:r>
      <w:r w:rsidR="001D3CDE">
        <w:rPr>
          <w:lang w:val="en-CA"/>
        </w:rPr>
        <w:t>,</w:t>
      </w:r>
      <w:r w:rsidRPr="004E1DE3">
        <w:rPr>
          <w:lang w:val="en-CA"/>
        </w:rPr>
        <w:t xml:space="preserve"> and it </w:t>
      </w:r>
      <w:r w:rsidR="007E7277">
        <w:rPr>
          <w:lang w:val="en-CA"/>
        </w:rPr>
        <w:t>had</w:t>
      </w:r>
      <w:r w:rsidR="007E7277" w:rsidRPr="004E1DE3">
        <w:rPr>
          <w:lang w:val="en-CA"/>
        </w:rPr>
        <w:t xml:space="preserve"> </w:t>
      </w:r>
      <w:r w:rsidRPr="004E1DE3">
        <w:rPr>
          <w:lang w:val="en-CA"/>
        </w:rPr>
        <w:t xml:space="preserve">probably expired at the time of the fourth amendment to the </w:t>
      </w:r>
      <w:r w:rsidR="00940EDA" w:rsidRPr="004E1DE3">
        <w:rPr>
          <w:lang w:val="en-CA"/>
        </w:rPr>
        <w:t>application</w:t>
      </w:r>
      <w:r w:rsidRPr="004E1DE3">
        <w:rPr>
          <w:lang w:val="en-CA"/>
        </w:rPr>
        <w:t xml:space="preserve"> on </w:t>
      </w:r>
      <w:r w:rsidR="00940EDA" w:rsidRPr="004E1DE3">
        <w:rPr>
          <w:lang w:val="en-CA"/>
        </w:rPr>
        <w:t>April</w:t>
      </w:r>
      <w:r w:rsidRPr="004E1DE3">
        <w:rPr>
          <w:lang w:val="en-CA"/>
        </w:rPr>
        <w:t xml:space="preserve"> 25,</w:t>
      </w:r>
      <w:r w:rsidR="00940EDA" w:rsidRPr="004E1DE3">
        <w:rPr>
          <w:lang w:val="en-CA"/>
        </w:rPr>
        <w:t xml:space="preserve"> 2022, </w:t>
      </w:r>
      <w:r w:rsidR="00F628B5" w:rsidRPr="004E1DE3">
        <w:rPr>
          <w:lang w:val="en-CA"/>
        </w:rPr>
        <w:t xml:space="preserve">even if that amendment did not allege that the plaintiffs or the </w:t>
      </w:r>
      <w:r w:rsidR="007E7277">
        <w:rPr>
          <w:lang w:val="en-CA"/>
        </w:rPr>
        <w:t xml:space="preserve">class </w:t>
      </w:r>
      <w:r w:rsidR="00F628B5" w:rsidRPr="004E1DE3">
        <w:rPr>
          <w:lang w:val="en-CA"/>
        </w:rPr>
        <w:t xml:space="preserve">members had to pay </w:t>
      </w:r>
      <w:r w:rsidR="00940EDA" w:rsidRPr="004E1DE3">
        <w:rPr>
          <w:lang w:val="en-CA"/>
        </w:rPr>
        <w:t>amounts</w:t>
      </w:r>
      <w:r w:rsidR="00F628B5" w:rsidRPr="004E1DE3">
        <w:rPr>
          <w:lang w:val="en-CA"/>
        </w:rPr>
        <w:t xml:space="preserve"> </w:t>
      </w:r>
      <w:r w:rsidR="00940EDA" w:rsidRPr="004E1DE3">
        <w:rPr>
          <w:lang w:val="en-CA"/>
        </w:rPr>
        <w:t>of</w:t>
      </w:r>
      <w:r w:rsidR="00F628B5" w:rsidRPr="004E1DE3">
        <w:rPr>
          <w:lang w:val="en-CA"/>
        </w:rPr>
        <w:t xml:space="preserve"> </w:t>
      </w:r>
      <w:r w:rsidR="00940EDA" w:rsidRPr="004E1DE3">
        <w:rPr>
          <w:lang w:val="en-CA"/>
        </w:rPr>
        <w:t>money</w:t>
      </w:r>
      <w:r w:rsidR="00F628B5" w:rsidRPr="004E1DE3">
        <w:rPr>
          <w:lang w:val="en-CA"/>
        </w:rPr>
        <w:t xml:space="preserve"> to extend this </w:t>
      </w:r>
      <w:r w:rsidR="00940EDA" w:rsidRPr="004E1DE3">
        <w:rPr>
          <w:lang w:val="en-CA"/>
        </w:rPr>
        <w:t>v</w:t>
      </w:r>
      <w:r w:rsidR="00F628B5" w:rsidRPr="004E1DE3">
        <w:rPr>
          <w:lang w:val="en-CA"/>
        </w:rPr>
        <w:t>e</w:t>
      </w:r>
      <w:r w:rsidR="00940EDA" w:rsidRPr="004E1DE3">
        <w:rPr>
          <w:lang w:val="en-CA"/>
        </w:rPr>
        <w:t xml:space="preserve">rification </w:t>
      </w:r>
      <w:r w:rsidR="00F628B5" w:rsidRPr="004E1DE3">
        <w:rPr>
          <w:lang w:val="en-CA"/>
        </w:rPr>
        <w:t>and monitoring period</w:t>
      </w:r>
      <w:r w:rsidR="00940EDA" w:rsidRPr="004E1DE3">
        <w:rPr>
          <w:lang w:val="en-CA"/>
        </w:rPr>
        <w:t xml:space="preserve">. </w:t>
      </w:r>
    </w:p>
    <w:p w14:paraId="4AE42035" w14:textId="77777777" w:rsidR="00F24107" w:rsidRPr="004E1DE3" w:rsidRDefault="00573CA9" w:rsidP="00F24107">
      <w:pPr>
        <w:pStyle w:val="Paragrdouble"/>
        <w:tabs>
          <w:tab w:val="num" w:pos="851"/>
        </w:tabs>
        <w:spacing w:line="240" w:lineRule="auto"/>
        <w:ind w:left="0"/>
        <w:rPr>
          <w:lang w:val="en-CA"/>
        </w:rPr>
      </w:pPr>
      <w:r w:rsidRPr="004E1DE3">
        <w:rPr>
          <w:lang w:val="en-CA"/>
        </w:rPr>
        <w:t xml:space="preserve">Accordingly, </w:t>
      </w:r>
      <w:r w:rsidR="00940EDA" w:rsidRPr="004E1DE3">
        <w:rPr>
          <w:lang w:val="en-CA"/>
        </w:rPr>
        <w:t>the</w:t>
      </w:r>
      <w:r w:rsidRPr="004E1DE3">
        <w:rPr>
          <w:lang w:val="en-CA"/>
        </w:rPr>
        <w:t xml:space="preserve"> </w:t>
      </w:r>
      <w:r w:rsidR="00940EDA" w:rsidRPr="004E1DE3">
        <w:rPr>
          <w:lang w:val="en-CA"/>
        </w:rPr>
        <w:t>Court</w:t>
      </w:r>
      <w:r w:rsidRPr="004E1DE3">
        <w:rPr>
          <w:lang w:val="en-CA"/>
        </w:rPr>
        <w:t xml:space="preserve"> intends to recognize only this head of damage as appearing </w:t>
      </w:r>
      <w:r w:rsidR="00940EDA" w:rsidRPr="004E1DE3">
        <w:rPr>
          <w:lang w:val="en-CA"/>
        </w:rPr>
        <w:t xml:space="preserve">compensable </w:t>
      </w:r>
      <w:r w:rsidRPr="004E1DE3">
        <w:rPr>
          <w:lang w:val="en-CA"/>
        </w:rPr>
        <w:t>at the aut</w:t>
      </w:r>
      <w:r w:rsidR="006F273D" w:rsidRPr="004E1DE3">
        <w:rPr>
          <w:lang w:val="en-CA"/>
        </w:rPr>
        <w:t>h</w:t>
      </w:r>
      <w:r w:rsidRPr="004E1DE3">
        <w:rPr>
          <w:lang w:val="en-CA"/>
        </w:rPr>
        <w:t>ori</w:t>
      </w:r>
      <w:r w:rsidR="006F273D" w:rsidRPr="004E1DE3">
        <w:rPr>
          <w:lang w:val="en-CA"/>
        </w:rPr>
        <w:t>z</w:t>
      </w:r>
      <w:r w:rsidRPr="004E1DE3">
        <w:rPr>
          <w:lang w:val="en-CA"/>
        </w:rPr>
        <w:t>ation stage, also leaving for the</w:t>
      </w:r>
      <w:r w:rsidR="006F273D" w:rsidRPr="004E1DE3">
        <w:rPr>
          <w:lang w:val="en-CA"/>
        </w:rPr>
        <w:t xml:space="preserve"> trial</w:t>
      </w:r>
      <w:r w:rsidRPr="004E1DE3">
        <w:rPr>
          <w:lang w:val="en-CA"/>
        </w:rPr>
        <w:t xml:space="preserve"> judge </w:t>
      </w:r>
      <w:r w:rsidR="006F273D" w:rsidRPr="004E1DE3">
        <w:rPr>
          <w:lang w:val="en-CA"/>
        </w:rPr>
        <w:t xml:space="preserve">full </w:t>
      </w:r>
      <w:r w:rsidR="00940EDA" w:rsidRPr="004E1DE3">
        <w:rPr>
          <w:lang w:val="en-CA"/>
        </w:rPr>
        <w:lastRenderedPageBreak/>
        <w:t xml:space="preserve">latitude, </w:t>
      </w:r>
      <w:r w:rsidR="006F273D" w:rsidRPr="004E1DE3">
        <w:rPr>
          <w:lang w:val="en-CA"/>
        </w:rPr>
        <w:t xml:space="preserve">with all the </w:t>
      </w:r>
      <w:r w:rsidR="00940EDA" w:rsidRPr="004E1DE3">
        <w:rPr>
          <w:lang w:val="en-CA"/>
        </w:rPr>
        <w:t>evidence</w:t>
      </w:r>
      <w:r w:rsidR="006F273D" w:rsidRPr="004E1DE3">
        <w:rPr>
          <w:lang w:val="en-CA"/>
        </w:rPr>
        <w:t xml:space="preserve"> that will be adduced before him or her, to ultimately decide whether additional costs for a </w:t>
      </w:r>
      <w:r w:rsidR="00940EDA" w:rsidRPr="004E1DE3">
        <w:rPr>
          <w:lang w:val="en-CA"/>
        </w:rPr>
        <w:t>v</w:t>
      </w:r>
      <w:r w:rsidR="006F273D" w:rsidRPr="004E1DE3">
        <w:rPr>
          <w:lang w:val="en-CA"/>
        </w:rPr>
        <w:t>e</w:t>
      </w:r>
      <w:r w:rsidR="00940EDA" w:rsidRPr="004E1DE3">
        <w:rPr>
          <w:lang w:val="en-CA"/>
        </w:rPr>
        <w:t xml:space="preserve">rification </w:t>
      </w:r>
      <w:r w:rsidR="006F273D" w:rsidRPr="004E1DE3">
        <w:rPr>
          <w:lang w:val="en-CA"/>
        </w:rPr>
        <w:t xml:space="preserve">and monitoring period that is longer that the two years offered in this case may </w:t>
      </w:r>
      <w:r w:rsidR="00940EDA" w:rsidRPr="004E1DE3">
        <w:rPr>
          <w:lang w:val="en-CA"/>
        </w:rPr>
        <w:t>constitu</w:t>
      </w:r>
      <w:r w:rsidR="006F273D" w:rsidRPr="004E1DE3">
        <w:rPr>
          <w:lang w:val="en-CA"/>
        </w:rPr>
        <w:t xml:space="preserve">te </w:t>
      </w:r>
      <w:r w:rsidR="00940EDA" w:rsidRPr="004E1DE3">
        <w:rPr>
          <w:lang w:val="en-CA"/>
        </w:rPr>
        <w:t>compensable</w:t>
      </w:r>
      <w:r w:rsidR="006F273D" w:rsidRPr="004E1DE3">
        <w:rPr>
          <w:lang w:val="en-CA"/>
        </w:rPr>
        <w:t xml:space="preserve"> injury because they are </w:t>
      </w:r>
      <w:r w:rsidR="00940EDA" w:rsidRPr="004E1DE3">
        <w:rPr>
          <w:lang w:val="en-CA"/>
        </w:rPr>
        <w:t>reasonably</w:t>
      </w:r>
      <w:r w:rsidR="006F273D" w:rsidRPr="004E1DE3">
        <w:rPr>
          <w:lang w:val="en-CA"/>
        </w:rPr>
        <w:t xml:space="preserve"> foreseeable and arise </w:t>
      </w:r>
      <w:r w:rsidR="00940EDA" w:rsidRPr="004E1DE3">
        <w:rPr>
          <w:lang w:val="en-CA"/>
        </w:rPr>
        <w:t>direct</w:t>
      </w:r>
      <w:r w:rsidR="006F273D" w:rsidRPr="004E1DE3">
        <w:rPr>
          <w:lang w:val="en-CA"/>
        </w:rPr>
        <w:t xml:space="preserve">ly from the </w:t>
      </w:r>
      <w:r w:rsidR="00940EDA" w:rsidRPr="004E1DE3">
        <w:rPr>
          <w:lang w:val="en-CA"/>
        </w:rPr>
        <w:t>defendants</w:t>
      </w:r>
      <w:r w:rsidR="006F273D" w:rsidRPr="004E1DE3">
        <w:rPr>
          <w:lang w:val="en-CA"/>
        </w:rPr>
        <w:t>’ fault</w:t>
      </w:r>
      <w:r w:rsidR="00940EDA" w:rsidRPr="004E1DE3">
        <w:rPr>
          <w:lang w:val="en-CA"/>
        </w:rPr>
        <w:t>.</w:t>
      </w:r>
    </w:p>
    <w:p w14:paraId="2CB47DC0" w14:textId="77777777" w:rsidR="006D1014" w:rsidRPr="004E1DE3" w:rsidRDefault="00573CA9" w:rsidP="00B60887">
      <w:pPr>
        <w:pStyle w:val="Paragrdouble"/>
        <w:tabs>
          <w:tab w:val="num" w:pos="851"/>
        </w:tabs>
        <w:spacing w:line="240" w:lineRule="auto"/>
        <w:ind w:left="0"/>
        <w:rPr>
          <w:lang w:val="en-CA"/>
        </w:rPr>
      </w:pPr>
      <w:r w:rsidRPr="004E1DE3">
        <w:rPr>
          <w:lang w:val="en-CA"/>
        </w:rPr>
        <w:t>Thus, except for these additional verification and monitoring costs for a period greater than two years, the plaintiffs have not established the e</w:t>
      </w:r>
      <w:r w:rsidR="00940EDA" w:rsidRPr="004E1DE3">
        <w:rPr>
          <w:lang w:val="en-CA"/>
        </w:rPr>
        <w:t xml:space="preserve">xistence </w:t>
      </w:r>
      <w:r w:rsidRPr="004E1DE3">
        <w:rPr>
          <w:lang w:val="en-CA"/>
        </w:rPr>
        <w:t xml:space="preserve">of any other </w:t>
      </w:r>
      <w:r w:rsidR="00940EDA" w:rsidRPr="004E1DE3">
        <w:rPr>
          <w:lang w:val="en-CA"/>
        </w:rPr>
        <w:t>p</w:t>
      </w:r>
      <w:r w:rsidRPr="004E1DE3">
        <w:rPr>
          <w:lang w:val="en-CA"/>
        </w:rPr>
        <w:t>e</w:t>
      </w:r>
      <w:r w:rsidR="00940EDA" w:rsidRPr="004E1DE3">
        <w:rPr>
          <w:lang w:val="en-CA"/>
        </w:rPr>
        <w:t>cunia</w:t>
      </w:r>
      <w:r w:rsidRPr="004E1DE3">
        <w:rPr>
          <w:lang w:val="en-CA"/>
        </w:rPr>
        <w:t xml:space="preserve">ry or non-pecuniary injury suffered to this day akin to costs incurred or financial losses actually </w:t>
      </w:r>
      <w:r w:rsidR="00AC1AC7" w:rsidRPr="004E1DE3">
        <w:rPr>
          <w:lang w:val="en-CA"/>
        </w:rPr>
        <w:t>suffered</w:t>
      </w:r>
      <w:r w:rsidRPr="004E1DE3">
        <w:rPr>
          <w:lang w:val="en-CA"/>
        </w:rPr>
        <w:t>, or even</w:t>
      </w:r>
      <w:r w:rsidR="000E2BEA" w:rsidRPr="004E1DE3">
        <w:rPr>
          <w:lang w:val="en-CA"/>
        </w:rPr>
        <w:t xml:space="preserve"> future</w:t>
      </w:r>
      <w:r w:rsidRPr="004E1DE3">
        <w:rPr>
          <w:lang w:val="en-CA"/>
        </w:rPr>
        <w:t xml:space="preserve"> financial losses o</w:t>
      </w:r>
      <w:r w:rsidR="000E2BEA" w:rsidRPr="004E1DE3">
        <w:rPr>
          <w:lang w:val="en-CA"/>
        </w:rPr>
        <w:t>r</w:t>
      </w:r>
      <w:r w:rsidRPr="004E1DE3">
        <w:rPr>
          <w:lang w:val="en-CA"/>
        </w:rPr>
        <w:t xml:space="preserve"> expenses</w:t>
      </w:r>
      <w:r w:rsidR="00940EDA" w:rsidRPr="004E1DE3">
        <w:rPr>
          <w:lang w:val="en-CA"/>
        </w:rPr>
        <w:t xml:space="preserve"> </w:t>
      </w:r>
      <w:r w:rsidR="000E2BEA" w:rsidRPr="004E1DE3">
        <w:rPr>
          <w:lang w:val="en-CA"/>
        </w:rPr>
        <w:t xml:space="preserve">that are also </w:t>
      </w:r>
      <w:r w:rsidR="00940EDA" w:rsidRPr="004E1DE3">
        <w:rPr>
          <w:lang w:val="en-CA"/>
        </w:rPr>
        <w:t>reasonably</w:t>
      </w:r>
      <w:r w:rsidR="000E2BEA" w:rsidRPr="004E1DE3">
        <w:rPr>
          <w:lang w:val="en-CA"/>
        </w:rPr>
        <w:t xml:space="preserve"> foreseeable</w:t>
      </w:r>
      <w:r w:rsidR="00940EDA" w:rsidRPr="004E1DE3">
        <w:rPr>
          <w:lang w:val="en-CA"/>
        </w:rPr>
        <w:t>.</w:t>
      </w:r>
    </w:p>
    <w:p w14:paraId="23490931" w14:textId="77777777" w:rsidR="00A30662" w:rsidRPr="004E1DE3" w:rsidRDefault="00573CA9" w:rsidP="00E40EED">
      <w:pPr>
        <w:pStyle w:val="Titre3"/>
        <w:tabs>
          <w:tab w:val="num" w:pos="851"/>
        </w:tabs>
        <w:rPr>
          <w:lang w:val="en-CA"/>
        </w:rPr>
      </w:pPr>
      <w:bookmarkStart w:id="28" w:name="_Toc256000013"/>
      <w:bookmarkStart w:id="29" w:name="_Toc148419876"/>
      <w:r w:rsidRPr="004E1DE3">
        <w:rPr>
          <w:lang w:val="en-CA"/>
        </w:rPr>
        <w:t>Punitive damages</w:t>
      </w:r>
      <w:bookmarkEnd w:id="28"/>
      <w:bookmarkEnd w:id="29"/>
    </w:p>
    <w:p w14:paraId="43F2597E" w14:textId="77777777" w:rsidR="00CD5671" w:rsidRPr="004E1DE3" w:rsidRDefault="00573CA9" w:rsidP="007D1A3F">
      <w:pPr>
        <w:pStyle w:val="Paragrdouble"/>
        <w:tabs>
          <w:tab w:val="num" w:pos="851"/>
        </w:tabs>
        <w:spacing w:line="240" w:lineRule="auto"/>
        <w:ind w:left="0"/>
        <w:rPr>
          <w:lang w:val="en-CA"/>
        </w:rPr>
      </w:pPr>
      <w:r w:rsidRPr="004E1DE3">
        <w:rPr>
          <w:lang w:val="en-CA"/>
        </w:rPr>
        <w:t xml:space="preserve">The plaintiffs also claim </w:t>
      </w:r>
      <w:r w:rsidR="000B1B95" w:rsidRPr="004E1DE3">
        <w:rPr>
          <w:lang w:val="en-CA"/>
        </w:rPr>
        <w:t>punitive</w:t>
      </w:r>
      <w:r w:rsidRPr="004E1DE3">
        <w:rPr>
          <w:lang w:val="en-CA"/>
        </w:rPr>
        <w:t xml:space="preserve"> </w:t>
      </w:r>
      <w:r w:rsidR="000B1B95" w:rsidRPr="004E1DE3">
        <w:rPr>
          <w:lang w:val="en-CA"/>
        </w:rPr>
        <w:t>damages</w:t>
      </w:r>
      <w:r w:rsidRPr="004E1DE3">
        <w:rPr>
          <w:lang w:val="en-CA"/>
        </w:rPr>
        <w:t xml:space="preserve"> and rely for this purpose on both </w:t>
      </w:r>
      <w:r w:rsidR="000B1B95" w:rsidRPr="004E1DE3">
        <w:rPr>
          <w:lang w:val="en-CA"/>
        </w:rPr>
        <w:t xml:space="preserve">section 49 </w:t>
      </w:r>
      <w:r w:rsidRPr="004E1DE3">
        <w:rPr>
          <w:lang w:val="en-CA"/>
        </w:rPr>
        <w:t xml:space="preserve">of the </w:t>
      </w:r>
      <w:r w:rsidR="000B1B95" w:rsidRPr="004E1DE3">
        <w:rPr>
          <w:i/>
          <w:iCs/>
          <w:lang w:val="en-CA"/>
        </w:rPr>
        <w:t>Charter</w:t>
      </w:r>
      <w:r w:rsidR="000B1B95" w:rsidRPr="004E1DE3">
        <w:rPr>
          <w:lang w:val="en-CA"/>
        </w:rPr>
        <w:t>, invo</w:t>
      </w:r>
      <w:r w:rsidRPr="004E1DE3">
        <w:rPr>
          <w:lang w:val="en-CA"/>
        </w:rPr>
        <w:t xml:space="preserve">king an </w:t>
      </w:r>
      <w:r w:rsidR="000B1B95" w:rsidRPr="004E1DE3">
        <w:rPr>
          <w:lang w:val="en-CA"/>
        </w:rPr>
        <w:t>intentional</w:t>
      </w:r>
      <w:r w:rsidRPr="004E1DE3">
        <w:rPr>
          <w:lang w:val="en-CA"/>
        </w:rPr>
        <w:t xml:space="preserve"> </w:t>
      </w:r>
      <w:r w:rsidR="000B1B95" w:rsidRPr="004E1DE3">
        <w:rPr>
          <w:lang w:val="en-CA"/>
        </w:rPr>
        <w:t>interference</w:t>
      </w:r>
      <w:r w:rsidRPr="004E1DE3">
        <w:rPr>
          <w:lang w:val="en-CA"/>
        </w:rPr>
        <w:t xml:space="preserve"> with their </w:t>
      </w:r>
      <w:r w:rsidR="000B1B95" w:rsidRPr="004E1DE3">
        <w:rPr>
          <w:lang w:val="en-CA"/>
        </w:rPr>
        <w:t xml:space="preserve">right </w:t>
      </w:r>
      <w:r w:rsidRPr="004E1DE3">
        <w:rPr>
          <w:lang w:val="en-CA"/>
        </w:rPr>
        <w:t xml:space="preserve">to the </w:t>
      </w:r>
      <w:r w:rsidR="000B1B95" w:rsidRPr="004E1DE3">
        <w:rPr>
          <w:lang w:val="en-CA"/>
        </w:rPr>
        <w:t xml:space="preserve">protection </w:t>
      </w:r>
      <w:r w:rsidRPr="004E1DE3">
        <w:rPr>
          <w:lang w:val="en-CA"/>
        </w:rPr>
        <w:t xml:space="preserve">of their </w:t>
      </w:r>
      <w:r w:rsidR="0009177D" w:rsidRPr="004E1DE3">
        <w:rPr>
          <w:lang w:val="en-CA"/>
        </w:rPr>
        <w:t>privacy</w:t>
      </w:r>
      <w:r w:rsidRPr="004E1DE3">
        <w:rPr>
          <w:lang w:val="en-CA"/>
        </w:rPr>
        <w:t xml:space="preserve">, and </w:t>
      </w:r>
      <w:r w:rsidR="000B1B95" w:rsidRPr="004E1DE3">
        <w:rPr>
          <w:lang w:val="en-CA"/>
        </w:rPr>
        <w:t xml:space="preserve">section 272 </w:t>
      </w:r>
      <w:r w:rsidR="000B1B95" w:rsidRPr="004E1DE3">
        <w:rPr>
          <w:i/>
          <w:iCs/>
          <w:lang w:val="en-CA"/>
        </w:rPr>
        <w:t>C</w:t>
      </w:r>
      <w:r w:rsidRPr="004E1DE3">
        <w:rPr>
          <w:i/>
          <w:iCs/>
          <w:lang w:val="en-CA"/>
        </w:rPr>
        <w:t>PA</w:t>
      </w:r>
      <w:r w:rsidR="00940EDA" w:rsidRPr="004E1DE3">
        <w:rPr>
          <w:i/>
          <w:iCs/>
          <w:lang w:val="en-CA"/>
        </w:rPr>
        <w:t>.</w:t>
      </w:r>
    </w:p>
    <w:p w14:paraId="4360158F" w14:textId="77777777" w:rsidR="007221E6" w:rsidRPr="004E1DE3" w:rsidRDefault="00573CA9" w:rsidP="007D1A3F">
      <w:pPr>
        <w:pStyle w:val="Paragrdouble"/>
        <w:tabs>
          <w:tab w:val="num" w:pos="851"/>
        </w:tabs>
        <w:spacing w:line="240" w:lineRule="auto"/>
        <w:ind w:left="0"/>
        <w:rPr>
          <w:lang w:val="en-CA"/>
        </w:rPr>
      </w:pPr>
      <w:r w:rsidRPr="004E1DE3">
        <w:rPr>
          <w:lang w:val="en-CA"/>
        </w:rPr>
        <w:t xml:space="preserve">As discussed above, the </w:t>
      </w:r>
      <w:r w:rsidR="00940EDA" w:rsidRPr="004E1DE3">
        <w:rPr>
          <w:lang w:val="en-CA"/>
        </w:rPr>
        <w:t>case</w:t>
      </w:r>
      <w:r w:rsidRPr="004E1DE3">
        <w:rPr>
          <w:lang w:val="en-CA"/>
        </w:rPr>
        <w:t xml:space="preserve"> </w:t>
      </w:r>
      <w:r w:rsidR="00940EDA" w:rsidRPr="004E1DE3">
        <w:rPr>
          <w:lang w:val="en-CA"/>
        </w:rPr>
        <w:t>law</w:t>
      </w:r>
      <w:r w:rsidRPr="004E1DE3">
        <w:rPr>
          <w:lang w:val="en-CA"/>
        </w:rPr>
        <w:t xml:space="preserve"> requires that the </w:t>
      </w:r>
      <w:r w:rsidR="00940EDA" w:rsidRPr="004E1DE3">
        <w:rPr>
          <w:lang w:val="en-CA"/>
        </w:rPr>
        <w:t xml:space="preserve">intention </w:t>
      </w:r>
      <w:r w:rsidRPr="004E1DE3">
        <w:rPr>
          <w:lang w:val="en-CA"/>
        </w:rPr>
        <w:t xml:space="preserve">of the wrongdoers be proven such that sufficiently clear and precise </w:t>
      </w:r>
      <w:r w:rsidR="00940EDA" w:rsidRPr="004E1DE3">
        <w:rPr>
          <w:lang w:val="en-CA"/>
        </w:rPr>
        <w:t>all</w:t>
      </w:r>
      <w:r w:rsidRPr="004E1DE3">
        <w:rPr>
          <w:lang w:val="en-CA"/>
        </w:rPr>
        <w:t>e</w:t>
      </w:r>
      <w:r w:rsidR="00940EDA" w:rsidRPr="004E1DE3">
        <w:rPr>
          <w:lang w:val="en-CA"/>
        </w:rPr>
        <w:t xml:space="preserve">gations </w:t>
      </w:r>
      <w:r w:rsidRPr="004E1DE3">
        <w:rPr>
          <w:lang w:val="en-CA"/>
        </w:rPr>
        <w:t>in this regard must be made in the A</w:t>
      </w:r>
      <w:r w:rsidR="00940EDA" w:rsidRPr="004E1DE3">
        <w:rPr>
          <w:lang w:val="en-CA"/>
        </w:rPr>
        <w:t>pplication.</w:t>
      </w:r>
    </w:p>
    <w:p w14:paraId="5827E02C" w14:textId="77777777" w:rsidR="00CF5417" w:rsidRPr="004E1DE3" w:rsidRDefault="00573CA9" w:rsidP="007D1A3F">
      <w:pPr>
        <w:pStyle w:val="Paragrdouble"/>
        <w:tabs>
          <w:tab w:val="num" w:pos="851"/>
        </w:tabs>
        <w:spacing w:line="240" w:lineRule="auto"/>
        <w:ind w:left="0"/>
        <w:rPr>
          <w:lang w:val="en-CA"/>
        </w:rPr>
      </w:pPr>
      <w:r w:rsidRPr="004E1DE3">
        <w:rPr>
          <w:lang w:val="en-CA"/>
        </w:rPr>
        <w:t>The plaintiffs do not allege any precise fact establishing that they were the subject of a specific intentional v</w:t>
      </w:r>
      <w:r w:rsidR="00940EDA" w:rsidRPr="004E1DE3">
        <w:rPr>
          <w:lang w:val="en-CA"/>
        </w:rPr>
        <w:t xml:space="preserve">iolation </w:t>
      </w:r>
      <w:r w:rsidRPr="004E1DE3">
        <w:rPr>
          <w:lang w:val="en-CA"/>
        </w:rPr>
        <w:t xml:space="preserve">by the </w:t>
      </w:r>
      <w:r w:rsidR="00940EDA" w:rsidRPr="004E1DE3">
        <w:rPr>
          <w:lang w:val="en-CA"/>
        </w:rPr>
        <w:t>defendants</w:t>
      </w:r>
      <w:r w:rsidRPr="004E1DE3">
        <w:rPr>
          <w:lang w:val="en-CA"/>
        </w:rPr>
        <w:t xml:space="preserve"> of their right and that of the </w:t>
      </w:r>
      <w:r w:rsidR="00B9112C">
        <w:rPr>
          <w:lang w:val="en-CA"/>
        </w:rPr>
        <w:t xml:space="preserve">class </w:t>
      </w:r>
      <w:r w:rsidRPr="004E1DE3">
        <w:rPr>
          <w:lang w:val="en-CA"/>
        </w:rPr>
        <w:t xml:space="preserve">members to the </w:t>
      </w:r>
      <w:r w:rsidR="00940EDA" w:rsidRPr="004E1DE3">
        <w:rPr>
          <w:lang w:val="en-CA"/>
        </w:rPr>
        <w:t xml:space="preserve">protection </w:t>
      </w:r>
      <w:r w:rsidRPr="004E1DE3">
        <w:rPr>
          <w:lang w:val="en-CA"/>
        </w:rPr>
        <w:t xml:space="preserve">of their </w:t>
      </w:r>
      <w:r w:rsidR="0009177D" w:rsidRPr="004E1DE3">
        <w:rPr>
          <w:lang w:val="en-CA"/>
        </w:rPr>
        <w:t>privacy</w:t>
      </w:r>
      <w:r w:rsidRPr="004E1DE3">
        <w:rPr>
          <w:lang w:val="en-CA"/>
        </w:rPr>
        <w:t xml:space="preserve"> under </w:t>
      </w:r>
      <w:r w:rsidR="00940EDA" w:rsidRPr="004E1DE3">
        <w:rPr>
          <w:lang w:val="en-CA"/>
        </w:rPr>
        <w:t xml:space="preserve">section 5 </w:t>
      </w:r>
      <w:r w:rsidRPr="004E1DE3">
        <w:rPr>
          <w:lang w:val="en-CA"/>
        </w:rPr>
        <w:t xml:space="preserve">of the </w:t>
      </w:r>
      <w:r w:rsidR="00940EDA" w:rsidRPr="004E1DE3">
        <w:rPr>
          <w:i/>
          <w:iCs/>
          <w:lang w:val="en-CA"/>
        </w:rPr>
        <w:t>Charter</w:t>
      </w:r>
      <w:r w:rsidR="003E4525" w:rsidRPr="004E1DE3">
        <w:rPr>
          <w:lang w:val="en-CA"/>
        </w:rPr>
        <w:t>, cited above</w:t>
      </w:r>
      <w:r w:rsidR="00940EDA" w:rsidRPr="004E1DE3">
        <w:rPr>
          <w:lang w:val="en-CA"/>
        </w:rPr>
        <w:t xml:space="preserve">. </w:t>
      </w:r>
    </w:p>
    <w:p w14:paraId="0CCFCDEE" w14:textId="77777777" w:rsidR="00CC0617" w:rsidRPr="004E1DE3" w:rsidRDefault="00573CA9" w:rsidP="007D1A3F">
      <w:pPr>
        <w:pStyle w:val="Paragrdouble"/>
        <w:tabs>
          <w:tab w:val="num" w:pos="851"/>
        </w:tabs>
        <w:spacing w:line="240" w:lineRule="auto"/>
        <w:ind w:left="0"/>
        <w:rPr>
          <w:lang w:val="en-CA"/>
        </w:rPr>
      </w:pPr>
      <w:r w:rsidRPr="004E1DE3">
        <w:rPr>
          <w:lang w:val="en-CA"/>
        </w:rPr>
        <w:t>Rather, the A</w:t>
      </w:r>
      <w:r w:rsidR="00940EDA" w:rsidRPr="004E1DE3">
        <w:rPr>
          <w:lang w:val="en-CA"/>
        </w:rPr>
        <w:t>pplication</w:t>
      </w:r>
      <w:r w:rsidRPr="004E1DE3">
        <w:rPr>
          <w:lang w:val="en-CA"/>
        </w:rPr>
        <w:t xml:space="preserve"> </w:t>
      </w:r>
      <w:r w:rsidR="00940EDA" w:rsidRPr="004E1DE3">
        <w:rPr>
          <w:lang w:val="en-CA"/>
        </w:rPr>
        <w:t>faults</w:t>
      </w:r>
      <w:r w:rsidRPr="004E1DE3">
        <w:rPr>
          <w:lang w:val="en-CA"/>
        </w:rPr>
        <w:t xml:space="preserve"> </w:t>
      </w:r>
      <w:r w:rsidR="00940EDA" w:rsidRPr="004E1DE3">
        <w:rPr>
          <w:lang w:val="en-CA"/>
        </w:rPr>
        <w:t>Capital One</w:t>
      </w:r>
      <w:r w:rsidRPr="004E1DE3">
        <w:rPr>
          <w:lang w:val="en-CA"/>
        </w:rPr>
        <w:t xml:space="preserve"> for its negligent conduct and lack of concern for the se</w:t>
      </w:r>
      <w:r w:rsidR="00940EDA" w:rsidRPr="004E1DE3">
        <w:rPr>
          <w:lang w:val="en-CA"/>
        </w:rPr>
        <w:t>curit</w:t>
      </w:r>
      <w:r w:rsidRPr="004E1DE3">
        <w:rPr>
          <w:lang w:val="en-CA"/>
        </w:rPr>
        <w:t xml:space="preserve">y of the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it obtained from its clients, while it knew or should have known, during the </w:t>
      </w:r>
      <w:r w:rsidR="00940EDA" w:rsidRPr="004E1DE3">
        <w:rPr>
          <w:lang w:val="en-CA"/>
        </w:rPr>
        <w:t xml:space="preserve">migration </w:t>
      </w:r>
      <w:r w:rsidRPr="004E1DE3">
        <w:rPr>
          <w:lang w:val="en-CA"/>
        </w:rPr>
        <w:t xml:space="preserve">of this </w:t>
      </w:r>
      <w:r w:rsidR="003D4969" w:rsidRPr="004E1DE3">
        <w:rPr>
          <w:lang w:val="en-CA"/>
        </w:rPr>
        <w:t xml:space="preserve">substantial amount of </w:t>
      </w:r>
      <w:r w:rsidR="00940EDA" w:rsidRPr="004E1DE3">
        <w:rPr>
          <w:lang w:val="en-CA"/>
        </w:rPr>
        <w:t>personal</w:t>
      </w:r>
      <w:r w:rsidR="003D4969" w:rsidRPr="004E1DE3">
        <w:rPr>
          <w:lang w:val="en-CA"/>
        </w:rPr>
        <w:t xml:space="preserve"> </w:t>
      </w:r>
      <w:r w:rsidR="00940EDA" w:rsidRPr="004E1DE3">
        <w:rPr>
          <w:lang w:val="en-CA"/>
        </w:rPr>
        <w:t>information</w:t>
      </w:r>
      <w:r w:rsidR="003D4969" w:rsidRPr="004E1DE3">
        <w:rPr>
          <w:lang w:val="en-CA"/>
        </w:rPr>
        <w:t xml:space="preserve"> in </w:t>
      </w:r>
      <w:r w:rsidR="00940EDA" w:rsidRPr="004E1DE3">
        <w:rPr>
          <w:lang w:val="en-CA"/>
        </w:rPr>
        <w:t xml:space="preserve">2015, </w:t>
      </w:r>
      <w:r w:rsidR="003D4969" w:rsidRPr="004E1DE3">
        <w:rPr>
          <w:lang w:val="en-CA"/>
        </w:rPr>
        <w:t xml:space="preserve">that the </w:t>
      </w:r>
      <w:r w:rsidR="00940EDA" w:rsidRPr="004E1DE3">
        <w:rPr>
          <w:lang w:val="en-CA"/>
        </w:rPr>
        <w:t xml:space="preserve">protection </w:t>
      </w:r>
      <w:r w:rsidR="003D4969" w:rsidRPr="004E1DE3">
        <w:rPr>
          <w:lang w:val="en-CA"/>
        </w:rPr>
        <w:t xml:space="preserve">and security of this data could be affected and eventually </w:t>
      </w:r>
      <w:r w:rsidR="00940EDA" w:rsidRPr="004E1DE3">
        <w:rPr>
          <w:lang w:val="en-CA"/>
        </w:rPr>
        <w:t>compromise</w:t>
      </w:r>
      <w:r w:rsidR="003D4969" w:rsidRPr="004E1DE3">
        <w:rPr>
          <w:lang w:val="en-CA"/>
        </w:rPr>
        <w:t>d</w:t>
      </w:r>
      <w:r w:rsidR="00940EDA" w:rsidRPr="004E1DE3">
        <w:rPr>
          <w:lang w:val="en-CA"/>
        </w:rPr>
        <w:t xml:space="preserve"> </w:t>
      </w:r>
      <w:r w:rsidR="003D4969" w:rsidRPr="004E1DE3">
        <w:rPr>
          <w:lang w:val="en-CA"/>
        </w:rPr>
        <w:t xml:space="preserve">because the </w:t>
      </w:r>
      <w:r w:rsidR="00940EDA" w:rsidRPr="004E1DE3">
        <w:rPr>
          <w:lang w:val="en-CA"/>
        </w:rPr>
        <w:t>me</w:t>
      </w:r>
      <w:r w:rsidR="003D4969" w:rsidRPr="004E1DE3">
        <w:rPr>
          <w:lang w:val="en-CA"/>
        </w:rPr>
        <w:t>a</w:t>
      </w:r>
      <w:r w:rsidR="00940EDA" w:rsidRPr="004E1DE3">
        <w:rPr>
          <w:lang w:val="en-CA"/>
        </w:rPr>
        <w:t xml:space="preserve">sures </w:t>
      </w:r>
      <w:r w:rsidR="003D4969" w:rsidRPr="004E1DE3">
        <w:rPr>
          <w:lang w:val="en-CA"/>
        </w:rPr>
        <w:t xml:space="preserve">implemented were </w:t>
      </w:r>
      <w:r w:rsidR="00940EDA" w:rsidRPr="004E1DE3">
        <w:rPr>
          <w:lang w:val="en-CA"/>
        </w:rPr>
        <w:t>inad</w:t>
      </w:r>
      <w:r w:rsidR="003D4969" w:rsidRPr="004E1DE3">
        <w:rPr>
          <w:lang w:val="en-CA"/>
        </w:rPr>
        <w:t>e</w:t>
      </w:r>
      <w:r w:rsidR="00940EDA" w:rsidRPr="004E1DE3">
        <w:rPr>
          <w:lang w:val="en-CA"/>
        </w:rPr>
        <w:t>quate</w:t>
      </w:r>
      <w:r w:rsidR="003D4969" w:rsidRPr="004E1DE3">
        <w:rPr>
          <w:lang w:val="en-CA"/>
        </w:rPr>
        <w:t xml:space="preserve"> and </w:t>
      </w:r>
      <w:r w:rsidR="00940EDA" w:rsidRPr="004E1DE3">
        <w:rPr>
          <w:lang w:val="en-CA"/>
        </w:rPr>
        <w:t>insuffi</w:t>
      </w:r>
      <w:r w:rsidR="003D4969" w:rsidRPr="004E1DE3">
        <w:rPr>
          <w:lang w:val="en-CA"/>
        </w:rPr>
        <w:t>cient</w:t>
      </w:r>
      <w:r w:rsidR="00940EDA" w:rsidRPr="004E1DE3">
        <w:rPr>
          <w:lang w:val="en-CA"/>
        </w:rPr>
        <w:t>.</w:t>
      </w:r>
    </w:p>
    <w:p w14:paraId="1B1BE40D" w14:textId="77777777" w:rsidR="00495B1C" w:rsidRPr="004E1DE3" w:rsidRDefault="00573CA9" w:rsidP="007D1A3F">
      <w:pPr>
        <w:pStyle w:val="Paragrdouble"/>
        <w:tabs>
          <w:tab w:val="num" w:pos="851"/>
        </w:tabs>
        <w:spacing w:line="240" w:lineRule="auto"/>
        <w:ind w:left="0"/>
        <w:rPr>
          <w:lang w:val="en-CA"/>
        </w:rPr>
      </w:pPr>
      <w:r w:rsidRPr="004E1DE3">
        <w:rPr>
          <w:lang w:val="en-CA"/>
        </w:rPr>
        <w:t xml:space="preserve">According to the plaintiffs, </w:t>
      </w:r>
      <w:r w:rsidR="00940EDA" w:rsidRPr="004E1DE3">
        <w:rPr>
          <w:lang w:val="en-CA"/>
        </w:rPr>
        <w:t xml:space="preserve">Capital One </w:t>
      </w:r>
      <w:r w:rsidRPr="004E1DE3">
        <w:rPr>
          <w:lang w:val="en-CA"/>
        </w:rPr>
        <w:t xml:space="preserve">did not comply with industry standards and practices regarding information security and placed little </w:t>
      </w:r>
      <w:r w:rsidR="00940EDA" w:rsidRPr="004E1DE3">
        <w:rPr>
          <w:lang w:val="en-CA"/>
        </w:rPr>
        <w:t xml:space="preserve">importance </w:t>
      </w:r>
      <w:r w:rsidRPr="004E1DE3">
        <w:rPr>
          <w:lang w:val="en-CA"/>
        </w:rPr>
        <w:t xml:space="preserve">on the </w:t>
      </w:r>
      <w:r w:rsidR="00940EDA" w:rsidRPr="004E1DE3">
        <w:rPr>
          <w:lang w:val="en-CA"/>
        </w:rPr>
        <w:t xml:space="preserve">protection </w:t>
      </w:r>
      <w:r w:rsidRPr="004E1DE3">
        <w:rPr>
          <w:lang w:val="en-CA"/>
        </w:rPr>
        <w:t>and security of its clients</w:t>
      </w:r>
      <w:r w:rsidR="00356BBE">
        <w:rPr>
          <w:lang w:val="en-CA"/>
        </w:rPr>
        <w:t>’</w:t>
      </w:r>
      <w:r w:rsidRPr="004E1DE3">
        <w:rPr>
          <w:lang w:val="en-CA"/>
        </w:rPr>
        <w:t xml:space="preserve"> </w:t>
      </w:r>
      <w:r w:rsidR="00940EDA" w:rsidRPr="004E1DE3">
        <w:rPr>
          <w:lang w:val="en-CA"/>
        </w:rPr>
        <w:t>personal</w:t>
      </w:r>
      <w:r w:rsidRPr="004E1DE3">
        <w:rPr>
          <w:lang w:val="en-CA"/>
        </w:rPr>
        <w:t xml:space="preserve"> </w:t>
      </w:r>
      <w:r w:rsidR="00940EDA" w:rsidRPr="004E1DE3">
        <w:rPr>
          <w:lang w:val="en-CA"/>
        </w:rPr>
        <w:t>information.</w:t>
      </w:r>
    </w:p>
    <w:p w14:paraId="1808903B" w14:textId="77777777" w:rsidR="00CC0617" w:rsidRPr="004E1DE3" w:rsidRDefault="00573CA9" w:rsidP="007D1A3F">
      <w:pPr>
        <w:pStyle w:val="Paragrdouble"/>
        <w:tabs>
          <w:tab w:val="num" w:pos="851"/>
        </w:tabs>
        <w:spacing w:line="240" w:lineRule="auto"/>
        <w:ind w:left="0"/>
        <w:rPr>
          <w:lang w:val="en-CA"/>
        </w:rPr>
      </w:pPr>
      <w:r w:rsidRPr="004E1DE3">
        <w:rPr>
          <w:lang w:val="en-CA"/>
        </w:rPr>
        <w:t xml:space="preserve">It favoured its potentially lucrative </w:t>
      </w:r>
      <w:r w:rsidR="00940EDA" w:rsidRPr="004E1DE3">
        <w:rPr>
          <w:lang w:val="en-CA"/>
        </w:rPr>
        <w:t xml:space="preserve">association </w:t>
      </w:r>
      <w:r w:rsidRPr="004E1DE3">
        <w:rPr>
          <w:lang w:val="en-CA"/>
        </w:rPr>
        <w:t xml:space="preserve">with </w:t>
      </w:r>
      <w:r w:rsidR="00940EDA" w:rsidRPr="004E1DE3">
        <w:rPr>
          <w:lang w:val="en-CA"/>
        </w:rPr>
        <w:t xml:space="preserve">Amazon, </w:t>
      </w:r>
      <w:r w:rsidRPr="004E1DE3">
        <w:rPr>
          <w:lang w:val="en-CA"/>
        </w:rPr>
        <w:t xml:space="preserve">while </w:t>
      </w:r>
      <w:r w:rsidR="00A34701" w:rsidRPr="004E1DE3">
        <w:rPr>
          <w:lang w:val="en-CA"/>
        </w:rPr>
        <w:t>keeping</w:t>
      </w:r>
      <w:r w:rsidRPr="004E1DE3">
        <w:rPr>
          <w:lang w:val="en-CA"/>
        </w:rPr>
        <w:t xml:space="preserve"> too much data for that purpose, including that of </w:t>
      </w:r>
      <w:r w:rsidR="00940EDA" w:rsidRPr="004E1DE3">
        <w:rPr>
          <w:lang w:val="en-CA"/>
        </w:rPr>
        <w:t>memb</w:t>
      </w:r>
      <w:r w:rsidRPr="004E1DE3">
        <w:rPr>
          <w:lang w:val="en-CA"/>
        </w:rPr>
        <w:t>e</w:t>
      </w:r>
      <w:r w:rsidR="00940EDA" w:rsidRPr="004E1DE3">
        <w:rPr>
          <w:lang w:val="en-CA"/>
        </w:rPr>
        <w:t xml:space="preserve">rs </w:t>
      </w:r>
      <w:r w:rsidRPr="004E1DE3">
        <w:rPr>
          <w:lang w:val="en-CA"/>
        </w:rPr>
        <w:t>whose credit had been refused, over too long a period</w:t>
      </w:r>
      <w:r w:rsidR="0049418B" w:rsidRPr="004E1DE3">
        <w:rPr>
          <w:lang w:val="en-CA"/>
        </w:rPr>
        <w:t xml:space="preserve">, and went forward with this massive </w:t>
      </w:r>
      <w:r w:rsidR="00940EDA" w:rsidRPr="004E1DE3">
        <w:rPr>
          <w:lang w:val="en-CA"/>
        </w:rPr>
        <w:t xml:space="preserve">migration </w:t>
      </w:r>
      <w:r w:rsidR="0049418B" w:rsidRPr="004E1DE3">
        <w:rPr>
          <w:lang w:val="en-CA"/>
        </w:rPr>
        <w:t xml:space="preserve">of the </w:t>
      </w:r>
      <w:r w:rsidR="00940EDA" w:rsidRPr="004E1DE3">
        <w:rPr>
          <w:lang w:val="en-CA"/>
        </w:rPr>
        <w:t>personal</w:t>
      </w:r>
      <w:r w:rsidR="0049418B" w:rsidRPr="004E1DE3">
        <w:rPr>
          <w:lang w:val="en-CA"/>
        </w:rPr>
        <w:t xml:space="preserve"> </w:t>
      </w:r>
      <w:r w:rsidR="00940EDA" w:rsidRPr="004E1DE3">
        <w:rPr>
          <w:lang w:val="en-CA"/>
        </w:rPr>
        <w:t>information</w:t>
      </w:r>
      <w:r w:rsidR="0049418B" w:rsidRPr="004E1DE3">
        <w:rPr>
          <w:lang w:val="en-CA"/>
        </w:rPr>
        <w:t xml:space="preserve"> of its clients to a public hosting site known to be less secure, was late informing the members of this </w:t>
      </w:r>
      <w:r w:rsidR="00940EDA" w:rsidRPr="004E1DE3">
        <w:rPr>
          <w:lang w:val="en-CA"/>
        </w:rPr>
        <w:t>confidentialit</w:t>
      </w:r>
      <w:r w:rsidR="0049418B" w:rsidRPr="004E1DE3">
        <w:rPr>
          <w:lang w:val="en-CA"/>
        </w:rPr>
        <w:t>y</w:t>
      </w:r>
      <w:r w:rsidR="00940EDA" w:rsidRPr="004E1DE3">
        <w:rPr>
          <w:lang w:val="en-CA"/>
        </w:rPr>
        <w:t xml:space="preserve"> </w:t>
      </w:r>
      <w:r w:rsidR="00DC1A3A" w:rsidRPr="004E1DE3">
        <w:rPr>
          <w:lang w:val="en-CA"/>
        </w:rPr>
        <w:t xml:space="preserve">incident, and failed to fix the </w:t>
      </w:r>
      <w:r w:rsidR="00940EDA" w:rsidRPr="004E1DE3">
        <w:rPr>
          <w:lang w:val="en-CA"/>
        </w:rPr>
        <w:t>vuln</w:t>
      </w:r>
      <w:r w:rsidR="00DC1A3A" w:rsidRPr="004E1DE3">
        <w:rPr>
          <w:lang w:val="en-CA"/>
        </w:rPr>
        <w:t>e</w:t>
      </w:r>
      <w:r w:rsidR="00940EDA" w:rsidRPr="004E1DE3">
        <w:rPr>
          <w:lang w:val="en-CA"/>
        </w:rPr>
        <w:t>rabilit</w:t>
      </w:r>
      <w:r w:rsidR="00DC1A3A" w:rsidRPr="004E1DE3">
        <w:rPr>
          <w:lang w:val="en-CA"/>
        </w:rPr>
        <w:t xml:space="preserve">y of the </w:t>
      </w:r>
      <w:r w:rsidR="00940EDA" w:rsidRPr="004E1DE3">
        <w:rPr>
          <w:lang w:val="en-CA"/>
        </w:rPr>
        <w:t xml:space="preserve">protection </w:t>
      </w:r>
      <w:r w:rsidR="00DC1A3A" w:rsidRPr="004E1DE3">
        <w:rPr>
          <w:lang w:val="en-CA"/>
        </w:rPr>
        <w:t>and security measures implemented</w:t>
      </w:r>
      <w:r w:rsidR="00940EDA" w:rsidRPr="004E1DE3">
        <w:rPr>
          <w:lang w:val="en-CA"/>
        </w:rPr>
        <w:t>.</w:t>
      </w:r>
    </w:p>
    <w:p w14:paraId="1B91E22E" w14:textId="77777777" w:rsidR="000207BE" w:rsidRPr="004E1DE3" w:rsidRDefault="00573CA9" w:rsidP="008478D0">
      <w:pPr>
        <w:pStyle w:val="Paragrdouble"/>
        <w:tabs>
          <w:tab w:val="num" w:pos="851"/>
        </w:tabs>
        <w:spacing w:line="240" w:lineRule="auto"/>
        <w:ind w:left="0"/>
        <w:rPr>
          <w:lang w:val="en-CA"/>
        </w:rPr>
      </w:pPr>
      <w:r w:rsidRPr="004E1DE3">
        <w:rPr>
          <w:lang w:val="en-CA"/>
        </w:rPr>
        <w:t xml:space="preserve">According </w:t>
      </w:r>
      <w:r w:rsidR="006534CA" w:rsidRPr="004E1DE3">
        <w:rPr>
          <w:lang w:val="en-CA"/>
        </w:rPr>
        <w:t xml:space="preserve">to author </w:t>
      </w:r>
      <w:r w:rsidR="008478D0" w:rsidRPr="004E1DE3">
        <w:rPr>
          <w:lang w:val="en-CA"/>
        </w:rPr>
        <w:t xml:space="preserve">Mtre Claude Dallaire, </w:t>
      </w:r>
      <w:r w:rsidR="006534CA" w:rsidRPr="004E1DE3">
        <w:rPr>
          <w:lang w:val="en-CA"/>
        </w:rPr>
        <w:t xml:space="preserve">who has since become a judge of this </w:t>
      </w:r>
      <w:r w:rsidR="008478D0" w:rsidRPr="004E1DE3">
        <w:rPr>
          <w:lang w:val="en-CA"/>
        </w:rPr>
        <w:t xml:space="preserve">Court, </w:t>
      </w:r>
      <w:r w:rsidR="006534CA" w:rsidRPr="004E1DE3">
        <w:rPr>
          <w:lang w:val="en-CA"/>
        </w:rPr>
        <w:t xml:space="preserve">a reading of the </w:t>
      </w:r>
      <w:r w:rsidR="008478D0" w:rsidRPr="004E1DE3">
        <w:rPr>
          <w:lang w:val="en-CA"/>
        </w:rPr>
        <w:t>case</w:t>
      </w:r>
      <w:r w:rsidR="006534CA" w:rsidRPr="004E1DE3">
        <w:rPr>
          <w:lang w:val="en-CA"/>
        </w:rPr>
        <w:t xml:space="preserve"> </w:t>
      </w:r>
      <w:r w:rsidR="008478D0" w:rsidRPr="004E1DE3">
        <w:rPr>
          <w:lang w:val="en-CA"/>
        </w:rPr>
        <w:t>law</w:t>
      </w:r>
      <w:r w:rsidR="006534CA" w:rsidRPr="004E1DE3">
        <w:rPr>
          <w:lang w:val="en-CA"/>
        </w:rPr>
        <w:t xml:space="preserve"> on the intentional interference with a right or freedom </w:t>
      </w:r>
      <w:r w:rsidR="006534CA" w:rsidRPr="004E1DE3">
        <w:rPr>
          <w:lang w:val="en-CA"/>
        </w:rPr>
        <w:lastRenderedPageBreak/>
        <w:t xml:space="preserve">recognized by the </w:t>
      </w:r>
      <w:r w:rsidR="008478D0" w:rsidRPr="004E1DE3">
        <w:rPr>
          <w:i/>
          <w:iCs/>
          <w:lang w:val="en-CA"/>
        </w:rPr>
        <w:t>Charter</w:t>
      </w:r>
      <w:r w:rsidR="006534CA" w:rsidRPr="004E1DE3">
        <w:rPr>
          <w:lang w:val="en-CA"/>
        </w:rPr>
        <w:t xml:space="preserve"> reveals that it is possible to infer such </w:t>
      </w:r>
      <w:r w:rsidR="008478D0" w:rsidRPr="004E1DE3">
        <w:rPr>
          <w:lang w:val="en-CA"/>
        </w:rPr>
        <w:t>intentional</w:t>
      </w:r>
      <w:r w:rsidR="006534CA" w:rsidRPr="004E1DE3">
        <w:rPr>
          <w:lang w:val="en-CA"/>
        </w:rPr>
        <w:t xml:space="preserve"> </w:t>
      </w:r>
      <w:r w:rsidR="008478D0" w:rsidRPr="004E1DE3">
        <w:rPr>
          <w:lang w:val="en-CA"/>
        </w:rPr>
        <w:t>interference</w:t>
      </w:r>
      <w:r w:rsidR="006534CA" w:rsidRPr="004E1DE3">
        <w:rPr>
          <w:lang w:val="en-CA"/>
        </w:rPr>
        <w:t xml:space="preserve"> from the conduct of a </w:t>
      </w:r>
      <w:r w:rsidR="008478D0" w:rsidRPr="004E1DE3">
        <w:rPr>
          <w:lang w:val="en-CA"/>
        </w:rPr>
        <w:t>reasonable</w:t>
      </w:r>
      <w:r w:rsidR="006534CA" w:rsidRPr="004E1DE3">
        <w:rPr>
          <w:lang w:val="en-CA"/>
        </w:rPr>
        <w:t xml:space="preserve"> </w:t>
      </w:r>
      <w:r w:rsidR="008478D0" w:rsidRPr="004E1DE3">
        <w:rPr>
          <w:lang w:val="en-CA"/>
        </w:rPr>
        <w:t xml:space="preserve">person </w:t>
      </w:r>
      <w:r w:rsidR="006534CA" w:rsidRPr="004E1DE3">
        <w:rPr>
          <w:lang w:val="en-CA"/>
        </w:rPr>
        <w:t xml:space="preserve">who, acting as such, cannot </w:t>
      </w:r>
      <w:r w:rsidR="008478D0" w:rsidRPr="004E1DE3">
        <w:rPr>
          <w:lang w:val="en-CA"/>
        </w:rPr>
        <w:t>ignore</w:t>
      </w:r>
      <w:r w:rsidR="006534CA" w:rsidRPr="004E1DE3">
        <w:rPr>
          <w:lang w:val="en-CA"/>
        </w:rPr>
        <w:t xml:space="preserve"> the natural and immediate consequences</w:t>
      </w:r>
      <w:r w:rsidR="001E0F9A" w:rsidRPr="004E1DE3">
        <w:rPr>
          <w:lang w:val="en-CA"/>
        </w:rPr>
        <w:t xml:space="preserve"> </w:t>
      </w:r>
      <w:r w:rsidR="00B849D4" w:rsidRPr="004E1DE3">
        <w:rPr>
          <w:lang w:val="en-CA"/>
        </w:rPr>
        <w:t xml:space="preserve">that </w:t>
      </w:r>
      <w:r w:rsidR="001E0F9A" w:rsidRPr="004E1DE3">
        <w:rPr>
          <w:lang w:val="en-CA"/>
        </w:rPr>
        <w:t>his or her acts</w:t>
      </w:r>
      <w:r w:rsidR="00B849D4" w:rsidRPr="004E1DE3">
        <w:rPr>
          <w:lang w:val="en-CA"/>
        </w:rPr>
        <w:t xml:space="preserve"> will </w:t>
      </w:r>
      <w:r w:rsidR="00262E30" w:rsidRPr="004E1DE3">
        <w:rPr>
          <w:lang w:val="en-CA"/>
        </w:rPr>
        <w:t>cause</w:t>
      </w:r>
      <w:r w:rsidR="008478D0" w:rsidRPr="004E1DE3">
        <w:rPr>
          <w:lang w:val="en-CA"/>
        </w:rPr>
        <w:t>:</w:t>
      </w:r>
    </w:p>
    <w:p w14:paraId="469EC1C6" w14:textId="77777777" w:rsidR="00602123" w:rsidRPr="004E1DE3" w:rsidRDefault="00573CA9" w:rsidP="008478D0">
      <w:pPr>
        <w:pStyle w:val="Citationenretrait"/>
        <w:rPr>
          <w:lang w:val="en-CA"/>
        </w:rPr>
      </w:pPr>
      <w:r w:rsidRPr="004E1DE3">
        <w:rPr>
          <w:lang w:val="en-CA"/>
        </w:rPr>
        <w:t>[</w:t>
      </w:r>
      <w:r w:rsidRPr="004E1DE3">
        <w:rPr>
          <w:smallCaps/>
          <w:lang w:val="en-CA"/>
        </w:rPr>
        <w:t>translation</w:t>
      </w:r>
      <w:r w:rsidRPr="004E1DE3">
        <w:rPr>
          <w:lang w:val="en-CA"/>
        </w:rPr>
        <w:t>]</w:t>
      </w:r>
    </w:p>
    <w:p w14:paraId="537C9235" w14:textId="77777777" w:rsidR="008478D0" w:rsidRPr="004E1DE3" w:rsidRDefault="00573CA9" w:rsidP="008478D0">
      <w:pPr>
        <w:pStyle w:val="Citationenretrait"/>
        <w:rPr>
          <w:lang w:val="en-CA"/>
        </w:rPr>
      </w:pPr>
      <w:r w:rsidRPr="004E1DE3">
        <w:rPr>
          <w:lang w:val="en-CA"/>
        </w:rPr>
        <w:t xml:space="preserve">The </w:t>
      </w:r>
      <w:r w:rsidR="00940EDA" w:rsidRPr="004E1DE3">
        <w:rPr>
          <w:lang w:val="en-CA"/>
        </w:rPr>
        <w:t xml:space="preserve">intention </w:t>
      </w:r>
      <w:r w:rsidRPr="004E1DE3">
        <w:rPr>
          <w:lang w:val="en-CA"/>
        </w:rPr>
        <w:t>is what can be deduced from the actions of the person who committed the interference. If the conduct is shocking</w:t>
      </w:r>
      <w:r w:rsidR="00940EDA" w:rsidRPr="004E1DE3">
        <w:rPr>
          <w:lang w:val="en-CA"/>
        </w:rPr>
        <w:t>,</w:t>
      </w:r>
      <w:r w:rsidR="00911A86" w:rsidRPr="004E1DE3">
        <w:rPr>
          <w:lang w:val="en-CA"/>
        </w:rPr>
        <w:t xml:space="preserve"> </w:t>
      </w:r>
      <w:r w:rsidR="00940EDA" w:rsidRPr="004E1DE3">
        <w:rPr>
          <w:lang w:val="en-CA"/>
        </w:rPr>
        <w:t xml:space="preserve">unreasonable, </w:t>
      </w:r>
      <w:r w:rsidR="00911A86" w:rsidRPr="004E1DE3">
        <w:rPr>
          <w:lang w:val="en-CA"/>
        </w:rPr>
        <w:t xml:space="preserve">unjustified, serious, or repetitive, there is a good chance that there will be elements present to meet the </w:t>
      </w:r>
      <w:r w:rsidR="00940EDA" w:rsidRPr="004E1DE3">
        <w:rPr>
          <w:lang w:val="en-CA"/>
        </w:rPr>
        <w:t>burden</w:t>
      </w:r>
      <w:r w:rsidR="002001A9" w:rsidRPr="004E1DE3">
        <w:rPr>
          <w:lang w:val="en-CA"/>
        </w:rPr>
        <w:t xml:space="preserve"> </w:t>
      </w:r>
      <w:r w:rsidR="00940EDA" w:rsidRPr="004E1DE3">
        <w:rPr>
          <w:lang w:val="en-CA"/>
        </w:rPr>
        <w:t>of</w:t>
      </w:r>
      <w:r w:rsidR="002001A9" w:rsidRPr="004E1DE3">
        <w:rPr>
          <w:lang w:val="en-CA"/>
        </w:rPr>
        <w:t xml:space="preserve"> </w:t>
      </w:r>
      <w:r w:rsidR="00940EDA" w:rsidRPr="004E1DE3">
        <w:rPr>
          <w:lang w:val="en-CA"/>
        </w:rPr>
        <w:t>proof</w:t>
      </w:r>
      <w:r w:rsidR="005B550E" w:rsidRPr="004E1DE3">
        <w:rPr>
          <w:lang w:val="en-CA"/>
        </w:rPr>
        <w:t xml:space="preserve"> required by </w:t>
      </w:r>
      <w:r w:rsidR="00940EDA" w:rsidRPr="004E1DE3">
        <w:rPr>
          <w:lang w:val="en-CA"/>
        </w:rPr>
        <w:t>the</w:t>
      </w:r>
      <w:r w:rsidR="005B550E" w:rsidRPr="004E1DE3">
        <w:rPr>
          <w:lang w:val="en-CA"/>
        </w:rPr>
        <w:t xml:space="preserve"> </w:t>
      </w:r>
      <w:r w:rsidR="00940EDA" w:rsidRPr="004E1DE3">
        <w:rPr>
          <w:lang w:val="en-CA"/>
        </w:rPr>
        <w:t>Supreme</w:t>
      </w:r>
      <w:r w:rsidR="005B550E" w:rsidRPr="004E1DE3">
        <w:rPr>
          <w:lang w:val="en-CA"/>
        </w:rPr>
        <w:t xml:space="preserve"> </w:t>
      </w:r>
      <w:r w:rsidR="00940EDA" w:rsidRPr="004E1DE3">
        <w:rPr>
          <w:lang w:val="en-CA"/>
        </w:rPr>
        <w:t>Court</w:t>
      </w:r>
      <w:r w:rsidR="005B550E" w:rsidRPr="004E1DE3">
        <w:rPr>
          <w:lang w:val="en-CA"/>
        </w:rPr>
        <w:t>.</w:t>
      </w:r>
      <w:r>
        <w:rPr>
          <w:rStyle w:val="Appelnotedebasdep"/>
          <w:lang w:val="en-CA"/>
        </w:rPr>
        <w:footnoteReference w:id="74"/>
      </w:r>
    </w:p>
    <w:p w14:paraId="6D01EDD1" w14:textId="77777777" w:rsidR="00013A99" w:rsidRPr="004E1DE3" w:rsidRDefault="00573CA9" w:rsidP="00B7539C">
      <w:pPr>
        <w:pStyle w:val="Paragrdouble"/>
        <w:tabs>
          <w:tab w:val="num" w:pos="851"/>
        </w:tabs>
        <w:spacing w:line="240" w:lineRule="auto"/>
        <w:ind w:left="0"/>
        <w:rPr>
          <w:lang w:val="en-CA"/>
        </w:rPr>
      </w:pPr>
      <w:r w:rsidRPr="004E1DE3">
        <w:rPr>
          <w:lang w:val="en-CA"/>
        </w:rPr>
        <w:t xml:space="preserve">Relying on a judgment of </w:t>
      </w:r>
      <w:r w:rsidR="00940EDA" w:rsidRPr="004E1DE3">
        <w:rPr>
          <w:lang w:val="en-CA"/>
        </w:rPr>
        <w:t>the</w:t>
      </w:r>
      <w:r w:rsidRPr="004E1DE3">
        <w:rPr>
          <w:lang w:val="en-CA"/>
        </w:rPr>
        <w:t xml:space="preserve"> </w:t>
      </w:r>
      <w:r w:rsidR="00940EDA" w:rsidRPr="004E1DE3">
        <w:rPr>
          <w:lang w:val="en-CA"/>
        </w:rPr>
        <w:t>Supreme</w:t>
      </w:r>
      <w:r w:rsidRPr="004E1DE3">
        <w:rPr>
          <w:lang w:val="en-CA"/>
        </w:rPr>
        <w:t xml:space="preserve"> </w:t>
      </w:r>
      <w:r w:rsidR="00940EDA" w:rsidRPr="004E1DE3">
        <w:rPr>
          <w:lang w:val="en-CA"/>
        </w:rPr>
        <w:t xml:space="preserve">Court, </w:t>
      </w:r>
      <w:r w:rsidRPr="004E1DE3">
        <w:rPr>
          <w:lang w:val="en-CA"/>
        </w:rPr>
        <w:t xml:space="preserve">the author goes on to state that </w:t>
      </w:r>
      <w:r w:rsidR="00FE70A4" w:rsidRPr="004E1DE3">
        <w:rPr>
          <w:lang w:val="en-CA"/>
        </w:rPr>
        <w:t xml:space="preserve">a complainant has the </w:t>
      </w:r>
      <w:r w:rsidR="00940EDA" w:rsidRPr="004E1DE3">
        <w:rPr>
          <w:lang w:val="en-CA"/>
        </w:rPr>
        <w:t>burden</w:t>
      </w:r>
      <w:r w:rsidR="00FE70A4" w:rsidRPr="004E1DE3">
        <w:rPr>
          <w:lang w:val="en-CA"/>
        </w:rPr>
        <w:t xml:space="preserve"> </w:t>
      </w:r>
      <w:r w:rsidR="00940EDA" w:rsidRPr="004E1DE3">
        <w:rPr>
          <w:lang w:val="en-CA"/>
        </w:rPr>
        <w:t>of</w:t>
      </w:r>
      <w:r w:rsidR="00FE70A4" w:rsidRPr="004E1DE3">
        <w:rPr>
          <w:lang w:val="en-CA"/>
        </w:rPr>
        <w:t xml:space="preserve"> </w:t>
      </w:r>
      <w:r w:rsidR="00940EDA" w:rsidRPr="004E1DE3">
        <w:rPr>
          <w:lang w:val="en-CA"/>
        </w:rPr>
        <w:t>proving</w:t>
      </w:r>
      <w:r w:rsidR="00FE70A4" w:rsidRPr="004E1DE3">
        <w:rPr>
          <w:lang w:val="en-CA"/>
        </w:rPr>
        <w:t xml:space="preserve"> that the party in question acted </w:t>
      </w:r>
      <w:r w:rsidR="00940EDA" w:rsidRPr="004E1DE3">
        <w:rPr>
          <w:lang w:val="en-CA"/>
        </w:rPr>
        <w:t>intention</w:t>
      </w:r>
      <w:r w:rsidR="00FE70A4" w:rsidRPr="004E1DE3">
        <w:rPr>
          <w:lang w:val="en-CA"/>
        </w:rPr>
        <w:t xml:space="preserve">ally, maliciously, </w:t>
      </w:r>
      <w:r w:rsidR="00940EDA" w:rsidRPr="004E1DE3">
        <w:rPr>
          <w:lang w:val="en-CA"/>
        </w:rPr>
        <w:t>o</w:t>
      </w:r>
      <w:r w:rsidR="00A22301" w:rsidRPr="004E1DE3">
        <w:rPr>
          <w:lang w:val="en-CA"/>
        </w:rPr>
        <w:t>r</w:t>
      </w:r>
      <w:r w:rsidR="00940EDA" w:rsidRPr="004E1DE3">
        <w:rPr>
          <w:lang w:val="en-CA"/>
        </w:rPr>
        <w:t xml:space="preserve"> vexat</w:t>
      </w:r>
      <w:r w:rsidR="00A22301" w:rsidRPr="004E1DE3">
        <w:rPr>
          <w:lang w:val="en-CA"/>
        </w:rPr>
        <w:t xml:space="preserve">iously, or that the complainant’s conduct </w:t>
      </w:r>
      <w:r w:rsidR="00686152" w:rsidRPr="004E1DE3">
        <w:rPr>
          <w:lang w:val="en-CA"/>
        </w:rPr>
        <w:t>can</w:t>
      </w:r>
      <w:r w:rsidR="00A22301" w:rsidRPr="004E1DE3">
        <w:rPr>
          <w:lang w:val="en-CA"/>
        </w:rPr>
        <w:t xml:space="preserve"> be characterized </w:t>
      </w:r>
      <w:r w:rsidR="00686152" w:rsidRPr="004E1DE3">
        <w:rPr>
          <w:lang w:val="en-CA"/>
        </w:rPr>
        <w:t xml:space="preserve">as severe </w:t>
      </w:r>
      <w:r w:rsidR="00940EDA" w:rsidRPr="004E1DE3">
        <w:rPr>
          <w:lang w:val="en-CA"/>
        </w:rPr>
        <w:t>ignorance</w:t>
      </w:r>
      <w:r w:rsidR="00686152" w:rsidRPr="004E1DE3">
        <w:rPr>
          <w:lang w:val="en-CA"/>
        </w:rPr>
        <w:t>, carelessness, or neglect, reaching the level of seriousness to be considered a fault:</w:t>
      </w:r>
      <w:r>
        <w:rPr>
          <w:rStyle w:val="Appelnotedebasdep"/>
          <w:lang w:val="en-CA"/>
        </w:rPr>
        <w:footnoteReference w:id="75"/>
      </w:r>
    </w:p>
    <w:p w14:paraId="7E0D60B6" w14:textId="77777777" w:rsidR="00686152" w:rsidRPr="004E1DE3" w:rsidRDefault="00573CA9" w:rsidP="00013A99">
      <w:pPr>
        <w:pStyle w:val="Citationenretrait"/>
        <w:rPr>
          <w:lang w:val="en-CA"/>
        </w:rPr>
      </w:pPr>
      <w:r w:rsidRPr="004E1DE3">
        <w:rPr>
          <w:lang w:val="en-CA"/>
        </w:rPr>
        <w:t>[</w:t>
      </w:r>
      <w:r w:rsidRPr="004E1DE3">
        <w:rPr>
          <w:smallCaps/>
          <w:lang w:val="en-CA"/>
        </w:rPr>
        <w:t>translation</w:t>
      </w:r>
      <w:r w:rsidRPr="004E1DE3">
        <w:rPr>
          <w:lang w:val="en-CA"/>
        </w:rPr>
        <w:t>]</w:t>
      </w:r>
    </w:p>
    <w:p w14:paraId="624414A2" w14:textId="77777777" w:rsidR="00013A99" w:rsidRPr="004E1DE3" w:rsidRDefault="00573CA9" w:rsidP="00013A99">
      <w:pPr>
        <w:pStyle w:val="Citationenretrait"/>
        <w:rPr>
          <w:lang w:val="en-CA"/>
        </w:rPr>
      </w:pPr>
      <w:r w:rsidRPr="004E1DE3">
        <w:rPr>
          <w:lang w:val="en-CA"/>
        </w:rPr>
        <w:t xml:space="preserve">In </w:t>
      </w:r>
      <w:r w:rsidR="00940EDA" w:rsidRPr="004E1DE3">
        <w:rPr>
          <w:i/>
          <w:iCs/>
          <w:lang w:val="en-CA"/>
        </w:rPr>
        <w:t xml:space="preserve">Gauthier </w:t>
      </w:r>
      <w:r w:rsidRPr="004E1DE3">
        <w:rPr>
          <w:i/>
          <w:iCs/>
          <w:lang w:val="en-CA"/>
        </w:rPr>
        <w:t>c</w:t>
      </w:r>
      <w:r w:rsidR="00940EDA" w:rsidRPr="004E1DE3">
        <w:rPr>
          <w:lang w:val="en-CA"/>
        </w:rPr>
        <w:t xml:space="preserve">. </w:t>
      </w:r>
      <w:r w:rsidR="00940EDA" w:rsidRPr="004E1DE3">
        <w:rPr>
          <w:i/>
          <w:iCs/>
          <w:lang w:val="en-CA"/>
        </w:rPr>
        <w:t>Corporation municipale de Ville de Lac Brôme</w:t>
      </w:r>
      <w:r w:rsidR="00940EDA" w:rsidRPr="004E1DE3">
        <w:rPr>
          <w:lang w:val="en-CA"/>
        </w:rPr>
        <w:t xml:space="preserve">, </w:t>
      </w:r>
      <w:r w:rsidR="00B849D4" w:rsidRPr="004E1DE3">
        <w:rPr>
          <w:lang w:val="en-CA"/>
        </w:rPr>
        <w:t xml:space="preserve">virtually all indicators were </w:t>
      </w:r>
      <w:r w:rsidR="00940EDA" w:rsidRPr="004E1DE3">
        <w:rPr>
          <w:lang w:val="en-CA"/>
        </w:rPr>
        <w:t>consid</w:t>
      </w:r>
      <w:r w:rsidR="00B849D4" w:rsidRPr="004E1DE3">
        <w:rPr>
          <w:lang w:val="en-CA"/>
        </w:rPr>
        <w:t>e</w:t>
      </w:r>
      <w:r w:rsidR="00940EDA" w:rsidRPr="004E1DE3">
        <w:rPr>
          <w:lang w:val="en-CA"/>
        </w:rPr>
        <w:t>r</w:t>
      </w:r>
      <w:r w:rsidR="00E1584E">
        <w:rPr>
          <w:lang w:val="en-CA"/>
        </w:rPr>
        <w:t>ed</w:t>
      </w:r>
      <w:r w:rsidR="00940EDA" w:rsidRPr="004E1DE3">
        <w:rPr>
          <w:lang w:val="en-CA"/>
        </w:rPr>
        <w:t xml:space="preserve"> </w:t>
      </w:r>
      <w:r w:rsidR="00B849D4" w:rsidRPr="004E1DE3">
        <w:rPr>
          <w:lang w:val="en-CA"/>
        </w:rPr>
        <w:t xml:space="preserve">by the </w:t>
      </w:r>
      <w:r w:rsidR="00940EDA" w:rsidRPr="004E1DE3">
        <w:rPr>
          <w:lang w:val="en-CA"/>
        </w:rPr>
        <w:t>Supreme</w:t>
      </w:r>
      <w:r w:rsidR="00B849D4" w:rsidRPr="004E1DE3">
        <w:rPr>
          <w:lang w:val="en-CA"/>
        </w:rPr>
        <w:t xml:space="preserve"> </w:t>
      </w:r>
      <w:r w:rsidR="00940EDA" w:rsidRPr="004E1DE3">
        <w:rPr>
          <w:lang w:val="en-CA"/>
        </w:rPr>
        <w:t>Court</w:t>
      </w:r>
      <w:r w:rsidR="00B849D4" w:rsidRPr="004E1DE3">
        <w:rPr>
          <w:lang w:val="en-CA"/>
        </w:rPr>
        <w:t xml:space="preserve"> to allow it to conclude that it was not </w:t>
      </w:r>
      <w:r w:rsidR="00940EDA" w:rsidRPr="004E1DE3">
        <w:rPr>
          <w:lang w:val="en-CA"/>
        </w:rPr>
        <w:t xml:space="preserve">possible </w:t>
      </w:r>
      <w:r w:rsidR="00B849D4" w:rsidRPr="004E1DE3">
        <w:rPr>
          <w:lang w:val="en-CA"/>
        </w:rPr>
        <w:t xml:space="preserve">for a </w:t>
      </w:r>
      <w:r w:rsidR="00940EDA" w:rsidRPr="004E1DE3">
        <w:rPr>
          <w:lang w:val="en-CA"/>
        </w:rPr>
        <w:t>reasonable</w:t>
      </w:r>
      <w:r w:rsidR="00B849D4" w:rsidRPr="004E1DE3">
        <w:rPr>
          <w:lang w:val="en-CA"/>
        </w:rPr>
        <w:t xml:space="preserve"> </w:t>
      </w:r>
      <w:r w:rsidR="00940EDA" w:rsidRPr="004E1DE3">
        <w:rPr>
          <w:lang w:val="en-CA"/>
        </w:rPr>
        <w:t>person</w:t>
      </w:r>
      <w:r w:rsidR="00B849D4" w:rsidRPr="004E1DE3">
        <w:rPr>
          <w:lang w:val="en-CA"/>
        </w:rPr>
        <w:t xml:space="preserve"> acting as such to be unaware of the natural and immediate </w:t>
      </w:r>
      <w:r w:rsidR="00940EDA" w:rsidRPr="004E1DE3">
        <w:rPr>
          <w:lang w:val="en-CA"/>
        </w:rPr>
        <w:t>cons</w:t>
      </w:r>
      <w:r w:rsidR="00B849D4" w:rsidRPr="004E1DE3">
        <w:rPr>
          <w:lang w:val="en-CA"/>
        </w:rPr>
        <w:t>e</w:t>
      </w:r>
      <w:r w:rsidR="00940EDA" w:rsidRPr="004E1DE3">
        <w:rPr>
          <w:lang w:val="en-CA"/>
        </w:rPr>
        <w:t xml:space="preserve">quences </w:t>
      </w:r>
      <w:r w:rsidR="00B849D4" w:rsidRPr="004E1DE3">
        <w:rPr>
          <w:lang w:val="en-CA"/>
        </w:rPr>
        <w:t xml:space="preserve">that his or her actions </w:t>
      </w:r>
      <w:r w:rsidR="003E0885" w:rsidRPr="004E1DE3">
        <w:rPr>
          <w:lang w:val="en-CA"/>
        </w:rPr>
        <w:t xml:space="preserve">would </w:t>
      </w:r>
      <w:r w:rsidR="00262E30" w:rsidRPr="004E1DE3">
        <w:rPr>
          <w:lang w:val="en-CA"/>
        </w:rPr>
        <w:t>cause</w:t>
      </w:r>
      <w:r w:rsidR="003E0885" w:rsidRPr="004E1DE3">
        <w:rPr>
          <w:lang w:val="en-CA"/>
        </w:rPr>
        <w:t xml:space="preserve"> or that he or she did not </w:t>
      </w:r>
      <w:r w:rsidR="00E1584E">
        <w:rPr>
          <w:lang w:val="en-CA"/>
        </w:rPr>
        <w:t>intend</w:t>
      </w:r>
      <w:r w:rsidR="003E0885" w:rsidRPr="004E1DE3">
        <w:rPr>
          <w:lang w:val="en-CA"/>
        </w:rPr>
        <w:t xml:space="preserve"> </w:t>
      </w:r>
      <w:r w:rsidR="006075F5" w:rsidRPr="004E1DE3">
        <w:rPr>
          <w:lang w:val="en-CA"/>
        </w:rPr>
        <w:t xml:space="preserve">such interference with the </w:t>
      </w:r>
      <w:r w:rsidR="00940EDA" w:rsidRPr="004E1DE3">
        <w:rPr>
          <w:lang w:val="en-CA"/>
        </w:rPr>
        <w:t>int</w:t>
      </w:r>
      <w:r w:rsidR="006075F5" w:rsidRPr="004E1DE3">
        <w:rPr>
          <w:lang w:val="en-CA"/>
        </w:rPr>
        <w:t>e</w:t>
      </w:r>
      <w:r w:rsidR="00940EDA" w:rsidRPr="004E1DE3">
        <w:rPr>
          <w:lang w:val="en-CA"/>
        </w:rPr>
        <w:t>grit</w:t>
      </w:r>
      <w:r w:rsidR="006075F5" w:rsidRPr="004E1DE3">
        <w:rPr>
          <w:lang w:val="en-CA"/>
        </w:rPr>
        <w:t xml:space="preserve">y and </w:t>
      </w:r>
      <w:r w:rsidR="00940EDA" w:rsidRPr="004E1DE3">
        <w:rPr>
          <w:lang w:val="en-CA"/>
        </w:rPr>
        <w:t>dignit</w:t>
      </w:r>
      <w:r w:rsidR="006075F5" w:rsidRPr="004E1DE3">
        <w:rPr>
          <w:lang w:val="en-CA"/>
        </w:rPr>
        <w:t xml:space="preserve">y of the </w:t>
      </w:r>
      <w:r w:rsidR="00940EDA" w:rsidRPr="004E1DE3">
        <w:rPr>
          <w:lang w:val="en-CA"/>
        </w:rPr>
        <w:t xml:space="preserve">victim. </w:t>
      </w:r>
    </w:p>
    <w:p w14:paraId="68D8880E" w14:textId="77777777" w:rsidR="00013A99" w:rsidRPr="004E1DE3" w:rsidRDefault="00573CA9" w:rsidP="00013A99">
      <w:pPr>
        <w:pStyle w:val="Citationenretrait"/>
        <w:rPr>
          <w:lang w:val="en-CA"/>
        </w:rPr>
      </w:pPr>
      <w:r w:rsidRPr="004E1DE3">
        <w:rPr>
          <w:lang w:val="en-CA"/>
        </w:rPr>
        <w:t xml:space="preserve">According to our understanding, the </w:t>
      </w:r>
      <w:r w:rsidR="00940EDA" w:rsidRPr="004E1DE3">
        <w:rPr>
          <w:lang w:val="en-CA"/>
        </w:rPr>
        <w:t>Court</w:t>
      </w:r>
      <w:r w:rsidRPr="004E1DE3">
        <w:rPr>
          <w:lang w:val="en-CA"/>
        </w:rPr>
        <w:t xml:space="preserve"> used the </w:t>
      </w:r>
      <w:r w:rsidR="00940EDA" w:rsidRPr="004E1DE3">
        <w:rPr>
          <w:lang w:val="en-CA"/>
        </w:rPr>
        <w:t xml:space="preserve">test </w:t>
      </w:r>
      <w:r w:rsidRPr="004E1DE3">
        <w:rPr>
          <w:lang w:val="en-CA"/>
        </w:rPr>
        <w:t>of [</w:t>
      </w:r>
      <w:r w:rsidRPr="004E1DE3">
        <w:rPr>
          <w:smallCaps/>
          <w:lang w:val="en-CA"/>
        </w:rPr>
        <w:t>translation</w:t>
      </w:r>
      <w:r w:rsidRPr="004E1DE3">
        <w:rPr>
          <w:lang w:val="en-CA"/>
        </w:rPr>
        <w:t xml:space="preserve">] “knew or should have known” to establish the </w:t>
      </w:r>
      <w:r w:rsidR="00940EDA" w:rsidRPr="004E1DE3">
        <w:rPr>
          <w:lang w:val="en-CA"/>
        </w:rPr>
        <w:t xml:space="preserve">intention </w:t>
      </w:r>
      <w:r w:rsidRPr="004E1DE3">
        <w:rPr>
          <w:lang w:val="en-CA"/>
        </w:rPr>
        <w:t xml:space="preserve">of the various persons who </w:t>
      </w:r>
      <w:r w:rsidR="001E513C" w:rsidRPr="004E1DE3">
        <w:rPr>
          <w:lang w:val="en-CA"/>
        </w:rPr>
        <w:t>committed the interference</w:t>
      </w:r>
      <w:r w:rsidR="00F250DB" w:rsidRPr="004E1DE3">
        <w:rPr>
          <w:lang w:val="en-CA"/>
        </w:rPr>
        <w:t>, in particular that of the employer city</w:t>
      </w:r>
      <w:r w:rsidR="00940EDA" w:rsidRPr="004E1DE3">
        <w:rPr>
          <w:lang w:val="en-CA"/>
        </w:rPr>
        <w:t>. …</w:t>
      </w:r>
    </w:p>
    <w:p w14:paraId="55E86EEE" w14:textId="77777777" w:rsidR="00013A99" w:rsidRPr="004E1DE3" w:rsidRDefault="00573CA9" w:rsidP="00013A99">
      <w:pPr>
        <w:pStyle w:val="Citationenretrait"/>
        <w:rPr>
          <w:lang w:val="en-CA"/>
        </w:rPr>
      </w:pPr>
      <w:r w:rsidRPr="004E1DE3">
        <w:rPr>
          <w:lang w:val="en-CA"/>
        </w:rPr>
        <w:t xml:space="preserve">In light of these examples, we note that it is not </w:t>
      </w:r>
      <w:r w:rsidR="00940EDA" w:rsidRPr="004E1DE3">
        <w:rPr>
          <w:lang w:val="en-CA"/>
        </w:rPr>
        <w:t>diffic</w:t>
      </w:r>
      <w:r w:rsidRPr="004E1DE3">
        <w:rPr>
          <w:lang w:val="en-CA"/>
        </w:rPr>
        <w:t xml:space="preserve">ult to meet the </w:t>
      </w:r>
      <w:r w:rsidR="00940EDA" w:rsidRPr="004E1DE3">
        <w:rPr>
          <w:lang w:val="en-CA"/>
        </w:rPr>
        <w:t>burden</w:t>
      </w:r>
      <w:r w:rsidRPr="004E1DE3">
        <w:rPr>
          <w:lang w:val="en-CA"/>
        </w:rPr>
        <w:t xml:space="preserve"> </w:t>
      </w:r>
      <w:r w:rsidR="00940EDA" w:rsidRPr="004E1DE3">
        <w:rPr>
          <w:lang w:val="en-CA"/>
        </w:rPr>
        <w:t>of</w:t>
      </w:r>
      <w:r w:rsidRPr="004E1DE3">
        <w:rPr>
          <w:lang w:val="en-CA"/>
        </w:rPr>
        <w:t xml:space="preserve"> </w:t>
      </w:r>
      <w:r w:rsidR="00940EDA" w:rsidRPr="004E1DE3">
        <w:rPr>
          <w:lang w:val="en-CA"/>
        </w:rPr>
        <w:t>proof requi</w:t>
      </w:r>
      <w:r w:rsidR="00F064E7" w:rsidRPr="004E1DE3">
        <w:rPr>
          <w:lang w:val="en-CA"/>
        </w:rPr>
        <w:t xml:space="preserve">red to award </w:t>
      </w:r>
      <w:r w:rsidR="00940EDA" w:rsidRPr="004E1DE3">
        <w:rPr>
          <w:lang w:val="en-CA"/>
        </w:rPr>
        <w:t>exemplary</w:t>
      </w:r>
      <w:r w:rsidR="00F064E7" w:rsidRPr="004E1DE3">
        <w:rPr>
          <w:lang w:val="en-CA"/>
        </w:rPr>
        <w:t xml:space="preserve"> </w:t>
      </w:r>
      <w:r w:rsidR="00940EDA" w:rsidRPr="004E1DE3">
        <w:rPr>
          <w:lang w:val="en-CA"/>
        </w:rPr>
        <w:t>damages</w:t>
      </w:r>
      <w:r w:rsidR="00F064E7" w:rsidRPr="004E1DE3">
        <w:rPr>
          <w:lang w:val="en-CA"/>
        </w:rPr>
        <w:t xml:space="preserve"> under the </w:t>
      </w:r>
      <w:r w:rsidR="00940EDA" w:rsidRPr="004E1DE3">
        <w:rPr>
          <w:lang w:val="en-CA"/>
        </w:rPr>
        <w:t>Quebec</w:t>
      </w:r>
      <w:r w:rsidR="00F064E7" w:rsidRPr="004E1DE3">
        <w:rPr>
          <w:lang w:val="en-CA"/>
        </w:rPr>
        <w:t xml:space="preserve"> </w:t>
      </w:r>
      <w:r w:rsidR="00940EDA" w:rsidRPr="004E1DE3">
        <w:rPr>
          <w:i/>
          <w:iCs/>
          <w:lang w:val="en-CA"/>
        </w:rPr>
        <w:t>Charter</w:t>
      </w:r>
      <w:r w:rsidR="00940EDA" w:rsidRPr="004E1DE3">
        <w:rPr>
          <w:lang w:val="en-CA"/>
        </w:rPr>
        <w:t xml:space="preserve">. </w:t>
      </w:r>
      <w:r w:rsidR="00F064E7" w:rsidRPr="004E1DE3">
        <w:rPr>
          <w:lang w:val="en-CA"/>
        </w:rPr>
        <w:t xml:space="preserve">It is simply </w:t>
      </w:r>
      <w:r w:rsidR="002079FD" w:rsidRPr="004E1DE3">
        <w:rPr>
          <w:lang w:val="en-CA"/>
        </w:rPr>
        <w:t xml:space="preserve">necessary to understand what the intention referred to in </w:t>
      </w:r>
      <w:r w:rsidR="00940EDA" w:rsidRPr="004E1DE3">
        <w:rPr>
          <w:lang w:val="en-CA"/>
        </w:rPr>
        <w:t>section 49(2)</w:t>
      </w:r>
      <w:r w:rsidR="002079FD" w:rsidRPr="004E1DE3">
        <w:rPr>
          <w:lang w:val="en-CA"/>
        </w:rPr>
        <w:t xml:space="preserve"> is</w:t>
      </w:r>
      <w:r w:rsidR="00940EDA" w:rsidRPr="004E1DE3">
        <w:rPr>
          <w:lang w:val="en-CA"/>
        </w:rPr>
        <w:t xml:space="preserve">. </w:t>
      </w:r>
      <w:r w:rsidR="005B550E" w:rsidRPr="004E1DE3">
        <w:rPr>
          <w:lang w:val="en-CA"/>
        </w:rPr>
        <w:t>The intention is what can be deduced from the actions of the person who committed the interference. If the conduct is shocking, unreasonable, unjustified, serious, or repetitive, there is a good chance that there will be elements present to meet the burden of proof required by the Supreme Court.</w:t>
      </w:r>
      <w:r>
        <w:rPr>
          <w:rStyle w:val="Appelnotedebasdep"/>
          <w:lang w:val="en-CA"/>
        </w:rPr>
        <w:footnoteReference w:id="76"/>
      </w:r>
    </w:p>
    <w:p w14:paraId="50F4853D" w14:textId="77777777" w:rsidR="008478D0" w:rsidRPr="004E1DE3" w:rsidRDefault="00573CA9" w:rsidP="007D1A3F">
      <w:pPr>
        <w:pStyle w:val="Paragrdouble"/>
        <w:tabs>
          <w:tab w:val="num" w:pos="851"/>
        </w:tabs>
        <w:spacing w:line="240" w:lineRule="auto"/>
        <w:ind w:left="0"/>
        <w:rPr>
          <w:lang w:val="en-CA"/>
        </w:rPr>
      </w:pPr>
      <w:r w:rsidRPr="004E1DE3">
        <w:rPr>
          <w:lang w:val="en-CA"/>
        </w:rPr>
        <w:t xml:space="preserve">The </w:t>
      </w:r>
      <w:r w:rsidR="00940EDA" w:rsidRPr="004E1DE3">
        <w:rPr>
          <w:lang w:val="en-CA"/>
        </w:rPr>
        <w:t>Cour</w:t>
      </w:r>
      <w:r w:rsidRPr="004E1DE3">
        <w:rPr>
          <w:lang w:val="en-CA"/>
        </w:rPr>
        <w:t xml:space="preserve">t of Appeal and this </w:t>
      </w:r>
      <w:r w:rsidR="00940EDA" w:rsidRPr="004E1DE3">
        <w:rPr>
          <w:lang w:val="en-CA"/>
        </w:rPr>
        <w:t>Court</w:t>
      </w:r>
      <w:r w:rsidRPr="004E1DE3">
        <w:rPr>
          <w:lang w:val="en-CA"/>
        </w:rPr>
        <w:t xml:space="preserve"> have applied these teachings of the </w:t>
      </w:r>
      <w:r w:rsidR="00940EDA" w:rsidRPr="004E1DE3">
        <w:rPr>
          <w:lang w:val="en-CA"/>
        </w:rPr>
        <w:t>Supreme</w:t>
      </w:r>
      <w:r w:rsidRPr="004E1DE3">
        <w:rPr>
          <w:lang w:val="en-CA"/>
        </w:rPr>
        <w:t xml:space="preserve"> </w:t>
      </w:r>
      <w:r w:rsidR="00940EDA" w:rsidRPr="004E1DE3">
        <w:rPr>
          <w:lang w:val="en-CA"/>
        </w:rPr>
        <w:t>Court:</w:t>
      </w:r>
    </w:p>
    <w:p w14:paraId="4FA85AC3" w14:textId="77777777" w:rsidR="008478D0" w:rsidRPr="004E1DE3" w:rsidRDefault="00573CA9" w:rsidP="008478D0">
      <w:pPr>
        <w:pStyle w:val="Citationenretrait"/>
        <w:rPr>
          <w:lang w:val="en-CA" w:eastAsia="fr-CA"/>
        </w:rPr>
      </w:pPr>
      <w:r w:rsidRPr="004E1DE3">
        <w:rPr>
          <w:lang w:val="en-CA"/>
        </w:rPr>
        <w:t>[</w:t>
      </w:r>
      <w:bookmarkStart w:id="30" w:name="par30"/>
      <w:r w:rsidRPr="004E1DE3">
        <w:rPr>
          <w:lang w:val="en-CA"/>
        </w:rPr>
        <w:t>30</w:t>
      </w:r>
      <w:bookmarkEnd w:id="30"/>
      <w:r w:rsidRPr="004E1DE3">
        <w:rPr>
          <w:lang w:val="en-CA"/>
        </w:rPr>
        <w:t>]</w:t>
      </w:r>
      <w:r w:rsidRPr="004E1DE3">
        <w:rPr>
          <w:sz w:val="14"/>
          <w:szCs w:val="14"/>
          <w:lang w:val="en-CA"/>
        </w:rPr>
        <w:t>      </w:t>
      </w:r>
      <w:r w:rsidRPr="004E1DE3">
        <w:rPr>
          <w:lang w:val="en-CA"/>
        </w:rPr>
        <w:t>The notion of intentional interference requires more than simple negligence but is not as strict as a specific intent. In one of the landmark cases on the topic, the Supreme Court stated the following:</w:t>
      </w:r>
      <w:r w:rsidRPr="004E1DE3">
        <w:rPr>
          <w:lang w:val="en-CA" w:eastAsia="fr-CA"/>
        </w:rPr>
        <w:t xml:space="preserve"> </w:t>
      </w:r>
    </w:p>
    <w:p w14:paraId="08AED05F" w14:textId="77777777" w:rsidR="008478D0" w:rsidRPr="004E1DE3" w:rsidRDefault="00573CA9" w:rsidP="00131421">
      <w:pPr>
        <w:pStyle w:val="Citationenretrait"/>
        <w:ind w:left="1462" w:right="1247"/>
        <w:rPr>
          <w:sz w:val="20"/>
          <w:lang w:val="en-CA"/>
        </w:rPr>
      </w:pPr>
      <w:r w:rsidRPr="004E1DE3">
        <w:rPr>
          <w:sz w:val="20"/>
          <w:lang w:val="en-CA"/>
        </w:rPr>
        <w:lastRenderedPageBreak/>
        <w:t>121.   Consequently, there will be unlawful and intentional interference within the meaning of the second paragraph of </w:t>
      </w:r>
      <w:r w:rsidRPr="004E1DE3">
        <w:rPr>
          <w:rStyle w:val="Hyperlien"/>
          <w:rFonts w:cs="Arial"/>
          <w:color w:val="auto"/>
          <w:sz w:val="20"/>
          <w:u w:val="none"/>
          <w:lang w:val="en-CA"/>
        </w:rPr>
        <w:t>s. 49</w:t>
      </w:r>
      <w:r w:rsidRPr="004E1DE3">
        <w:rPr>
          <w:sz w:val="20"/>
          <w:lang w:val="en-CA"/>
        </w:rPr>
        <w:t> of the </w:t>
      </w:r>
      <w:r w:rsidRPr="004E1DE3">
        <w:rPr>
          <w:rStyle w:val="Hyperlien"/>
          <w:rFonts w:cs="Arial"/>
          <w:i/>
          <w:iCs/>
          <w:color w:val="auto"/>
          <w:sz w:val="20"/>
          <w:u w:val="none"/>
          <w:lang w:val="en-CA"/>
        </w:rPr>
        <w:t>Charter</w:t>
      </w:r>
      <w:r w:rsidRPr="004E1DE3">
        <w:rPr>
          <w:sz w:val="20"/>
          <w:lang w:val="en-CA"/>
        </w:rPr>
        <w:t> when the person who commits the unlawful interference has a state of mind that implies a desire or intent to cause the consequences of his or her wrongful conduct, </w:t>
      </w:r>
      <w:r w:rsidRPr="004E1DE3">
        <w:rPr>
          <w:sz w:val="20"/>
          <w:u w:val="single"/>
          <w:lang w:val="en-CA"/>
        </w:rPr>
        <w:t>or when that person acts with full knowledge of the immediate and natural or at least extremely probable consequences that his or her conduct will cause</w:t>
      </w:r>
      <w:r w:rsidRPr="004E1DE3">
        <w:rPr>
          <w:sz w:val="20"/>
          <w:lang w:val="en-CA"/>
        </w:rPr>
        <w:t>. This test is not as strict as specific intent, but it does go beyond simple negligence. Thus, an individual’s recklessness, however wild and foolhardy, as to the consequences of his or her wrongful acts will not in itself satisfy this test.</w:t>
      </w:r>
    </w:p>
    <w:p w14:paraId="357C84B5" w14:textId="77777777" w:rsidR="008478D0" w:rsidRPr="004E1DE3" w:rsidRDefault="00573CA9" w:rsidP="008478D0">
      <w:pPr>
        <w:pStyle w:val="Citationenretrait"/>
        <w:rPr>
          <w:szCs w:val="24"/>
          <w:lang w:val="en-CA"/>
        </w:rPr>
      </w:pPr>
      <w:r w:rsidRPr="004E1DE3">
        <w:rPr>
          <w:lang w:val="en-CA"/>
        </w:rPr>
        <w:t>[</w:t>
      </w:r>
      <w:bookmarkStart w:id="31" w:name="par31"/>
      <w:r w:rsidRPr="004E1DE3">
        <w:rPr>
          <w:lang w:val="en-CA"/>
        </w:rPr>
        <w:t>31</w:t>
      </w:r>
      <w:bookmarkEnd w:id="31"/>
      <w:r w:rsidRPr="004E1DE3">
        <w:rPr>
          <w:lang w:val="en-CA"/>
        </w:rPr>
        <w:t>]</w:t>
      </w:r>
      <w:r w:rsidRPr="004E1DE3">
        <w:rPr>
          <w:sz w:val="14"/>
          <w:szCs w:val="14"/>
          <w:lang w:val="en-CA"/>
        </w:rPr>
        <w:t>      </w:t>
      </w:r>
      <w:r w:rsidRPr="004E1DE3">
        <w:rPr>
          <w:szCs w:val="24"/>
          <w:lang w:val="en-CA"/>
        </w:rPr>
        <w:t xml:space="preserve">The judge concluded that the Application does not provide allegations to the effect that Respondent intentionally intended to expose its customers to a data breach. He pointed out that if Respondent had indeed been careless or committed gross negligence, it did not act deliberately to harm its customers. </w:t>
      </w:r>
    </w:p>
    <w:p w14:paraId="04FBF670" w14:textId="77777777" w:rsidR="009D794B" w:rsidRPr="004E1DE3" w:rsidRDefault="00573CA9" w:rsidP="008478D0">
      <w:pPr>
        <w:pStyle w:val="Citationenretrait"/>
        <w:rPr>
          <w:szCs w:val="24"/>
          <w:lang w:val="en-CA"/>
        </w:rPr>
      </w:pPr>
      <w:r w:rsidRPr="004E1DE3">
        <w:rPr>
          <w:rFonts w:cs="Arial"/>
          <w:color w:val="000000"/>
          <w:lang w:val="en-CA"/>
        </w:rPr>
        <w:t>[</w:t>
      </w:r>
      <w:bookmarkStart w:id="32" w:name="par32"/>
      <w:r w:rsidRPr="004E1DE3">
        <w:rPr>
          <w:rFonts w:cs="Arial"/>
          <w:color w:val="000000"/>
          <w:lang w:val="en-CA"/>
        </w:rPr>
        <w:t>32</w:t>
      </w:r>
      <w:bookmarkEnd w:id="32"/>
      <w:r w:rsidRPr="004E1DE3">
        <w:rPr>
          <w:rFonts w:cs="Arial"/>
          <w:color w:val="000000"/>
          <w:lang w:val="en-CA"/>
        </w:rPr>
        <w:t>]</w:t>
      </w:r>
      <w:r w:rsidRPr="004E1DE3">
        <w:rPr>
          <w:color w:val="000000"/>
          <w:sz w:val="14"/>
          <w:szCs w:val="14"/>
          <w:lang w:val="en-CA"/>
        </w:rPr>
        <w:t>      </w:t>
      </w:r>
      <w:r w:rsidRPr="004E1DE3">
        <w:rPr>
          <w:rFonts w:cs="Arial"/>
          <w:color w:val="000000"/>
          <w:lang w:val="en-CA"/>
        </w:rPr>
        <w:t>The judge’s reasoning fails to acknowledge that an intentional interference can arise not only when the author of the negligence </w:t>
      </w:r>
      <w:r w:rsidRPr="004E1DE3">
        <w:rPr>
          <w:rFonts w:cs="Arial"/>
          <w:color w:val="000000"/>
          <w:u w:val="single"/>
          <w:lang w:val="en-CA"/>
        </w:rPr>
        <w:t>wishes</w:t>
      </w:r>
      <w:r w:rsidRPr="004E1DE3">
        <w:rPr>
          <w:rFonts w:cs="Arial"/>
          <w:color w:val="000000"/>
          <w:lang w:val="en-CA"/>
        </w:rPr>
        <w:t> to cause the consequence of the wrongful interference but also when a “</w:t>
      </w:r>
      <w:r w:rsidRPr="004E1DE3">
        <w:rPr>
          <w:rFonts w:cs="Arial"/>
          <w:color w:val="000000"/>
          <w:u w:val="single"/>
          <w:lang w:val="en-CA"/>
        </w:rPr>
        <w:t>person acts with full knowledge of the immediate and natural or at least extremely probable consequences that his or her conduct will cause</w:t>
      </w:r>
      <w:r w:rsidR="00892C06" w:rsidRPr="004E1DE3">
        <w:rPr>
          <w:rFonts w:cs="Arial"/>
          <w:color w:val="000000"/>
          <w:lang w:val="en-CA"/>
        </w:rPr>
        <w:t>”, which is more likely to be the case here.</w:t>
      </w:r>
      <w:r>
        <w:rPr>
          <w:rStyle w:val="Appelnotedebasdep"/>
          <w:rFonts w:cs="Arial"/>
          <w:color w:val="000000"/>
          <w:lang w:val="en-CA"/>
        </w:rPr>
        <w:footnoteReference w:id="77"/>
      </w:r>
    </w:p>
    <w:p w14:paraId="5129E2A1" w14:textId="77777777" w:rsidR="008478D0" w:rsidRPr="004E1DE3" w:rsidRDefault="00573CA9" w:rsidP="002850A7">
      <w:pPr>
        <w:pStyle w:val="Paragrdouble"/>
        <w:numPr>
          <w:ilvl w:val="0"/>
          <w:numId w:val="0"/>
        </w:numPr>
        <w:spacing w:before="0" w:after="0" w:line="240" w:lineRule="auto"/>
        <w:ind w:right="680"/>
        <w:jc w:val="right"/>
        <w:rPr>
          <w:lang w:val="en-CA"/>
        </w:rPr>
      </w:pPr>
      <w:r w:rsidRPr="004E1DE3">
        <w:rPr>
          <w:lang w:val="en-CA"/>
        </w:rPr>
        <w:t xml:space="preserve">                                                           </w:t>
      </w:r>
      <w:r w:rsidR="002176DF" w:rsidRPr="004E1DE3">
        <w:rPr>
          <w:lang w:val="en-CA"/>
        </w:rPr>
        <w:t>[Emphasis added; citation</w:t>
      </w:r>
      <w:r w:rsidR="00E1584E">
        <w:rPr>
          <w:lang w:val="en-CA"/>
        </w:rPr>
        <w:t>s</w:t>
      </w:r>
      <w:r w:rsidR="002176DF" w:rsidRPr="004E1DE3">
        <w:rPr>
          <w:lang w:val="en-CA"/>
        </w:rPr>
        <w:t xml:space="preserve"> omitted.]</w:t>
      </w:r>
    </w:p>
    <w:p w14:paraId="4EE82051" w14:textId="77777777" w:rsidR="00821C0A" w:rsidRPr="004E1DE3" w:rsidRDefault="00573CA9" w:rsidP="00495B1C">
      <w:pPr>
        <w:pStyle w:val="Paragrsimple"/>
        <w:tabs>
          <w:tab w:val="clear" w:pos="2062"/>
          <w:tab w:val="clear" w:pos="4755"/>
          <w:tab w:val="num" w:pos="0"/>
        </w:tabs>
        <w:ind w:left="0"/>
        <w:rPr>
          <w:lang w:val="en-CA"/>
        </w:rPr>
      </w:pPr>
      <w:r w:rsidRPr="004E1DE3">
        <w:rPr>
          <w:lang w:val="en-CA"/>
        </w:rPr>
        <w:t xml:space="preserve">In a case </w:t>
      </w:r>
      <w:r w:rsidR="00C948DE" w:rsidRPr="004E1DE3">
        <w:rPr>
          <w:lang w:val="en-CA"/>
        </w:rPr>
        <w:t xml:space="preserve">involving </w:t>
      </w:r>
      <w:r w:rsidRPr="004E1DE3">
        <w:rPr>
          <w:lang w:val="en-CA"/>
        </w:rPr>
        <w:t xml:space="preserve">several </w:t>
      </w:r>
      <w:r w:rsidR="00940EDA" w:rsidRPr="004E1DE3">
        <w:rPr>
          <w:lang w:val="en-CA"/>
        </w:rPr>
        <w:t>faults</w:t>
      </w:r>
      <w:r w:rsidRPr="004E1DE3">
        <w:rPr>
          <w:lang w:val="en-CA"/>
        </w:rPr>
        <w:t xml:space="preserve"> </w:t>
      </w:r>
      <w:r w:rsidR="00C948DE" w:rsidRPr="004E1DE3">
        <w:rPr>
          <w:lang w:val="en-CA"/>
        </w:rPr>
        <w:t xml:space="preserve">that </w:t>
      </w:r>
      <w:r w:rsidRPr="004E1DE3">
        <w:rPr>
          <w:lang w:val="en-CA"/>
        </w:rPr>
        <w:t xml:space="preserve">were to some extent </w:t>
      </w:r>
      <w:r w:rsidR="00940EDA" w:rsidRPr="004E1DE3">
        <w:rPr>
          <w:lang w:val="en-CA"/>
        </w:rPr>
        <w:t>comparable</w:t>
      </w:r>
      <w:r w:rsidRPr="004E1DE3">
        <w:rPr>
          <w:lang w:val="en-CA"/>
        </w:rPr>
        <w:t xml:space="preserve"> to those </w:t>
      </w:r>
      <w:r w:rsidR="00C948DE" w:rsidRPr="004E1DE3">
        <w:rPr>
          <w:lang w:val="en-CA"/>
        </w:rPr>
        <w:t xml:space="preserve">invoked in this case, </w:t>
      </w:r>
      <w:r w:rsidR="00E1584E">
        <w:rPr>
          <w:lang w:val="en-CA"/>
        </w:rPr>
        <w:t>although</w:t>
      </w:r>
      <w:r w:rsidR="00C948DE" w:rsidRPr="004E1DE3">
        <w:rPr>
          <w:lang w:val="en-CA"/>
        </w:rPr>
        <w:t xml:space="preserve"> based on different facts, this </w:t>
      </w:r>
      <w:r w:rsidR="00AF6A34" w:rsidRPr="004E1DE3">
        <w:rPr>
          <w:lang w:val="en-CA"/>
        </w:rPr>
        <w:t>Court found:</w:t>
      </w:r>
      <w:r>
        <w:rPr>
          <w:rStyle w:val="Appelnotedebasdep"/>
          <w:lang w:val="en-CA"/>
        </w:rPr>
        <w:footnoteReference w:id="78"/>
      </w:r>
      <w:r w:rsidR="00940EDA" w:rsidRPr="004E1DE3">
        <w:rPr>
          <w:lang w:val="en-CA"/>
        </w:rPr>
        <w:t xml:space="preserve">    </w:t>
      </w:r>
    </w:p>
    <w:p w14:paraId="3A2C977F" w14:textId="77777777" w:rsidR="00821C0A" w:rsidRPr="004E1DE3" w:rsidRDefault="00573CA9" w:rsidP="00821C0A">
      <w:pPr>
        <w:pStyle w:val="Citationenretrait"/>
        <w:rPr>
          <w:lang w:val="en-CA" w:eastAsia="fr-CA"/>
        </w:rPr>
      </w:pPr>
      <w:r w:rsidRPr="004E1DE3">
        <w:rPr>
          <w:lang w:val="en-CA"/>
        </w:rPr>
        <w:t>[64]The second paragraph of </w:t>
      </w:r>
      <w:r w:rsidRPr="004E1DE3">
        <w:rPr>
          <w:rStyle w:val="Hyperlien"/>
          <w:rFonts w:cs="Arial"/>
          <w:color w:val="auto"/>
          <w:u w:val="none"/>
          <w:lang w:val="en-CA"/>
        </w:rPr>
        <w:t>section 49</w:t>
      </w:r>
      <w:r w:rsidRPr="004E1DE3">
        <w:rPr>
          <w:lang w:val="en-CA"/>
        </w:rPr>
        <w:t> of the </w:t>
      </w:r>
      <w:r w:rsidRPr="004E1DE3">
        <w:rPr>
          <w:rStyle w:val="Hyperlien"/>
          <w:rFonts w:cs="Arial"/>
          <w:color w:val="auto"/>
          <w:u w:val="none"/>
          <w:lang w:val="en-CA"/>
        </w:rPr>
        <w:t>Charter</w:t>
      </w:r>
      <w:r w:rsidRPr="004E1DE3">
        <w:rPr>
          <w:lang w:val="en-CA"/>
        </w:rPr>
        <w:t> authorizes the award of punitive damages where the unlawful interference with rights or freedoms protected by the </w:t>
      </w:r>
      <w:r w:rsidRPr="004E1DE3">
        <w:rPr>
          <w:rStyle w:val="Hyperlien"/>
          <w:rFonts w:cs="Arial"/>
          <w:color w:val="auto"/>
          <w:u w:val="none"/>
          <w:lang w:val="en-CA"/>
        </w:rPr>
        <w:t>Charter</w:t>
      </w:r>
      <w:r w:rsidRPr="004E1DE3">
        <w:rPr>
          <w:lang w:val="en-CA"/>
        </w:rPr>
        <w:t> is intentional.</w:t>
      </w:r>
    </w:p>
    <w:p w14:paraId="5BBCB555" w14:textId="77777777" w:rsidR="00821C0A" w:rsidRPr="004E1DE3" w:rsidRDefault="00573CA9" w:rsidP="00821C0A">
      <w:pPr>
        <w:pStyle w:val="Citationenretrait"/>
        <w:rPr>
          <w:lang w:val="en-CA"/>
        </w:rPr>
      </w:pPr>
      <w:r w:rsidRPr="004E1DE3">
        <w:rPr>
          <w:lang w:val="en-CA"/>
        </w:rPr>
        <w:t>[</w:t>
      </w:r>
      <w:bookmarkStart w:id="33" w:name="par65"/>
      <w:r w:rsidRPr="004E1DE3">
        <w:rPr>
          <w:lang w:val="en-CA"/>
        </w:rPr>
        <w:t>65</w:t>
      </w:r>
      <w:bookmarkEnd w:id="33"/>
      <w:r w:rsidRPr="004E1DE3">
        <w:rPr>
          <w:lang w:val="en-CA"/>
        </w:rPr>
        <w:t>]</w:t>
      </w:r>
      <w:r w:rsidRPr="004E1DE3">
        <w:rPr>
          <w:sz w:val="14"/>
          <w:szCs w:val="14"/>
          <w:lang w:val="en-CA"/>
        </w:rPr>
        <w:t> </w:t>
      </w:r>
      <w:r w:rsidRPr="004E1DE3">
        <w:rPr>
          <w:lang w:val="en-CA"/>
        </w:rPr>
        <w:t>The case law requires proof:</w:t>
      </w:r>
    </w:p>
    <w:p w14:paraId="718561AE" w14:textId="77777777" w:rsidR="00821C0A" w:rsidRPr="004E1DE3" w:rsidRDefault="00573CA9" w:rsidP="00821C0A">
      <w:pPr>
        <w:pStyle w:val="Citationenretrait"/>
        <w:ind w:left="1462"/>
        <w:rPr>
          <w:lang w:val="en-CA"/>
        </w:rPr>
      </w:pPr>
      <w:r w:rsidRPr="004E1DE3">
        <w:rPr>
          <w:lang w:val="en-CA"/>
        </w:rPr>
        <w:t>(i)</w:t>
      </w:r>
      <w:r w:rsidRPr="004E1DE3">
        <w:rPr>
          <w:sz w:val="14"/>
          <w:szCs w:val="14"/>
          <w:lang w:val="en-CA"/>
        </w:rPr>
        <w:t>  </w:t>
      </w:r>
      <w:r w:rsidRPr="004E1DE3">
        <w:rPr>
          <w:lang w:val="en-CA"/>
        </w:rPr>
        <w:t>that the author of the interference wished to cause the consequences of the wrongful interference, or</w:t>
      </w:r>
    </w:p>
    <w:p w14:paraId="25014E51" w14:textId="77777777" w:rsidR="00821C0A" w:rsidRPr="004E1DE3" w:rsidRDefault="00573CA9" w:rsidP="00821C0A">
      <w:pPr>
        <w:pStyle w:val="Citationenretrait"/>
        <w:ind w:left="1462"/>
        <w:rPr>
          <w:lang w:val="en-CA"/>
        </w:rPr>
      </w:pPr>
      <w:r w:rsidRPr="004E1DE3">
        <w:rPr>
          <w:lang w:val="en-CA"/>
        </w:rPr>
        <w:t>(ii)</w:t>
      </w:r>
      <w:r w:rsidRPr="004E1DE3">
        <w:rPr>
          <w:sz w:val="14"/>
          <w:szCs w:val="14"/>
          <w:lang w:val="en-CA"/>
        </w:rPr>
        <w:t> </w:t>
      </w:r>
      <w:r w:rsidRPr="004E1DE3">
        <w:rPr>
          <w:lang w:val="en-CA"/>
        </w:rPr>
        <w:t>that he or she was aware of the immediate and natural or extremely probable consequences of his or her misconduct</w:t>
      </w:r>
      <w:bookmarkStart w:id="34" w:name="_ftnref35"/>
      <w:r w:rsidRPr="004E1DE3">
        <w:rPr>
          <w:rStyle w:val="Hyperlien"/>
          <w:color w:val="auto"/>
          <w:u w:val="none"/>
          <w:lang w:val="en-CA"/>
        </w:rPr>
        <w:t>https://www.canlii.org/en/qc/qccs/doc/2022/2022qccs2914/2022qccs2914.html?autocompleteStr=2022%20QCCS%202914&amp;autocompletePos=1 - _ftn35</w:t>
      </w:r>
      <w:bookmarkEnd w:id="34"/>
      <w:r w:rsidRPr="004E1DE3">
        <w:rPr>
          <w:lang w:val="en-CA"/>
        </w:rPr>
        <w:t>.</w:t>
      </w:r>
    </w:p>
    <w:p w14:paraId="3E2647E0" w14:textId="77777777" w:rsidR="00821C0A" w:rsidRPr="004E1DE3" w:rsidRDefault="00573CA9" w:rsidP="00821C0A">
      <w:pPr>
        <w:pStyle w:val="Citationenretrait"/>
        <w:rPr>
          <w:szCs w:val="24"/>
          <w:lang w:val="en-CA"/>
        </w:rPr>
      </w:pPr>
      <w:r w:rsidRPr="004E1DE3">
        <w:rPr>
          <w:lang w:val="en-CA"/>
        </w:rPr>
        <w:t>[</w:t>
      </w:r>
      <w:bookmarkStart w:id="35" w:name="par66"/>
      <w:r w:rsidRPr="004E1DE3">
        <w:rPr>
          <w:lang w:val="en-CA"/>
        </w:rPr>
        <w:t>66</w:t>
      </w:r>
      <w:bookmarkEnd w:id="35"/>
      <w:r w:rsidRPr="004E1DE3">
        <w:rPr>
          <w:lang w:val="en-CA"/>
        </w:rPr>
        <w:t>]</w:t>
      </w:r>
      <w:r w:rsidRPr="004E1DE3">
        <w:rPr>
          <w:sz w:val="14"/>
          <w:szCs w:val="14"/>
          <w:lang w:val="en-CA"/>
        </w:rPr>
        <w:t>        </w:t>
      </w:r>
      <w:r w:rsidRPr="004E1DE3">
        <w:rPr>
          <w:lang w:val="en-CA"/>
        </w:rPr>
        <w:t>The notion of intentional inference requires more than simple negligence but is not as strict as a specific intent</w:t>
      </w:r>
      <w:r w:rsidR="00356BBE">
        <w:rPr>
          <w:lang w:val="en-CA"/>
        </w:rPr>
        <w:t>.</w:t>
      </w:r>
    </w:p>
    <w:p w14:paraId="5DA03D08" w14:textId="77777777" w:rsidR="00821C0A" w:rsidRPr="004E1DE3" w:rsidRDefault="00573CA9" w:rsidP="00821C0A">
      <w:pPr>
        <w:pStyle w:val="Citationenretrait"/>
        <w:rPr>
          <w:lang w:val="en-CA"/>
        </w:rPr>
      </w:pPr>
      <w:r w:rsidRPr="004E1DE3">
        <w:rPr>
          <w:lang w:val="en-CA"/>
        </w:rPr>
        <w:t>[</w:t>
      </w:r>
      <w:bookmarkStart w:id="36" w:name="par67"/>
      <w:r w:rsidRPr="004E1DE3">
        <w:rPr>
          <w:lang w:val="en-CA"/>
        </w:rPr>
        <w:t>67</w:t>
      </w:r>
      <w:bookmarkEnd w:id="36"/>
      <w:r w:rsidRPr="004E1DE3">
        <w:rPr>
          <w:lang w:val="en-CA"/>
        </w:rPr>
        <w:t>]</w:t>
      </w:r>
      <w:r w:rsidRPr="004E1DE3">
        <w:rPr>
          <w:sz w:val="14"/>
          <w:szCs w:val="14"/>
          <w:lang w:val="en-CA"/>
        </w:rPr>
        <w:t>        </w:t>
      </w:r>
      <w:r w:rsidRPr="004E1DE3">
        <w:rPr>
          <w:lang w:val="en-CA"/>
        </w:rPr>
        <w:t>The claim for punitive damages can stand alone, even in the absence of compensatory damages.</w:t>
      </w:r>
    </w:p>
    <w:p w14:paraId="675241E2" w14:textId="77777777" w:rsidR="00821C0A" w:rsidRPr="004E1DE3" w:rsidRDefault="00573CA9" w:rsidP="00821C0A">
      <w:pPr>
        <w:pStyle w:val="Citationenretrait"/>
        <w:rPr>
          <w:lang w:val="en-CA"/>
        </w:rPr>
      </w:pPr>
      <w:r w:rsidRPr="004E1DE3">
        <w:rPr>
          <w:lang w:val="en-CA"/>
        </w:rPr>
        <w:lastRenderedPageBreak/>
        <w:t>[</w:t>
      </w:r>
      <w:bookmarkStart w:id="37" w:name="par68"/>
      <w:r w:rsidRPr="004E1DE3">
        <w:rPr>
          <w:lang w:val="en-CA"/>
        </w:rPr>
        <w:t>68</w:t>
      </w:r>
      <w:bookmarkEnd w:id="37"/>
      <w:r w:rsidRPr="004E1DE3">
        <w:rPr>
          <w:lang w:val="en-CA"/>
        </w:rPr>
        <w:t>]</w:t>
      </w:r>
      <w:r w:rsidRPr="004E1DE3">
        <w:rPr>
          <w:sz w:val="14"/>
          <w:szCs w:val="14"/>
          <w:lang w:val="en-CA"/>
        </w:rPr>
        <w:t>        </w:t>
      </w:r>
      <w:r w:rsidRPr="004E1DE3">
        <w:rPr>
          <w:lang w:val="en-CA"/>
        </w:rPr>
        <w:t>The allegations of the Application for authorization supporting the claim for punitive damages are the following:</w:t>
      </w:r>
    </w:p>
    <w:p w14:paraId="59B65D1B" w14:textId="77777777" w:rsidR="00821C0A" w:rsidRPr="004E1DE3" w:rsidRDefault="00573CA9" w:rsidP="00821C0A">
      <w:pPr>
        <w:pStyle w:val="Citationenretrait"/>
        <w:rPr>
          <w:sz w:val="27"/>
          <w:szCs w:val="27"/>
          <w:lang w:val="en-CA"/>
        </w:rPr>
      </w:pPr>
      <w:r w:rsidRPr="004E1DE3">
        <w:rPr>
          <w:lang w:val="en-CA"/>
        </w:rPr>
        <w:t>48. In fact, without limiting the generality of the foregoing, Defendant was grossly negligent and/or intentionally negligent when it:</w:t>
      </w:r>
    </w:p>
    <w:p w14:paraId="441EC520" w14:textId="77777777" w:rsidR="00821C0A" w:rsidRPr="004E1DE3" w:rsidRDefault="00573CA9" w:rsidP="00821C0A">
      <w:pPr>
        <w:pStyle w:val="Citationenretrait"/>
        <w:rPr>
          <w:sz w:val="27"/>
          <w:szCs w:val="27"/>
          <w:lang w:val="en-CA"/>
        </w:rPr>
      </w:pPr>
      <w:r w:rsidRPr="004E1DE3">
        <w:rPr>
          <w:lang w:val="en-CA"/>
        </w:rPr>
        <w:t>a.</w:t>
      </w:r>
      <w:r w:rsidRPr="004E1DE3">
        <w:rPr>
          <w:sz w:val="14"/>
          <w:szCs w:val="14"/>
          <w:lang w:val="en-CA"/>
        </w:rPr>
        <w:t>   </w:t>
      </w:r>
      <w:r w:rsidRPr="004E1DE3">
        <w:rPr>
          <w:lang w:val="en-CA"/>
        </w:rPr>
        <w:t>did not follow or properly implement an effective data security industry standard to protect the Class Members' personal information, which information MGM allowed to be accessed and downloaded from an external cloud server by unauthorized parties;</w:t>
      </w:r>
    </w:p>
    <w:p w14:paraId="6B7D412D" w14:textId="77777777" w:rsidR="00821C0A" w:rsidRPr="004E1DE3" w:rsidRDefault="00573CA9" w:rsidP="00821C0A">
      <w:pPr>
        <w:pStyle w:val="Citationenretrait"/>
        <w:rPr>
          <w:sz w:val="27"/>
          <w:szCs w:val="27"/>
          <w:lang w:val="en-CA"/>
        </w:rPr>
      </w:pPr>
      <w:r w:rsidRPr="004E1DE3">
        <w:rPr>
          <w:lang w:val="en-CA"/>
        </w:rPr>
        <w:t>b.</w:t>
      </w:r>
      <w:r w:rsidRPr="004E1DE3">
        <w:rPr>
          <w:sz w:val="14"/>
          <w:szCs w:val="14"/>
          <w:lang w:val="en-CA"/>
        </w:rPr>
        <w:t>   </w:t>
      </w:r>
      <w:r w:rsidRPr="004E1DE3">
        <w:rPr>
          <w:lang w:val="en-CA"/>
        </w:rPr>
        <w:t>tried to downplay and hide the magnitude of the Data Breach for almost 1 year;</w:t>
      </w:r>
    </w:p>
    <w:p w14:paraId="3F3A5269" w14:textId="77777777" w:rsidR="00821C0A" w:rsidRPr="004E1DE3" w:rsidRDefault="00573CA9" w:rsidP="00821C0A">
      <w:pPr>
        <w:pStyle w:val="Citationenretrait"/>
        <w:rPr>
          <w:sz w:val="27"/>
          <w:szCs w:val="27"/>
          <w:lang w:val="en-CA"/>
        </w:rPr>
      </w:pPr>
      <w:r w:rsidRPr="004E1DE3">
        <w:rPr>
          <w:lang w:val="en-CA"/>
        </w:rPr>
        <w:t>c.</w:t>
      </w:r>
      <w:r w:rsidRPr="004E1DE3">
        <w:rPr>
          <w:sz w:val="14"/>
          <w:szCs w:val="14"/>
          <w:lang w:val="en-CA"/>
        </w:rPr>
        <w:t>     </w:t>
      </w:r>
      <w:r w:rsidRPr="004E1DE3">
        <w:rPr>
          <w:lang w:val="en-CA"/>
        </w:rPr>
        <w:t>failed to promptly notify the Plaintiff and the Class Members of the Data Breach for almost one year, which in and of itself is abusive and egregious, justifying an award for such punitive damages;</w:t>
      </w:r>
    </w:p>
    <w:p w14:paraId="3B7851BF" w14:textId="77777777" w:rsidR="00821C0A" w:rsidRPr="004E1DE3" w:rsidRDefault="00573CA9" w:rsidP="00821C0A">
      <w:pPr>
        <w:pStyle w:val="Citationenretrait"/>
        <w:rPr>
          <w:sz w:val="27"/>
          <w:szCs w:val="27"/>
          <w:lang w:val="en-CA"/>
        </w:rPr>
      </w:pPr>
      <w:r w:rsidRPr="004E1DE3">
        <w:rPr>
          <w:lang w:val="en-CA"/>
        </w:rPr>
        <w:t>d.</w:t>
      </w:r>
      <w:r w:rsidRPr="004E1DE3">
        <w:rPr>
          <w:sz w:val="14"/>
          <w:szCs w:val="14"/>
          <w:lang w:val="en-CA"/>
        </w:rPr>
        <w:t>   </w:t>
      </w:r>
      <w:r w:rsidRPr="004E1DE3">
        <w:rPr>
          <w:lang w:val="en-CA"/>
        </w:rPr>
        <w:t>failed to properly ensure that Plaintiff and Class Members are protected by credit monitoring services by both Equifax Canada and TransUnion and failing to post fraud alerts on the Class Members’ credit files immediately after the Data Breach;</w:t>
      </w:r>
    </w:p>
    <w:p w14:paraId="11E4F0CB" w14:textId="77777777" w:rsidR="00821C0A" w:rsidRPr="004E1DE3" w:rsidRDefault="00573CA9" w:rsidP="00821C0A">
      <w:pPr>
        <w:pStyle w:val="Citationenretrait"/>
        <w:rPr>
          <w:sz w:val="27"/>
          <w:szCs w:val="27"/>
          <w:lang w:val="en-CA"/>
        </w:rPr>
      </w:pPr>
      <w:r w:rsidRPr="004E1DE3">
        <w:rPr>
          <w:lang w:val="en-CA"/>
        </w:rPr>
        <w:t>e.</w:t>
      </w:r>
      <w:r w:rsidRPr="004E1DE3">
        <w:rPr>
          <w:sz w:val="14"/>
          <w:szCs w:val="14"/>
          <w:lang w:val="en-CA"/>
        </w:rPr>
        <w:t>   </w:t>
      </w:r>
      <w:r w:rsidRPr="004E1DE3">
        <w:rPr>
          <w:lang w:val="en-CA"/>
        </w:rPr>
        <w:t>waited until after the media has exposed the fact that the personal information of millions of MGM clients was published on a hacking forum before notifying the Class Members, the whole as reported in the R-2 articles;</w:t>
      </w:r>
    </w:p>
    <w:p w14:paraId="16F65E83" w14:textId="77777777" w:rsidR="00821C0A" w:rsidRPr="004E1DE3" w:rsidRDefault="00573CA9" w:rsidP="00821C0A">
      <w:pPr>
        <w:pStyle w:val="Citationenretrait"/>
        <w:rPr>
          <w:sz w:val="27"/>
          <w:szCs w:val="27"/>
          <w:lang w:val="en-CA"/>
        </w:rPr>
      </w:pPr>
      <w:r w:rsidRPr="004E1DE3">
        <w:rPr>
          <w:lang w:val="en-CA"/>
        </w:rPr>
        <w:t>f.</w:t>
      </w:r>
      <w:r w:rsidRPr="004E1DE3">
        <w:rPr>
          <w:sz w:val="14"/>
          <w:szCs w:val="14"/>
          <w:lang w:val="en-CA"/>
        </w:rPr>
        <w:t>      </w:t>
      </w:r>
      <w:r w:rsidRPr="004E1DE3">
        <w:rPr>
          <w:lang w:val="en-CA"/>
        </w:rPr>
        <w:t>failed to provide assistance and relevant information about the Data Breach on its websites;</w:t>
      </w:r>
    </w:p>
    <w:p w14:paraId="04947500" w14:textId="77777777" w:rsidR="00821C0A" w:rsidRPr="004E1DE3" w:rsidRDefault="00573CA9" w:rsidP="00821C0A">
      <w:pPr>
        <w:pStyle w:val="Citationenretrait"/>
        <w:rPr>
          <w:sz w:val="27"/>
          <w:szCs w:val="27"/>
          <w:lang w:val="en-CA"/>
        </w:rPr>
      </w:pPr>
      <w:r w:rsidRPr="004E1DE3">
        <w:rPr>
          <w:lang w:val="en-CA"/>
        </w:rPr>
        <w:t>g.</w:t>
      </w:r>
      <w:r w:rsidRPr="004E1DE3">
        <w:rPr>
          <w:sz w:val="14"/>
          <w:szCs w:val="14"/>
          <w:lang w:val="en-CA"/>
        </w:rPr>
        <w:t>   </w:t>
      </w:r>
      <w:r w:rsidRPr="004E1DE3">
        <w:rPr>
          <w:lang w:val="en-CA"/>
        </w:rPr>
        <w:t>failed to even provide a telephone number for Class Members to call in order to access information about the Data Breach. […]</w:t>
      </w:r>
    </w:p>
    <w:p w14:paraId="4E593753" w14:textId="77777777" w:rsidR="00013A99" w:rsidRPr="004E1DE3" w:rsidRDefault="00573CA9" w:rsidP="007D1A3F">
      <w:pPr>
        <w:pStyle w:val="Paragrdouble"/>
        <w:tabs>
          <w:tab w:val="num" w:pos="851"/>
        </w:tabs>
        <w:spacing w:line="240" w:lineRule="auto"/>
        <w:ind w:left="0"/>
        <w:rPr>
          <w:lang w:val="en-CA"/>
        </w:rPr>
      </w:pPr>
      <w:r w:rsidRPr="004E1DE3">
        <w:rPr>
          <w:lang w:val="en-CA"/>
        </w:rPr>
        <w:t xml:space="preserve">According to these judgments, the Court may draw inferences on the basis of the negligent and reckless conduct </w:t>
      </w:r>
      <w:r w:rsidR="004973B1" w:rsidRPr="004E1DE3">
        <w:rPr>
          <w:lang w:val="en-CA"/>
        </w:rPr>
        <w:t>alleged</w:t>
      </w:r>
      <w:r w:rsidRPr="004E1DE3">
        <w:rPr>
          <w:lang w:val="en-CA"/>
        </w:rPr>
        <w:t xml:space="preserve"> by the </w:t>
      </w:r>
      <w:r w:rsidR="004973B1" w:rsidRPr="004E1DE3">
        <w:rPr>
          <w:lang w:val="en-CA"/>
        </w:rPr>
        <w:t>complainant</w:t>
      </w:r>
      <w:r w:rsidRPr="004E1DE3">
        <w:rPr>
          <w:lang w:val="en-CA"/>
        </w:rPr>
        <w:t xml:space="preserve"> to </w:t>
      </w:r>
      <w:r w:rsidR="004973B1" w:rsidRPr="004E1DE3">
        <w:rPr>
          <w:lang w:val="en-CA"/>
        </w:rPr>
        <w:t>conclu</w:t>
      </w:r>
      <w:r w:rsidRPr="004E1DE3">
        <w:rPr>
          <w:lang w:val="en-CA"/>
        </w:rPr>
        <w:t xml:space="preserve">de that the other party’s </w:t>
      </w:r>
      <w:r w:rsidR="004973B1" w:rsidRPr="004E1DE3">
        <w:rPr>
          <w:lang w:val="en-CA"/>
        </w:rPr>
        <w:t xml:space="preserve">attitude </w:t>
      </w:r>
      <w:r w:rsidRPr="004E1DE3">
        <w:rPr>
          <w:lang w:val="en-CA"/>
        </w:rPr>
        <w:t>was re</w:t>
      </w:r>
      <w:r w:rsidR="004973B1" w:rsidRPr="004E1DE3">
        <w:rPr>
          <w:lang w:val="en-CA"/>
        </w:rPr>
        <w:t>pr</w:t>
      </w:r>
      <w:r w:rsidRPr="004E1DE3">
        <w:rPr>
          <w:lang w:val="en-CA"/>
        </w:rPr>
        <w:t>e</w:t>
      </w:r>
      <w:r w:rsidR="004973B1" w:rsidRPr="004E1DE3">
        <w:rPr>
          <w:lang w:val="en-CA"/>
        </w:rPr>
        <w:t xml:space="preserve">hensible </w:t>
      </w:r>
      <w:r w:rsidRPr="004E1DE3">
        <w:rPr>
          <w:lang w:val="en-CA"/>
        </w:rPr>
        <w:t xml:space="preserve">with respect to the </w:t>
      </w:r>
      <w:r w:rsidR="004973B1" w:rsidRPr="004E1DE3">
        <w:rPr>
          <w:lang w:val="en-CA"/>
        </w:rPr>
        <w:t>confidentiality</w:t>
      </w:r>
      <w:r w:rsidRPr="004E1DE3">
        <w:rPr>
          <w:lang w:val="en-CA"/>
        </w:rPr>
        <w:t xml:space="preserve"> </w:t>
      </w:r>
      <w:r w:rsidR="004973B1" w:rsidRPr="004E1DE3">
        <w:rPr>
          <w:lang w:val="en-CA"/>
        </w:rPr>
        <w:t>of</w:t>
      </w:r>
      <w:r w:rsidRPr="004E1DE3">
        <w:rPr>
          <w:lang w:val="en-CA"/>
        </w:rPr>
        <w:t xml:space="preserve"> the personal </w:t>
      </w:r>
      <w:r w:rsidR="004973B1" w:rsidRPr="004E1DE3">
        <w:rPr>
          <w:lang w:val="en-CA"/>
        </w:rPr>
        <w:t>information</w:t>
      </w:r>
      <w:r w:rsidRPr="004E1DE3">
        <w:rPr>
          <w:lang w:val="en-CA"/>
        </w:rPr>
        <w:t xml:space="preserve"> thus rendered </w:t>
      </w:r>
      <w:r w:rsidR="004973B1" w:rsidRPr="004E1DE3">
        <w:rPr>
          <w:lang w:val="en-CA"/>
        </w:rPr>
        <w:t>accessible.</w:t>
      </w:r>
    </w:p>
    <w:p w14:paraId="4FAC3914" w14:textId="77777777" w:rsidR="005635AE" w:rsidRPr="004E1DE3" w:rsidRDefault="00573CA9" w:rsidP="005635AE">
      <w:pPr>
        <w:pStyle w:val="Paragrdouble"/>
        <w:tabs>
          <w:tab w:val="num" w:pos="851"/>
        </w:tabs>
        <w:spacing w:line="240" w:lineRule="auto"/>
        <w:ind w:left="0"/>
        <w:rPr>
          <w:lang w:val="en-CA"/>
        </w:rPr>
      </w:pPr>
      <w:r w:rsidRPr="004E1DE3">
        <w:rPr>
          <w:lang w:val="en-CA"/>
        </w:rPr>
        <w:t xml:space="preserve">Ultimately, and especially at this stage of the proceeding, </w:t>
      </w:r>
      <w:r w:rsidR="00783FAD" w:rsidRPr="004E1DE3">
        <w:rPr>
          <w:lang w:val="en-CA"/>
        </w:rPr>
        <w:t>the</w:t>
      </w:r>
      <w:r w:rsidRPr="004E1DE3">
        <w:rPr>
          <w:lang w:val="en-CA"/>
        </w:rPr>
        <w:t xml:space="preserve"> </w:t>
      </w:r>
      <w:r w:rsidR="00783FAD" w:rsidRPr="004E1DE3">
        <w:rPr>
          <w:lang w:val="en-CA"/>
        </w:rPr>
        <w:t>Court</w:t>
      </w:r>
      <w:r w:rsidRPr="004E1DE3">
        <w:rPr>
          <w:lang w:val="en-CA"/>
        </w:rPr>
        <w:t xml:space="preserve"> must assess whether the </w:t>
      </w:r>
      <w:r w:rsidR="00783FAD" w:rsidRPr="004E1DE3">
        <w:rPr>
          <w:lang w:val="en-CA"/>
        </w:rPr>
        <w:t>factu</w:t>
      </w:r>
      <w:r w:rsidRPr="004E1DE3">
        <w:rPr>
          <w:lang w:val="en-CA"/>
        </w:rPr>
        <w:t>a</w:t>
      </w:r>
      <w:r w:rsidR="00783FAD" w:rsidRPr="004E1DE3">
        <w:rPr>
          <w:lang w:val="en-CA"/>
        </w:rPr>
        <w:t>l</w:t>
      </w:r>
      <w:r w:rsidRPr="004E1DE3">
        <w:rPr>
          <w:lang w:val="en-CA"/>
        </w:rPr>
        <w:t xml:space="preserve"> background, described in great detail in the A</w:t>
      </w:r>
      <w:r w:rsidR="00783FAD" w:rsidRPr="004E1DE3">
        <w:rPr>
          <w:lang w:val="en-CA"/>
        </w:rPr>
        <w:t>pplication</w:t>
      </w:r>
      <w:r w:rsidRPr="004E1DE3">
        <w:rPr>
          <w:lang w:val="en-CA"/>
        </w:rPr>
        <w:t xml:space="preserve"> in this case</w:t>
      </w:r>
      <w:r w:rsidR="00783FAD" w:rsidRPr="004E1DE3">
        <w:rPr>
          <w:lang w:val="en-CA"/>
        </w:rPr>
        <w:t>,</w:t>
      </w:r>
      <w:r w:rsidRPr="004E1DE3">
        <w:rPr>
          <w:lang w:val="en-CA"/>
        </w:rPr>
        <w:t xml:space="preserve"> shows conduct that </w:t>
      </w:r>
      <w:r w:rsidR="00783FAD" w:rsidRPr="004E1DE3">
        <w:rPr>
          <w:lang w:val="en-CA"/>
        </w:rPr>
        <w:t>transcend</w:t>
      </w:r>
      <w:r w:rsidR="0063611B" w:rsidRPr="004E1DE3">
        <w:rPr>
          <w:lang w:val="en-CA"/>
        </w:rPr>
        <w:t xml:space="preserve">s the event that occurred in </w:t>
      </w:r>
      <w:r w:rsidR="00783FAD" w:rsidRPr="004E1DE3">
        <w:rPr>
          <w:lang w:val="en-CA"/>
        </w:rPr>
        <w:t xml:space="preserve">March 2019 </w:t>
      </w:r>
      <w:r w:rsidR="00173D86" w:rsidRPr="004E1DE3">
        <w:rPr>
          <w:lang w:val="en-CA"/>
        </w:rPr>
        <w:t xml:space="preserve">and is merely its culmination, and may seriously trouble, even shock, a reader of this </w:t>
      </w:r>
      <w:r w:rsidR="00783FAD" w:rsidRPr="004E1DE3">
        <w:rPr>
          <w:lang w:val="en-CA"/>
        </w:rPr>
        <w:t>account</w:t>
      </w:r>
      <w:r w:rsidR="00173D86" w:rsidRPr="004E1DE3">
        <w:rPr>
          <w:lang w:val="en-CA"/>
        </w:rPr>
        <w:t xml:space="preserve"> who is </w:t>
      </w:r>
      <w:r w:rsidR="00783FAD" w:rsidRPr="004E1DE3">
        <w:rPr>
          <w:lang w:val="en-CA"/>
        </w:rPr>
        <w:t xml:space="preserve">reasonably </w:t>
      </w:r>
      <w:r w:rsidR="00173D86" w:rsidRPr="004E1DE3">
        <w:rPr>
          <w:lang w:val="en-CA"/>
        </w:rPr>
        <w:t>aware and informed, while being neutral and independent</w:t>
      </w:r>
      <w:r w:rsidR="00783FAD" w:rsidRPr="004E1DE3">
        <w:rPr>
          <w:lang w:val="en-CA"/>
        </w:rPr>
        <w:t>.</w:t>
      </w:r>
    </w:p>
    <w:p w14:paraId="1D168A83" w14:textId="77777777" w:rsidR="005635AE" w:rsidRPr="004E1DE3" w:rsidRDefault="00573CA9" w:rsidP="007D1A3F">
      <w:pPr>
        <w:pStyle w:val="Paragrdouble"/>
        <w:tabs>
          <w:tab w:val="num" w:pos="851"/>
        </w:tabs>
        <w:spacing w:line="240" w:lineRule="auto"/>
        <w:ind w:left="0"/>
        <w:rPr>
          <w:lang w:val="en-CA"/>
        </w:rPr>
      </w:pPr>
      <w:r w:rsidRPr="004E1DE3">
        <w:rPr>
          <w:lang w:val="en-CA"/>
        </w:rPr>
        <w:t>According to the Application, the conduct in this case in</w:t>
      </w:r>
      <w:r w:rsidR="00A34701" w:rsidRPr="004E1DE3">
        <w:rPr>
          <w:lang w:val="en-CA"/>
        </w:rPr>
        <w:t xml:space="preserve">volves first the colossal amount of data involved, some of which had become useless and should possibly have been </w:t>
      </w:r>
      <w:r w:rsidR="00375E40" w:rsidRPr="004E1DE3">
        <w:rPr>
          <w:lang w:val="en-CA"/>
        </w:rPr>
        <w:t xml:space="preserve">quickly </w:t>
      </w:r>
      <w:r w:rsidR="00A34701" w:rsidRPr="004E1DE3">
        <w:rPr>
          <w:lang w:val="en-CA"/>
        </w:rPr>
        <w:t>destroyed, and some which was kept for too long</w:t>
      </w:r>
      <w:r w:rsidR="00940EDA" w:rsidRPr="004E1DE3">
        <w:rPr>
          <w:lang w:val="en-CA"/>
        </w:rPr>
        <w:t>.</w:t>
      </w:r>
    </w:p>
    <w:p w14:paraId="04CC79B1" w14:textId="77777777" w:rsidR="00A30662" w:rsidRPr="004E1DE3" w:rsidRDefault="00573CA9" w:rsidP="007D1A3F">
      <w:pPr>
        <w:pStyle w:val="Paragrdouble"/>
        <w:tabs>
          <w:tab w:val="num" w:pos="851"/>
        </w:tabs>
        <w:spacing w:line="240" w:lineRule="auto"/>
        <w:ind w:left="0"/>
        <w:rPr>
          <w:lang w:val="en-CA"/>
        </w:rPr>
      </w:pPr>
      <w:r w:rsidRPr="004E1DE3">
        <w:rPr>
          <w:lang w:val="en-CA"/>
        </w:rPr>
        <w:lastRenderedPageBreak/>
        <w:t xml:space="preserve">According to the Court, </w:t>
      </w:r>
      <w:r w:rsidR="00D23C62" w:rsidRPr="004E1DE3">
        <w:rPr>
          <w:lang w:val="en-CA"/>
        </w:rPr>
        <w:t xml:space="preserve">beyond the fault committed, </w:t>
      </w:r>
      <w:r w:rsidRPr="004E1DE3">
        <w:rPr>
          <w:lang w:val="en-CA"/>
        </w:rPr>
        <w:t>th</w:t>
      </w:r>
      <w:r w:rsidR="00D23C62" w:rsidRPr="004E1DE3">
        <w:rPr>
          <w:lang w:val="en-CA"/>
        </w:rPr>
        <w:t>e</w:t>
      </w:r>
      <w:r w:rsidRPr="004E1DE3">
        <w:rPr>
          <w:lang w:val="en-CA"/>
        </w:rPr>
        <w:t xml:space="preserve"> conduct must also </w:t>
      </w:r>
      <w:r w:rsidR="00D23C62" w:rsidRPr="004E1DE3">
        <w:rPr>
          <w:lang w:val="en-CA"/>
        </w:rPr>
        <w:t xml:space="preserve">indicate a reckless </w:t>
      </w:r>
      <w:r w:rsidR="00940EDA" w:rsidRPr="004E1DE3">
        <w:rPr>
          <w:lang w:val="en-CA"/>
        </w:rPr>
        <w:t xml:space="preserve">attitude </w:t>
      </w:r>
      <w:r w:rsidR="00D23C62" w:rsidRPr="004E1DE3">
        <w:rPr>
          <w:lang w:val="en-CA"/>
        </w:rPr>
        <w:t xml:space="preserve">and conduct by </w:t>
      </w:r>
      <w:r w:rsidR="00940EDA" w:rsidRPr="004E1DE3">
        <w:rPr>
          <w:lang w:val="en-CA"/>
        </w:rPr>
        <w:t>Capital One, nonchalant</w:t>
      </w:r>
      <w:r w:rsidR="00D23C62" w:rsidRPr="004E1DE3">
        <w:rPr>
          <w:lang w:val="en-CA"/>
        </w:rPr>
        <w:t xml:space="preserve"> and </w:t>
      </w:r>
      <w:r w:rsidR="00242D22" w:rsidRPr="004E1DE3">
        <w:rPr>
          <w:lang w:val="en-CA"/>
        </w:rPr>
        <w:t xml:space="preserve">insensitive to the </w:t>
      </w:r>
      <w:r w:rsidR="00940EDA" w:rsidRPr="004E1DE3">
        <w:rPr>
          <w:lang w:val="en-CA"/>
        </w:rPr>
        <w:t xml:space="preserve">importance </w:t>
      </w:r>
      <w:r w:rsidR="00242D22" w:rsidRPr="004E1DE3">
        <w:rPr>
          <w:lang w:val="en-CA"/>
        </w:rPr>
        <w:t xml:space="preserve">of the </w:t>
      </w:r>
      <w:r w:rsidR="00940EDA" w:rsidRPr="004E1DE3">
        <w:rPr>
          <w:lang w:val="en-CA"/>
        </w:rPr>
        <w:t xml:space="preserve">protection </w:t>
      </w:r>
      <w:r w:rsidR="00242D22" w:rsidRPr="004E1DE3">
        <w:rPr>
          <w:lang w:val="en-CA"/>
        </w:rPr>
        <w:t xml:space="preserve">of </w:t>
      </w:r>
      <w:r w:rsidR="00940EDA" w:rsidRPr="004E1DE3">
        <w:rPr>
          <w:lang w:val="en-CA"/>
        </w:rPr>
        <w:t>privacy</w:t>
      </w:r>
      <w:r w:rsidR="00242D22" w:rsidRPr="004E1DE3">
        <w:rPr>
          <w:lang w:val="en-CA"/>
        </w:rPr>
        <w:t xml:space="preserve"> during this </w:t>
      </w:r>
      <w:r w:rsidR="00940EDA" w:rsidRPr="004E1DE3">
        <w:rPr>
          <w:lang w:val="en-CA"/>
        </w:rPr>
        <w:t xml:space="preserve">migration </w:t>
      </w:r>
      <w:r w:rsidR="00242D22" w:rsidRPr="004E1DE3">
        <w:rPr>
          <w:lang w:val="en-CA"/>
        </w:rPr>
        <w:t xml:space="preserve">of </w:t>
      </w:r>
      <w:r w:rsidR="00940EDA" w:rsidRPr="004E1DE3">
        <w:rPr>
          <w:lang w:val="en-CA"/>
        </w:rPr>
        <w:t>personal</w:t>
      </w:r>
      <w:r w:rsidR="00242D22" w:rsidRPr="004E1DE3">
        <w:rPr>
          <w:lang w:val="en-CA"/>
        </w:rPr>
        <w:t xml:space="preserve"> </w:t>
      </w:r>
      <w:r w:rsidR="00940EDA" w:rsidRPr="004E1DE3">
        <w:rPr>
          <w:lang w:val="en-CA"/>
        </w:rPr>
        <w:t>information</w:t>
      </w:r>
      <w:r w:rsidR="00242D22" w:rsidRPr="004E1DE3">
        <w:rPr>
          <w:lang w:val="en-CA"/>
        </w:rPr>
        <w:t xml:space="preserve"> in </w:t>
      </w:r>
      <w:r w:rsidR="00940EDA" w:rsidRPr="004E1DE3">
        <w:rPr>
          <w:lang w:val="en-CA"/>
        </w:rPr>
        <w:t xml:space="preserve">2015, </w:t>
      </w:r>
      <w:r w:rsidR="00242D22" w:rsidRPr="004E1DE3">
        <w:rPr>
          <w:lang w:val="en-CA"/>
        </w:rPr>
        <w:t xml:space="preserve">all the while having full knowledge of the risk that </w:t>
      </w:r>
      <w:r w:rsidR="00373A9B">
        <w:rPr>
          <w:lang w:val="en-CA"/>
        </w:rPr>
        <w:t xml:space="preserve">the result could be </w:t>
      </w:r>
      <w:r w:rsidR="00242D22" w:rsidRPr="004E1DE3">
        <w:rPr>
          <w:lang w:val="en-CA"/>
        </w:rPr>
        <w:t xml:space="preserve">a breach of </w:t>
      </w:r>
      <w:r w:rsidR="00940EDA" w:rsidRPr="004E1DE3">
        <w:rPr>
          <w:lang w:val="en-CA"/>
        </w:rPr>
        <w:t>confidentialit</w:t>
      </w:r>
      <w:r w:rsidR="00242D22" w:rsidRPr="004E1DE3">
        <w:rPr>
          <w:lang w:val="en-CA"/>
        </w:rPr>
        <w:t>y</w:t>
      </w:r>
      <w:r w:rsidR="00040AEF" w:rsidRPr="004E1DE3">
        <w:rPr>
          <w:lang w:val="en-CA"/>
        </w:rPr>
        <w:t xml:space="preserve"> </w:t>
      </w:r>
      <w:r w:rsidR="00373A9B">
        <w:rPr>
          <w:lang w:val="en-CA"/>
        </w:rPr>
        <w:t>and serious consequences</w:t>
      </w:r>
      <w:r w:rsidR="00040AEF" w:rsidRPr="004E1DE3">
        <w:rPr>
          <w:lang w:val="en-CA"/>
        </w:rPr>
        <w:t xml:space="preserve">, such as the theft of </w:t>
      </w:r>
      <w:r w:rsidR="00940EDA" w:rsidRPr="004E1DE3">
        <w:rPr>
          <w:lang w:val="en-CA"/>
        </w:rPr>
        <w:t>personal</w:t>
      </w:r>
      <w:r w:rsidR="00040AEF" w:rsidRPr="004E1DE3">
        <w:rPr>
          <w:lang w:val="en-CA"/>
        </w:rPr>
        <w:t xml:space="preserve"> </w:t>
      </w:r>
      <w:r w:rsidR="00940EDA" w:rsidRPr="004E1DE3">
        <w:rPr>
          <w:lang w:val="en-CA"/>
        </w:rPr>
        <w:t>information</w:t>
      </w:r>
      <w:r w:rsidR="00040AEF" w:rsidRPr="004E1DE3">
        <w:rPr>
          <w:lang w:val="en-CA"/>
        </w:rPr>
        <w:t xml:space="preserve"> in this case, in view of the notices published, </w:t>
      </w:r>
      <w:r w:rsidR="00940EDA" w:rsidRPr="004E1DE3">
        <w:rPr>
          <w:lang w:val="en-CA"/>
        </w:rPr>
        <w:t>sanctions</w:t>
      </w:r>
      <w:r w:rsidR="0089789B" w:rsidRPr="004E1DE3">
        <w:rPr>
          <w:lang w:val="en-CA"/>
        </w:rPr>
        <w:t xml:space="preserve"> obtained, and warnings issued</w:t>
      </w:r>
      <w:r w:rsidR="00940EDA" w:rsidRPr="004E1DE3">
        <w:rPr>
          <w:lang w:val="en-CA"/>
        </w:rPr>
        <w:t>.</w:t>
      </w:r>
    </w:p>
    <w:p w14:paraId="33653453" w14:textId="77777777" w:rsidR="00783FAD" w:rsidRPr="004E1DE3" w:rsidRDefault="00573CA9" w:rsidP="005635AE">
      <w:pPr>
        <w:pStyle w:val="Paragrsimple"/>
        <w:tabs>
          <w:tab w:val="clear" w:pos="2062"/>
          <w:tab w:val="clear" w:pos="4755"/>
          <w:tab w:val="num" w:pos="0"/>
        </w:tabs>
        <w:ind w:left="0"/>
        <w:rPr>
          <w:lang w:val="en-CA"/>
        </w:rPr>
      </w:pPr>
      <w:r w:rsidRPr="004E1DE3">
        <w:rPr>
          <w:lang w:val="en-CA"/>
        </w:rPr>
        <w:t>This conduct may be even more shocking if the party in question</w:t>
      </w:r>
      <w:r w:rsidR="005635AE" w:rsidRPr="004E1DE3">
        <w:rPr>
          <w:lang w:val="en-CA"/>
        </w:rPr>
        <w:t xml:space="preserve"> </w:t>
      </w:r>
      <w:r w:rsidRPr="004E1DE3">
        <w:rPr>
          <w:lang w:val="en-CA"/>
        </w:rPr>
        <w:t xml:space="preserve">is more focused on the commercial and financial interest that may come from the use of this </w:t>
      </w:r>
      <w:r w:rsidR="005635AE" w:rsidRPr="004E1DE3">
        <w:rPr>
          <w:lang w:val="en-CA"/>
        </w:rPr>
        <w:t>personal</w:t>
      </w:r>
      <w:r w:rsidRPr="004E1DE3">
        <w:rPr>
          <w:lang w:val="en-CA"/>
        </w:rPr>
        <w:t xml:space="preserve"> </w:t>
      </w:r>
      <w:r w:rsidR="005635AE" w:rsidRPr="004E1DE3">
        <w:rPr>
          <w:lang w:val="en-CA"/>
        </w:rPr>
        <w:t>information</w:t>
      </w:r>
      <w:r w:rsidRPr="004E1DE3">
        <w:rPr>
          <w:lang w:val="en-CA"/>
        </w:rPr>
        <w:t>, which may</w:t>
      </w:r>
      <w:r w:rsidR="004361CE" w:rsidRPr="004E1DE3">
        <w:rPr>
          <w:lang w:val="en-CA"/>
        </w:rPr>
        <w:t xml:space="preserve"> be inferred in this case from the lack of </w:t>
      </w:r>
      <w:r w:rsidR="005635AE" w:rsidRPr="004E1DE3">
        <w:rPr>
          <w:lang w:val="en-CA"/>
        </w:rPr>
        <w:t xml:space="preserve">diligence </w:t>
      </w:r>
      <w:r w:rsidR="004361CE" w:rsidRPr="004E1DE3">
        <w:rPr>
          <w:lang w:val="en-CA"/>
        </w:rPr>
        <w:t xml:space="preserve">and remedial </w:t>
      </w:r>
      <w:r w:rsidR="005635AE" w:rsidRPr="004E1DE3">
        <w:rPr>
          <w:lang w:val="en-CA"/>
        </w:rPr>
        <w:t>me</w:t>
      </w:r>
      <w:r w:rsidR="004361CE" w:rsidRPr="004E1DE3">
        <w:rPr>
          <w:lang w:val="en-CA"/>
        </w:rPr>
        <w:t>a</w:t>
      </w:r>
      <w:r w:rsidR="005635AE" w:rsidRPr="004E1DE3">
        <w:rPr>
          <w:lang w:val="en-CA"/>
        </w:rPr>
        <w:t xml:space="preserve">sures </w:t>
      </w:r>
      <w:r w:rsidR="004361CE" w:rsidRPr="004E1DE3">
        <w:rPr>
          <w:lang w:val="en-CA"/>
        </w:rPr>
        <w:t xml:space="preserve">for the future once the confidentiality </w:t>
      </w:r>
      <w:r w:rsidR="005635AE" w:rsidRPr="004E1DE3">
        <w:rPr>
          <w:lang w:val="en-CA"/>
        </w:rPr>
        <w:t>incident</w:t>
      </w:r>
      <w:r w:rsidR="004361CE" w:rsidRPr="004E1DE3">
        <w:rPr>
          <w:lang w:val="en-CA"/>
        </w:rPr>
        <w:t xml:space="preserve"> and its cause were known</w:t>
      </w:r>
      <w:r w:rsidR="0065170F">
        <w:rPr>
          <w:lang w:val="en-CA"/>
        </w:rPr>
        <w:t>,</w:t>
      </w:r>
      <w:r w:rsidR="005635AE" w:rsidRPr="004E1DE3">
        <w:rPr>
          <w:lang w:val="en-CA"/>
        </w:rPr>
        <w:t xml:space="preserve"> </w:t>
      </w:r>
      <w:r w:rsidR="004361CE" w:rsidRPr="004E1DE3">
        <w:rPr>
          <w:lang w:val="en-CA"/>
        </w:rPr>
        <w:t>and although the deficiency seemed obvious</w:t>
      </w:r>
      <w:r w:rsidR="0065170F">
        <w:rPr>
          <w:lang w:val="en-CA"/>
        </w:rPr>
        <w:t>,</w:t>
      </w:r>
      <w:r w:rsidR="004361CE" w:rsidRPr="004E1DE3">
        <w:rPr>
          <w:lang w:val="en-CA"/>
        </w:rPr>
        <w:t xml:space="preserve"> by both </w:t>
      </w:r>
      <w:r w:rsidR="005635AE" w:rsidRPr="004E1DE3">
        <w:rPr>
          <w:lang w:val="en-CA"/>
        </w:rPr>
        <w:t xml:space="preserve">Capital One </w:t>
      </w:r>
      <w:r w:rsidR="004361CE" w:rsidRPr="004E1DE3">
        <w:rPr>
          <w:lang w:val="en-CA"/>
        </w:rPr>
        <w:t xml:space="preserve">and </w:t>
      </w:r>
      <w:r w:rsidR="005635AE" w:rsidRPr="004E1DE3">
        <w:rPr>
          <w:lang w:val="en-CA"/>
        </w:rPr>
        <w:t>Amazon</w:t>
      </w:r>
      <w:r w:rsidR="004361CE" w:rsidRPr="004E1DE3">
        <w:rPr>
          <w:lang w:val="en-CA"/>
        </w:rPr>
        <w:t>, who mutually accuse</w:t>
      </w:r>
      <w:r w:rsidR="0065170F">
        <w:rPr>
          <w:lang w:val="en-CA"/>
        </w:rPr>
        <w:t xml:space="preserve"> </w:t>
      </w:r>
      <w:r w:rsidR="004361CE" w:rsidRPr="004E1DE3">
        <w:rPr>
          <w:lang w:val="en-CA"/>
        </w:rPr>
        <w:t xml:space="preserve">each other of having caused the </w:t>
      </w:r>
      <w:r w:rsidR="005635AE" w:rsidRPr="004E1DE3">
        <w:rPr>
          <w:lang w:val="en-CA"/>
        </w:rPr>
        <w:t>incident.</w:t>
      </w:r>
    </w:p>
    <w:p w14:paraId="4C951065" w14:textId="77777777" w:rsidR="00783FAD" w:rsidRPr="004E1DE3" w:rsidRDefault="00573CA9" w:rsidP="00783FAD">
      <w:pPr>
        <w:pStyle w:val="Paragrdouble"/>
        <w:tabs>
          <w:tab w:val="num" w:pos="851"/>
        </w:tabs>
        <w:spacing w:line="240" w:lineRule="auto"/>
        <w:ind w:left="0"/>
        <w:rPr>
          <w:lang w:val="en-CA"/>
        </w:rPr>
      </w:pPr>
      <w:r w:rsidRPr="004E1DE3">
        <w:rPr>
          <w:lang w:val="en-CA"/>
        </w:rPr>
        <w:t>The A</w:t>
      </w:r>
      <w:r w:rsidR="00940EDA" w:rsidRPr="004E1DE3">
        <w:rPr>
          <w:lang w:val="en-CA"/>
        </w:rPr>
        <w:t>pplication</w:t>
      </w:r>
      <w:r w:rsidRPr="004E1DE3">
        <w:rPr>
          <w:lang w:val="en-CA"/>
        </w:rPr>
        <w:t xml:space="preserve"> alleges that </w:t>
      </w:r>
      <w:r w:rsidR="00940EDA" w:rsidRPr="004E1DE3">
        <w:rPr>
          <w:lang w:val="en-CA"/>
        </w:rPr>
        <w:t xml:space="preserve">Capital One </w:t>
      </w:r>
      <w:r w:rsidR="0018409F" w:rsidRPr="004E1DE3">
        <w:rPr>
          <w:lang w:val="en-CA"/>
        </w:rPr>
        <w:t xml:space="preserve">and </w:t>
      </w:r>
      <w:r w:rsidR="00940EDA" w:rsidRPr="004E1DE3">
        <w:rPr>
          <w:lang w:val="en-CA"/>
        </w:rPr>
        <w:t>Amazon continue</w:t>
      </w:r>
      <w:r w:rsidR="0018409F" w:rsidRPr="004E1DE3">
        <w:rPr>
          <w:lang w:val="en-CA"/>
        </w:rPr>
        <w:t xml:space="preserve">d to follow the same </w:t>
      </w:r>
      <w:r w:rsidR="00940EDA" w:rsidRPr="004E1DE3">
        <w:rPr>
          <w:lang w:val="en-CA"/>
        </w:rPr>
        <w:t>proced</w:t>
      </w:r>
      <w:r w:rsidR="0018409F" w:rsidRPr="004E1DE3">
        <w:rPr>
          <w:lang w:val="en-CA"/>
        </w:rPr>
        <w:t xml:space="preserve">ures and measures as those in </w:t>
      </w:r>
      <w:r w:rsidR="00940EDA" w:rsidRPr="004E1DE3">
        <w:rPr>
          <w:lang w:val="en-CA"/>
        </w:rPr>
        <w:t xml:space="preserve">place </w:t>
      </w:r>
      <w:r w:rsidR="0018409F" w:rsidRPr="004E1DE3">
        <w:rPr>
          <w:lang w:val="en-CA"/>
        </w:rPr>
        <w:t>since the m</w:t>
      </w:r>
      <w:r w:rsidR="00940EDA" w:rsidRPr="004E1DE3">
        <w:rPr>
          <w:lang w:val="en-CA"/>
        </w:rPr>
        <w:t xml:space="preserve">igration </w:t>
      </w:r>
      <w:r w:rsidR="0018409F" w:rsidRPr="004E1DE3">
        <w:rPr>
          <w:lang w:val="en-CA"/>
        </w:rPr>
        <w:t xml:space="preserve">of data to </w:t>
      </w:r>
      <w:r w:rsidR="00940EDA" w:rsidRPr="004E1DE3">
        <w:rPr>
          <w:lang w:val="en-CA"/>
        </w:rPr>
        <w:t xml:space="preserve">Amazon, </w:t>
      </w:r>
      <w:r w:rsidR="0018409F" w:rsidRPr="004E1DE3">
        <w:rPr>
          <w:lang w:val="en-CA"/>
        </w:rPr>
        <w:t xml:space="preserve">after the </w:t>
      </w:r>
      <w:r w:rsidR="00940EDA" w:rsidRPr="004E1DE3">
        <w:rPr>
          <w:lang w:val="en-CA"/>
        </w:rPr>
        <w:t xml:space="preserve">incident </w:t>
      </w:r>
      <w:r w:rsidR="0018409F" w:rsidRPr="004E1DE3">
        <w:rPr>
          <w:lang w:val="en-CA"/>
        </w:rPr>
        <w:t xml:space="preserve">that occurred in </w:t>
      </w:r>
      <w:r w:rsidR="00940EDA" w:rsidRPr="004E1DE3">
        <w:rPr>
          <w:lang w:val="en-CA"/>
        </w:rPr>
        <w:t xml:space="preserve">March 2019, </w:t>
      </w:r>
      <w:r w:rsidR="0018409F" w:rsidRPr="004E1DE3">
        <w:rPr>
          <w:lang w:val="en-CA"/>
        </w:rPr>
        <w:t>without correcting their deficiencies.</w:t>
      </w:r>
      <w:r>
        <w:rPr>
          <w:rStyle w:val="Appelnotedebasdep"/>
          <w:lang w:val="en-CA"/>
        </w:rPr>
        <w:footnoteReference w:id="79"/>
      </w:r>
      <w:r w:rsidR="0018409F" w:rsidRPr="004E1DE3">
        <w:rPr>
          <w:lang w:val="en-CA"/>
        </w:rPr>
        <w:t xml:space="preserve"> The </w:t>
      </w:r>
      <w:r w:rsidR="00D66B1A" w:rsidRPr="004E1DE3">
        <w:rPr>
          <w:lang w:val="en-CA"/>
        </w:rPr>
        <w:t>plaintiffs</w:t>
      </w:r>
      <w:r w:rsidR="00D66B1A">
        <w:rPr>
          <w:lang w:val="en-CA"/>
        </w:rPr>
        <w:t>’</w:t>
      </w:r>
      <w:r w:rsidR="00D66B1A" w:rsidRPr="004E1DE3">
        <w:rPr>
          <w:lang w:val="en-CA"/>
        </w:rPr>
        <w:t xml:space="preserve"> </w:t>
      </w:r>
      <w:r w:rsidR="00940EDA" w:rsidRPr="004E1DE3">
        <w:rPr>
          <w:lang w:val="en-CA"/>
        </w:rPr>
        <w:t>all</w:t>
      </w:r>
      <w:r w:rsidR="0018409F" w:rsidRPr="004E1DE3">
        <w:rPr>
          <w:lang w:val="en-CA"/>
        </w:rPr>
        <w:t>e</w:t>
      </w:r>
      <w:r w:rsidR="00940EDA" w:rsidRPr="004E1DE3">
        <w:rPr>
          <w:lang w:val="en-CA"/>
        </w:rPr>
        <w:t xml:space="preserve">gations </w:t>
      </w:r>
      <w:r w:rsidR="0018409F" w:rsidRPr="004E1DE3">
        <w:rPr>
          <w:lang w:val="en-CA"/>
        </w:rPr>
        <w:t xml:space="preserve">cannot be characterized as </w:t>
      </w:r>
      <w:r w:rsidR="00940EDA" w:rsidRPr="004E1DE3">
        <w:rPr>
          <w:lang w:val="en-CA"/>
        </w:rPr>
        <w:t>hypoth</w:t>
      </w:r>
      <w:r w:rsidR="0018409F" w:rsidRPr="004E1DE3">
        <w:rPr>
          <w:lang w:val="en-CA"/>
        </w:rPr>
        <w:t xml:space="preserve">etical or </w:t>
      </w:r>
      <w:r w:rsidR="00940EDA" w:rsidRPr="004E1DE3">
        <w:rPr>
          <w:lang w:val="en-CA"/>
        </w:rPr>
        <w:t>sp</w:t>
      </w:r>
      <w:r w:rsidR="0018409F" w:rsidRPr="004E1DE3">
        <w:rPr>
          <w:lang w:val="en-CA"/>
        </w:rPr>
        <w:t>e</w:t>
      </w:r>
      <w:r w:rsidR="00940EDA" w:rsidRPr="004E1DE3">
        <w:rPr>
          <w:lang w:val="en-CA"/>
        </w:rPr>
        <w:t>culative</w:t>
      </w:r>
      <w:r w:rsidR="0018409F" w:rsidRPr="004E1DE3">
        <w:rPr>
          <w:lang w:val="en-CA"/>
        </w:rPr>
        <w:t xml:space="preserve">, and in fact, they are not </w:t>
      </w:r>
      <w:r w:rsidR="00940EDA" w:rsidRPr="004E1DE3">
        <w:rPr>
          <w:lang w:val="en-CA"/>
        </w:rPr>
        <w:t>contest</w:t>
      </w:r>
      <w:r w:rsidR="0018409F" w:rsidRPr="004E1DE3">
        <w:rPr>
          <w:lang w:val="en-CA"/>
        </w:rPr>
        <w:t>ed</w:t>
      </w:r>
      <w:r w:rsidR="00940EDA" w:rsidRPr="004E1DE3">
        <w:rPr>
          <w:lang w:val="en-CA"/>
        </w:rPr>
        <w:t xml:space="preserve">. </w:t>
      </w:r>
    </w:p>
    <w:p w14:paraId="0DA2CE08" w14:textId="77777777" w:rsidR="00783FAD" w:rsidRPr="004E1DE3" w:rsidRDefault="00573CA9" w:rsidP="00783FAD">
      <w:pPr>
        <w:pStyle w:val="Paragrdouble"/>
        <w:tabs>
          <w:tab w:val="num" w:pos="851"/>
        </w:tabs>
        <w:spacing w:line="240" w:lineRule="auto"/>
        <w:ind w:left="0"/>
        <w:rPr>
          <w:i/>
          <w:iCs/>
          <w:lang w:val="en-CA"/>
        </w:rPr>
      </w:pPr>
      <w:r w:rsidRPr="004E1DE3">
        <w:rPr>
          <w:lang w:val="en-CA"/>
        </w:rPr>
        <w:t>Indeed, the A</w:t>
      </w:r>
      <w:r w:rsidR="00940EDA" w:rsidRPr="004E1DE3">
        <w:rPr>
          <w:lang w:val="en-CA"/>
        </w:rPr>
        <w:t>pplication all</w:t>
      </w:r>
      <w:r w:rsidRPr="004E1DE3">
        <w:rPr>
          <w:lang w:val="en-CA"/>
        </w:rPr>
        <w:t xml:space="preserve">eges that </w:t>
      </w:r>
      <w:r w:rsidR="00940EDA" w:rsidRPr="004E1DE3">
        <w:rPr>
          <w:lang w:val="en-CA"/>
        </w:rPr>
        <w:t xml:space="preserve">Capital One </w:t>
      </w:r>
      <w:r w:rsidRPr="004E1DE3">
        <w:rPr>
          <w:lang w:val="en-CA"/>
        </w:rPr>
        <w:t xml:space="preserve">and </w:t>
      </w:r>
      <w:r w:rsidR="00940EDA" w:rsidRPr="004E1DE3">
        <w:rPr>
          <w:lang w:val="en-CA"/>
        </w:rPr>
        <w:t xml:space="preserve">Amazon </w:t>
      </w:r>
      <w:r w:rsidRPr="004E1DE3">
        <w:rPr>
          <w:lang w:val="en-CA"/>
        </w:rPr>
        <w:t xml:space="preserve">did nothing, although alerted by various persons in the industry, which will have to be proven, to prevent the </w:t>
      </w:r>
      <w:r w:rsidR="00940EDA" w:rsidRPr="004E1DE3">
        <w:rPr>
          <w:lang w:val="en-CA"/>
        </w:rPr>
        <w:t>March 2019</w:t>
      </w:r>
      <w:r w:rsidRPr="004E1DE3">
        <w:rPr>
          <w:lang w:val="en-CA"/>
        </w:rPr>
        <w:t xml:space="preserve"> incident from occurring</w:t>
      </w:r>
      <w:r w:rsidR="00D826DB">
        <w:rPr>
          <w:lang w:val="en-CA"/>
        </w:rPr>
        <w:t>,</w:t>
      </w:r>
      <w:r w:rsidRPr="004E1DE3">
        <w:rPr>
          <w:lang w:val="en-CA"/>
        </w:rPr>
        <w:t xml:space="preserve"> to </w:t>
      </w:r>
      <w:r w:rsidR="00EA7805" w:rsidRPr="004E1DE3">
        <w:rPr>
          <w:lang w:val="en-CA"/>
        </w:rPr>
        <w:t>counter it</w:t>
      </w:r>
      <w:r w:rsidR="00D826DB">
        <w:rPr>
          <w:lang w:val="en-CA"/>
        </w:rPr>
        <w:t>,</w:t>
      </w:r>
      <w:r w:rsidR="00EA7805" w:rsidRPr="004E1DE3">
        <w:rPr>
          <w:lang w:val="en-CA"/>
        </w:rPr>
        <w:t xml:space="preserve"> or to avoid it happening again in the future</w:t>
      </w:r>
      <w:r w:rsidR="00940EDA" w:rsidRPr="004E1DE3">
        <w:rPr>
          <w:lang w:val="en-CA"/>
        </w:rPr>
        <w:t>.</w:t>
      </w:r>
    </w:p>
    <w:p w14:paraId="39C6CC7E" w14:textId="77777777" w:rsidR="00D108FC" w:rsidRPr="004E1DE3" w:rsidRDefault="00573CA9" w:rsidP="00D108FC">
      <w:pPr>
        <w:pStyle w:val="Paragrdouble"/>
        <w:tabs>
          <w:tab w:val="num" w:pos="851"/>
        </w:tabs>
        <w:spacing w:line="240" w:lineRule="auto"/>
        <w:ind w:left="0"/>
        <w:rPr>
          <w:lang w:val="en-CA"/>
        </w:rPr>
      </w:pPr>
      <w:r w:rsidRPr="004E1DE3">
        <w:rPr>
          <w:lang w:val="en-CA"/>
        </w:rPr>
        <w:t xml:space="preserve">This assessment must also take into account the legitimate expectations of the </w:t>
      </w:r>
      <w:r w:rsidR="005D26AA">
        <w:rPr>
          <w:lang w:val="en-CA"/>
        </w:rPr>
        <w:t xml:space="preserve">class </w:t>
      </w:r>
      <w:r w:rsidRPr="004E1DE3">
        <w:rPr>
          <w:lang w:val="en-CA"/>
        </w:rPr>
        <w:t xml:space="preserve">members towards a major financial </w:t>
      </w:r>
      <w:r w:rsidR="00940EDA" w:rsidRPr="004E1DE3">
        <w:rPr>
          <w:lang w:val="en-CA"/>
        </w:rPr>
        <w:t>institution</w:t>
      </w:r>
      <w:r w:rsidRPr="004E1DE3">
        <w:rPr>
          <w:lang w:val="en-CA"/>
        </w:rPr>
        <w:t xml:space="preserve">, </w:t>
      </w:r>
      <w:r w:rsidR="00DA679A">
        <w:rPr>
          <w:lang w:val="en-CA"/>
        </w:rPr>
        <w:t xml:space="preserve">the </w:t>
      </w:r>
      <w:r w:rsidRPr="004E1DE3">
        <w:rPr>
          <w:lang w:val="en-CA"/>
        </w:rPr>
        <w:t>re</w:t>
      </w:r>
      <w:r w:rsidR="00940EDA" w:rsidRPr="004E1DE3">
        <w:rPr>
          <w:lang w:val="en-CA"/>
        </w:rPr>
        <w:t xml:space="preserve">putation </w:t>
      </w:r>
      <w:r w:rsidR="00DA679A">
        <w:rPr>
          <w:lang w:val="en-CA"/>
        </w:rPr>
        <w:t xml:space="preserve">of which </w:t>
      </w:r>
      <w:r w:rsidRPr="004E1DE3">
        <w:rPr>
          <w:lang w:val="en-CA"/>
        </w:rPr>
        <w:t xml:space="preserve">is often measured against its </w:t>
      </w:r>
      <w:r w:rsidR="00940EDA" w:rsidRPr="004E1DE3">
        <w:rPr>
          <w:lang w:val="en-CA"/>
        </w:rPr>
        <w:t>discr</w:t>
      </w:r>
      <w:r w:rsidRPr="004E1DE3">
        <w:rPr>
          <w:lang w:val="en-CA"/>
        </w:rPr>
        <w:t>e</w:t>
      </w:r>
      <w:r w:rsidR="00940EDA" w:rsidRPr="004E1DE3">
        <w:rPr>
          <w:lang w:val="en-CA"/>
        </w:rPr>
        <w:t xml:space="preserve">tion, </w:t>
      </w:r>
      <w:r w:rsidRPr="004E1DE3">
        <w:rPr>
          <w:lang w:val="en-CA"/>
        </w:rPr>
        <w:t>reserve,</w:t>
      </w:r>
      <w:r w:rsidR="00940EDA" w:rsidRPr="004E1DE3">
        <w:rPr>
          <w:lang w:val="en-CA"/>
        </w:rPr>
        <w:t xml:space="preserve"> prudence</w:t>
      </w:r>
      <w:r w:rsidRPr="004E1DE3">
        <w:rPr>
          <w:lang w:val="en-CA"/>
        </w:rPr>
        <w:t xml:space="preserve">, and its </w:t>
      </w:r>
      <w:r w:rsidR="003B2853" w:rsidRPr="004E1DE3">
        <w:rPr>
          <w:lang w:val="en-CA"/>
        </w:rPr>
        <w:t xml:space="preserve">absolute compliance with </w:t>
      </w:r>
      <w:r w:rsidR="00940EDA" w:rsidRPr="004E1DE3">
        <w:rPr>
          <w:lang w:val="en-CA"/>
        </w:rPr>
        <w:t>confidentialit</w:t>
      </w:r>
      <w:r w:rsidR="003B2853" w:rsidRPr="004E1DE3">
        <w:rPr>
          <w:lang w:val="en-CA"/>
        </w:rPr>
        <w:t>y</w:t>
      </w:r>
      <w:r w:rsidR="00940EDA" w:rsidRPr="004E1DE3">
        <w:rPr>
          <w:lang w:val="en-CA"/>
        </w:rPr>
        <w:t>.</w:t>
      </w:r>
    </w:p>
    <w:p w14:paraId="1A9FD179" w14:textId="77777777" w:rsidR="00783FAD" w:rsidRPr="004E1DE3" w:rsidRDefault="00573CA9" w:rsidP="00783FAD">
      <w:pPr>
        <w:pStyle w:val="Paragrdouble"/>
        <w:tabs>
          <w:tab w:val="num" w:pos="851"/>
        </w:tabs>
        <w:spacing w:line="240" w:lineRule="auto"/>
        <w:ind w:left="0"/>
        <w:rPr>
          <w:lang w:val="en-CA"/>
        </w:rPr>
      </w:pPr>
      <w:r w:rsidRPr="004E1DE3">
        <w:rPr>
          <w:lang w:val="en-CA"/>
        </w:rPr>
        <w:t>T</w:t>
      </w:r>
      <w:r w:rsidR="003B2853" w:rsidRPr="004E1DE3">
        <w:rPr>
          <w:lang w:val="en-CA"/>
        </w:rPr>
        <w:t xml:space="preserve">his </w:t>
      </w:r>
      <w:r w:rsidRPr="004E1DE3">
        <w:rPr>
          <w:lang w:val="en-CA"/>
        </w:rPr>
        <w:t xml:space="preserve">is the </w:t>
      </w:r>
      <w:r w:rsidR="003B2853" w:rsidRPr="004E1DE3">
        <w:rPr>
          <w:lang w:val="en-CA"/>
        </w:rPr>
        <w:t>conduct</w:t>
      </w:r>
      <w:r w:rsidRPr="004E1DE3">
        <w:rPr>
          <w:lang w:val="en-CA"/>
        </w:rPr>
        <w:t xml:space="preserve"> revealed</w:t>
      </w:r>
      <w:r w:rsidR="003B2853" w:rsidRPr="004E1DE3">
        <w:rPr>
          <w:lang w:val="en-CA"/>
        </w:rPr>
        <w:t xml:space="preserve">, at least on a </w:t>
      </w:r>
      <w:r w:rsidR="00F535AF" w:rsidRPr="004E1DE3">
        <w:rPr>
          <w:i/>
          <w:iCs/>
          <w:lang w:val="en-CA"/>
        </w:rPr>
        <w:t>prima facie</w:t>
      </w:r>
      <w:r w:rsidR="003B2853" w:rsidRPr="004E1DE3">
        <w:rPr>
          <w:i/>
          <w:iCs/>
          <w:lang w:val="en-CA"/>
        </w:rPr>
        <w:t xml:space="preserve"> </w:t>
      </w:r>
      <w:r w:rsidR="003B2853" w:rsidRPr="004E1DE3">
        <w:rPr>
          <w:lang w:val="en-CA"/>
        </w:rPr>
        <w:t>basis</w:t>
      </w:r>
      <w:r w:rsidR="00F535AF" w:rsidRPr="004E1DE3">
        <w:rPr>
          <w:i/>
          <w:iCs/>
          <w:lang w:val="en-CA"/>
        </w:rPr>
        <w:t>,</w:t>
      </w:r>
      <w:r w:rsidR="00940EDA" w:rsidRPr="004E1DE3">
        <w:rPr>
          <w:lang w:val="en-CA"/>
        </w:rPr>
        <w:t xml:space="preserve"> </w:t>
      </w:r>
      <w:r w:rsidR="003B2853" w:rsidRPr="004E1DE3">
        <w:rPr>
          <w:lang w:val="en-CA"/>
        </w:rPr>
        <w:t xml:space="preserve">by </w:t>
      </w:r>
      <w:r w:rsidR="00940EDA" w:rsidRPr="004E1DE3">
        <w:rPr>
          <w:lang w:val="en-CA"/>
        </w:rPr>
        <w:t>Capital One</w:t>
      </w:r>
      <w:r w:rsidR="003B2853" w:rsidRPr="004E1DE3">
        <w:rPr>
          <w:lang w:val="en-CA"/>
        </w:rPr>
        <w:t xml:space="preserve">, with whom the </w:t>
      </w:r>
      <w:r w:rsidR="005D26AA">
        <w:rPr>
          <w:lang w:val="en-CA"/>
        </w:rPr>
        <w:t xml:space="preserve">class </w:t>
      </w:r>
      <w:r w:rsidR="003B2853" w:rsidRPr="004E1DE3">
        <w:rPr>
          <w:lang w:val="en-CA"/>
        </w:rPr>
        <w:t>members dealt with</w:t>
      </w:r>
      <w:r w:rsidR="00940EDA" w:rsidRPr="004E1DE3">
        <w:rPr>
          <w:lang w:val="en-CA"/>
        </w:rPr>
        <w:t xml:space="preserve">, </w:t>
      </w:r>
      <w:r w:rsidRPr="004E1DE3">
        <w:rPr>
          <w:lang w:val="en-CA"/>
        </w:rPr>
        <w:t xml:space="preserve">such that in the Court’s view, the </w:t>
      </w:r>
      <w:r w:rsidR="00940EDA" w:rsidRPr="004E1DE3">
        <w:rPr>
          <w:lang w:val="en-CA"/>
        </w:rPr>
        <w:t>all</w:t>
      </w:r>
      <w:r w:rsidRPr="004E1DE3">
        <w:rPr>
          <w:lang w:val="en-CA"/>
        </w:rPr>
        <w:t>e</w:t>
      </w:r>
      <w:r w:rsidR="00940EDA" w:rsidRPr="004E1DE3">
        <w:rPr>
          <w:lang w:val="en-CA"/>
        </w:rPr>
        <w:t xml:space="preserve">gations </w:t>
      </w:r>
      <w:r w:rsidRPr="004E1DE3">
        <w:rPr>
          <w:lang w:val="en-CA"/>
        </w:rPr>
        <w:t>in the A</w:t>
      </w:r>
      <w:r w:rsidR="00940EDA" w:rsidRPr="004E1DE3">
        <w:rPr>
          <w:lang w:val="en-CA"/>
        </w:rPr>
        <w:t>pplication</w:t>
      </w:r>
      <w:r w:rsidRPr="004E1DE3">
        <w:rPr>
          <w:lang w:val="en-CA"/>
        </w:rPr>
        <w:t xml:space="preserve"> may give rise to an award to the </w:t>
      </w:r>
      <w:r w:rsidR="005D26AA">
        <w:rPr>
          <w:lang w:val="en-CA"/>
        </w:rPr>
        <w:t xml:space="preserve">class </w:t>
      </w:r>
      <w:r w:rsidRPr="004E1DE3">
        <w:rPr>
          <w:lang w:val="en-CA"/>
        </w:rPr>
        <w:t xml:space="preserve">members of </w:t>
      </w:r>
      <w:r w:rsidR="00940EDA" w:rsidRPr="004E1DE3">
        <w:rPr>
          <w:lang w:val="en-CA"/>
        </w:rPr>
        <w:t>punitive</w:t>
      </w:r>
      <w:r w:rsidRPr="004E1DE3">
        <w:rPr>
          <w:lang w:val="en-CA"/>
        </w:rPr>
        <w:t xml:space="preserve"> </w:t>
      </w:r>
      <w:r w:rsidR="00940EDA" w:rsidRPr="004E1DE3">
        <w:rPr>
          <w:lang w:val="en-CA"/>
        </w:rPr>
        <w:t>damages payable</w:t>
      </w:r>
      <w:r w:rsidRPr="004E1DE3">
        <w:rPr>
          <w:lang w:val="en-CA"/>
        </w:rPr>
        <w:t xml:space="preserve"> by </w:t>
      </w:r>
      <w:r w:rsidR="00940EDA" w:rsidRPr="004E1DE3">
        <w:rPr>
          <w:lang w:val="en-CA"/>
        </w:rPr>
        <w:t xml:space="preserve">Capital One </w:t>
      </w:r>
      <w:r w:rsidRPr="004E1DE3">
        <w:rPr>
          <w:lang w:val="en-CA"/>
        </w:rPr>
        <w:t xml:space="preserve">under </w:t>
      </w:r>
      <w:r w:rsidR="00940EDA" w:rsidRPr="004E1DE3">
        <w:rPr>
          <w:lang w:val="en-CA"/>
        </w:rPr>
        <w:t xml:space="preserve">sections 5 </w:t>
      </w:r>
      <w:r w:rsidRPr="004E1DE3">
        <w:rPr>
          <w:lang w:val="en-CA"/>
        </w:rPr>
        <w:t>and</w:t>
      </w:r>
      <w:r w:rsidR="00940EDA" w:rsidRPr="004E1DE3">
        <w:rPr>
          <w:lang w:val="en-CA"/>
        </w:rPr>
        <w:t xml:space="preserve"> 49 </w:t>
      </w:r>
      <w:r w:rsidRPr="004E1DE3">
        <w:rPr>
          <w:lang w:val="en-CA"/>
        </w:rPr>
        <w:t xml:space="preserve">of the </w:t>
      </w:r>
      <w:r w:rsidR="00940EDA" w:rsidRPr="004E1DE3">
        <w:rPr>
          <w:i/>
          <w:iCs/>
          <w:lang w:val="en-CA"/>
        </w:rPr>
        <w:t>Charter</w:t>
      </w:r>
      <w:r w:rsidR="00940EDA" w:rsidRPr="004E1DE3">
        <w:rPr>
          <w:lang w:val="en-CA"/>
        </w:rPr>
        <w:t>.</w:t>
      </w:r>
    </w:p>
    <w:p w14:paraId="0033BE51" w14:textId="77777777" w:rsidR="000972A6" w:rsidRPr="004E1DE3" w:rsidRDefault="00573CA9" w:rsidP="007D1A3F">
      <w:pPr>
        <w:pStyle w:val="Paragrdouble"/>
        <w:tabs>
          <w:tab w:val="num" w:pos="851"/>
        </w:tabs>
        <w:spacing w:line="240" w:lineRule="auto"/>
        <w:ind w:left="0"/>
        <w:rPr>
          <w:lang w:val="en-CA"/>
        </w:rPr>
      </w:pPr>
      <w:r w:rsidRPr="004E1DE3">
        <w:rPr>
          <w:lang w:val="en-CA"/>
        </w:rPr>
        <w:t xml:space="preserve">However, </w:t>
      </w:r>
      <w:r w:rsidR="00940EDA" w:rsidRPr="004E1DE3">
        <w:rPr>
          <w:lang w:val="en-CA"/>
        </w:rPr>
        <w:t>the</w:t>
      </w:r>
      <w:r w:rsidRPr="004E1DE3">
        <w:rPr>
          <w:lang w:val="en-CA"/>
        </w:rPr>
        <w:t xml:space="preserve"> </w:t>
      </w:r>
      <w:r w:rsidR="00940EDA" w:rsidRPr="004E1DE3">
        <w:rPr>
          <w:lang w:val="en-CA"/>
        </w:rPr>
        <w:t>Court</w:t>
      </w:r>
      <w:r w:rsidRPr="004E1DE3">
        <w:rPr>
          <w:lang w:val="en-CA"/>
        </w:rPr>
        <w:t xml:space="preserve"> cannot draw such </w:t>
      </w:r>
      <w:r w:rsidR="00940EDA" w:rsidRPr="004E1DE3">
        <w:rPr>
          <w:lang w:val="en-CA"/>
        </w:rPr>
        <w:t xml:space="preserve">conclusions </w:t>
      </w:r>
      <w:r w:rsidRPr="004E1DE3">
        <w:rPr>
          <w:lang w:val="en-CA"/>
        </w:rPr>
        <w:t xml:space="preserve">on </w:t>
      </w:r>
      <w:r w:rsidR="00940EDA" w:rsidRPr="004E1DE3">
        <w:rPr>
          <w:lang w:val="en-CA"/>
        </w:rPr>
        <w:t>Amazon</w:t>
      </w:r>
      <w:r w:rsidRPr="004E1DE3">
        <w:rPr>
          <w:lang w:val="en-CA"/>
        </w:rPr>
        <w:t xml:space="preserve">’s conduct in this case due to its particular </w:t>
      </w:r>
      <w:r w:rsidR="00940EDA" w:rsidRPr="004E1DE3">
        <w:rPr>
          <w:lang w:val="en-CA"/>
        </w:rPr>
        <w:t xml:space="preserve">situation vis-à-vis </w:t>
      </w:r>
      <w:r w:rsidRPr="004E1DE3">
        <w:rPr>
          <w:lang w:val="en-CA"/>
        </w:rPr>
        <w:t>the</w:t>
      </w:r>
      <w:r w:rsidR="00940EDA" w:rsidRPr="004E1DE3">
        <w:rPr>
          <w:lang w:val="en-CA"/>
        </w:rPr>
        <w:t xml:space="preserve"> </w:t>
      </w:r>
      <w:r w:rsidR="005D26AA">
        <w:rPr>
          <w:lang w:val="en-CA"/>
        </w:rPr>
        <w:t xml:space="preserve">class </w:t>
      </w:r>
      <w:r w:rsidR="00940EDA" w:rsidRPr="004E1DE3">
        <w:rPr>
          <w:lang w:val="en-CA"/>
        </w:rPr>
        <w:t>memb</w:t>
      </w:r>
      <w:r w:rsidRPr="004E1DE3">
        <w:rPr>
          <w:lang w:val="en-CA"/>
        </w:rPr>
        <w:t>e</w:t>
      </w:r>
      <w:r w:rsidR="00940EDA" w:rsidRPr="004E1DE3">
        <w:rPr>
          <w:lang w:val="en-CA"/>
        </w:rPr>
        <w:t>rs.</w:t>
      </w:r>
    </w:p>
    <w:p w14:paraId="5C18D51C" w14:textId="77777777" w:rsidR="0001780A" w:rsidRPr="004E1DE3" w:rsidRDefault="00573CA9" w:rsidP="007D1A3F">
      <w:pPr>
        <w:pStyle w:val="Paragrdouble"/>
        <w:tabs>
          <w:tab w:val="num" w:pos="851"/>
        </w:tabs>
        <w:spacing w:line="240" w:lineRule="auto"/>
        <w:ind w:left="0"/>
        <w:rPr>
          <w:lang w:val="en-CA"/>
        </w:rPr>
      </w:pPr>
      <w:r w:rsidRPr="004E1DE3">
        <w:rPr>
          <w:lang w:val="en-CA"/>
        </w:rPr>
        <w:t xml:space="preserve">Indeed, </w:t>
      </w:r>
      <w:r w:rsidR="00940EDA" w:rsidRPr="004E1DE3">
        <w:rPr>
          <w:lang w:val="en-CA"/>
        </w:rPr>
        <w:t>Amazon cert</w:t>
      </w:r>
      <w:r w:rsidR="00B57047" w:rsidRPr="004E1DE3">
        <w:rPr>
          <w:lang w:val="en-CA"/>
        </w:rPr>
        <w:t xml:space="preserve">ainly made public </w:t>
      </w:r>
      <w:r w:rsidR="00940EDA" w:rsidRPr="004E1DE3">
        <w:rPr>
          <w:lang w:val="en-CA"/>
        </w:rPr>
        <w:t>repr</w:t>
      </w:r>
      <w:r w:rsidR="00B57047" w:rsidRPr="004E1DE3">
        <w:rPr>
          <w:lang w:val="en-CA"/>
        </w:rPr>
        <w:t>e</w:t>
      </w:r>
      <w:r w:rsidR="00940EDA" w:rsidRPr="004E1DE3">
        <w:rPr>
          <w:lang w:val="en-CA"/>
        </w:rPr>
        <w:t xml:space="preserve">sentations </w:t>
      </w:r>
      <w:r w:rsidR="00B57047" w:rsidRPr="004E1DE3">
        <w:rPr>
          <w:lang w:val="en-CA"/>
        </w:rPr>
        <w:t xml:space="preserve">on the </w:t>
      </w:r>
      <w:r w:rsidR="00940EDA" w:rsidRPr="004E1DE3">
        <w:rPr>
          <w:lang w:val="en-CA"/>
        </w:rPr>
        <w:t xml:space="preserve">protection </w:t>
      </w:r>
      <w:r w:rsidR="00B57047" w:rsidRPr="004E1DE3">
        <w:rPr>
          <w:lang w:val="en-CA"/>
        </w:rPr>
        <w:t xml:space="preserve">of </w:t>
      </w:r>
      <w:r w:rsidR="00940EDA" w:rsidRPr="004E1DE3">
        <w:rPr>
          <w:lang w:val="en-CA"/>
        </w:rPr>
        <w:t>personal</w:t>
      </w:r>
      <w:r w:rsidR="00B57047" w:rsidRPr="004E1DE3">
        <w:rPr>
          <w:lang w:val="en-CA"/>
        </w:rPr>
        <w:t xml:space="preserve"> </w:t>
      </w:r>
      <w:r w:rsidR="00356BBE" w:rsidRPr="004E1DE3">
        <w:rPr>
          <w:lang w:val="en-CA"/>
        </w:rPr>
        <w:t>information</w:t>
      </w:r>
      <w:r w:rsidR="00940EDA" w:rsidRPr="004E1DE3">
        <w:rPr>
          <w:lang w:val="en-CA"/>
        </w:rPr>
        <w:t xml:space="preserve"> </w:t>
      </w:r>
      <w:r w:rsidR="00B57047" w:rsidRPr="004E1DE3">
        <w:rPr>
          <w:lang w:val="en-CA"/>
        </w:rPr>
        <w:t xml:space="preserve">and </w:t>
      </w:r>
      <w:r w:rsidR="00940EDA" w:rsidRPr="004E1DE3">
        <w:rPr>
          <w:lang w:val="en-CA"/>
        </w:rPr>
        <w:t xml:space="preserve">respect </w:t>
      </w:r>
      <w:r w:rsidR="00B57047" w:rsidRPr="004E1DE3">
        <w:rPr>
          <w:lang w:val="en-CA"/>
        </w:rPr>
        <w:t xml:space="preserve">for </w:t>
      </w:r>
      <w:r w:rsidR="00940EDA" w:rsidRPr="004E1DE3">
        <w:rPr>
          <w:lang w:val="en-CA"/>
        </w:rPr>
        <w:t>privacy</w:t>
      </w:r>
      <w:r w:rsidR="00B57047" w:rsidRPr="004E1DE3">
        <w:rPr>
          <w:lang w:val="en-CA"/>
        </w:rPr>
        <w:t xml:space="preserve"> in </w:t>
      </w:r>
      <w:r w:rsidR="00940EDA" w:rsidRPr="004E1DE3">
        <w:rPr>
          <w:lang w:val="en-CA"/>
        </w:rPr>
        <w:t xml:space="preserve">Canada </w:t>
      </w:r>
      <w:r w:rsidR="00B57047" w:rsidRPr="004E1DE3">
        <w:rPr>
          <w:lang w:val="en-CA"/>
        </w:rPr>
        <w:t xml:space="preserve">pursuant to the </w:t>
      </w:r>
      <w:r w:rsidR="00940EDA" w:rsidRPr="004E1DE3">
        <w:rPr>
          <w:lang w:val="en-CA"/>
        </w:rPr>
        <w:t>legislation</w:t>
      </w:r>
      <w:r w:rsidR="00B57047" w:rsidRPr="004E1DE3">
        <w:rPr>
          <w:lang w:val="en-CA"/>
        </w:rPr>
        <w:t xml:space="preserve"> </w:t>
      </w:r>
      <w:r w:rsidR="00940EDA" w:rsidRPr="004E1DE3">
        <w:rPr>
          <w:lang w:val="en-CA"/>
        </w:rPr>
        <w:t>applicable</w:t>
      </w:r>
      <w:r w:rsidR="00B57047" w:rsidRPr="004E1DE3">
        <w:rPr>
          <w:lang w:val="en-CA"/>
        </w:rPr>
        <w:t xml:space="preserve"> to it, but it is not the one who sought out this </w:t>
      </w:r>
      <w:r w:rsidR="00940EDA" w:rsidRPr="004E1DE3">
        <w:rPr>
          <w:lang w:val="en-CA"/>
        </w:rPr>
        <w:t>client</w:t>
      </w:r>
      <w:r w:rsidR="003B3727" w:rsidRPr="004E1DE3">
        <w:rPr>
          <w:lang w:val="en-CA"/>
        </w:rPr>
        <w:t>e</w:t>
      </w:r>
      <w:r w:rsidR="00940EDA" w:rsidRPr="004E1DE3">
        <w:rPr>
          <w:lang w:val="en-CA"/>
        </w:rPr>
        <w:t>le</w:t>
      </w:r>
      <w:r w:rsidR="00724F09" w:rsidRPr="004E1DE3">
        <w:rPr>
          <w:lang w:val="en-CA"/>
        </w:rPr>
        <w:t>,</w:t>
      </w:r>
      <w:r w:rsidR="003B3727" w:rsidRPr="004E1DE3">
        <w:rPr>
          <w:lang w:val="en-CA"/>
        </w:rPr>
        <w:t xml:space="preserve"> </w:t>
      </w:r>
      <w:r w:rsidR="00940EDA" w:rsidRPr="004E1DE3">
        <w:rPr>
          <w:lang w:val="en-CA"/>
        </w:rPr>
        <w:t>contract</w:t>
      </w:r>
      <w:r w:rsidR="00724F09" w:rsidRPr="004E1DE3">
        <w:rPr>
          <w:lang w:val="en-CA"/>
        </w:rPr>
        <w:t xml:space="preserve">ed with the members, or collected this </w:t>
      </w:r>
      <w:r w:rsidR="00940EDA" w:rsidRPr="004E1DE3">
        <w:rPr>
          <w:lang w:val="en-CA"/>
        </w:rPr>
        <w:t>personal</w:t>
      </w:r>
      <w:r w:rsidR="00724F09" w:rsidRPr="004E1DE3">
        <w:rPr>
          <w:lang w:val="en-CA"/>
        </w:rPr>
        <w:t xml:space="preserve"> </w:t>
      </w:r>
      <w:r w:rsidR="00940EDA" w:rsidRPr="004E1DE3">
        <w:rPr>
          <w:lang w:val="en-CA"/>
        </w:rPr>
        <w:t>information</w:t>
      </w:r>
      <w:r w:rsidR="00724F09" w:rsidRPr="004E1DE3">
        <w:rPr>
          <w:lang w:val="en-CA"/>
        </w:rPr>
        <w:t xml:space="preserve"> from them</w:t>
      </w:r>
      <w:r w:rsidR="00940EDA" w:rsidRPr="004E1DE3">
        <w:rPr>
          <w:lang w:val="en-CA"/>
        </w:rPr>
        <w:t>.</w:t>
      </w:r>
    </w:p>
    <w:p w14:paraId="3FB4690B" w14:textId="77777777" w:rsidR="00D108FC" w:rsidRPr="004E1DE3" w:rsidRDefault="00573CA9" w:rsidP="007D1A3F">
      <w:pPr>
        <w:pStyle w:val="Paragrdouble"/>
        <w:tabs>
          <w:tab w:val="num" w:pos="851"/>
        </w:tabs>
        <w:spacing w:line="240" w:lineRule="auto"/>
        <w:ind w:left="0"/>
        <w:rPr>
          <w:lang w:val="en-CA"/>
        </w:rPr>
      </w:pPr>
      <w:r w:rsidRPr="004E1DE3">
        <w:rPr>
          <w:lang w:val="en-CA"/>
        </w:rPr>
        <w:lastRenderedPageBreak/>
        <w:t xml:space="preserve">According to the information available on its website, </w:t>
      </w:r>
      <w:r w:rsidR="00940EDA" w:rsidRPr="004E1DE3">
        <w:rPr>
          <w:lang w:val="en-CA"/>
        </w:rPr>
        <w:t>Amazon</w:t>
      </w:r>
      <w:r w:rsidRPr="004E1DE3">
        <w:rPr>
          <w:lang w:val="en-CA"/>
        </w:rPr>
        <w:t xml:space="preserve"> is a service business that offers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hosting to the public</w:t>
      </w:r>
      <w:r w:rsidR="00940EDA" w:rsidRPr="004E1DE3">
        <w:rPr>
          <w:lang w:val="en-CA"/>
        </w:rPr>
        <w:t>.</w:t>
      </w:r>
    </w:p>
    <w:p w14:paraId="072E9302" w14:textId="77777777" w:rsidR="00F7672F" w:rsidRPr="004E1DE3" w:rsidRDefault="00573CA9" w:rsidP="007D1A3F">
      <w:pPr>
        <w:pStyle w:val="Paragrdouble"/>
        <w:tabs>
          <w:tab w:val="num" w:pos="851"/>
        </w:tabs>
        <w:spacing w:line="240" w:lineRule="auto"/>
        <w:ind w:left="0"/>
        <w:rPr>
          <w:lang w:val="en-CA"/>
        </w:rPr>
      </w:pPr>
      <w:r w:rsidRPr="004E1DE3">
        <w:rPr>
          <w:lang w:val="en-CA"/>
        </w:rPr>
        <w:t xml:space="preserve">Its conduct in this case cannot be analyzed using the same </w:t>
      </w:r>
      <w:r w:rsidR="0001780A" w:rsidRPr="004E1DE3">
        <w:rPr>
          <w:lang w:val="en-CA"/>
        </w:rPr>
        <w:t xml:space="preserve">standards </w:t>
      </w:r>
      <w:r w:rsidRPr="004E1DE3">
        <w:rPr>
          <w:lang w:val="en-CA"/>
        </w:rPr>
        <w:t xml:space="preserve">as those considered generally </w:t>
      </w:r>
      <w:r w:rsidR="0001780A" w:rsidRPr="004E1DE3">
        <w:rPr>
          <w:lang w:val="en-CA"/>
        </w:rPr>
        <w:t>applicable</w:t>
      </w:r>
      <w:r w:rsidRPr="004E1DE3">
        <w:rPr>
          <w:lang w:val="en-CA"/>
        </w:rPr>
        <w:t xml:space="preserve"> to a financial </w:t>
      </w:r>
      <w:r w:rsidR="0001780A" w:rsidRPr="004E1DE3">
        <w:rPr>
          <w:lang w:val="en-CA"/>
        </w:rPr>
        <w:t>institution</w:t>
      </w:r>
      <w:r w:rsidRPr="004E1DE3">
        <w:rPr>
          <w:lang w:val="en-CA"/>
        </w:rPr>
        <w:t xml:space="preserve"> like </w:t>
      </w:r>
      <w:r w:rsidR="0001780A" w:rsidRPr="004E1DE3">
        <w:rPr>
          <w:lang w:val="en-CA"/>
        </w:rPr>
        <w:t>Capital One.</w:t>
      </w:r>
    </w:p>
    <w:p w14:paraId="20CA5632" w14:textId="77777777" w:rsidR="004A4C4D" w:rsidRPr="004E1DE3" w:rsidRDefault="00573CA9" w:rsidP="004A4C4D">
      <w:pPr>
        <w:pStyle w:val="Paragrdouble"/>
        <w:tabs>
          <w:tab w:val="num" w:pos="851"/>
        </w:tabs>
        <w:spacing w:line="240" w:lineRule="auto"/>
        <w:ind w:left="0"/>
        <w:rPr>
          <w:lang w:val="en-CA"/>
        </w:rPr>
      </w:pPr>
      <w:r w:rsidRPr="004E1DE3">
        <w:rPr>
          <w:lang w:val="en-CA"/>
        </w:rPr>
        <w:t xml:space="preserve">As for the </w:t>
      </w:r>
      <w:r w:rsidR="00940EDA" w:rsidRPr="004E1DE3">
        <w:rPr>
          <w:lang w:val="en-CA"/>
        </w:rPr>
        <w:t>application</w:t>
      </w:r>
      <w:r w:rsidRPr="004E1DE3">
        <w:rPr>
          <w:lang w:val="en-CA"/>
        </w:rPr>
        <w:t xml:space="preserve"> of section </w:t>
      </w:r>
      <w:r w:rsidR="00940EDA" w:rsidRPr="004E1DE3">
        <w:rPr>
          <w:lang w:val="en-CA"/>
        </w:rPr>
        <w:t xml:space="preserve">272 </w:t>
      </w:r>
      <w:r w:rsidRPr="004E1DE3">
        <w:rPr>
          <w:i/>
          <w:iCs/>
          <w:lang w:val="en-CA"/>
        </w:rPr>
        <w:t>CPA</w:t>
      </w:r>
      <w:r w:rsidR="00940EDA" w:rsidRPr="004E1DE3">
        <w:rPr>
          <w:lang w:val="en-CA"/>
        </w:rPr>
        <w:t xml:space="preserve">, </w:t>
      </w:r>
      <w:r w:rsidRPr="004E1DE3">
        <w:rPr>
          <w:lang w:val="en-CA"/>
        </w:rPr>
        <w:t xml:space="preserve">the </w:t>
      </w:r>
      <w:r w:rsidR="00940EDA" w:rsidRPr="004E1DE3">
        <w:rPr>
          <w:lang w:val="en-CA"/>
        </w:rPr>
        <w:t>defendants</w:t>
      </w:r>
      <w:r w:rsidRPr="004E1DE3">
        <w:rPr>
          <w:lang w:val="en-CA"/>
        </w:rPr>
        <w:t xml:space="preserve"> right</w:t>
      </w:r>
      <w:r w:rsidR="00DA679A">
        <w:rPr>
          <w:lang w:val="en-CA"/>
        </w:rPr>
        <w:t>ly</w:t>
      </w:r>
      <w:r w:rsidRPr="004E1DE3">
        <w:rPr>
          <w:lang w:val="en-CA"/>
        </w:rPr>
        <w:t xml:space="preserve"> submit that the plaintiffs do not meet the fourth criterion </w:t>
      </w:r>
      <w:r w:rsidR="008D1DD8" w:rsidRPr="004E1DE3">
        <w:rPr>
          <w:lang w:val="en-CA"/>
        </w:rPr>
        <w:t xml:space="preserve">of the analytical framework regarding the application of the </w:t>
      </w:r>
      <w:r w:rsidR="008D1DD8" w:rsidRPr="004E1DE3">
        <w:rPr>
          <w:i/>
          <w:iCs/>
          <w:lang w:val="en-CA"/>
        </w:rPr>
        <w:t>CPA</w:t>
      </w:r>
      <w:r w:rsidR="008D1DD8" w:rsidRPr="004E1DE3">
        <w:rPr>
          <w:lang w:val="en-CA"/>
        </w:rPr>
        <w:t xml:space="preserve"> </w:t>
      </w:r>
      <w:r w:rsidRPr="004E1DE3">
        <w:rPr>
          <w:lang w:val="en-CA"/>
        </w:rPr>
        <w:t xml:space="preserve">set out by </w:t>
      </w:r>
      <w:r w:rsidR="00940EDA" w:rsidRPr="004E1DE3">
        <w:rPr>
          <w:lang w:val="en-CA"/>
        </w:rPr>
        <w:t>the</w:t>
      </w:r>
      <w:r w:rsidRPr="004E1DE3">
        <w:rPr>
          <w:lang w:val="en-CA"/>
        </w:rPr>
        <w:t xml:space="preserve"> </w:t>
      </w:r>
      <w:r w:rsidR="00940EDA" w:rsidRPr="004E1DE3">
        <w:rPr>
          <w:lang w:val="en-CA"/>
        </w:rPr>
        <w:t>Supreme</w:t>
      </w:r>
      <w:r w:rsidRPr="004E1DE3">
        <w:rPr>
          <w:lang w:val="en-CA"/>
        </w:rPr>
        <w:t xml:space="preserve"> </w:t>
      </w:r>
      <w:r w:rsidR="00940EDA" w:rsidRPr="004E1DE3">
        <w:rPr>
          <w:lang w:val="en-CA"/>
        </w:rPr>
        <w:t>Court</w:t>
      </w:r>
      <w:r w:rsidRPr="004E1DE3">
        <w:rPr>
          <w:lang w:val="en-CA"/>
        </w:rPr>
        <w:t xml:space="preserve"> in </w:t>
      </w:r>
      <w:r w:rsidR="009820BB" w:rsidRPr="004E1DE3">
        <w:rPr>
          <w:i/>
          <w:iCs/>
          <w:lang w:val="en-CA"/>
        </w:rPr>
        <w:t>Richard</w:t>
      </w:r>
      <w:r w:rsidR="008D1DD8" w:rsidRPr="004E1DE3">
        <w:rPr>
          <w:i/>
          <w:iCs/>
          <w:lang w:val="en-CA"/>
        </w:rPr>
        <w:t xml:space="preserve"> v. </w:t>
      </w:r>
      <w:r w:rsidR="009820BB" w:rsidRPr="004E1DE3">
        <w:rPr>
          <w:i/>
          <w:iCs/>
          <w:lang w:val="en-CA"/>
        </w:rPr>
        <w:t xml:space="preserve">Time </w:t>
      </w:r>
      <w:r w:rsidR="008D1DD8" w:rsidRPr="004E1DE3">
        <w:rPr>
          <w:i/>
          <w:iCs/>
          <w:lang w:val="en-CA"/>
        </w:rPr>
        <w:t>I</w:t>
      </w:r>
      <w:r w:rsidR="009820BB" w:rsidRPr="004E1DE3">
        <w:rPr>
          <w:i/>
          <w:iCs/>
          <w:lang w:val="en-CA"/>
        </w:rPr>
        <w:t>nc</w:t>
      </w:r>
      <w:r w:rsidR="009820BB" w:rsidRPr="004E1DE3">
        <w:rPr>
          <w:lang w:val="en-CA"/>
        </w:rPr>
        <w:t>.</w:t>
      </w:r>
      <w:r w:rsidR="008D1DD8" w:rsidRPr="004E1DE3">
        <w:rPr>
          <w:lang w:val="en-CA"/>
        </w:rPr>
        <w:t>,</w:t>
      </w:r>
      <w:r>
        <w:rPr>
          <w:rStyle w:val="Appelnotedebasdep"/>
          <w:lang w:val="en-CA"/>
        </w:rPr>
        <w:footnoteReference w:id="80"/>
      </w:r>
      <w:r w:rsidR="008D1DD8" w:rsidRPr="004E1DE3">
        <w:rPr>
          <w:lang w:val="en-CA"/>
        </w:rPr>
        <w:t xml:space="preserve"> discussed above</w:t>
      </w:r>
      <w:r w:rsidR="00BA0321" w:rsidRPr="004E1DE3">
        <w:rPr>
          <w:lang w:val="en-CA"/>
        </w:rPr>
        <w:t xml:space="preserve">, </w:t>
      </w:r>
      <w:r w:rsidR="008D1DD8" w:rsidRPr="004E1DE3">
        <w:rPr>
          <w:lang w:val="en-CA"/>
        </w:rPr>
        <w:t xml:space="preserve">due to the </w:t>
      </w:r>
      <w:r w:rsidR="00BA0321" w:rsidRPr="004E1DE3">
        <w:rPr>
          <w:lang w:val="en-CA"/>
        </w:rPr>
        <w:t xml:space="preserve">absence </w:t>
      </w:r>
      <w:r w:rsidR="008D1DD8" w:rsidRPr="004E1DE3">
        <w:rPr>
          <w:lang w:val="en-CA"/>
        </w:rPr>
        <w:t xml:space="preserve">of </w:t>
      </w:r>
      <w:r w:rsidR="00BA0321" w:rsidRPr="004E1DE3">
        <w:rPr>
          <w:lang w:val="en-CA"/>
        </w:rPr>
        <w:t>false</w:t>
      </w:r>
      <w:r w:rsidR="008D1DD8" w:rsidRPr="004E1DE3">
        <w:rPr>
          <w:lang w:val="en-CA"/>
        </w:rPr>
        <w:t xml:space="preserve"> </w:t>
      </w:r>
      <w:r w:rsidR="00BA0321" w:rsidRPr="004E1DE3">
        <w:rPr>
          <w:lang w:val="en-CA"/>
        </w:rPr>
        <w:t>or</w:t>
      </w:r>
      <w:r w:rsidR="008D1DD8" w:rsidRPr="004E1DE3">
        <w:rPr>
          <w:lang w:val="en-CA"/>
        </w:rPr>
        <w:t xml:space="preserve"> </w:t>
      </w:r>
      <w:r w:rsidR="00BA0321" w:rsidRPr="004E1DE3">
        <w:rPr>
          <w:lang w:val="en-CA"/>
        </w:rPr>
        <w:t>misleading</w:t>
      </w:r>
      <w:r w:rsidR="008D1DD8" w:rsidRPr="004E1DE3">
        <w:rPr>
          <w:lang w:val="en-CA"/>
        </w:rPr>
        <w:t xml:space="preserve"> </w:t>
      </w:r>
      <w:r w:rsidR="00BA0321" w:rsidRPr="004E1DE3">
        <w:rPr>
          <w:lang w:val="en-CA"/>
        </w:rPr>
        <w:t>representation</w:t>
      </w:r>
      <w:r w:rsidR="008D1DD8" w:rsidRPr="004E1DE3">
        <w:rPr>
          <w:lang w:val="en-CA"/>
        </w:rPr>
        <w:t>s in this case</w:t>
      </w:r>
      <w:r w:rsidR="00BA0321" w:rsidRPr="004E1DE3">
        <w:rPr>
          <w:lang w:val="en-CA"/>
        </w:rPr>
        <w:t>. </w:t>
      </w:r>
    </w:p>
    <w:p w14:paraId="0D5984EC" w14:textId="77777777" w:rsidR="00CF48CF" w:rsidRPr="004E1DE3" w:rsidRDefault="00573CA9" w:rsidP="00087072">
      <w:pPr>
        <w:pStyle w:val="Titre3"/>
        <w:rPr>
          <w:lang w:val="en-CA"/>
        </w:rPr>
      </w:pPr>
      <w:bookmarkStart w:id="38" w:name="_Toc256000014"/>
      <w:bookmarkStart w:id="39" w:name="_Toc148419877"/>
      <w:r w:rsidRPr="004E1DE3">
        <w:rPr>
          <w:lang w:val="en-CA"/>
        </w:rPr>
        <w:t>The Court’s c</w:t>
      </w:r>
      <w:r w:rsidR="001D592E" w:rsidRPr="004E1DE3">
        <w:rPr>
          <w:lang w:val="en-CA"/>
        </w:rPr>
        <w:t xml:space="preserve">onclusions </w:t>
      </w:r>
      <w:r w:rsidRPr="004E1DE3">
        <w:rPr>
          <w:lang w:val="en-CA"/>
        </w:rPr>
        <w:t xml:space="preserve">on </w:t>
      </w:r>
      <w:r w:rsidR="00FB054D" w:rsidRPr="004E1DE3">
        <w:rPr>
          <w:lang w:val="en-CA"/>
        </w:rPr>
        <w:t>article</w:t>
      </w:r>
      <w:r w:rsidR="001D592E" w:rsidRPr="004E1DE3">
        <w:rPr>
          <w:lang w:val="en-CA"/>
        </w:rPr>
        <w:t xml:space="preserve"> 575</w:t>
      </w:r>
      <w:r w:rsidR="00607A35" w:rsidRPr="004E1DE3">
        <w:rPr>
          <w:lang w:val="en-CA"/>
        </w:rPr>
        <w:t xml:space="preserve">(2) </w:t>
      </w:r>
      <w:r w:rsidR="001D592E" w:rsidRPr="001D615E">
        <w:rPr>
          <w:lang w:val="en-CA"/>
        </w:rPr>
        <w:t>CCP</w:t>
      </w:r>
      <w:bookmarkEnd w:id="38"/>
      <w:bookmarkEnd w:id="39"/>
    </w:p>
    <w:p w14:paraId="3E4D1386" w14:textId="77777777" w:rsidR="00CF48CF" w:rsidRPr="004E1DE3" w:rsidRDefault="00573CA9" w:rsidP="007D1A3F">
      <w:pPr>
        <w:pStyle w:val="Paragrdouble"/>
        <w:tabs>
          <w:tab w:val="num" w:pos="851"/>
        </w:tabs>
        <w:spacing w:line="240" w:lineRule="auto"/>
        <w:ind w:left="0"/>
        <w:rPr>
          <w:lang w:val="en-CA"/>
        </w:rPr>
      </w:pPr>
      <w:r w:rsidRPr="004E1DE3">
        <w:rPr>
          <w:lang w:val="en-CA"/>
        </w:rPr>
        <w:t>T</w:t>
      </w:r>
      <w:r w:rsidR="00940EDA" w:rsidRPr="004E1DE3">
        <w:rPr>
          <w:lang w:val="en-CA"/>
        </w:rPr>
        <w:t>he</w:t>
      </w:r>
      <w:r w:rsidRPr="004E1DE3">
        <w:rPr>
          <w:lang w:val="en-CA"/>
        </w:rPr>
        <w:t xml:space="preserve"> </w:t>
      </w:r>
      <w:r w:rsidR="00940EDA" w:rsidRPr="004E1DE3">
        <w:rPr>
          <w:lang w:val="en-CA"/>
        </w:rPr>
        <w:t xml:space="preserve">Court </w:t>
      </w:r>
      <w:r w:rsidRPr="004E1DE3">
        <w:rPr>
          <w:lang w:val="en-CA"/>
        </w:rPr>
        <w:t xml:space="preserve">is of the view that the plaintiff </w:t>
      </w:r>
      <w:r w:rsidR="00940EDA" w:rsidRPr="004E1DE3">
        <w:rPr>
          <w:lang w:val="en-CA"/>
        </w:rPr>
        <w:t xml:space="preserve">Abou-Khadra </w:t>
      </w:r>
      <w:r w:rsidRPr="004E1DE3">
        <w:rPr>
          <w:lang w:val="en-CA"/>
        </w:rPr>
        <w:t xml:space="preserve">did not establish that he has an </w:t>
      </w:r>
      <w:r w:rsidR="00940EDA" w:rsidRPr="004E1DE3">
        <w:rPr>
          <w:lang w:val="en-CA"/>
        </w:rPr>
        <w:t>arguable</w:t>
      </w:r>
      <w:r w:rsidRPr="004E1DE3">
        <w:rPr>
          <w:lang w:val="en-CA"/>
        </w:rPr>
        <w:t xml:space="preserve"> case to assert against the </w:t>
      </w:r>
      <w:r w:rsidR="00940EDA" w:rsidRPr="004E1DE3">
        <w:rPr>
          <w:lang w:val="en-CA"/>
        </w:rPr>
        <w:t>defendants</w:t>
      </w:r>
      <w:r w:rsidRPr="004E1DE3">
        <w:rPr>
          <w:lang w:val="en-CA"/>
        </w:rPr>
        <w:t xml:space="preserve"> in this matter</w:t>
      </w:r>
      <w:r w:rsidR="00940EDA" w:rsidRPr="004E1DE3">
        <w:rPr>
          <w:lang w:val="en-CA"/>
        </w:rPr>
        <w:t>.</w:t>
      </w:r>
    </w:p>
    <w:p w14:paraId="2DF2C197" w14:textId="77777777" w:rsidR="00CF48CF" w:rsidRPr="004E1DE3" w:rsidRDefault="00573CA9" w:rsidP="00AB6BFD">
      <w:pPr>
        <w:pStyle w:val="Paragrdouble"/>
        <w:tabs>
          <w:tab w:val="num" w:pos="851"/>
        </w:tabs>
        <w:spacing w:line="240" w:lineRule="auto"/>
        <w:ind w:left="0"/>
        <w:rPr>
          <w:lang w:val="en-CA"/>
        </w:rPr>
      </w:pPr>
      <w:r w:rsidRPr="004E1DE3">
        <w:rPr>
          <w:lang w:val="en-CA"/>
        </w:rPr>
        <w:t xml:space="preserve">However, </w:t>
      </w:r>
      <w:r w:rsidR="00D108FC" w:rsidRPr="004E1DE3">
        <w:rPr>
          <w:lang w:val="en-CA"/>
        </w:rPr>
        <w:t>the</w:t>
      </w:r>
      <w:r w:rsidRPr="004E1DE3">
        <w:rPr>
          <w:lang w:val="en-CA"/>
        </w:rPr>
        <w:t xml:space="preserve"> </w:t>
      </w:r>
      <w:r w:rsidR="00D108FC" w:rsidRPr="004E1DE3">
        <w:rPr>
          <w:lang w:val="en-CA"/>
        </w:rPr>
        <w:t>Court</w:t>
      </w:r>
      <w:r w:rsidRPr="004E1DE3">
        <w:rPr>
          <w:lang w:val="en-CA"/>
        </w:rPr>
        <w:t xml:space="preserve"> finds that the plaintiff</w:t>
      </w:r>
      <w:r w:rsidR="009E19D2" w:rsidRPr="004E1DE3">
        <w:rPr>
          <w:lang w:val="en-CA"/>
        </w:rPr>
        <w:t xml:space="preserve"> </w:t>
      </w:r>
      <w:r w:rsidR="00D108FC" w:rsidRPr="004E1DE3">
        <w:rPr>
          <w:lang w:val="en-CA"/>
        </w:rPr>
        <w:t xml:space="preserve">Royer </w:t>
      </w:r>
      <w:r w:rsidR="009E19D2" w:rsidRPr="004E1DE3">
        <w:rPr>
          <w:lang w:val="en-CA"/>
        </w:rPr>
        <w:t xml:space="preserve">established the </w:t>
      </w:r>
      <w:r w:rsidR="00D108FC" w:rsidRPr="004E1DE3">
        <w:rPr>
          <w:lang w:val="en-CA"/>
        </w:rPr>
        <w:t xml:space="preserve">existence </w:t>
      </w:r>
      <w:r w:rsidR="009E19D2" w:rsidRPr="004E1DE3">
        <w:rPr>
          <w:lang w:val="en-CA"/>
        </w:rPr>
        <w:t xml:space="preserve">of such an </w:t>
      </w:r>
      <w:r w:rsidR="00D108FC" w:rsidRPr="004E1DE3">
        <w:rPr>
          <w:lang w:val="en-CA"/>
        </w:rPr>
        <w:t>arguable</w:t>
      </w:r>
      <w:r w:rsidR="009E19D2" w:rsidRPr="004E1DE3">
        <w:rPr>
          <w:lang w:val="en-CA"/>
        </w:rPr>
        <w:t xml:space="preserve"> case to assert against all the </w:t>
      </w:r>
      <w:r w:rsidR="00D108FC" w:rsidRPr="004E1DE3">
        <w:rPr>
          <w:lang w:val="en-CA"/>
        </w:rPr>
        <w:t xml:space="preserve">defendants, </w:t>
      </w:r>
      <w:r w:rsidR="009E19D2" w:rsidRPr="004E1DE3">
        <w:rPr>
          <w:lang w:val="en-CA"/>
        </w:rPr>
        <w:t xml:space="preserve">by him and by all the putative </w:t>
      </w:r>
      <w:r w:rsidR="00BE58B5">
        <w:rPr>
          <w:lang w:val="en-CA"/>
        </w:rPr>
        <w:t xml:space="preserve">class </w:t>
      </w:r>
      <w:r w:rsidR="009E19D2" w:rsidRPr="004E1DE3">
        <w:rPr>
          <w:lang w:val="en-CA"/>
        </w:rPr>
        <w:t xml:space="preserve">members residing in </w:t>
      </w:r>
      <w:r w:rsidR="00D108FC" w:rsidRPr="004E1DE3">
        <w:rPr>
          <w:lang w:val="en-CA"/>
        </w:rPr>
        <w:t>Qu</w:t>
      </w:r>
      <w:r w:rsidR="009E19D2" w:rsidRPr="004E1DE3">
        <w:rPr>
          <w:lang w:val="en-CA"/>
        </w:rPr>
        <w:t>e</w:t>
      </w:r>
      <w:r w:rsidR="00D108FC" w:rsidRPr="004E1DE3">
        <w:rPr>
          <w:lang w:val="en-CA"/>
        </w:rPr>
        <w:t xml:space="preserve">bec </w:t>
      </w:r>
      <w:r w:rsidR="009E19D2" w:rsidRPr="004E1DE3">
        <w:rPr>
          <w:lang w:val="en-CA"/>
        </w:rPr>
        <w:t xml:space="preserve">who were informed of the </w:t>
      </w:r>
      <w:r w:rsidR="00D108FC" w:rsidRPr="004E1DE3">
        <w:rPr>
          <w:lang w:val="en-CA"/>
        </w:rPr>
        <w:t xml:space="preserve">incident </w:t>
      </w:r>
      <w:r w:rsidR="009E19D2" w:rsidRPr="004E1DE3">
        <w:rPr>
          <w:lang w:val="en-CA"/>
        </w:rPr>
        <w:t xml:space="preserve">that occurred on </w:t>
      </w:r>
      <w:r w:rsidR="00D108FC" w:rsidRPr="004E1DE3">
        <w:rPr>
          <w:lang w:val="en-CA"/>
        </w:rPr>
        <w:t>March</w:t>
      </w:r>
      <w:r w:rsidR="009E19D2" w:rsidRPr="004E1DE3">
        <w:rPr>
          <w:lang w:val="en-CA"/>
        </w:rPr>
        <w:t xml:space="preserve"> 22 and 23, </w:t>
      </w:r>
      <w:r w:rsidR="00D108FC" w:rsidRPr="004E1DE3">
        <w:rPr>
          <w:lang w:val="en-CA"/>
        </w:rPr>
        <w:t xml:space="preserve">2019, </w:t>
      </w:r>
      <w:r w:rsidR="009E19D2" w:rsidRPr="004E1DE3">
        <w:rPr>
          <w:lang w:val="en-CA"/>
        </w:rPr>
        <w:t xml:space="preserve">that is, a </w:t>
      </w:r>
      <w:r w:rsidR="00D108FC" w:rsidRPr="004E1DE3">
        <w:rPr>
          <w:lang w:val="en-CA"/>
        </w:rPr>
        <w:t>contractual</w:t>
      </w:r>
      <w:r w:rsidR="009E19D2" w:rsidRPr="004E1DE3">
        <w:rPr>
          <w:lang w:val="en-CA"/>
        </w:rPr>
        <w:t xml:space="preserve"> </w:t>
      </w:r>
      <w:r w:rsidR="00D108FC" w:rsidRPr="004E1DE3">
        <w:rPr>
          <w:lang w:val="en-CA"/>
        </w:rPr>
        <w:t>fault</w:t>
      </w:r>
      <w:r w:rsidR="009E19D2" w:rsidRPr="004E1DE3">
        <w:rPr>
          <w:lang w:val="en-CA"/>
        </w:rPr>
        <w:t xml:space="preserve"> by </w:t>
      </w:r>
      <w:r w:rsidR="00D108FC" w:rsidRPr="004E1DE3">
        <w:rPr>
          <w:lang w:val="en-CA"/>
        </w:rPr>
        <w:t xml:space="preserve">Capital One, </w:t>
      </w:r>
      <w:r w:rsidR="009E19D2" w:rsidRPr="004E1DE3">
        <w:rPr>
          <w:lang w:val="en-CA"/>
        </w:rPr>
        <w:t xml:space="preserve">and an </w:t>
      </w:r>
      <w:r w:rsidR="00D108FC" w:rsidRPr="004E1DE3">
        <w:rPr>
          <w:lang w:val="en-CA"/>
        </w:rPr>
        <w:t>extracontractu</w:t>
      </w:r>
      <w:r w:rsidR="009E19D2" w:rsidRPr="004E1DE3">
        <w:rPr>
          <w:lang w:val="en-CA"/>
        </w:rPr>
        <w:t>a</w:t>
      </w:r>
      <w:r w:rsidR="00D108FC" w:rsidRPr="004E1DE3">
        <w:rPr>
          <w:lang w:val="en-CA"/>
        </w:rPr>
        <w:t>l</w:t>
      </w:r>
      <w:r w:rsidR="009E19D2" w:rsidRPr="004E1DE3">
        <w:rPr>
          <w:lang w:val="en-CA"/>
        </w:rPr>
        <w:t xml:space="preserve"> fault by </w:t>
      </w:r>
      <w:r w:rsidR="00D108FC" w:rsidRPr="004E1DE3">
        <w:rPr>
          <w:lang w:val="en-CA"/>
        </w:rPr>
        <w:t xml:space="preserve">Amazon, </w:t>
      </w:r>
      <w:r w:rsidR="009E19D2" w:rsidRPr="004E1DE3">
        <w:rPr>
          <w:lang w:val="en-CA"/>
        </w:rPr>
        <w:t xml:space="preserve">for </w:t>
      </w:r>
      <w:r w:rsidR="00D108FC" w:rsidRPr="004E1DE3">
        <w:rPr>
          <w:lang w:val="en-CA"/>
        </w:rPr>
        <w:t>pecuniary</w:t>
      </w:r>
      <w:r w:rsidR="009E19D2" w:rsidRPr="004E1DE3">
        <w:rPr>
          <w:lang w:val="en-CA"/>
        </w:rPr>
        <w:t xml:space="preserve"> </w:t>
      </w:r>
      <w:r w:rsidR="00D108FC" w:rsidRPr="004E1DE3">
        <w:rPr>
          <w:lang w:val="en-CA"/>
        </w:rPr>
        <w:t>damages consist</w:t>
      </w:r>
      <w:r w:rsidR="009E19D2" w:rsidRPr="004E1DE3">
        <w:rPr>
          <w:lang w:val="en-CA"/>
        </w:rPr>
        <w:t>ing of the costs of ve</w:t>
      </w:r>
      <w:r w:rsidR="00D108FC" w:rsidRPr="004E1DE3">
        <w:rPr>
          <w:lang w:val="en-CA"/>
        </w:rPr>
        <w:t>rif</w:t>
      </w:r>
      <w:r w:rsidR="009E19D2" w:rsidRPr="004E1DE3">
        <w:rPr>
          <w:lang w:val="en-CA"/>
        </w:rPr>
        <w:t>ying</w:t>
      </w:r>
      <w:r w:rsidR="00D108FC" w:rsidRPr="004E1DE3">
        <w:rPr>
          <w:lang w:val="en-CA"/>
        </w:rPr>
        <w:t xml:space="preserve"> </w:t>
      </w:r>
      <w:r w:rsidR="009E19D2" w:rsidRPr="004E1DE3">
        <w:rPr>
          <w:lang w:val="en-CA"/>
        </w:rPr>
        <w:t xml:space="preserve">and monitoring the </w:t>
      </w:r>
      <w:r w:rsidR="00BE58B5">
        <w:rPr>
          <w:lang w:val="en-CA"/>
        </w:rPr>
        <w:t xml:space="preserve">class </w:t>
      </w:r>
      <w:r w:rsidR="009E19D2" w:rsidRPr="004E1DE3">
        <w:rPr>
          <w:lang w:val="en-CA"/>
        </w:rPr>
        <w:t xml:space="preserve">members’ </w:t>
      </w:r>
      <w:r w:rsidR="00D108FC" w:rsidRPr="004E1DE3">
        <w:rPr>
          <w:lang w:val="en-CA"/>
        </w:rPr>
        <w:t>Capital One</w:t>
      </w:r>
      <w:r w:rsidR="009E19D2" w:rsidRPr="004E1DE3">
        <w:rPr>
          <w:lang w:val="en-CA"/>
        </w:rPr>
        <w:t xml:space="preserve"> accounts and statements, for a period greater tha</w:t>
      </w:r>
      <w:r w:rsidR="00216034">
        <w:rPr>
          <w:lang w:val="en-CA"/>
        </w:rPr>
        <w:t>n</w:t>
      </w:r>
      <w:r w:rsidR="009E19D2" w:rsidRPr="004E1DE3">
        <w:rPr>
          <w:lang w:val="en-CA"/>
        </w:rPr>
        <w:t xml:space="preserve"> two years</w:t>
      </w:r>
      <w:r w:rsidR="005D26AA">
        <w:rPr>
          <w:lang w:val="en-CA"/>
        </w:rPr>
        <w:t>,</w:t>
      </w:r>
      <w:r w:rsidR="009E19D2" w:rsidRPr="004E1DE3">
        <w:rPr>
          <w:lang w:val="en-CA"/>
        </w:rPr>
        <w:t xml:space="preserve"> to be determined by </w:t>
      </w:r>
      <w:r w:rsidR="00D108FC" w:rsidRPr="004E1DE3">
        <w:rPr>
          <w:lang w:val="en-CA"/>
        </w:rPr>
        <w:t>the</w:t>
      </w:r>
      <w:r w:rsidR="009E19D2" w:rsidRPr="004E1DE3">
        <w:rPr>
          <w:lang w:val="en-CA"/>
        </w:rPr>
        <w:t xml:space="preserve"> </w:t>
      </w:r>
      <w:r w:rsidR="00D108FC" w:rsidRPr="004E1DE3">
        <w:rPr>
          <w:lang w:val="en-CA"/>
        </w:rPr>
        <w:t>Court.</w:t>
      </w:r>
    </w:p>
    <w:p w14:paraId="54F98363" w14:textId="77777777" w:rsidR="00CC7ADB" w:rsidRPr="004E1DE3" w:rsidRDefault="00573CA9" w:rsidP="007D1A3F">
      <w:pPr>
        <w:pStyle w:val="Paragrdouble"/>
        <w:tabs>
          <w:tab w:val="num" w:pos="851"/>
        </w:tabs>
        <w:spacing w:line="240" w:lineRule="auto"/>
        <w:ind w:left="0"/>
        <w:rPr>
          <w:lang w:val="en-CA"/>
        </w:rPr>
      </w:pPr>
      <w:r w:rsidRPr="004E1DE3">
        <w:rPr>
          <w:lang w:val="en-CA"/>
        </w:rPr>
        <w:t xml:space="preserve">That said, this </w:t>
      </w:r>
      <w:r w:rsidR="00D108FC" w:rsidRPr="004E1DE3">
        <w:rPr>
          <w:lang w:val="en-CA"/>
        </w:rPr>
        <w:t xml:space="preserve">cause </w:t>
      </w:r>
      <w:r w:rsidRPr="004E1DE3">
        <w:rPr>
          <w:lang w:val="en-CA"/>
        </w:rPr>
        <w:t xml:space="preserve">of </w:t>
      </w:r>
      <w:r w:rsidR="00D108FC" w:rsidRPr="004E1DE3">
        <w:rPr>
          <w:lang w:val="en-CA"/>
        </w:rPr>
        <w:t xml:space="preserve">action </w:t>
      </w:r>
      <w:r w:rsidRPr="004E1DE3">
        <w:rPr>
          <w:lang w:val="en-CA"/>
        </w:rPr>
        <w:t xml:space="preserve">cannot extend to all the damages claimed, which must be limited, like the issues common to all the </w:t>
      </w:r>
      <w:r w:rsidR="00BE58B5">
        <w:rPr>
          <w:lang w:val="en-CA"/>
        </w:rPr>
        <w:t xml:space="preserve">class </w:t>
      </w:r>
      <w:r w:rsidRPr="004E1DE3">
        <w:rPr>
          <w:lang w:val="en-CA"/>
        </w:rPr>
        <w:t>members, to the foreseeable costs of verifying and monitoring their accoun</w:t>
      </w:r>
      <w:r w:rsidR="00824017" w:rsidRPr="004E1DE3">
        <w:rPr>
          <w:lang w:val="en-CA"/>
        </w:rPr>
        <w:t>t</w:t>
      </w:r>
      <w:r w:rsidRPr="004E1DE3">
        <w:rPr>
          <w:lang w:val="en-CA"/>
        </w:rPr>
        <w:t xml:space="preserve">s and statements, to which may be added, for the </w:t>
      </w:r>
      <w:r w:rsidR="00D108FC" w:rsidRPr="004E1DE3">
        <w:rPr>
          <w:lang w:val="en-CA"/>
        </w:rPr>
        <w:t>Capital One</w:t>
      </w:r>
      <w:r w:rsidRPr="004E1DE3">
        <w:rPr>
          <w:lang w:val="en-CA"/>
        </w:rPr>
        <w:t xml:space="preserve"> group defendants, </w:t>
      </w:r>
      <w:r w:rsidR="00D108FC" w:rsidRPr="004E1DE3">
        <w:rPr>
          <w:lang w:val="en-CA"/>
        </w:rPr>
        <w:t>punitive</w:t>
      </w:r>
      <w:r w:rsidRPr="004E1DE3">
        <w:rPr>
          <w:lang w:val="en-CA"/>
        </w:rPr>
        <w:t xml:space="preserve"> </w:t>
      </w:r>
      <w:r w:rsidR="00D108FC" w:rsidRPr="004E1DE3">
        <w:rPr>
          <w:lang w:val="en-CA"/>
        </w:rPr>
        <w:t>damages</w:t>
      </w:r>
      <w:r w:rsidRPr="004E1DE3">
        <w:rPr>
          <w:lang w:val="en-CA"/>
        </w:rPr>
        <w:t xml:space="preserve"> under </w:t>
      </w:r>
      <w:r w:rsidR="00D108FC" w:rsidRPr="004E1DE3">
        <w:rPr>
          <w:lang w:val="en-CA"/>
        </w:rPr>
        <w:t xml:space="preserve">section 49 </w:t>
      </w:r>
      <w:r w:rsidRPr="004E1DE3">
        <w:rPr>
          <w:lang w:val="en-CA"/>
        </w:rPr>
        <w:t xml:space="preserve">of the </w:t>
      </w:r>
      <w:r w:rsidR="00D108FC" w:rsidRPr="004E1DE3">
        <w:rPr>
          <w:i/>
          <w:iCs/>
          <w:lang w:val="en-CA"/>
        </w:rPr>
        <w:t>Charter</w:t>
      </w:r>
      <w:r w:rsidRPr="004E1DE3">
        <w:rPr>
          <w:lang w:val="en-CA"/>
        </w:rPr>
        <w:t xml:space="preserve"> to be determined by </w:t>
      </w:r>
      <w:r w:rsidR="00D108FC" w:rsidRPr="004E1DE3">
        <w:rPr>
          <w:lang w:val="en-CA"/>
        </w:rPr>
        <w:t>the</w:t>
      </w:r>
      <w:r w:rsidRPr="004E1DE3">
        <w:rPr>
          <w:lang w:val="en-CA"/>
        </w:rPr>
        <w:t xml:space="preserve"> </w:t>
      </w:r>
      <w:r w:rsidR="00D108FC" w:rsidRPr="004E1DE3">
        <w:rPr>
          <w:lang w:val="en-CA"/>
        </w:rPr>
        <w:t>Court.</w:t>
      </w:r>
    </w:p>
    <w:p w14:paraId="03325C63" w14:textId="77777777" w:rsidR="0001780A" w:rsidRPr="004E1DE3" w:rsidRDefault="00573CA9" w:rsidP="0001780A">
      <w:pPr>
        <w:pStyle w:val="Paragrdouble"/>
        <w:tabs>
          <w:tab w:val="num" w:pos="851"/>
        </w:tabs>
        <w:spacing w:line="240" w:lineRule="auto"/>
        <w:ind w:left="0"/>
        <w:rPr>
          <w:lang w:val="en-CA"/>
        </w:rPr>
      </w:pPr>
      <w:r w:rsidRPr="004E1DE3">
        <w:rPr>
          <w:lang w:val="en-CA"/>
        </w:rPr>
        <w:t>Last, the A</w:t>
      </w:r>
      <w:r w:rsidR="00940EDA" w:rsidRPr="004E1DE3">
        <w:rPr>
          <w:lang w:val="en-CA"/>
        </w:rPr>
        <w:t>pplication p</w:t>
      </w:r>
      <w:r w:rsidRPr="004E1DE3">
        <w:rPr>
          <w:lang w:val="en-CA"/>
        </w:rPr>
        <w:t>uts forward a</w:t>
      </w:r>
      <w:r w:rsidR="00940EDA" w:rsidRPr="004E1DE3">
        <w:rPr>
          <w:lang w:val="en-CA"/>
        </w:rPr>
        <w:t xml:space="preserve"> conclusion </w:t>
      </w:r>
      <w:r w:rsidRPr="004E1DE3">
        <w:rPr>
          <w:lang w:val="en-CA"/>
        </w:rPr>
        <w:t xml:space="preserve">to be set out in the proposed </w:t>
      </w:r>
      <w:r w:rsidR="00940EDA" w:rsidRPr="004E1DE3">
        <w:rPr>
          <w:lang w:val="en-CA"/>
        </w:rPr>
        <w:t>class</w:t>
      </w:r>
      <w:r w:rsidRPr="004E1DE3">
        <w:rPr>
          <w:lang w:val="en-CA"/>
        </w:rPr>
        <w:t xml:space="preserve"> </w:t>
      </w:r>
      <w:r w:rsidR="00940EDA" w:rsidRPr="004E1DE3">
        <w:rPr>
          <w:lang w:val="en-CA"/>
        </w:rPr>
        <w:t>action</w:t>
      </w:r>
      <w:r w:rsidRPr="004E1DE3">
        <w:rPr>
          <w:lang w:val="en-CA"/>
        </w:rPr>
        <w:t xml:space="preserve"> requiring the </w:t>
      </w:r>
      <w:r w:rsidR="00940EDA" w:rsidRPr="004E1DE3">
        <w:rPr>
          <w:lang w:val="en-CA"/>
        </w:rPr>
        <w:t>defendants</w:t>
      </w:r>
      <w:r w:rsidR="00CD3D14" w:rsidRPr="004E1DE3">
        <w:rPr>
          <w:lang w:val="en-CA"/>
        </w:rPr>
        <w:t xml:space="preserve"> to implement adequate protection and information security measures to prevent the occurrence of another unauthorized access</w:t>
      </w:r>
      <w:r w:rsidR="00940EDA" w:rsidRPr="004E1DE3">
        <w:rPr>
          <w:lang w:val="en-CA"/>
        </w:rPr>
        <w:t>.</w:t>
      </w:r>
    </w:p>
    <w:p w14:paraId="3E0EF943" w14:textId="77777777" w:rsidR="0001780A" w:rsidRPr="004E1DE3" w:rsidRDefault="00573CA9" w:rsidP="0001780A">
      <w:pPr>
        <w:pStyle w:val="Paragrdouble"/>
        <w:tabs>
          <w:tab w:val="num" w:pos="851"/>
        </w:tabs>
        <w:spacing w:line="240" w:lineRule="auto"/>
        <w:ind w:left="0"/>
        <w:rPr>
          <w:lang w:val="en-CA"/>
        </w:rPr>
      </w:pPr>
      <w:r w:rsidRPr="004E1DE3">
        <w:rPr>
          <w:lang w:val="en-CA"/>
        </w:rPr>
        <w:t xml:space="preserve">The manner in which this injunctive </w:t>
      </w:r>
      <w:r w:rsidR="00940EDA" w:rsidRPr="004E1DE3">
        <w:rPr>
          <w:lang w:val="en-CA"/>
        </w:rPr>
        <w:t xml:space="preserve">conclusion </w:t>
      </w:r>
      <w:r w:rsidRPr="004E1DE3">
        <w:rPr>
          <w:lang w:val="en-CA"/>
        </w:rPr>
        <w:t>sought by</w:t>
      </w:r>
      <w:r w:rsidR="00DE429C">
        <w:rPr>
          <w:lang w:val="en-CA"/>
        </w:rPr>
        <w:t xml:space="preserve"> Royer</w:t>
      </w:r>
      <w:r w:rsidRPr="004E1DE3">
        <w:rPr>
          <w:lang w:val="en-CA"/>
        </w:rPr>
        <w:t xml:space="preserve"> </w:t>
      </w:r>
      <w:r w:rsidR="0018380A" w:rsidRPr="004E1DE3">
        <w:rPr>
          <w:lang w:val="en-CA"/>
        </w:rPr>
        <w:t>is currently worded is much to</w:t>
      </w:r>
      <w:r w:rsidR="00DE429C">
        <w:rPr>
          <w:lang w:val="en-CA"/>
        </w:rPr>
        <w:t>o</w:t>
      </w:r>
      <w:r w:rsidR="0018380A" w:rsidRPr="004E1DE3">
        <w:rPr>
          <w:lang w:val="en-CA"/>
        </w:rPr>
        <w:t xml:space="preserve"> </w:t>
      </w:r>
      <w:r w:rsidR="00940EDA" w:rsidRPr="004E1DE3">
        <w:rPr>
          <w:lang w:val="en-CA"/>
        </w:rPr>
        <w:t>vague, impr</w:t>
      </w:r>
      <w:r w:rsidR="0018380A" w:rsidRPr="004E1DE3">
        <w:rPr>
          <w:lang w:val="en-CA"/>
        </w:rPr>
        <w:t>e</w:t>
      </w:r>
      <w:r w:rsidR="00940EDA" w:rsidRPr="004E1DE3">
        <w:rPr>
          <w:lang w:val="en-CA"/>
        </w:rPr>
        <w:t>cise</w:t>
      </w:r>
      <w:r w:rsidR="0018380A" w:rsidRPr="004E1DE3">
        <w:rPr>
          <w:lang w:val="en-CA"/>
        </w:rPr>
        <w:t xml:space="preserve">, and general for it to be capable of eventually being executed, knowing the </w:t>
      </w:r>
      <w:r w:rsidR="00940EDA" w:rsidRPr="004E1DE3">
        <w:rPr>
          <w:lang w:val="en-CA"/>
        </w:rPr>
        <w:t>cons</w:t>
      </w:r>
      <w:r w:rsidR="0018380A" w:rsidRPr="004E1DE3">
        <w:rPr>
          <w:lang w:val="en-CA"/>
        </w:rPr>
        <w:t>e</w:t>
      </w:r>
      <w:r w:rsidR="00940EDA" w:rsidRPr="004E1DE3">
        <w:rPr>
          <w:lang w:val="en-CA"/>
        </w:rPr>
        <w:t xml:space="preserve">quences </w:t>
      </w:r>
      <w:r w:rsidR="0018380A" w:rsidRPr="004E1DE3">
        <w:rPr>
          <w:lang w:val="en-CA"/>
        </w:rPr>
        <w:t xml:space="preserve">that the </w:t>
      </w:r>
      <w:r w:rsidR="00940EDA" w:rsidRPr="004E1DE3">
        <w:rPr>
          <w:lang w:val="en-CA"/>
        </w:rPr>
        <w:t xml:space="preserve">violation </w:t>
      </w:r>
      <w:r w:rsidR="0018380A" w:rsidRPr="004E1DE3">
        <w:rPr>
          <w:lang w:val="en-CA"/>
        </w:rPr>
        <w:t xml:space="preserve">of a court </w:t>
      </w:r>
      <w:r w:rsidR="00940EDA" w:rsidRPr="004E1DE3">
        <w:rPr>
          <w:lang w:val="en-CA"/>
        </w:rPr>
        <w:t>order</w:t>
      </w:r>
      <w:r w:rsidR="0018380A" w:rsidRPr="004E1DE3">
        <w:rPr>
          <w:lang w:val="en-CA"/>
        </w:rPr>
        <w:t xml:space="preserve"> may entail</w:t>
      </w:r>
      <w:r w:rsidR="00940EDA" w:rsidRPr="004E1DE3">
        <w:rPr>
          <w:lang w:val="en-CA"/>
        </w:rPr>
        <w:t>.</w:t>
      </w:r>
    </w:p>
    <w:p w14:paraId="5F7D5B21" w14:textId="77777777" w:rsidR="0001780A" w:rsidRPr="004E1DE3" w:rsidRDefault="00573CA9" w:rsidP="0001780A">
      <w:pPr>
        <w:pStyle w:val="Paragrdouble"/>
        <w:tabs>
          <w:tab w:val="num" w:pos="851"/>
        </w:tabs>
        <w:spacing w:line="240" w:lineRule="auto"/>
        <w:ind w:left="0"/>
        <w:rPr>
          <w:lang w:val="en-CA"/>
        </w:rPr>
      </w:pPr>
      <w:r w:rsidRPr="004E1DE3">
        <w:rPr>
          <w:lang w:val="en-CA"/>
        </w:rPr>
        <w:t>T</w:t>
      </w:r>
      <w:r w:rsidR="00940EDA" w:rsidRPr="004E1DE3">
        <w:rPr>
          <w:lang w:val="en-CA"/>
        </w:rPr>
        <w:t>he</w:t>
      </w:r>
      <w:r w:rsidRPr="004E1DE3">
        <w:rPr>
          <w:lang w:val="en-CA"/>
        </w:rPr>
        <w:t xml:space="preserve"> </w:t>
      </w:r>
      <w:r w:rsidR="00940EDA" w:rsidRPr="004E1DE3">
        <w:rPr>
          <w:lang w:val="en-CA"/>
        </w:rPr>
        <w:t>Court</w:t>
      </w:r>
      <w:r w:rsidRPr="004E1DE3">
        <w:rPr>
          <w:lang w:val="en-CA"/>
        </w:rPr>
        <w:t xml:space="preserve"> does not dismiss it at this stage, however, </w:t>
      </w:r>
      <w:r w:rsidR="00110819" w:rsidRPr="004E1DE3">
        <w:rPr>
          <w:lang w:val="en-CA"/>
        </w:rPr>
        <w:t>preferring</w:t>
      </w:r>
      <w:r w:rsidRPr="004E1DE3">
        <w:rPr>
          <w:lang w:val="en-CA"/>
        </w:rPr>
        <w:t xml:space="preserve"> instead to invite the plaintiff </w:t>
      </w:r>
      <w:r w:rsidR="00940EDA" w:rsidRPr="004E1DE3">
        <w:rPr>
          <w:lang w:val="en-CA"/>
        </w:rPr>
        <w:t xml:space="preserve">Royer </w:t>
      </w:r>
      <w:r w:rsidRPr="004E1DE3">
        <w:rPr>
          <w:lang w:val="en-CA"/>
        </w:rPr>
        <w:t xml:space="preserve">to reformulate it in his </w:t>
      </w:r>
      <w:r w:rsidR="00110819" w:rsidRPr="004E1DE3">
        <w:rPr>
          <w:lang w:val="en-CA"/>
        </w:rPr>
        <w:t>originating application to eventually be file</w:t>
      </w:r>
      <w:r w:rsidR="00940EDA" w:rsidRPr="004E1DE3">
        <w:rPr>
          <w:lang w:val="en-CA"/>
        </w:rPr>
        <w:t>d</w:t>
      </w:r>
      <w:r w:rsidR="00110819" w:rsidRPr="004E1DE3">
        <w:rPr>
          <w:lang w:val="en-CA"/>
        </w:rPr>
        <w:t xml:space="preserve"> and notified further to this judgment if he still wishes to propose this particular debate</w:t>
      </w:r>
      <w:r w:rsidR="00940EDA" w:rsidRPr="004E1DE3">
        <w:rPr>
          <w:lang w:val="en-CA"/>
        </w:rPr>
        <w:t>.</w:t>
      </w:r>
    </w:p>
    <w:p w14:paraId="671DDF05" w14:textId="77777777" w:rsidR="003B7693" w:rsidRPr="004E1DE3" w:rsidRDefault="00573CA9" w:rsidP="00BD01E0">
      <w:pPr>
        <w:pStyle w:val="Titre2"/>
        <w:rPr>
          <w:lang w:val="en-CA"/>
        </w:rPr>
      </w:pPr>
      <w:bookmarkStart w:id="40" w:name="_Toc256000015"/>
      <w:bookmarkStart w:id="41" w:name="_Toc148419878"/>
      <w:r w:rsidRPr="004E1DE3">
        <w:rPr>
          <w:lang w:val="en-CA"/>
        </w:rPr>
        <w:lastRenderedPageBreak/>
        <w:t xml:space="preserve">The criterion set out in article </w:t>
      </w:r>
      <w:r w:rsidR="00F1608A" w:rsidRPr="004E1DE3">
        <w:rPr>
          <w:lang w:val="en-CA"/>
        </w:rPr>
        <w:t>575</w:t>
      </w:r>
      <w:r w:rsidRPr="004E1DE3">
        <w:rPr>
          <w:lang w:val="en-CA"/>
        </w:rPr>
        <w:t xml:space="preserve">(4) </w:t>
      </w:r>
      <w:r w:rsidR="00F1608A" w:rsidRPr="004E1DE3">
        <w:rPr>
          <w:lang w:val="en-CA"/>
        </w:rPr>
        <w:t xml:space="preserve">CCP: </w:t>
      </w:r>
      <w:r w:rsidRPr="004E1DE3">
        <w:rPr>
          <w:lang w:val="en-CA"/>
        </w:rPr>
        <w:t>are the class members appointed as representative plaintiffs in a position to properly represent the putative class members</w:t>
      </w:r>
      <w:r w:rsidR="00F1608A" w:rsidRPr="004E1DE3">
        <w:rPr>
          <w:lang w:val="en-CA"/>
        </w:rPr>
        <w:t>?</w:t>
      </w:r>
      <w:bookmarkEnd w:id="40"/>
      <w:bookmarkEnd w:id="41"/>
    </w:p>
    <w:p w14:paraId="0001C173" w14:textId="77777777" w:rsidR="001D592E" w:rsidRPr="004E1DE3" w:rsidRDefault="00573CA9" w:rsidP="007D1A3F">
      <w:pPr>
        <w:pStyle w:val="Paragrdouble"/>
        <w:tabs>
          <w:tab w:val="num" w:pos="851"/>
        </w:tabs>
        <w:spacing w:line="240" w:lineRule="auto"/>
        <w:ind w:left="0"/>
        <w:rPr>
          <w:lang w:val="en-CA"/>
        </w:rPr>
      </w:pPr>
      <w:r w:rsidRPr="004E1DE3">
        <w:rPr>
          <w:lang w:val="en-CA"/>
        </w:rPr>
        <w:t xml:space="preserve">In this regard, </w:t>
      </w:r>
      <w:r w:rsidR="00940EDA" w:rsidRPr="004E1DE3">
        <w:rPr>
          <w:lang w:val="en-CA"/>
        </w:rPr>
        <w:t xml:space="preserve">Amazon </w:t>
      </w:r>
      <w:r w:rsidR="00C86CB9" w:rsidRPr="004E1DE3">
        <w:rPr>
          <w:lang w:val="en-CA"/>
        </w:rPr>
        <w:t xml:space="preserve">reiterates that neither the plaintiff </w:t>
      </w:r>
      <w:r w:rsidR="00940EDA" w:rsidRPr="004E1DE3">
        <w:rPr>
          <w:lang w:val="en-CA"/>
        </w:rPr>
        <w:t>Royer</w:t>
      </w:r>
      <w:r w:rsidR="00C86CB9" w:rsidRPr="004E1DE3">
        <w:rPr>
          <w:lang w:val="en-CA"/>
        </w:rPr>
        <w:t>,</w:t>
      </w:r>
      <w:r w:rsidR="00940EDA" w:rsidRPr="004E1DE3">
        <w:rPr>
          <w:lang w:val="en-CA"/>
        </w:rPr>
        <w:t xml:space="preserve"> </w:t>
      </w:r>
      <w:r w:rsidR="00C86CB9" w:rsidRPr="004E1DE3">
        <w:rPr>
          <w:lang w:val="en-CA"/>
        </w:rPr>
        <w:t xml:space="preserve">nor the plaintiff </w:t>
      </w:r>
      <w:r w:rsidR="00940EDA" w:rsidRPr="004E1DE3">
        <w:rPr>
          <w:lang w:val="en-CA"/>
        </w:rPr>
        <w:t xml:space="preserve">Abou-Khadra </w:t>
      </w:r>
      <w:r w:rsidR="00C86CB9" w:rsidRPr="004E1DE3">
        <w:rPr>
          <w:lang w:val="en-CA"/>
        </w:rPr>
        <w:t>have an arguable cause of action to assert against it because they</w:t>
      </w:r>
      <w:r w:rsidR="00E14D9E" w:rsidRPr="004E1DE3">
        <w:rPr>
          <w:lang w:val="en-CA"/>
        </w:rPr>
        <w:t xml:space="preserve"> have no legal relationship with </w:t>
      </w:r>
      <w:r w:rsidR="00940EDA" w:rsidRPr="004E1DE3">
        <w:rPr>
          <w:lang w:val="en-CA"/>
        </w:rPr>
        <w:t>Amazon,</w:t>
      </w:r>
      <w:r w:rsidR="00E14D9E" w:rsidRPr="004E1DE3">
        <w:rPr>
          <w:lang w:val="en-CA"/>
        </w:rPr>
        <w:t xml:space="preserve"> and the A</w:t>
      </w:r>
      <w:r w:rsidR="00940EDA" w:rsidRPr="004E1DE3">
        <w:rPr>
          <w:lang w:val="en-CA"/>
        </w:rPr>
        <w:t>pplication</w:t>
      </w:r>
      <w:r w:rsidR="00E14D9E" w:rsidRPr="004E1DE3">
        <w:rPr>
          <w:lang w:val="en-CA"/>
        </w:rPr>
        <w:t xml:space="preserve"> contains no allegation or </w:t>
      </w:r>
      <w:r w:rsidR="00940EDA" w:rsidRPr="004E1DE3">
        <w:rPr>
          <w:lang w:val="en-CA"/>
        </w:rPr>
        <w:t>evidence</w:t>
      </w:r>
      <w:r w:rsidR="00E14D9E" w:rsidRPr="004E1DE3">
        <w:rPr>
          <w:lang w:val="en-CA"/>
        </w:rPr>
        <w:t xml:space="preserve"> of </w:t>
      </w:r>
      <w:r w:rsidR="00940EDA" w:rsidRPr="004E1DE3">
        <w:rPr>
          <w:lang w:val="en-CA"/>
        </w:rPr>
        <w:t>compensable</w:t>
      </w:r>
      <w:r w:rsidR="00E14D9E" w:rsidRPr="004E1DE3">
        <w:rPr>
          <w:lang w:val="en-CA"/>
        </w:rPr>
        <w:t xml:space="preserve"> injury against the </w:t>
      </w:r>
      <w:r w:rsidR="00940EDA" w:rsidRPr="004E1DE3">
        <w:rPr>
          <w:lang w:val="en-CA"/>
        </w:rPr>
        <w:t>defendants.</w:t>
      </w:r>
    </w:p>
    <w:p w14:paraId="5E670B34" w14:textId="77777777" w:rsidR="0001780A" w:rsidRPr="004E1DE3" w:rsidRDefault="00573CA9" w:rsidP="007D1A3F">
      <w:pPr>
        <w:pStyle w:val="Paragrdouble"/>
        <w:tabs>
          <w:tab w:val="num" w:pos="851"/>
        </w:tabs>
        <w:spacing w:line="240" w:lineRule="auto"/>
        <w:ind w:left="0"/>
        <w:rPr>
          <w:lang w:val="en-CA"/>
        </w:rPr>
      </w:pPr>
      <w:r w:rsidRPr="004E1DE3">
        <w:rPr>
          <w:lang w:val="en-CA"/>
        </w:rPr>
        <w:t>T</w:t>
      </w:r>
      <w:r w:rsidR="00CA1833" w:rsidRPr="004E1DE3">
        <w:rPr>
          <w:lang w:val="en-CA"/>
        </w:rPr>
        <w:t>he</w:t>
      </w:r>
      <w:r w:rsidRPr="004E1DE3">
        <w:rPr>
          <w:lang w:val="en-CA"/>
        </w:rPr>
        <w:t xml:space="preserve"> </w:t>
      </w:r>
      <w:r w:rsidR="00CA1833" w:rsidRPr="004E1DE3">
        <w:rPr>
          <w:lang w:val="en-CA"/>
        </w:rPr>
        <w:t>Court</w:t>
      </w:r>
      <w:r w:rsidRPr="004E1DE3">
        <w:rPr>
          <w:lang w:val="en-CA"/>
        </w:rPr>
        <w:t xml:space="preserve"> is of the view that </w:t>
      </w:r>
      <w:r w:rsidR="00273D8B" w:rsidRPr="004E1DE3">
        <w:rPr>
          <w:lang w:val="en-CA"/>
        </w:rPr>
        <w:t xml:space="preserve">the plaintiff </w:t>
      </w:r>
      <w:r w:rsidR="00CA1833" w:rsidRPr="004E1DE3">
        <w:rPr>
          <w:lang w:val="en-CA"/>
        </w:rPr>
        <w:t xml:space="preserve">Royer </w:t>
      </w:r>
      <w:r w:rsidR="00273D8B" w:rsidRPr="004E1DE3">
        <w:rPr>
          <w:lang w:val="en-CA"/>
        </w:rPr>
        <w:t xml:space="preserve">has established that he has an arguable cause of </w:t>
      </w:r>
      <w:r w:rsidR="00CA1833" w:rsidRPr="004E1DE3">
        <w:rPr>
          <w:lang w:val="en-CA"/>
        </w:rPr>
        <w:t xml:space="preserve">action </w:t>
      </w:r>
      <w:r w:rsidR="00273D8B" w:rsidRPr="004E1DE3">
        <w:rPr>
          <w:lang w:val="en-CA"/>
        </w:rPr>
        <w:t xml:space="preserve">to assert against all the </w:t>
      </w:r>
      <w:r w:rsidR="00CA1833" w:rsidRPr="004E1DE3">
        <w:rPr>
          <w:lang w:val="en-CA"/>
        </w:rPr>
        <w:t>defendants,</w:t>
      </w:r>
      <w:r w:rsidR="00273D8B" w:rsidRPr="004E1DE3">
        <w:rPr>
          <w:lang w:val="en-CA"/>
        </w:rPr>
        <w:t xml:space="preserve"> and with respect to </w:t>
      </w:r>
      <w:r w:rsidR="00CA1833" w:rsidRPr="004E1DE3">
        <w:rPr>
          <w:lang w:val="en-CA"/>
        </w:rPr>
        <w:t xml:space="preserve">Amazon, </w:t>
      </w:r>
      <w:r w:rsidR="00273D8B" w:rsidRPr="004E1DE3">
        <w:rPr>
          <w:lang w:val="en-CA"/>
        </w:rPr>
        <w:t xml:space="preserve">on an </w:t>
      </w:r>
      <w:r w:rsidR="00CA1833" w:rsidRPr="004E1DE3">
        <w:rPr>
          <w:lang w:val="en-CA"/>
        </w:rPr>
        <w:t>extracontractu</w:t>
      </w:r>
      <w:r w:rsidR="00273D8B" w:rsidRPr="004E1DE3">
        <w:rPr>
          <w:lang w:val="en-CA"/>
        </w:rPr>
        <w:t>a</w:t>
      </w:r>
      <w:r w:rsidR="00CA1833" w:rsidRPr="004E1DE3">
        <w:rPr>
          <w:lang w:val="en-CA"/>
        </w:rPr>
        <w:t>l</w:t>
      </w:r>
      <w:r w:rsidR="00273D8B" w:rsidRPr="004E1DE3">
        <w:rPr>
          <w:lang w:val="en-CA"/>
        </w:rPr>
        <w:t xml:space="preserve"> basis and in light of the possible </w:t>
      </w:r>
      <w:r w:rsidR="00CA1833" w:rsidRPr="004E1DE3">
        <w:rPr>
          <w:lang w:val="en-CA"/>
        </w:rPr>
        <w:t xml:space="preserve">application </w:t>
      </w:r>
      <w:r w:rsidR="00273D8B" w:rsidRPr="004E1DE3">
        <w:rPr>
          <w:lang w:val="en-CA"/>
        </w:rPr>
        <w:t xml:space="preserve">of the Quebec </w:t>
      </w:r>
      <w:r w:rsidR="00273D8B" w:rsidRPr="004E1DE3">
        <w:rPr>
          <w:i/>
          <w:iCs/>
          <w:lang w:val="en-CA"/>
        </w:rPr>
        <w:t>Act respecting the protection of personal information in the private sector</w:t>
      </w:r>
      <w:r w:rsidR="00273D8B" w:rsidRPr="004E1DE3">
        <w:rPr>
          <w:lang w:val="en-CA"/>
        </w:rPr>
        <w:t xml:space="preserve"> to it</w:t>
      </w:r>
      <w:r w:rsidR="00CA1833" w:rsidRPr="004E1DE3">
        <w:rPr>
          <w:lang w:val="en-CA"/>
        </w:rPr>
        <w:t>.</w:t>
      </w:r>
    </w:p>
    <w:p w14:paraId="3225AD19" w14:textId="77777777" w:rsidR="001D592E" w:rsidRPr="004E1DE3" w:rsidRDefault="00573CA9" w:rsidP="007D1A3F">
      <w:pPr>
        <w:pStyle w:val="Paragrdouble"/>
        <w:tabs>
          <w:tab w:val="num" w:pos="851"/>
        </w:tabs>
        <w:spacing w:line="240" w:lineRule="auto"/>
        <w:ind w:left="0"/>
        <w:rPr>
          <w:lang w:val="en-CA"/>
        </w:rPr>
      </w:pPr>
      <w:r w:rsidRPr="004E1DE3">
        <w:rPr>
          <w:lang w:val="en-CA"/>
        </w:rPr>
        <w:t>Accordingly</w:t>
      </w:r>
      <w:r w:rsidR="00940EDA" w:rsidRPr="004E1DE3">
        <w:rPr>
          <w:lang w:val="en-CA"/>
        </w:rPr>
        <w:t xml:space="preserve">, </w:t>
      </w:r>
      <w:r w:rsidRPr="004E1DE3">
        <w:rPr>
          <w:lang w:val="en-CA"/>
        </w:rPr>
        <w:t xml:space="preserve">for the reasons set out in greater detail above, the Court is of the view that only the plaintiff </w:t>
      </w:r>
      <w:r w:rsidR="00940EDA" w:rsidRPr="004E1DE3">
        <w:rPr>
          <w:lang w:val="en-CA"/>
        </w:rPr>
        <w:t xml:space="preserve">Michael Royer </w:t>
      </w:r>
      <w:r w:rsidRPr="004E1DE3">
        <w:rPr>
          <w:lang w:val="en-CA"/>
        </w:rPr>
        <w:t xml:space="preserve">appears to be in a position to properly represent the putative </w:t>
      </w:r>
      <w:r w:rsidR="00CF18FD">
        <w:rPr>
          <w:lang w:val="en-CA"/>
        </w:rPr>
        <w:t xml:space="preserve">class </w:t>
      </w:r>
      <w:r w:rsidRPr="004E1DE3">
        <w:rPr>
          <w:lang w:val="en-CA"/>
        </w:rPr>
        <w:t xml:space="preserve">members </w:t>
      </w:r>
      <w:r w:rsidR="00D4010F" w:rsidRPr="004E1DE3">
        <w:rPr>
          <w:lang w:val="en-CA"/>
        </w:rPr>
        <w:t xml:space="preserve">because, contrary to the plaintiff </w:t>
      </w:r>
      <w:r w:rsidR="00940EDA" w:rsidRPr="004E1DE3">
        <w:rPr>
          <w:lang w:val="en-CA"/>
        </w:rPr>
        <w:t xml:space="preserve">Abou-Khadra, </w:t>
      </w:r>
      <w:r w:rsidR="00D4010F" w:rsidRPr="004E1DE3">
        <w:rPr>
          <w:lang w:val="en-CA"/>
        </w:rPr>
        <w:t xml:space="preserve">he is one of the </w:t>
      </w:r>
      <w:r w:rsidR="00940EDA" w:rsidRPr="004E1DE3">
        <w:rPr>
          <w:lang w:val="en-CA"/>
        </w:rPr>
        <w:t>6</w:t>
      </w:r>
      <w:r w:rsidR="00D4010F" w:rsidRPr="004E1DE3">
        <w:rPr>
          <w:lang w:val="en-CA"/>
        </w:rPr>
        <w:t>,</w:t>
      </w:r>
      <w:r w:rsidR="00940EDA" w:rsidRPr="004E1DE3">
        <w:rPr>
          <w:lang w:val="en-CA"/>
        </w:rPr>
        <w:t>000</w:t>
      </w:r>
      <w:r w:rsidR="00D4010F" w:rsidRPr="004E1DE3">
        <w:rPr>
          <w:lang w:val="en-CA"/>
        </w:rPr>
        <w:t>,</w:t>
      </w:r>
      <w:r w:rsidR="00940EDA" w:rsidRPr="004E1DE3">
        <w:rPr>
          <w:lang w:val="en-CA"/>
        </w:rPr>
        <w:t>000 Canadian</w:t>
      </w:r>
      <w:r w:rsidR="00D4010F" w:rsidRPr="004E1DE3">
        <w:rPr>
          <w:lang w:val="en-CA"/>
        </w:rPr>
        <w:t xml:space="preserve"> residents informed of an unauthorized access of his </w:t>
      </w:r>
      <w:r w:rsidR="00940EDA" w:rsidRPr="004E1DE3">
        <w:rPr>
          <w:lang w:val="en-CA"/>
        </w:rPr>
        <w:t>personal</w:t>
      </w:r>
      <w:r w:rsidR="00D4010F" w:rsidRPr="004E1DE3">
        <w:rPr>
          <w:lang w:val="en-CA"/>
        </w:rPr>
        <w:t xml:space="preserve"> </w:t>
      </w:r>
      <w:r w:rsidR="00940EDA" w:rsidRPr="004E1DE3">
        <w:rPr>
          <w:lang w:val="en-CA"/>
        </w:rPr>
        <w:t>information.</w:t>
      </w:r>
    </w:p>
    <w:p w14:paraId="6A6E6C4D" w14:textId="77777777" w:rsidR="007B5BC5" w:rsidRPr="004E1DE3" w:rsidRDefault="00573CA9" w:rsidP="007B5BC5">
      <w:pPr>
        <w:pStyle w:val="Titre1"/>
        <w:rPr>
          <w:lang w:val="en-CA"/>
        </w:rPr>
      </w:pPr>
      <w:bookmarkStart w:id="42" w:name="_Toc256000016"/>
      <w:bookmarkStart w:id="43" w:name="_Toc148419879"/>
      <w:bookmarkStart w:id="44" w:name="_Toc140816845"/>
      <w:r w:rsidRPr="004E1DE3">
        <w:rPr>
          <w:lang w:val="en-CA"/>
        </w:rPr>
        <w:t>CONCLUSION</w:t>
      </w:r>
      <w:bookmarkEnd w:id="42"/>
      <w:bookmarkEnd w:id="43"/>
    </w:p>
    <w:bookmarkEnd w:id="44"/>
    <w:p w14:paraId="293DA61B" w14:textId="77777777" w:rsidR="009820BB" w:rsidRPr="004E1DE3" w:rsidRDefault="00573CA9" w:rsidP="007C1346">
      <w:pPr>
        <w:spacing w:before="120" w:after="120"/>
        <w:rPr>
          <w:b/>
          <w:bCs/>
          <w:lang w:val="en-CA"/>
        </w:rPr>
      </w:pPr>
      <w:r w:rsidRPr="004E1DE3">
        <w:rPr>
          <w:b/>
          <w:bCs/>
          <w:lang w:val="en-CA"/>
        </w:rPr>
        <w:t>FOR THESE REASONS, THE COURT:</w:t>
      </w:r>
    </w:p>
    <w:p w14:paraId="3D1A355F" w14:textId="77777777" w:rsidR="001D6B31" w:rsidRPr="004E1DE3" w:rsidRDefault="00573CA9" w:rsidP="007D1A3F">
      <w:pPr>
        <w:pStyle w:val="Paragrdouble"/>
        <w:tabs>
          <w:tab w:val="num" w:pos="851"/>
        </w:tabs>
        <w:spacing w:line="240" w:lineRule="auto"/>
        <w:ind w:left="0"/>
        <w:rPr>
          <w:lang w:val="en-CA"/>
        </w:rPr>
      </w:pPr>
      <w:r w:rsidRPr="004E1DE3">
        <w:rPr>
          <w:b/>
          <w:bCs/>
          <w:lang w:val="en-CA"/>
        </w:rPr>
        <w:t>GRANTS</w:t>
      </w:r>
      <w:r w:rsidR="00940EDA" w:rsidRPr="004E1DE3">
        <w:rPr>
          <w:b/>
          <w:bCs/>
          <w:lang w:val="en-CA"/>
        </w:rPr>
        <w:t xml:space="preserve"> </w:t>
      </w:r>
      <w:r w:rsidRPr="004E1DE3">
        <w:rPr>
          <w:lang w:val="en-CA"/>
        </w:rPr>
        <w:t xml:space="preserve">the plaintiff </w:t>
      </w:r>
      <w:r w:rsidR="00940EDA" w:rsidRPr="004E1DE3">
        <w:rPr>
          <w:lang w:val="en-CA"/>
        </w:rPr>
        <w:t>Michael Royer</w:t>
      </w:r>
      <w:r w:rsidRPr="004E1DE3">
        <w:rPr>
          <w:lang w:val="en-CA"/>
        </w:rPr>
        <w:t>’s</w:t>
      </w:r>
      <w:r w:rsidR="00940EDA" w:rsidRPr="004E1DE3">
        <w:rPr>
          <w:lang w:val="en-CA"/>
        </w:rPr>
        <w:t xml:space="preserve"> </w:t>
      </w:r>
      <w:r w:rsidRPr="004E1DE3">
        <w:rPr>
          <w:lang w:val="en-CA"/>
        </w:rPr>
        <w:t xml:space="preserve">application for </w:t>
      </w:r>
      <w:r w:rsidR="00940EDA" w:rsidRPr="004E1DE3">
        <w:rPr>
          <w:lang w:val="en-CA"/>
        </w:rPr>
        <w:t>aut</w:t>
      </w:r>
      <w:r w:rsidRPr="004E1DE3">
        <w:rPr>
          <w:lang w:val="en-CA"/>
        </w:rPr>
        <w:t>h</w:t>
      </w:r>
      <w:r w:rsidR="00940EDA" w:rsidRPr="004E1DE3">
        <w:rPr>
          <w:lang w:val="en-CA"/>
        </w:rPr>
        <w:t>ori</w:t>
      </w:r>
      <w:r w:rsidRPr="004E1DE3">
        <w:rPr>
          <w:lang w:val="en-CA"/>
        </w:rPr>
        <w:t>z</w:t>
      </w:r>
      <w:r w:rsidR="00940EDA" w:rsidRPr="004E1DE3">
        <w:rPr>
          <w:lang w:val="en-CA"/>
        </w:rPr>
        <w:t xml:space="preserve">ation </w:t>
      </w:r>
      <w:r w:rsidRPr="004E1DE3">
        <w:rPr>
          <w:lang w:val="en-CA"/>
        </w:rPr>
        <w:t xml:space="preserve">to institute a </w:t>
      </w:r>
      <w:r w:rsidR="00940EDA" w:rsidRPr="004E1DE3">
        <w:rPr>
          <w:lang w:val="en-CA"/>
        </w:rPr>
        <w:t>class</w:t>
      </w:r>
      <w:r w:rsidRPr="004E1DE3">
        <w:rPr>
          <w:lang w:val="en-CA"/>
        </w:rPr>
        <w:t xml:space="preserve"> </w:t>
      </w:r>
      <w:r w:rsidR="00940EDA" w:rsidRPr="004E1DE3">
        <w:rPr>
          <w:lang w:val="en-CA"/>
        </w:rPr>
        <w:t>action</w:t>
      </w:r>
      <w:r w:rsidRPr="004E1DE3">
        <w:rPr>
          <w:lang w:val="en-CA"/>
        </w:rPr>
        <w:t xml:space="preserve"> against the </w:t>
      </w:r>
      <w:r w:rsidR="00940EDA" w:rsidRPr="004E1DE3">
        <w:rPr>
          <w:lang w:val="en-CA"/>
        </w:rPr>
        <w:t>defendants Capital One Bank (Canada Branch)</w:t>
      </w:r>
      <w:r w:rsidRPr="004E1DE3">
        <w:rPr>
          <w:lang w:val="en-CA"/>
        </w:rPr>
        <w:t>,</w:t>
      </w:r>
      <w:r w:rsidR="00940EDA" w:rsidRPr="004E1DE3">
        <w:rPr>
          <w:lang w:val="en-CA"/>
        </w:rPr>
        <w:t xml:space="preserve"> Capital (Financial Corporation)</w:t>
      </w:r>
      <w:r w:rsidRPr="004E1DE3">
        <w:rPr>
          <w:lang w:val="en-CA"/>
        </w:rPr>
        <w:t>, and</w:t>
      </w:r>
      <w:r w:rsidR="00940EDA" w:rsidRPr="004E1DE3">
        <w:rPr>
          <w:lang w:val="en-CA"/>
        </w:rPr>
        <w:t xml:space="preserve"> Capital One Bank (USA) National Association</w:t>
      </w:r>
      <w:r w:rsidRPr="004E1DE3">
        <w:rPr>
          <w:lang w:val="en-CA"/>
        </w:rPr>
        <w:t xml:space="preserve">, and against the </w:t>
      </w:r>
      <w:r w:rsidR="00940EDA" w:rsidRPr="004E1DE3">
        <w:rPr>
          <w:lang w:val="en-CA"/>
        </w:rPr>
        <w:t xml:space="preserve">defendants Amazon.com </w:t>
      </w:r>
      <w:r w:rsidRPr="004E1DE3">
        <w:rPr>
          <w:lang w:val="en-CA"/>
        </w:rPr>
        <w:t>I</w:t>
      </w:r>
      <w:r w:rsidR="00940EDA" w:rsidRPr="004E1DE3">
        <w:rPr>
          <w:lang w:val="en-CA"/>
        </w:rPr>
        <w:t xml:space="preserve">nc., Amazon.com.ca </w:t>
      </w:r>
      <w:r w:rsidRPr="004E1DE3">
        <w:rPr>
          <w:lang w:val="en-CA"/>
        </w:rPr>
        <w:t>I</w:t>
      </w:r>
      <w:r w:rsidR="00940EDA" w:rsidRPr="004E1DE3">
        <w:rPr>
          <w:lang w:val="en-CA"/>
        </w:rPr>
        <w:t xml:space="preserve">nc., Amazon Web Services Canada </w:t>
      </w:r>
      <w:r w:rsidRPr="004E1DE3">
        <w:rPr>
          <w:lang w:val="en-CA"/>
        </w:rPr>
        <w:t>I</w:t>
      </w:r>
      <w:r w:rsidR="00940EDA" w:rsidRPr="004E1DE3">
        <w:rPr>
          <w:lang w:val="en-CA"/>
        </w:rPr>
        <w:t xml:space="preserve">nc., Amazon Web Services </w:t>
      </w:r>
      <w:r w:rsidRPr="004E1DE3">
        <w:rPr>
          <w:lang w:val="en-CA"/>
        </w:rPr>
        <w:t>I</w:t>
      </w:r>
      <w:r w:rsidR="00940EDA" w:rsidRPr="004E1DE3">
        <w:rPr>
          <w:lang w:val="en-CA"/>
        </w:rPr>
        <w:t>nc.</w:t>
      </w:r>
      <w:r w:rsidRPr="004E1DE3">
        <w:rPr>
          <w:lang w:val="en-CA"/>
        </w:rPr>
        <w:t>, and</w:t>
      </w:r>
      <w:r w:rsidR="00940EDA" w:rsidRPr="004E1DE3">
        <w:rPr>
          <w:lang w:val="en-CA"/>
        </w:rPr>
        <w:t xml:space="preserve"> Amazon Technologies </w:t>
      </w:r>
      <w:r w:rsidRPr="004E1DE3">
        <w:rPr>
          <w:lang w:val="en-CA"/>
        </w:rPr>
        <w:t>I</w:t>
      </w:r>
      <w:r w:rsidR="00940EDA" w:rsidRPr="004E1DE3">
        <w:rPr>
          <w:lang w:val="en-CA"/>
        </w:rPr>
        <w:t>nc.;</w:t>
      </w:r>
    </w:p>
    <w:p w14:paraId="317E5601" w14:textId="77777777" w:rsidR="001D6B31" w:rsidRPr="004E1DE3" w:rsidRDefault="00573CA9" w:rsidP="007D1A3F">
      <w:pPr>
        <w:pStyle w:val="Paragrdouble"/>
        <w:tabs>
          <w:tab w:val="num" w:pos="851"/>
        </w:tabs>
        <w:spacing w:line="240" w:lineRule="auto"/>
        <w:ind w:left="0"/>
        <w:rPr>
          <w:lang w:val="en-CA"/>
        </w:rPr>
      </w:pPr>
      <w:r w:rsidRPr="004E1DE3">
        <w:rPr>
          <w:b/>
          <w:bCs/>
          <w:lang w:val="en-CA"/>
        </w:rPr>
        <w:t>DISMISSES</w:t>
      </w:r>
      <w:r w:rsidR="00E36FE6" w:rsidRPr="004E1DE3">
        <w:rPr>
          <w:lang w:val="en-CA"/>
        </w:rPr>
        <w:t xml:space="preserve"> </w:t>
      </w:r>
      <w:r w:rsidRPr="004E1DE3">
        <w:rPr>
          <w:lang w:val="en-CA"/>
        </w:rPr>
        <w:t xml:space="preserve">the </w:t>
      </w:r>
      <w:r w:rsidR="00E36FE6" w:rsidRPr="004E1DE3">
        <w:rPr>
          <w:lang w:val="en-CA"/>
        </w:rPr>
        <w:t>application</w:t>
      </w:r>
      <w:r w:rsidRPr="004E1DE3">
        <w:rPr>
          <w:lang w:val="en-CA"/>
        </w:rPr>
        <w:t xml:space="preserve"> for authorization to institute a </w:t>
      </w:r>
      <w:r w:rsidR="00E36FE6" w:rsidRPr="004E1DE3">
        <w:rPr>
          <w:lang w:val="en-CA"/>
        </w:rPr>
        <w:t>class</w:t>
      </w:r>
      <w:r w:rsidRPr="004E1DE3">
        <w:rPr>
          <w:lang w:val="en-CA"/>
        </w:rPr>
        <w:t xml:space="preserve"> </w:t>
      </w:r>
      <w:r w:rsidR="00E36FE6" w:rsidRPr="004E1DE3">
        <w:rPr>
          <w:lang w:val="en-CA"/>
        </w:rPr>
        <w:t>action</w:t>
      </w:r>
      <w:r w:rsidRPr="004E1DE3">
        <w:rPr>
          <w:lang w:val="en-CA"/>
        </w:rPr>
        <w:t xml:space="preserve"> filed by the plaintiff </w:t>
      </w:r>
      <w:r w:rsidR="00E36FE6" w:rsidRPr="004E1DE3">
        <w:rPr>
          <w:lang w:val="en-CA"/>
        </w:rPr>
        <w:t xml:space="preserve">Ala’a Abou Khadra </w:t>
      </w:r>
      <w:r w:rsidRPr="004E1DE3">
        <w:rPr>
          <w:lang w:val="en-CA"/>
        </w:rPr>
        <w:t xml:space="preserve">against all the </w:t>
      </w:r>
      <w:r w:rsidR="00E36FE6" w:rsidRPr="004E1DE3">
        <w:rPr>
          <w:lang w:val="en-CA"/>
        </w:rPr>
        <w:t>defendants;</w:t>
      </w:r>
    </w:p>
    <w:p w14:paraId="56B62BB2" w14:textId="77777777" w:rsidR="00E36FE6" w:rsidRPr="004E1DE3" w:rsidRDefault="00573CA9" w:rsidP="006C6D0C">
      <w:pPr>
        <w:pStyle w:val="Paragrdouble"/>
        <w:tabs>
          <w:tab w:val="num" w:pos="851"/>
        </w:tabs>
        <w:spacing w:line="240" w:lineRule="auto"/>
        <w:ind w:left="0"/>
        <w:rPr>
          <w:lang w:val="en-CA"/>
        </w:rPr>
      </w:pPr>
      <w:r w:rsidRPr="004E1DE3">
        <w:rPr>
          <w:b/>
          <w:bCs/>
          <w:lang w:val="en-CA"/>
        </w:rPr>
        <w:t>D</w:t>
      </w:r>
      <w:r w:rsidR="00623309" w:rsidRPr="004E1DE3">
        <w:rPr>
          <w:b/>
          <w:bCs/>
          <w:lang w:val="en-CA"/>
        </w:rPr>
        <w:t>ESCRIBES</w:t>
      </w:r>
      <w:r w:rsidRPr="004E1DE3">
        <w:rPr>
          <w:b/>
          <w:bCs/>
          <w:lang w:val="en-CA"/>
        </w:rPr>
        <w:t xml:space="preserve"> </w:t>
      </w:r>
      <w:r w:rsidR="00623309" w:rsidRPr="004E1DE3">
        <w:rPr>
          <w:lang w:val="en-CA"/>
        </w:rPr>
        <w:t>th</w:t>
      </w:r>
      <w:r w:rsidRPr="004E1DE3">
        <w:rPr>
          <w:lang w:val="en-CA"/>
        </w:rPr>
        <w:t xml:space="preserve">e </w:t>
      </w:r>
      <w:r w:rsidR="00623309" w:rsidRPr="004E1DE3">
        <w:rPr>
          <w:lang w:val="en-CA"/>
        </w:rPr>
        <w:t>Class of members as follows</w:t>
      </w:r>
      <w:r w:rsidRPr="004E1DE3">
        <w:rPr>
          <w:lang w:val="en-CA"/>
        </w:rPr>
        <w:t xml:space="preserve">: </w:t>
      </w:r>
    </w:p>
    <w:p w14:paraId="25B72282" w14:textId="77777777" w:rsidR="00623309" w:rsidRPr="004E1DE3" w:rsidRDefault="00573CA9" w:rsidP="0022546E">
      <w:pPr>
        <w:pStyle w:val="Paragrdouble"/>
        <w:numPr>
          <w:ilvl w:val="0"/>
          <w:numId w:val="0"/>
        </w:numPr>
        <w:spacing w:line="240" w:lineRule="auto"/>
        <w:ind w:left="731"/>
        <w:rPr>
          <w:lang w:val="en-CA"/>
        </w:rPr>
      </w:pPr>
      <w:r w:rsidRPr="004E1DE3">
        <w:rPr>
          <w:lang w:val="en-CA"/>
        </w:rPr>
        <w:t>[</w:t>
      </w:r>
      <w:r w:rsidRPr="004E1DE3">
        <w:rPr>
          <w:smallCaps/>
          <w:lang w:val="en-CA"/>
        </w:rPr>
        <w:t>translation</w:t>
      </w:r>
      <w:r w:rsidRPr="004E1DE3">
        <w:rPr>
          <w:lang w:val="en-CA"/>
        </w:rPr>
        <w:t>]</w:t>
      </w:r>
    </w:p>
    <w:p w14:paraId="7DB39CB4" w14:textId="77777777" w:rsidR="006E50A0" w:rsidRPr="004E1DE3" w:rsidRDefault="00573CA9" w:rsidP="0022546E">
      <w:pPr>
        <w:pStyle w:val="Paragrdouble"/>
        <w:numPr>
          <w:ilvl w:val="0"/>
          <w:numId w:val="0"/>
        </w:numPr>
        <w:spacing w:line="240" w:lineRule="auto"/>
        <w:ind w:left="731"/>
        <w:rPr>
          <w:lang w:val="en-CA"/>
        </w:rPr>
      </w:pPr>
      <w:r w:rsidRPr="004E1DE3">
        <w:rPr>
          <w:lang w:val="en-CA"/>
        </w:rPr>
        <w:t xml:space="preserve">All </w:t>
      </w:r>
      <w:r w:rsidR="00940EDA" w:rsidRPr="004E1DE3">
        <w:rPr>
          <w:lang w:val="en-CA"/>
        </w:rPr>
        <w:t>persons, entit</w:t>
      </w:r>
      <w:r w:rsidRPr="004E1DE3">
        <w:rPr>
          <w:lang w:val="en-CA"/>
        </w:rPr>
        <w:t xml:space="preserve">ies, or </w:t>
      </w:r>
      <w:r w:rsidR="00940EDA" w:rsidRPr="004E1DE3">
        <w:rPr>
          <w:lang w:val="en-CA"/>
        </w:rPr>
        <w:t>organi</w:t>
      </w:r>
      <w:r w:rsidRPr="004E1DE3">
        <w:rPr>
          <w:lang w:val="en-CA"/>
        </w:rPr>
        <w:t>z</w:t>
      </w:r>
      <w:r w:rsidR="00940EDA" w:rsidRPr="004E1DE3">
        <w:rPr>
          <w:lang w:val="en-CA"/>
        </w:rPr>
        <w:t>ations</w:t>
      </w:r>
      <w:r w:rsidRPr="004E1DE3">
        <w:rPr>
          <w:lang w:val="en-CA"/>
        </w:rPr>
        <w:t xml:space="preserve"> residing in </w:t>
      </w:r>
      <w:r w:rsidR="00940EDA" w:rsidRPr="004E1DE3">
        <w:rPr>
          <w:lang w:val="en-CA"/>
        </w:rPr>
        <w:t>Qu</w:t>
      </w:r>
      <w:r w:rsidRPr="004E1DE3">
        <w:rPr>
          <w:lang w:val="en-CA"/>
        </w:rPr>
        <w:t>e</w:t>
      </w:r>
      <w:r w:rsidR="00940EDA" w:rsidRPr="004E1DE3">
        <w:rPr>
          <w:lang w:val="en-CA"/>
        </w:rPr>
        <w:t xml:space="preserve">bec </w:t>
      </w:r>
      <w:r w:rsidRPr="004E1DE3">
        <w:rPr>
          <w:lang w:val="en-CA"/>
        </w:rPr>
        <w:t xml:space="preserve">who had a </w:t>
      </w:r>
      <w:r w:rsidR="00940EDA" w:rsidRPr="004E1DE3">
        <w:rPr>
          <w:lang w:val="en-CA"/>
        </w:rPr>
        <w:t>credit</w:t>
      </w:r>
      <w:r w:rsidRPr="004E1DE3">
        <w:rPr>
          <w:lang w:val="en-CA"/>
        </w:rPr>
        <w:t xml:space="preserve"> </w:t>
      </w:r>
      <w:r w:rsidR="00940EDA" w:rsidRPr="004E1DE3">
        <w:rPr>
          <w:lang w:val="en-CA"/>
        </w:rPr>
        <w:t>card</w:t>
      </w:r>
      <w:r w:rsidRPr="004E1DE3">
        <w:rPr>
          <w:lang w:val="en-CA"/>
        </w:rPr>
        <w:t xml:space="preserve"> issued by </w:t>
      </w:r>
      <w:r w:rsidR="00940EDA" w:rsidRPr="004E1DE3">
        <w:rPr>
          <w:lang w:val="en-CA"/>
        </w:rPr>
        <w:t xml:space="preserve">Capital One </w:t>
      </w:r>
      <w:r w:rsidRPr="004E1DE3">
        <w:rPr>
          <w:lang w:val="en-CA"/>
        </w:rPr>
        <w:t xml:space="preserve">or applied to obtain one and whose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w:t>
      </w:r>
      <w:r w:rsidR="00CE2A8E">
        <w:rPr>
          <w:lang w:val="en-CA"/>
        </w:rPr>
        <w:t>was</w:t>
      </w:r>
      <w:r w:rsidRPr="004E1DE3">
        <w:rPr>
          <w:lang w:val="en-CA"/>
        </w:rPr>
        <w:t xml:space="preserve"> subject to unauthorized access on </w:t>
      </w:r>
      <w:r w:rsidR="00940EDA" w:rsidRPr="004E1DE3">
        <w:rPr>
          <w:lang w:val="en-CA"/>
        </w:rPr>
        <w:t>March</w:t>
      </w:r>
      <w:r w:rsidRPr="004E1DE3">
        <w:rPr>
          <w:lang w:val="en-CA"/>
        </w:rPr>
        <w:t xml:space="preserve"> 22 and 23,</w:t>
      </w:r>
      <w:r w:rsidR="00940EDA" w:rsidRPr="004E1DE3">
        <w:rPr>
          <w:lang w:val="en-CA"/>
        </w:rPr>
        <w:t xml:space="preserve"> 2019.</w:t>
      </w:r>
    </w:p>
    <w:p w14:paraId="6E8FB088" w14:textId="77777777" w:rsidR="00E36FE6" w:rsidRPr="004E1DE3" w:rsidRDefault="00573CA9" w:rsidP="00137452">
      <w:pPr>
        <w:pStyle w:val="Paragrsimple"/>
        <w:tabs>
          <w:tab w:val="clear" w:pos="2062"/>
          <w:tab w:val="clear" w:pos="4755"/>
          <w:tab w:val="num" w:pos="0"/>
        </w:tabs>
        <w:ind w:left="0"/>
        <w:rPr>
          <w:lang w:val="en-CA"/>
        </w:rPr>
      </w:pPr>
      <w:r w:rsidRPr="004E1DE3">
        <w:rPr>
          <w:b/>
          <w:bCs/>
          <w:lang w:val="en-CA"/>
        </w:rPr>
        <w:t xml:space="preserve"> D</w:t>
      </w:r>
      <w:r w:rsidR="00B42B16" w:rsidRPr="004E1DE3">
        <w:rPr>
          <w:b/>
          <w:bCs/>
          <w:lang w:val="en-CA"/>
        </w:rPr>
        <w:t>E</w:t>
      </w:r>
      <w:r w:rsidRPr="004E1DE3">
        <w:rPr>
          <w:b/>
          <w:bCs/>
          <w:lang w:val="en-CA"/>
        </w:rPr>
        <w:t>SIGN</w:t>
      </w:r>
      <w:r w:rsidR="00B42B16" w:rsidRPr="004E1DE3">
        <w:rPr>
          <w:b/>
          <w:bCs/>
          <w:lang w:val="en-CA"/>
        </w:rPr>
        <w:t>AT</w:t>
      </w:r>
      <w:r w:rsidRPr="004E1DE3">
        <w:rPr>
          <w:b/>
          <w:bCs/>
          <w:lang w:val="en-CA"/>
        </w:rPr>
        <w:t>E</w:t>
      </w:r>
      <w:r w:rsidR="00B42B16" w:rsidRPr="004E1DE3">
        <w:rPr>
          <w:b/>
          <w:bCs/>
          <w:lang w:val="en-CA"/>
        </w:rPr>
        <w:t>S</w:t>
      </w:r>
      <w:r w:rsidRPr="004E1DE3">
        <w:rPr>
          <w:b/>
          <w:bCs/>
          <w:lang w:val="en-CA"/>
        </w:rPr>
        <w:t xml:space="preserve"> </w:t>
      </w:r>
      <w:r w:rsidR="00B42B16" w:rsidRPr="004E1DE3">
        <w:rPr>
          <w:lang w:val="en-CA"/>
        </w:rPr>
        <w:t>th</w:t>
      </w:r>
      <w:r w:rsidRPr="004E1DE3">
        <w:rPr>
          <w:lang w:val="en-CA"/>
        </w:rPr>
        <w:t>e</w:t>
      </w:r>
      <w:r w:rsidRPr="004E1DE3">
        <w:rPr>
          <w:b/>
          <w:bCs/>
          <w:lang w:val="en-CA"/>
        </w:rPr>
        <w:t xml:space="preserve"> </w:t>
      </w:r>
      <w:r w:rsidR="00B42B16" w:rsidRPr="004E1DE3">
        <w:rPr>
          <w:lang w:val="en-CA"/>
        </w:rPr>
        <w:t xml:space="preserve">plaintiff </w:t>
      </w:r>
      <w:r w:rsidRPr="004E1DE3">
        <w:rPr>
          <w:lang w:val="en-CA"/>
        </w:rPr>
        <w:t>Michael Royer</w:t>
      </w:r>
      <w:r w:rsidR="00C875DB" w:rsidRPr="004E1DE3">
        <w:rPr>
          <w:lang w:val="en-CA"/>
        </w:rPr>
        <w:t xml:space="preserve"> as representative of the members of the Class</w:t>
      </w:r>
      <w:r w:rsidRPr="004E1DE3">
        <w:rPr>
          <w:lang w:val="en-CA"/>
        </w:rPr>
        <w:t>;</w:t>
      </w:r>
    </w:p>
    <w:p w14:paraId="19743716" w14:textId="77777777" w:rsidR="00512B33" w:rsidRPr="004E1DE3" w:rsidRDefault="00573CA9" w:rsidP="005758A9">
      <w:pPr>
        <w:pStyle w:val="Paragrdouble"/>
        <w:tabs>
          <w:tab w:val="num" w:pos="851"/>
        </w:tabs>
        <w:spacing w:line="240" w:lineRule="auto"/>
        <w:ind w:left="0"/>
        <w:rPr>
          <w:lang w:val="en-CA"/>
        </w:rPr>
      </w:pPr>
      <w:r w:rsidRPr="004E1DE3">
        <w:rPr>
          <w:b/>
          <w:bCs/>
          <w:lang w:val="en-CA"/>
        </w:rPr>
        <w:t>IDENTIFIE</w:t>
      </w:r>
      <w:r w:rsidR="00C875DB" w:rsidRPr="004E1DE3">
        <w:rPr>
          <w:b/>
          <w:bCs/>
          <w:lang w:val="en-CA"/>
        </w:rPr>
        <w:t>S</w:t>
      </w:r>
      <w:r w:rsidRPr="004E1DE3">
        <w:rPr>
          <w:lang w:val="en-CA"/>
        </w:rPr>
        <w:t xml:space="preserve"> </w:t>
      </w:r>
      <w:r w:rsidR="00C875DB" w:rsidRPr="004E1DE3">
        <w:rPr>
          <w:lang w:val="en-CA"/>
        </w:rPr>
        <w:t xml:space="preserve">the common issues to be debated in the </w:t>
      </w:r>
      <w:r w:rsidRPr="004E1DE3">
        <w:rPr>
          <w:lang w:val="en-CA"/>
        </w:rPr>
        <w:t>class</w:t>
      </w:r>
      <w:r w:rsidR="00C875DB" w:rsidRPr="004E1DE3">
        <w:rPr>
          <w:lang w:val="en-CA"/>
        </w:rPr>
        <w:t xml:space="preserve"> </w:t>
      </w:r>
      <w:r w:rsidRPr="004E1DE3">
        <w:rPr>
          <w:lang w:val="en-CA"/>
        </w:rPr>
        <w:t>action</w:t>
      </w:r>
      <w:r w:rsidR="00C875DB" w:rsidRPr="004E1DE3">
        <w:rPr>
          <w:lang w:val="en-CA"/>
        </w:rPr>
        <w:t xml:space="preserve"> as follows</w:t>
      </w:r>
      <w:r w:rsidRPr="004E1DE3">
        <w:rPr>
          <w:lang w:val="en-CA"/>
        </w:rPr>
        <w:t xml:space="preserve">: </w:t>
      </w:r>
    </w:p>
    <w:p w14:paraId="1A720D34" w14:textId="77777777" w:rsidR="000E5FC4" w:rsidRPr="004E1DE3" w:rsidRDefault="00573CA9" w:rsidP="000E5FC4">
      <w:pPr>
        <w:pStyle w:val="Paragrdouble"/>
        <w:numPr>
          <w:ilvl w:val="0"/>
          <w:numId w:val="18"/>
        </w:numPr>
        <w:tabs>
          <w:tab w:val="left" w:pos="851"/>
        </w:tabs>
        <w:spacing w:line="240" w:lineRule="auto"/>
        <w:rPr>
          <w:lang w:val="en-CA"/>
        </w:rPr>
      </w:pPr>
      <w:r w:rsidRPr="004E1DE3">
        <w:rPr>
          <w:lang w:val="en-CA"/>
        </w:rPr>
        <w:lastRenderedPageBreak/>
        <w:t xml:space="preserve">Did the </w:t>
      </w:r>
      <w:r w:rsidR="00940EDA" w:rsidRPr="004E1DE3">
        <w:rPr>
          <w:lang w:val="en-CA"/>
        </w:rPr>
        <w:t xml:space="preserve">Capital One </w:t>
      </w:r>
      <w:r w:rsidRPr="004E1DE3">
        <w:rPr>
          <w:lang w:val="en-CA"/>
        </w:rPr>
        <w:t xml:space="preserve">group defendants commit faults against the </w:t>
      </w:r>
      <w:r w:rsidR="00BE58B5">
        <w:rPr>
          <w:lang w:val="en-CA"/>
        </w:rPr>
        <w:t>C</w:t>
      </w:r>
      <w:r w:rsidR="00CF18FD">
        <w:rPr>
          <w:lang w:val="en-CA"/>
        </w:rPr>
        <w:t xml:space="preserve">lass </w:t>
      </w:r>
      <w:r w:rsidR="00940EDA" w:rsidRPr="004E1DE3">
        <w:rPr>
          <w:lang w:val="en-CA"/>
        </w:rPr>
        <w:t>memb</w:t>
      </w:r>
      <w:r w:rsidRPr="004E1DE3">
        <w:rPr>
          <w:lang w:val="en-CA"/>
        </w:rPr>
        <w:t>e</w:t>
      </w:r>
      <w:r w:rsidR="00940EDA" w:rsidRPr="004E1DE3">
        <w:rPr>
          <w:lang w:val="en-CA"/>
        </w:rPr>
        <w:t>rs</w:t>
      </w:r>
      <w:r w:rsidRPr="004E1DE3">
        <w:rPr>
          <w:lang w:val="en-CA"/>
        </w:rPr>
        <w:t xml:space="preserve"> under the </w:t>
      </w:r>
      <w:r w:rsidR="00940EDA" w:rsidRPr="004E1DE3">
        <w:rPr>
          <w:lang w:val="en-CA"/>
        </w:rPr>
        <w:t>contra</w:t>
      </w:r>
      <w:r w:rsidRPr="004E1DE3">
        <w:rPr>
          <w:lang w:val="en-CA"/>
        </w:rPr>
        <w:t>c</w:t>
      </w:r>
      <w:r w:rsidR="00940EDA" w:rsidRPr="004E1DE3">
        <w:rPr>
          <w:lang w:val="en-CA"/>
        </w:rPr>
        <w:t xml:space="preserve">t </w:t>
      </w:r>
      <w:r w:rsidRPr="004E1DE3">
        <w:rPr>
          <w:lang w:val="en-CA"/>
        </w:rPr>
        <w:t xml:space="preserve">binding the </w:t>
      </w:r>
      <w:r w:rsidR="00940EDA" w:rsidRPr="004E1DE3">
        <w:rPr>
          <w:lang w:val="en-CA"/>
        </w:rPr>
        <w:t xml:space="preserve">parties </w:t>
      </w:r>
      <w:r w:rsidRPr="004E1DE3">
        <w:rPr>
          <w:lang w:val="en-CA"/>
        </w:rPr>
        <w:t xml:space="preserve">with respect to the </w:t>
      </w:r>
      <w:r w:rsidR="00940EDA" w:rsidRPr="004E1DE3">
        <w:rPr>
          <w:lang w:val="en-CA"/>
        </w:rPr>
        <w:t xml:space="preserve">protection </w:t>
      </w:r>
      <w:r w:rsidRPr="004E1DE3">
        <w:rPr>
          <w:lang w:val="en-CA"/>
        </w:rPr>
        <w:t xml:space="preserve">and security of their </w:t>
      </w:r>
      <w:r w:rsidR="00940EDA" w:rsidRPr="004E1DE3">
        <w:rPr>
          <w:lang w:val="en-CA"/>
        </w:rPr>
        <w:t>personal</w:t>
      </w:r>
      <w:r w:rsidRPr="004E1DE3">
        <w:rPr>
          <w:lang w:val="en-CA"/>
        </w:rPr>
        <w:t xml:space="preserve"> </w:t>
      </w:r>
      <w:r w:rsidR="00940EDA" w:rsidRPr="004E1DE3">
        <w:rPr>
          <w:lang w:val="en-CA"/>
        </w:rPr>
        <w:t xml:space="preserve">information </w:t>
      </w:r>
      <w:r w:rsidRPr="004E1DE3">
        <w:rPr>
          <w:lang w:val="en-CA"/>
        </w:rPr>
        <w:t xml:space="preserve">since </w:t>
      </w:r>
      <w:r w:rsidR="00940EDA" w:rsidRPr="004E1DE3">
        <w:rPr>
          <w:lang w:val="en-CA"/>
        </w:rPr>
        <w:t xml:space="preserve">2004, </w:t>
      </w:r>
      <w:r w:rsidRPr="004E1DE3">
        <w:rPr>
          <w:lang w:val="en-CA"/>
        </w:rPr>
        <w:t xml:space="preserve">during the </w:t>
      </w:r>
      <w:r w:rsidR="00940EDA" w:rsidRPr="004E1DE3">
        <w:rPr>
          <w:lang w:val="en-CA"/>
        </w:rPr>
        <w:t xml:space="preserve">migration </w:t>
      </w:r>
      <w:r w:rsidRPr="004E1DE3">
        <w:rPr>
          <w:lang w:val="en-CA"/>
        </w:rPr>
        <w:t xml:space="preserve">of their </w:t>
      </w:r>
      <w:r w:rsidR="00940EDA" w:rsidRPr="004E1DE3">
        <w:rPr>
          <w:lang w:val="en-CA"/>
        </w:rPr>
        <w:t>personal</w:t>
      </w:r>
      <w:r w:rsidRPr="004E1DE3">
        <w:rPr>
          <w:lang w:val="en-CA"/>
        </w:rPr>
        <w:t xml:space="preserve"> </w:t>
      </w:r>
      <w:r w:rsidR="00940EDA" w:rsidRPr="004E1DE3">
        <w:rPr>
          <w:lang w:val="en-CA"/>
        </w:rPr>
        <w:t>information</w:t>
      </w:r>
      <w:r w:rsidRPr="004E1DE3">
        <w:rPr>
          <w:lang w:val="en-CA"/>
        </w:rPr>
        <w:t xml:space="preserve"> to the defendant Amazon’s </w:t>
      </w:r>
      <w:r w:rsidR="00940EDA" w:rsidRPr="004E1DE3">
        <w:rPr>
          <w:lang w:val="en-CA"/>
        </w:rPr>
        <w:t xml:space="preserve">servers </w:t>
      </w:r>
      <w:r w:rsidRPr="004E1DE3">
        <w:rPr>
          <w:lang w:val="en-CA"/>
        </w:rPr>
        <w:t xml:space="preserve">in </w:t>
      </w:r>
      <w:r w:rsidR="00940EDA" w:rsidRPr="004E1DE3">
        <w:rPr>
          <w:lang w:val="en-CA"/>
        </w:rPr>
        <w:t xml:space="preserve">2015 </w:t>
      </w:r>
      <w:r w:rsidRPr="004E1DE3">
        <w:rPr>
          <w:lang w:val="en-CA"/>
        </w:rPr>
        <w:t xml:space="preserve">and </w:t>
      </w:r>
      <w:r w:rsidR="00940EDA" w:rsidRPr="004E1DE3">
        <w:rPr>
          <w:lang w:val="en-CA"/>
        </w:rPr>
        <w:t>subsequently</w:t>
      </w:r>
      <w:r w:rsidRPr="004E1DE3">
        <w:rPr>
          <w:lang w:val="en-CA"/>
        </w:rPr>
        <w:t xml:space="preserve"> to that</w:t>
      </w:r>
      <w:r w:rsidR="00940EDA" w:rsidRPr="004E1DE3">
        <w:rPr>
          <w:lang w:val="en-CA"/>
        </w:rPr>
        <w:t>?</w:t>
      </w:r>
    </w:p>
    <w:p w14:paraId="24713EF0" w14:textId="77777777" w:rsidR="003B430A" w:rsidRPr="004E1DE3" w:rsidRDefault="00573CA9" w:rsidP="000E5FC4">
      <w:pPr>
        <w:pStyle w:val="Paragrdouble"/>
        <w:numPr>
          <w:ilvl w:val="0"/>
          <w:numId w:val="18"/>
        </w:numPr>
        <w:tabs>
          <w:tab w:val="left" w:pos="851"/>
        </w:tabs>
        <w:spacing w:line="240" w:lineRule="auto"/>
        <w:rPr>
          <w:lang w:val="en-CA"/>
        </w:rPr>
      </w:pPr>
      <w:r w:rsidRPr="004E1DE3">
        <w:rPr>
          <w:lang w:val="en-CA"/>
        </w:rPr>
        <w:t xml:space="preserve">Does the </w:t>
      </w:r>
      <w:r w:rsidRPr="004E1DE3">
        <w:rPr>
          <w:i/>
          <w:iCs/>
          <w:lang w:val="en-CA"/>
        </w:rPr>
        <w:t>Personal Information Protection and Electronic Documents Act</w:t>
      </w:r>
      <w:r w:rsidRPr="004E1DE3">
        <w:rPr>
          <w:lang w:val="en-CA"/>
        </w:rPr>
        <w:t xml:space="preserve"> apply to the </w:t>
      </w:r>
      <w:r w:rsidR="00634140" w:rsidRPr="004E1DE3">
        <w:rPr>
          <w:lang w:val="en-CA"/>
        </w:rPr>
        <w:t>defendants?</w:t>
      </w:r>
    </w:p>
    <w:p w14:paraId="278835C3" w14:textId="77777777" w:rsidR="0022341A" w:rsidRPr="004E1DE3" w:rsidRDefault="00573CA9" w:rsidP="00BD01E0">
      <w:pPr>
        <w:pStyle w:val="Paragrdouble"/>
        <w:numPr>
          <w:ilvl w:val="0"/>
          <w:numId w:val="18"/>
        </w:numPr>
        <w:tabs>
          <w:tab w:val="left" w:pos="851"/>
        </w:tabs>
        <w:spacing w:line="240" w:lineRule="auto"/>
        <w:rPr>
          <w:lang w:val="en-CA"/>
        </w:rPr>
      </w:pPr>
      <w:r w:rsidRPr="004E1DE3">
        <w:rPr>
          <w:lang w:val="en-CA"/>
        </w:rPr>
        <w:t xml:space="preserve">Did the </w:t>
      </w:r>
      <w:r w:rsidR="0022546E" w:rsidRPr="004E1DE3">
        <w:rPr>
          <w:lang w:val="en-CA"/>
        </w:rPr>
        <w:t xml:space="preserve">Capital One </w:t>
      </w:r>
      <w:r w:rsidR="00E13EDA" w:rsidRPr="004E1DE3">
        <w:rPr>
          <w:lang w:val="en-CA"/>
        </w:rPr>
        <w:t xml:space="preserve">group defendants and the </w:t>
      </w:r>
      <w:r w:rsidR="0022546E" w:rsidRPr="004E1DE3">
        <w:rPr>
          <w:lang w:val="en-CA"/>
        </w:rPr>
        <w:t xml:space="preserve">Amazon </w:t>
      </w:r>
      <w:r w:rsidR="00E13EDA" w:rsidRPr="004E1DE3">
        <w:rPr>
          <w:lang w:val="en-CA"/>
        </w:rPr>
        <w:t xml:space="preserve">group defendants commit faults against the </w:t>
      </w:r>
      <w:r w:rsidR="00BE58B5">
        <w:rPr>
          <w:lang w:val="en-CA"/>
        </w:rPr>
        <w:t>C</w:t>
      </w:r>
      <w:r w:rsidR="00CF18FD">
        <w:rPr>
          <w:lang w:val="en-CA"/>
        </w:rPr>
        <w:t xml:space="preserve">lass </w:t>
      </w:r>
      <w:r w:rsidR="0022546E" w:rsidRPr="004E1DE3">
        <w:rPr>
          <w:lang w:val="en-CA"/>
        </w:rPr>
        <w:t>memb</w:t>
      </w:r>
      <w:r w:rsidR="00E13EDA" w:rsidRPr="004E1DE3">
        <w:rPr>
          <w:lang w:val="en-CA"/>
        </w:rPr>
        <w:t>e</w:t>
      </w:r>
      <w:r w:rsidR="0022546E" w:rsidRPr="004E1DE3">
        <w:rPr>
          <w:lang w:val="en-CA"/>
        </w:rPr>
        <w:t xml:space="preserve">rs </w:t>
      </w:r>
      <w:r w:rsidR="00E13EDA" w:rsidRPr="004E1DE3">
        <w:rPr>
          <w:lang w:val="en-CA"/>
        </w:rPr>
        <w:t xml:space="preserve">pursuant to the </w:t>
      </w:r>
      <w:r w:rsidR="00E13EDA" w:rsidRPr="004E1DE3">
        <w:rPr>
          <w:i/>
          <w:iCs/>
          <w:lang w:val="en-CA"/>
        </w:rPr>
        <w:t>Act respecting the protection of personal information in the private sector</w:t>
      </w:r>
      <w:r w:rsidR="00E13EDA" w:rsidRPr="004E1DE3">
        <w:rPr>
          <w:lang w:val="en-CA"/>
        </w:rPr>
        <w:t xml:space="preserve"> and the </w:t>
      </w:r>
      <w:r w:rsidR="00E13EDA" w:rsidRPr="004E1DE3">
        <w:rPr>
          <w:lang w:val="en-CA"/>
        </w:rPr>
        <w:br/>
      </w:r>
      <w:r w:rsidR="00E13EDA" w:rsidRPr="004E1DE3">
        <w:rPr>
          <w:i/>
          <w:iCs/>
          <w:lang w:val="en-CA"/>
        </w:rPr>
        <w:t>Personal Information Protection and Electronic Documents Act</w:t>
      </w:r>
      <w:r w:rsidR="00940EDA" w:rsidRPr="004E1DE3">
        <w:rPr>
          <w:lang w:val="en-CA"/>
        </w:rPr>
        <w:t xml:space="preserve"> </w:t>
      </w:r>
      <w:r w:rsidR="00E13EDA" w:rsidRPr="004E1DE3">
        <w:rPr>
          <w:lang w:val="en-CA"/>
        </w:rPr>
        <w:t xml:space="preserve">between </w:t>
      </w:r>
      <w:r w:rsidR="00940EDA" w:rsidRPr="004E1DE3">
        <w:rPr>
          <w:lang w:val="en-CA"/>
        </w:rPr>
        <w:t xml:space="preserve">2004 </w:t>
      </w:r>
      <w:r w:rsidR="00E13EDA" w:rsidRPr="004E1DE3">
        <w:rPr>
          <w:lang w:val="en-CA"/>
        </w:rPr>
        <w:t xml:space="preserve">and the </w:t>
      </w:r>
      <w:r w:rsidR="00940EDA" w:rsidRPr="004E1DE3">
        <w:rPr>
          <w:lang w:val="en-CA"/>
        </w:rPr>
        <w:t xml:space="preserve">date </w:t>
      </w:r>
      <w:r w:rsidR="009158BC" w:rsidRPr="004E1DE3">
        <w:rPr>
          <w:lang w:val="en-CA"/>
        </w:rPr>
        <w:t>of these proceedings</w:t>
      </w:r>
      <w:r w:rsidR="00940EDA" w:rsidRPr="004E1DE3">
        <w:rPr>
          <w:lang w:val="en-CA"/>
        </w:rPr>
        <w:t>?</w:t>
      </w:r>
    </w:p>
    <w:p w14:paraId="2F8332A3" w14:textId="77777777" w:rsidR="003B430A" w:rsidRPr="004E1DE3" w:rsidRDefault="00573CA9" w:rsidP="003B430A">
      <w:pPr>
        <w:pStyle w:val="Paragrdouble"/>
        <w:numPr>
          <w:ilvl w:val="0"/>
          <w:numId w:val="18"/>
        </w:numPr>
        <w:tabs>
          <w:tab w:val="clear" w:pos="4755"/>
          <w:tab w:val="left" w:pos="851"/>
        </w:tabs>
        <w:spacing w:line="240" w:lineRule="auto"/>
        <w:rPr>
          <w:lang w:val="en-CA"/>
        </w:rPr>
      </w:pPr>
      <w:r w:rsidRPr="004E1DE3">
        <w:rPr>
          <w:lang w:val="en-CA"/>
        </w:rPr>
        <w:t xml:space="preserve">Are the Capital One group defendants and the Amazon group defendants liable to pay the </w:t>
      </w:r>
      <w:r w:rsidR="00BE58B5">
        <w:rPr>
          <w:lang w:val="en-CA"/>
        </w:rPr>
        <w:t>C</w:t>
      </w:r>
      <w:r w:rsidR="00CF18FD">
        <w:rPr>
          <w:lang w:val="en-CA"/>
        </w:rPr>
        <w:t xml:space="preserve">lass </w:t>
      </w:r>
      <w:r w:rsidRPr="004E1DE3">
        <w:rPr>
          <w:lang w:val="en-CA"/>
        </w:rPr>
        <w:t>members the costs of monitoring their Capital One credit card accounts and statements for a period greater than two years, and if so, what costs may be claimed</w:t>
      </w:r>
      <w:r w:rsidR="00634140" w:rsidRPr="004E1DE3">
        <w:rPr>
          <w:lang w:val="en-CA"/>
        </w:rPr>
        <w:t>?</w:t>
      </w:r>
    </w:p>
    <w:p w14:paraId="573A64EA" w14:textId="77777777" w:rsidR="003B430A" w:rsidRPr="004E1DE3" w:rsidRDefault="00573CA9" w:rsidP="003B430A">
      <w:pPr>
        <w:pStyle w:val="Paragrdouble"/>
        <w:numPr>
          <w:ilvl w:val="0"/>
          <w:numId w:val="18"/>
        </w:numPr>
        <w:tabs>
          <w:tab w:val="left" w:pos="851"/>
        </w:tabs>
        <w:spacing w:line="240" w:lineRule="auto"/>
        <w:rPr>
          <w:lang w:val="en-CA"/>
        </w:rPr>
      </w:pPr>
      <w:r w:rsidRPr="004E1DE3">
        <w:rPr>
          <w:lang w:val="en-CA"/>
        </w:rPr>
        <w:t xml:space="preserve">Did the Capital One group defendants interfere with the </w:t>
      </w:r>
      <w:r w:rsidR="00BE58B5">
        <w:rPr>
          <w:lang w:val="en-CA"/>
        </w:rPr>
        <w:t>C</w:t>
      </w:r>
      <w:r w:rsidR="00CF18FD">
        <w:rPr>
          <w:lang w:val="en-CA"/>
        </w:rPr>
        <w:t xml:space="preserve">lass </w:t>
      </w:r>
      <w:r w:rsidRPr="004E1DE3">
        <w:rPr>
          <w:lang w:val="en-CA"/>
        </w:rPr>
        <w:t xml:space="preserve">members’ </w:t>
      </w:r>
      <w:r w:rsidR="00940EDA" w:rsidRPr="004E1DE3">
        <w:rPr>
          <w:lang w:val="en-CA"/>
        </w:rPr>
        <w:t>right</w:t>
      </w:r>
      <w:r w:rsidRPr="004E1DE3">
        <w:rPr>
          <w:lang w:val="en-CA"/>
        </w:rPr>
        <w:t xml:space="preserve"> </w:t>
      </w:r>
      <w:r w:rsidR="00940EDA" w:rsidRPr="004E1DE3">
        <w:rPr>
          <w:lang w:val="en-CA"/>
        </w:rPr>
        <w:t>to</w:t>
      </w:r>
      <w:r w:rsidRPr="004E1DE3">
        <w:rPr>
          <w:lang w:val="en-CA"/>
        </w:rPr>
        <w:t xml:space="preserve"> </w:t>
      </w:r>
      <w:r w:rsidR="00940EDA" w:rsidRPr="004E1DE3">
        <w:rPr>
          <w:lang w:val="en-CA"/>
        </w:rPr>
        <w:t>privacy</w:t>
      </w:r>
      <w:r w:rsidRPr="004E1DE3">
        <w:rPr>
          <w:lang w:val="en-CA"/>
        </w:rPr>
        <w:t xml:space="preserve"> under the </w:t>
      </w:r>
      <w:r w:rsidR="00940EDA" w:rsidRPr="004E1DE3">
        <w:rPr>
          <w:i/>
          <w:iCs/>
          <w:lang w:val="en-CA"/>
        </w:rPr>
        <w:t>Charter</w:t>
      </w:r>
      <w:r w:rsidRPr="004E1DE3">
        <w:rPr>
          <w:i/>
          <w:iCs/>
          <w:lang w:val="en-CA"/>
        </w:rPr>
        <w:t xml:space="preserve"> </w:t>
      </w:r>
      <w:r w:rsidR="00940EDA" w:rsidRPr="004E1DE3">
        <w:rPr>
          <w:i/>
          <w:iCs/>
          <w:lang w:val="en-CA"/>
        </w:rPr>
        <w:t>of</w:t>
      </w:r>
      <w:r w:rsidRPr="004E1DE3">
        <w:rPr>
          <w:i/>
          <w:iCs/>
          <w:lang w:val="en-CA"/>
        </w:rPr>
        <w:t xml:space="preserve"> </w:t>
      </w:r>
      <w:r w:rsidR="00940EDA" w:rsidRPr="004E1DE3">
        <w:rPr>
          <w:i/>
          <w:iCs/>
          <w:lang w:val="en-CA"/>
        </w:rPr>
        <w:t>human</w:t>
      </w:r>
      <w:r w:rsidRPr="004E1DE3">
        <w:rPr>
          <w:i/>
          <w:iCs/>
          <w:lang w:val="en-CA"/>
        </w:rPr>
        <w:t xml:space="preserve"> </w:t>
      </w:r>
      <w:r w:rsidR="00940EDA" w:rsidRPr="004E1DE3">
        <w:rPr>
          <w:i/>
          <w:iCs/>
          <w:lang w:val="en-CA"/>
        </w:rPr>
        <w:t>rights</w:t>
      </w:r>
      <w:r w:rsidRPr="004E1DE3">
        <w:rPr>
          <w:i/>
          <w:iCs/>
          <w:lang w:val="en-CA"/>
        </w:rPr>
        <w:t xml:space="preserve"> </w:t>
      </w:r>
      <w:r w:rsidR="00940EDA" w:rsidRPr="004E1DE3">
        <w:rPr>
          <w:i/>
          <w:iCs/>
          <w:lang w:val="en-CA"/>
        </w:rPr>
        <w:t>and</w:t>
      </w:r>
      <w:r w:rsidRPr="004E1DE3">
        <w:rPr>
          <w:i/>
          <w:iCs/>
          <w:lang w:val="en-CA"/>
        </w:rPr>
        <w:t xml:space="preserve"> </w:t>
      </w:r>
      <w:r w:rsidR="00940EDA" w:rsidRPr="004E1DE3">
        <w:rPr>
          <w:i/>
          <w:iCs/>
          <w:lang w:val="en-CA"/>
        </w:rPr>
        <w:t>freedoms</w:t>
      </w:r>
      <w:r w:rsidR="00940EDA" w:rsidRPr="004E1DE3">
        <w:rPr>
          <w:lang w:val="en-CA"/>
        </w:rPr>
        <w:t>?</w:t>
      </w:r>
    </w:p>
    <w:p w14:paraId="763E4CB5" w14:textId="77777777" w:rsidR="003B430A" w:rsidRPr="004E1DE3" w:rsidRDefault="00573CA9" w:rsidP="003B430A">
      <w:pPr>
        <w:pStyle w:val="Paragrdouble"/>
        <w:numPr>
          <w:ilvl w:val="0"/>
          <w:numId w:val="18"/>
        </w:numPr>
        <w:tabs>
          <w:tab w:val="clear" w:pos="4755"/>
          <w:tab w:val="left" w:pos="851"/>
        </w:tabs>
        <w:spacing w:line="240" w:lineRule="auto"/>
        <w:rPr>
          <w:lang w:val="en-CA"/>
        </w:rPr>
      </w:pPr>
      <w:r w:rsidRPr="004E1DE3">
        <w:rPr>
          <w:lang w:val="en-CA"/>
        </w:rPr>
        <w:t xml:space="preserve">Are the Capital One group defendants liable for </w:t>
      </w:r>
      <w:r w:rsidR="000B5771" w:rsidRPr="004E1DE3">
        <w:rPr>
          <w:lang w:val="en-CA"/>
        </w:rPr>
        <w:t>punitive</w:t>
      </w:r>
      <w:r w:rsidRPr="004E1DE3">
        <w:rPr>
          <w:lang w:val="en-CA"/>
        </w:rPr>
        <w:t xml:space="preserve"> </w:t>
      </w:r>
      <w:r w:rsidR="000B5771" w:rsidRPr="004E1DE3">
        <w:rPr>
          <w:lang w:val="en-CA"/>
        </w:rPr>
        <w:t>damages</w:t>
      </w:r>
      <w:r w:rsidRPr="004E1DE3">
        <w:rPr>
          <w:lang w:val="en-CA"/>
        </w:rPr>
        <w:t xml:space="preserve"> to the </w:t>
      </w:r>
      <w:r w:rsidR="00BE58B5">
        <w:rPr>
          <w:lang w:val="en-CA"/>
        </w:rPr>
        <w:t>C</w:t>
      </w:r>
      <w:r w:rsidR="00CF18FD">
        <w:rPr>
          <w:lang w:val="en-CA"/>
        </w:rPr>
        <w:t xml:space="preserve">lass </w:t>
      </w:r>
      <w:r w:rsidRPr="004E1DE3">
        <w:rPr>
          <w:lang w:val="en-CA"/>
        </w:rPr>
        <w:t>members, and if so, in what amount</w:t>
      </w:r>
      <w:r w:rsidR="000B5771" w:rsidRPr="004E1DE3">
        <w:rPr>
          <w:lang w:val="en-CA"/>
        </w:rPr>
        <w:t>?</w:t>
      </w:r>
    </w:p>
    <w:p w14:paraId="4F11A494" w14:textId="77777777" w:rsidR="00E82135" w:rsidRPr="004E1DE3" w:rsidRDefault="00573CA9" w:rsidP="007D1A3F">
      <w:pPr>
        <w:pStyle w:val="Paragrdouble"/>
        <w:tabs>
          <w:tab w:val="num" w:pos="851"/>
        </w:tabs>
        <w:spacing w:line="240" w:lineRule="auto"/>
        <w:ind w:left="0"/>
        <w:rPr>
          <w:lang w:val="en-CA"/>
        </w:rPr>
      </w:pPr>
      <w:r w:rsidRPr="004E1DE3">
        <w:rPr>
          <w:b/>
          <w:bCs/>
          <w:lang w:val="en-CA"/>
        </w:rPr>
        <w:t>IDENTIFIE</w:t>
      </w:r>
      <w:r w:rsidR="00527546" w:rsidRPr="004E1DE3">
        <w:rPr>
          <w:b/>
          <w:bCs/>
          <w:lang w:val="en-CA"/>
        </w:rPr>
        <w:t>S</w:t>
      </w:r>
      <w:r w:rsidRPr="004E1DE3">
        <w:rPr>
          <w:b/>
          <w:bCs/>
          <w:lang w:val="en-CA"/>
        </w:rPr>
        <w:t xml:space="preserve"> </w:t>
      </w:r>
      <w:r w:rsidR="00527546" w:rsidRPr="004E1DE3">
        <w:rPr>
          <w:lang w:val="en-CA"/>
        </w:rPr>
        <w:t xml:space="preserve">the </w:t>
      </w:r>
      <w:r w:rsidRPr="004E1DE3">
        <w:rPr>
          <w:lang w:val="en-CA"/>
        </w:rPr>
        <w:t xml:space="preserve">conclusions </w:t>
      </w:r>
      <w:r w:rsidR="00527546" w:rsidRPr="004E1DE3">
        <w:rPr>
          <w:lang w:val="en-CA"/>
        </w:rPr>
        <w:t>sought as follows</w:t>
      </w:r>
      <w:r w:rsidRPr="004E1DE3">
        <w:rPr>
          <w:lang w:val="en-CA"/>
        </w:rPr>
        <w:t>:</w:t>
      </w:r>
    </w:p>
    <w:p w14:paraId="72E3A019" w14:textId="77777777" w:rsidR="00075DE4" w:rsidRPr="004E1DE3" w:rsidRDefault="00573CA9" w:rsidP="000B5771">
      <w:pPr>
        <w:pStyle w:val="Paragrdouble"/>
        <w:numPr>
          <w:ilvl w:val="0"/>
          <w:numId w:val="32"/>
        </w:numPr>
        <w:tabs>
          <w:tab w:val="clear" w:pos="4755"/>
        </w:tabs>
        <w:spacing w:line="240" w:lineRule="auto"/>
        <w:ind w:left="1276"/>
        <w:rPr>
          <w:lang w:val="en-CA"/>
        </w:rPr>
      </w:pPr>
      <w:r w:rsidRPr="004E1DE3">
        <w:rPr>
          <w:b/>
          <w:bCs/>
          <w:lang w:val="en-CA"/>
        </w:rPr>
        <w:t>GRANT</w:t>
      </w:r>
      <w:r w:rsidR="00940EDA" w:rsidRPr="004E1DE3">
        <w:rPr>
          <w:lang w:val="en-CA"/>
        </w:rPr>
        <w:t xml:space="preserve"> </w:t>
      </w:r>
      <w:r w:rsidRPr="004E1DE3">
        <w:rPr>
          <w:lang w:val="en-CA"/>
        </w:rPr>
        <w:t xml:space="preserve">the </w:t>
      </w:r>
      <w:r w:rsidR="00940EDA" w:rsidRPr="004E1DE3">
        <w:rPr>
          <w:lang w:val="en-CA"/>
        </w:rPr>
        <w:t>class</w:t>
      </w:r>
      <w:r w:rsidRPr="004E1DE3">
        <w:rPr>
          <w:lang w:val="en-CA"/>
        </w:rPr>
        <w:t xml:space="preserve"> </w:t>
      </w:r>
      <w:r w:rsidR="00940EDA" w:rsidRPr="004E1DE3">
        <w:rPr>
          <w:lang w:val="en-CA"/>
        </w:rPr>
        <w:t>action</w:t>
      </w:r>
      <w:r w:rsidRPr="004E1DE3">
        <w:rPr>
          <w:lang w:val="en-CA"/>
        </w:rPr>
        <w:t xml:space="preserve"> instituted by the plaintiff </w:t>
      </w:r>
      <w:r w:rsidR="00940EDA" w:rsidRPr="004E1DE3">
        <w:rPr>
          <w:lang w:val="en-CA"/>
        </w:rPr>
        <w:t xml:space="preserve">Michael Royer </w:t>
      </w:r>
      <w:r w:rsidRPr="004E1DE3">
        <w:rPr>
          <w:lang w:val="en-CA"/>
        </w:rPr>
        <w:t xml:space="preserve">against all the </w:t>
      </w:r>
      <w:r w:rsidR="00940EDA" w:rsidRPr="004E1DE3">
        <w:rPr>
          <w:lang w:val="en-CA"/>
        </w:rPr>
        <w:t>defendants;</w:t>
      </w:r>
    </w:p>
    <w:p w14:paraId="2181D339" w14:textId="77777777" w:rsidR="00EC7515" w:rsidRPr="004E1DE3" w:rsidRDefault="00573CA9" w:rsidP="000B5771">
      <w:pPr>
        <w:pStyle w:val="Paragrdouble"/>
        <w:numPr>
          <w:ilvl w:val="0"/>
          <w:numId w:val="32"/>
        </w:numPr>
        <w:tabs>
          <w:tab w:val="clear" w:pos="4755"/>
        </w:tabs>
        <w:spacing w:line="240" w:lineRule="auto"/>
        <w:ind w:left="1276"/>
        <w:rPr>
          <w:lang w:val="en-CA"/>
        </w:rPr>
      </w:pPr>
      <w:r w:rsidRPr="004E1DE3">
        <w:rPr>
          <w:b/>
          <w:bCs/>
          <w:lang w:val="en-CA"/>
        </w:rPr>
        <w:t>D</w:t>
      </w:r>
      <w:r w:rsidR="009B2F65" w:rsidRPr="004E1DE3">
        <w:rPr>
          <w:b/>
          <w:bCs/>
          <w:lang w:val="en-CA"/>
        </w:rPr>
        <w:t>E</w:t>
      </w:r>
      <w:r w:rsidRPr="004E1DE3">
        <w:rPr>
          <w:b/>
          <w:bCs/>
          <w:lang w:val="en-CA"/>
        </w:rPr>
        <w:t>CLARE</w:t>
      </w:r>
      <w:r w:rsidRPr="004E1DE3">
        <w:rPr>
          <w:lang w:val="en-CA"/>
        </w:rPr>
        <w:t xml:space="preserve"> </w:t>
      </w:r>
      <w:r w:rsidR="009B2F65" w:rsidRPr="004E1DE3">
        <w:rPr>
          <w:lang w:val="en-CA"/>
        </w:rPr>
        <w:t xml:space="preserve">that the </w:t>
      </w:r>
      <w:r w:rsidRPr="004E1DE3">
        <w:rPr>
          <w:lang w:val="en-CA"/>
        </w:rPr>
        <w:t>defendants Capital One Bank (Canada Branch)</w:t>
      </w:r>
      <w:r w:rsidR="009B2F65" w:rsidRPr="004E1DE3">
        <w:rPr>
          <w:lang w:val="en-CA"/>
        </w:rPr>
        <w:t>,</w:t>
      </w:r>
      <w:r w:rsidRPr="004E1DE3">
        <w:rPr>
          <w:lang w:val="en-CA"/>
        </w:rPr>
        <w:t xml:space="preserve"> Capital (Financial Corporation)</w:t>
      </w:r>
      <w:r w:rsidR="009B2F65" w:rsidRPr="004E1DE3">
        <w:rPr>
          <w:lang w:val="en-CA"/>
        </w:rPr>
        <w:t>, and</w:t>
      </w:r>
      <w:r w:rsidRPr="004E1DE3">
        <w:rPr>
          <w:lang w:val="en-CA"/>
        </w:rPr>
        <w:t xml:space="preserve"> Capital One Bank (USA) National Association </w:t>
      </w:r>
      <w:r w:rsidR="009B2F65" w:rsidRPr="004E1DE3">
        <w:rPr>
          <w:lang w:val="en-CA"/>
        </w:rPr>
        <w:t xml:space="preserve">committed one or several </w:t>
      </w:r>
      <w:r w:rsidRPr="004E1DE3">
        <w:rPr>
          <w:lang w:val="en-CA"/>
        </w:rPr>
        <w:t>contractual</w:t>
      </w:r>
      <w:r w:rsidR="009B2F65" w:rsidRPr="004E1DE3">
        <w:rPr>
          <w:lang w:val="en-CA"/>
        </w:rPr>
        <w:t xml:space="preserve"> </w:t>
      </w:r>
      <w:r w:rsidRPr="004E1DE3">
        <w:rPr>
          <w:lang w:val="en-CA"/>
        </w:rPr>
        <w:t>faults</w:t>
      </w:r>
      <w:r w:rsidR="009B2F65" w:rsidRPr="004E1DE3">
        <w:rPr>
          <w:lang w:val="en-CA"/>
        </w:rPr>
        <w:t xml:space="preserve"> against the</w:t>
      </w:r>
      <w:r w:rsidR="00CF18FD">
        <w:rPr>
          <w:lang w:val="en-CA"/>
        </w:rPr>
        <w:t xml:space="preserve"> </w:t>
      </w:r>
      <w:r w:rsidR="00BE58B5">
        <w:rPr>
          <w:lang w:val="en-CA"/>
        </w:rPr>
        <w:t>C</w:t>
      </w:r>
      <w:r w:rsidR="00CF18FD">
        <w:rPr>
          <w:lang w:val="en-CA"/>
        </w:rPr>
        <w:t>lass</w:t>
      </w:r>
      <w:r w:rsidR="009B2F65" w:rsidRPr="004E1DE3">
        <w:rPr>
          <w:lang w:val="en-CA"/>
        </w:rPr>
        <w:t xml:space="preserve"> </w:t>
      </w:r>
      <w:r w:rsidRPr="004E1DE3">
        <w:rPr>
          <w:lang w:val="en-CA"/>
        </w:rPr>
        <w:t>memb</w:t>
      </w:r>
      <w:r w:rsidR="009B2F65" w:rsidRPr="004E1DE3">
        <w:rPr>
          <w:lang w:val="en-CA"/>
        </w:rPr>
        <w:t>e</w:t>
      </w:r>
      <w:r w:rsidRPr="004E1DE3">
        <w:rPr>
          <w:lang w:val="en-CA"/>
        </w:rPr>
        <w:t>rs;</w:t>
      </w:r>
    </w:p>
    <w:p w14:paraId="0C90FA2B" w14:textId="77777777" w:rsidR="00EC7515" w:rsidRPr="004E1DE3" w:rsidRDefault="00573CA9" w:rsidP="000B5771">
      <w:pPr>
        <w:pStyle w:val="Paragrdouble"/>
        <w:numPr>
          <w:ilvl w:val="0"/>
          <w:numId w:val="32"/>
        </w:numPr>
        <w:tabs>
          <w:tab w:val="clear" w:pos="4755"/>
        </w:tabs>
        <w:spacing w:line="240" w:lineRule="auto"/>
        <w:ind w:left="1276"/>
        <w:rPr>
          <w:lang w:val="en-CA"/>
        </w:rPr>
      </w:pPr>
      <w:r w:rsidRPr="004E1DE3">
        <w:rPr>
          <w:b/>
          <w:bCs/>
          <w:lang w:val="en-CA"/>
        </w:rPr>
        <w:t>D</w:t>
      </w:r>
      <w:r w:rsidR="009B2F65" w:rsidRPr="004E1DE3">
        <w:rPr>
          <w:b/>
          <w:bCs/>
          <w:lang w:val="en-CA"/>
        </w:rPr>
        <w:t>E</w:t>
      </w:r>
      <w:r w:rsidRPr="004E1DE3">
        <w:rPr>
          <w:b/>
          <w:bCs/>
          <w:lang w:val="en-CA"/>
        </w:rPr>
        <w:t xml:space="preserve">CLARE </w:t>
      </w:r>
      <w:r w:rsidR="009B2F65" w:rsidRPr="004E1DE3">
        <w:rPr>
          <w:lang w:val="en-CA"/>
        </w:rPr>
        <w:t xml:space="preserve">that the </w:t>
      </w:r>
      <w:r w:rsidRPr="004E1DE3">
        <w:rPr>
          <w:lang w:val="en-CA"/>
        </w:rPr>
        <w:t>defendants</w:t>
      </w:r>
      <w:r w:rsidRPr="004E1DE3">
        <w:rPr>
          <w:b/>
          <w:bCs/>
          <w:lang w:val="en-CA"/>
        </w:rPr>
        <w:t xml:space="preserve"> </w:t>
      </w:r>
      <w:r w:rsidRPr="004E1DE3">
        <w:rPr>
          <w:lang w:val="en-CA"/>
        </w:rPr>
        <w:t>Capital One Bank (Canada Branch)</w:t>
      </w:r>
      <w:r w:rsidR="009B2F65" w:rsidRPr="004E1DE3">
        <w:rPr>
          <w:lang w:val="en-CA"/>
        </w:rPr>
        <w:t>,</w:t>
      </w:r>
      <w:r w:rsidRPr="004E1DE3">
        <w:rPr>
          <w:lang w:val="en-CA"/>
        </w:rPr>
        <w:t xml:space="preserve"> Capital (Financial Corporation)</w:t>
      </w:r>
      <w:r w:rsidR="009B2F65" w:rsidRPr="004E1DE3">
        <w:rPr>
          <w:lang w:val="en-CA"/>
        </w:rPr>
        <w:t>, and</w:t>
      </w:r>
      <w:r w:rsidRPr="004E1DE3">
        <w:rPr>
          <w:lang w:val="en-CA"/>
        </w:rPr>
        <w:t xml:space="preserve"> Capital One Bank (USA) National Association, Amazon.com </w:t>
      </w:r>
      <w:r w:rsidR="009B2F65" w:rsidRPr="004E1DE3">
        <w:rPr>
          <w:lang w:val="en-CA"/>
        </w:rPr>
        <w:t>I</w:t>
      </w:r>
      <w:r w:rsidRPr="004E1DE3">
        <w:rPr>
          <w:lang w:val="en-CA"/>
        </w:rPr>
        <w:t xml:space="preserve">nc., Amazon.com.ca </w:t>
      </w:r>
      <w:r w:rsidR="009B2F65" w:rsidRPr="004E1DE3">
        <w:rPr>
          <w:lang w:val="en-CA"/>
        </w:rPr>
        <w:t>I</w:t>
      </w:r>
      <w:r w:rsidRPr="004E1DE3">
        <w:rPr>
          <w:lang w:val="en-CA"/>
        </w:rPr>
        <w:t xml:space="preserve">nc., Amazon Web Services Canada </w:t>
      </w:r>
      <w:r w:rsidR="009B2F65" w:rsidRPr="004E1DE3">
        <w:rPr>
          <w:lang w:val="en-CA"/>
        </w:rPr>
        <w:t>I</w:t>
      </w:r>
      <w:r w:rsidRPr="004E1DE3">
        <w:rPr>
          <w:lang w:val="en-CA"/>
        </w:rPr>
        <w:t xml:space="preserve">nc., Amazon Web Services </w:t>
      </w:r>
      <w:r w:rsidR="009B2F65" w:rsidRPr="004E1DE3">
        <w:rPr>
          <w:lang w:val="en-CA"/>
        </w:rPr>
        <w:t>I</w:t>
      </w:r>
      <w:r w:rsidRPr="004E1DE3">
        <w:rPr>
          <w:lang w:val="en-CA"/>
        </w:rPr>
        <w:t>nc.</w:t>
      </w:r>
      <w:r w:rsidR="009B2F65" w:rsidRPr="004E1DE3">
        <w:rPr>
          <w:lang w:val="en-CA"/>
        </w:rPr>
        <w:t>, and</w:t>
      </w:r>
      <w:r w:rsidRPr="004E1DE3">
        <w:rPr>
          <w:lang w:val="en-CA"/>
        </w:rPr>
        <w:t xml:space="preserve"> Amazon Technologies </w:t>
      </w:r>
      <w:r w:rsidR="009B2F65" w:rsidRPr="004E1DE3">
        <w:rPr>
          <w:lang w:val="en-CA"/>
        </w:rPr>
        <w:t>I</w:t>
      </w:r>
      <w:r w:rsidRPr="004E1DE3">
        <w:rPr>
          <w:lang w:val="en-CA"/>
        </w:rPr>
        <w:t xml:space="preserve">nc. </w:t>
      </w:r>
      <w:r w:rsidR="009B2F65" w:rsidRPr="004E1DE3">
        <w:rPr>
          <w:lang w:val="en-CA"/>
        </w:rPr>
        <w:t>infringed</w:t>
      </w:r>
      <w:r w:rsidR="006C5BB8">
        <w:rPr>
          <w:lang w:val="en-CA"/>
        </w:rPr>
        <w:t xml:space="preserve"> the</w:t>
      </w:r>
      <w:r w:rsidR="009B2F65" w:rsidRPr="004E1DE3">
        <w:rPr>
          <w:lang w:val="en-CA"/>
        </w:rPr>
        <w:t xml:space="preserve"> </w:t>
      </w:r>
      <w:r w:rsidR="009B2F65" w:rsidRPr="004E1DE3">
        <w:rPr>
          <w:i/>
          <w:iCs/>
          <w:lang w:val="en-CA"/>
        </w:rPr>
        <w:t>Act respecting the protection of personal information in the private sector</w:t>
      </w:r>
      <w:r w:rsidR="009B2F65" w:rsidRPr="004E1DE3">
        <w:rPr>
          <w:lang w:val="en-CA"/>
        </w:rPr>
        <w:t xml:space="preserve"> and the </w:t>
      </w:r>
      <w:r w:rsidR="009B2F65" w:rsidRPr="004E1DE3">
        <w:rPr>
          <w:lang w:val="en-CA"/>
        </w:rPr>
        <w:br/>
      </w:r>
      <w:r w:rsidR="009B2F65" w:rsidRPr="004E1DE3">
        <w:rPr>
          <w:i/>
          <w:iCs/>
          <w:lang w:val="en-CA"/>
        </w:rPr>
        <w:t>Personal Information Protection and Electronic Documents Act</w:t>
      </w:r>
      <w:r w:rsidRPr="004E1DE3">
        <w:rPr>
          <w:lang w:val="en-CA"/>
        </w:rPr>
        <w:t>;</w:t>
      </w:r>
    </w:p>
    <w:p w14:paraId="30D9E989" w14:textId="77777777" w:rsidR="00634140" w:rsidRPr="004E1DE3" w:rsidRDefault="00573CA9" w:rsidP="000B5771">
      <w:pPr>
        <w:pStyle w:val="Paragrdouble"/>
        <w:numPr>
          <w:ilvl w:val="0"/>
          <w:numId w:val="32"/>
        </w:numPr>
        <w:tabs>
          <w:tab w:val="clear" w:pos="4755"/>
        </w:tabs>
        <w:spacing w:line="240" w:lineRule="auto"/>
        <w:ind w:left="1276"/>
        <w:rPr>
          <w:lang w:val="en-CA"/>
        </w:rPr>
      </w:pPr>
      <w:r w:rsidRPr="004E1DE3">
        <w:rPr>
          <w:b/>
          <w:bCs/>
          <w:lang w:val="en-CA"/>
        </w:rPr>
        <w:lastRenderedPageBreak/>
        <w:t>D</w:t>
      </w:r>
      <w:r w:rsidR="009B2F65" w:rsidRPr="004E1DE3">
        <w:rPr>
          <w:b/>
          <w:bCs/>
          <w:lang w:val="en-CA"/>
        </w:rPr>
        <w:t>E</w:t>
      </w:r>
      <w:r w:rsidRPr="004E1DE3">
        <w:rPr>
          <w:b/>
          <w:bCs/>
          <w:lang w:val="en-CA"/>
        </w:rPr>
        <w:t>TERMINE</w:t>
      </w:r>
      <w:r w:rsidRPr="004E1DE3">
        <w:rPr>
          <w:lang w:val="en-CA"/>
        </w:rPr>
        <w:t xml:space="preserve"> </w:t>
      </w:r>
      <w:r w:rsidR="009B2F65" w:rsidRPr="004E1DE3">
        <w:rPr>
          <w:lang w:val="en-CA"/>
        </w:rPr>
        <w:t>th</w:t>
      </w:r>
      <w:r w:rsidRPr="004E1DE3">
        <w:rPr>
          <w:lang w:val="en-CA"/>
        </w:rPr>
        <w:t xml:space="preserve">e </w:t>
      </w:r>
      <w:r w:rsidR="009B2F65" w:rsidRPr="004E1DE3">
        <w:rPr>
          <w:lang w:val="en-CA"/>
        </w:rPr>
        <w:t xml:space="preserve">amount of the costs required to monitor the credit card accounts and statements of the </w:t>
      </w:r>
      <w:r w:rsidR="00BE58B5">
        <w:rPr>
          <w:lang w:val="en-CA"/>
        </w:rPr>
        <w:t xml:space="preserve">Class </w:t>
      </w:r>
      <w:r w:rsidR="00F21EE1" w:rsidRPr="004E1DE3">
        <w:rPr>
          <w:lang w:val="en-CA"/>
        </w:rPr>
        <w:t>members</w:t>
      </w:r>
      <w:r w:rsidRPr="004E1DE3">
        <w:rPr>
          <w:lang w:val="en-CA"/>
        </w:rPr>
        <w:t xml:space="preserve">, </w:t>
      </w:r>
      <w:r w:rsidR="007547C7" w:rsidRPr="004E1DE3">
        <w:rPr>
          <w:lang w:val="en-CA"/>
        </w:rPr>
        <w:t xml:space="preserve">for a </w:t>
      </w:r>
      <w:r w:rsidRPr="004E1DE3">
        <w:rPr>
          <w:lang w:val="en-CA"/>
        </w:rPr>
        <w:t>reasonably</w:t>
      </w:r>
      <w:r w:rsidR="007547C7" w:rsidRPr="004E1DE3">
        <w:rPr>
          <w:lang w:val="en-CA"/>
        </w:rPr>
        <w:t xml:space="preserve"> foreseeable period, as </w:t>
      </w:r>
      <w:r w:rsidR="00A15976" w:rsidRPr="004E1DE3">
        <w:rPr>
          <w:lang w:val="en-CA"/>
        </w:rPr>
        <w:t xml:space="preserve">a </w:t>
      </w:r>
      <w:r w:rsidRPr="004E1DE3">
        <w:rPr>
          <w:lang w:val="en-CA"/>
        </w:rPr>
        <w:t>cons</w:t>
      </w:r>
      <w:r w:rsidR="00A15976" w:rsidRPr="004E1DE3">
        <w:rPr>
          <w:lang w:val="en-CA"/>
        </w:rPr>
        <w:t>e</w:t>
      </w:r>
      <w:r w:rsidRPr="004E1DE3">
        <w:rPr>
          <w:lang w:val="en-CA"/>
        </w:rPr>
        <w:t xml:space="preserve">quence </w:t>
      </w:r>
      <w:r w:rsidR="00A15976" w:rsidRPr="004E1DE3">
        <w:rPr>
          <w:lang w:val="en-CA"/>
        </w:rPr>
        <w:t xml:space="preserve">of the events that occurred on </w:t>
      </w:r>
      <w:r w:rsidRPr="004E1DE3">
        <w:rPr>
          <w:lang w:val="en-CA"/>
        </w:rPr>
        <w:t>March</w:t>
      </w:r>
      <w:r w:rsidR="00A15976" w:rsidRPr="004E1DE3">
        <w:rPr>
          <w:lang w:val="en-CA"/>
        </w:rPr>
        <w:t xml:space="preserve"> 22 and 23, 2019, and </w:t>
      </w:r>
      <w:r w:rsidRPr="004E1DE3">
        <w:rPr>
          <w:b/>
          <w:bCs/>
          <w:lang w:val="en-CA"/>
        </w:rPr>
        <w:t>COND</w:t>
      </w:r>
      <w:r w:rsidR="00A15976" w:rsidRPr="004E1DE3">
        <w:rPr>
          <w:b/>
          <w:bCs/>
          <w:lang w:val="en-CA"/>
        </w:rPr>
        <w:t>EMN</w:t>
      </w:r>
      <w:r w:rsidR="00903815" w:rsidRPr="004E1DE3">
        <w:rPr>
          <w:lang w:val="en-CA"/>
        </w:rPr>
        <w:t xml:space="preserve"> </w:t>
      </w:r>
      <w:r w:rsidR="00A15976" w:rsidRPr="004E1DE3">
        <w:rPr>
          <w:lang w:val="en-CA"/>
        </w:rPr>
        <w:t xml:space="preserve">the </w:t>
      </w:r>
      <w:r w:rsidR="00903815" w:rsidRPr="004E1DE3">
        <w:rPr>
          <w:lang w:val="en-CA"/>
        </w:rPr>
        <w:t>defendants solida</w:t>
      </w:r>
      <w:r w:rsidR="00A15976" w:rsidRPr="004E1DE3">
        <w:rPr>
          <w:lang w:val="en-CA"/>
        </w:rPr>
        <w:t xml:space="preserve">rily to pay the </w:t>
      </w:r>
      <w:r w:rsidR="00BE58B5">
        <w:rPr>
          <w:lang w:val="en-CA"/>
        </w:rPr>
        <w:t>C</w:t>
      </w:r>
      <w:r w:rsidR="00CF18FD">
        <w:rPr>
          <w:lang w:val="en-CA"/>
        </w:rPr>
        <w:t xml:space="preserve">lass </w:t>
      </w:r>
      <w:r w:rsidR="00A15976" w:rsidRPr="004E1DE3">
        <w:rPr>
          <w:lang w:val="en-CA"/>
        </w:rPr>
        <w:t>members the amount of these costs</w:t>
      </w:r>
      <w:r w:rsidR="00903815" w:rsidRPr="004E1DE3">
        <w:rPr>
          <w:lang w:val="en-CA"/>
        </w:rPr>
        <w:t>;</w:t>
      </w:r>
    </w:p>
    <w:p w14:paraId="32E1032A" w14:textId="77777777" w:rsidR="008C2493" w:rsidRPr="004E1DE3" w:rsidRDefault="00573CA9" w:rsidP="000B5771">
      <w:pPr>
        <w:pStyle w:val="Paragrdouble"/>
        <w:numPr>
          <w:ilvl w:val="0"/>
          <w:numId w:val="32"/>
        </w:numPr>
        <w:tabs>
          <w:tab w:val="clear" w:pos="4755"/>
        </w:tabs>
        <w:spacing w:line="240" w:lineRule="auto"/>
        <w:ind w:left="1276"/>
        <w:rPr>
          <w:lang w:val="en-CA"/>
        </w:rPr>
      </w:pPr>
      <w:r w:rsidRPr="004E1DE3">
        <w:rPr>
          <w:b/>
          <w:bCs/>
          <w:lang w:val="en-CA"/>
        </w:rPr>
        <w:t>D</w:t>
      </w:r>
      <w:r w:rsidR="00A15976" w:rsidRPr="004E1DE3">
        <w:rPr>
          <w:b/>
          <w:bCs/>
          <w:lang w:val="en-CA"/>
        </w:rPr>
        <w:t>E</w:t>
      </w:r>
      <w:r w:rsidRPr="004E1DE3">
        <w:rPr>
          <w:b/>
          <w:bCs/>
          <w:lang w:val="en-CA"/>
        </w:rPr>
        <w:t xml:space="preserve">CLARE </w:t>
      </w:r>
      <w:r w:rsidR="00A15976" w:rsidRPr="004E1DE3">
        <w:rPr>
          <w:lang w:val="en-CA"/>
        </w:rPr>
        <w:t xml:space="preserve">that the </w:t>
      </w:r>
      <w:r w:rsidRPr="004E1DE3">
        <w:rPr>
          <w:lang w:val="en-CA"/>
        </w:rPr>
        <w:t>defendant</w:t>
      </w:r>
      <w:r w:rsidR="00A15976" w:rsidRPr="004E1DE3">
        <w:rPr>
          <w:lang w:val="en-CA"/>
        </w:rPr>
        <w:t>s</w:t>
      </w:r>
      <w:r w:rsidRPr="004E1DE3">
        <w:rPr>
          <w:b/>
          <w:bCs/>
          <w:lang w:val="en-CA"/>
        </w:rPr>
        <w:t xml:space="preserve"> </w:t>
      </w:r>
      <w:r w:rsidR="00385448" w:rsidRPr="004E1DE3">
        <w:rPr>
          <w:lang w:val="en-CA"/>
        </w:rPr>
        <w:t>Capital One Bank (Canada Branch)</w:t>
      </w:r>
      <w:r w:rsidR="00A15976" w:rsidRPr="004E1DE3">
        <w:rPr>
          <w:lang w:val="en-CA"/>
        </w:rPr>
        <w:t>,</w:t>
      </w:r>
      <w:r w:rsidR="00385448" w:rsidRPr="004E1DE3">
        <w:rPr>
          <w:lang w:val="en-CA"/>
        </w:rPr>
        <w:t xml:space="preserve"> Capital (Financial Corporation)</w:t>
      </w:r>
      <w:r w:rsidR="00A15976" w:rsidRPr="004E1DE3">
        <w:rPr>
          <w:lang w:val="en-CA"/>
        </w:rPr>
        <w:t>, and</w:t>
      </w:r>
      <w:r w:rsidR="00385448" w:rsidRPr="004E1DE3">
        <w:rPr>
          <w:lang w:val="en-CA"/>
        </w:rPr>
        <w:t xml:space="preserve"> Capital One Bank (USA) National Association, </w:t>
      </w:r>
      <w:r w:rsidR="00A15976" w:rsidRPr="004E1DE3">
        <w:rPr>
          <w:lang w:val="en-CA"/>
        </w:rPr>
        <w:t xml:space="preserve">interfered with the Class members’ </w:t>
      </w:r>
      <w:r w:rsidR="00385448" w:rsidRPr="004E1DE3">
        <w:rPr>
          <w:lang w:val="en-CA"/>
        </w:rPr>
        <w:t>right</w:t>
      </w:r>
      <w:r w:rsidR="00A15976" w:rsidRPr="004E1DE3">
        <w:rPr>
          <w:lang w:val="en-CA"/>
        </w:rPr>
        <w:t xml:space="preserve"> </w:t>
      </w:r>
      <w:r w:rsidR="00385448" w:rsidRPr="004E1DE3">
        <w:rPr>
          <w:lang w:val="en-CA"/>
        </w:rPr>
        <w:t>to</w:t>
      </w:r>
      <w:r w:rsidR="00A15976" w:rsidRPr="004E1DE3">
        <w:rPr>
          <w:lang w:val="en-CA"/>
        </w:rPr>
        <w:t xml:space="preserve"> </w:t>
      </w:r>
      <w:r w:rsidR="00385448" w:rsidRPr="004E1DE3">
        <w:rPr>
          <w:lang w:val="en-CA"/>
        </w:rPr>
        <w:t>privacy</w:t>
      </w:r>
      <w:r w:rsidR="00A15976" w:rsidRPr="004E1DE3">
        <w:rPr>
          <w:lang w:val="en-CA"/>
        </w:rPr>
        <w:t xml:space="preserve"> guaranteed by </w:t>
      </w:r>
      <w:r w:rsidR="00385448" w:rsidRPr="004E1DE3">
        <w:rPr>
          <w:lang w:val="en-CA"/>
        </w:rPr>
        <w:t xml:space="preserve">section 5 </w:t>
      </w:r>
      <w:r w:rsidR="00A15976" w:rsidRPr="004E1DE3">
        <w:rPr>
          <w:lang w:val="en-CA"/>
        </w:rPr>
        <w:t xml:space="preserve">of the </w:t>
      </w:r>
      <w:r w:rsidR="00385448" w:rsidRPr="004E1DE3">
        <w:rPr>
          <w:i/>
          <w:iCs/>
          <w:lang w:val="en-CA"/>
        </w:rPr>
        <w:t>Charter</w:t>
      </w:r>
      <w:r w:rsidR="00A15976" w:rsidRPr="004E1DE3">
        <w:rPr>
          <w:i/>
          <w:iCs/>
          <w:lang w:val="en-CA"/>
        </w:rPr>
        <w:t xml:space="preserve"> </w:t>
      </w:r>
      <w:r w:rsidR="00385448" w:rsidRPr="004E1DE3">
        <w:rPr>
          <w:i/>
          <w:iCs/>
          <w:lang w:val="en-CA"/>
        </w:rPr>
        <w:t>of</w:t>
      </w:r>
      <w:r w:rsidR="00A15976" w:rsidRPr="004E1DE3">
        <w:rPr>
          <w:i/>
          <w:iCs/>
          <w:lang w:val="en-CA"/>
        </w:rPr>
        <w:t xml:space="preserve"> </w:t>
      </w:r>
      <w:r w:rsidR="00385448" w:rsidRPr="004E1DE3">
        <w:rPr>
          <w:i/>
          <w:iCs/>
          <w:lang w:val="en-CA"/>
        </w:rPr>
        <w:t>human</w:t>
      </w:r>
      <w:r w:rsidR="00A15976" w:rsidRPr="004E1DE3">
        <w:rPr>
          <w:i/>
          <w:iCs/>
          <w:lang w:val="en-CA"/>
        </w:rPr>
        <w:t xml:space="preserve"> </w:t>
      </w:r>
      <w:r w:rsidR="00385448" w:rsidRPr="004E1DE3">
        <w:rPr>
          <w:i/>
          <w:iCs/>
          <w:lang w:val="en-CA"/>
        </w:rPr>
        <w:t>rights</w:t>
      </w:r>
      <w:r w:rsidR="00A15976" w:rsidRPr="004E1DE3">
        <w:rPr>
          <w:i/>
          <w:iCs/>
          <w:lang w:val="en-CA"/>
        </w:rPr>
        <w:t xml:space="preserve"> </w:t>
      </w:r>
      <w:r w:rsidR="00385448" w:rsidRPr="004E1DE3">
        <w:rPr>
          <w:i/>
          <w:iCs/>
          <w:lang w:val="en-CA"/>
        </w:rPr>
        <w:t>and</w:t>
      </w:r>
      <w:r w:rsidR="00A15976" w:rsidRPr="004E1DE3">
        <w:rPr>
          <w:i/>
          <w:iCs/>
          <w:lang w:val="en-CA"/>
        </w:rPr>
        <w:t xml:space="preserve"> </w:t>
      </w:r>
      <w:r w:rsidR="00385448" w:rsidRPr="004E1DE3">
        <w:rPr>
          <w:i/>
          <w:iCs/>
          <w:lang w:val="en-CA"/>
        </w:rPr>
        <w:t>freedoms</w:t>
      </w:r>
      <w:r w:rsidR="00903815" w:rsidRPr="004E1DE3">
        <w:rPr>
          <w:lang w:val="en-CA"/>
        </w:rPr>
        <w:t xml:space="preserve">, </w:t>
      </w:r>
      <w:r w:rsidR="00A15976" w:rsidRPr="004E1DE3">
        <w:rPr>
          <w:lang w:val="en-CA"/>
        </w:rPr>
        <w:t xml:space="preserve">and </w:t>
      </w:r>
      <w:r w:rsidR="00903815" w:rsidRPr="004E1DE3">
        <w:rPr>
          <w:b/>
          <w:bCs/>
          <w:lang w:val="en-CA"/>
        </w:rPr>
        <w:t>CO</w:t>
      </w:r>
      <w:r w:rsidR="00A15976" w:rsidRPr="004E1DE3">
        <w:rPr>
          <w:b/>
          <w:bCs/>
          <w:lang w:val="en-CA"/>
        </w:rPr>
        <w:t>N</w:t>
      </w:r>
      <w:r w:rsidR="00903815" w:rsidRPr="004E1DE3">
        <w:rPr>
          <w:b/>
          <w:bCs/>
          <w:lang w:val="en-CA"/>
        </w:rPr>
        <w:t>D</w:t>
      </w:r>
      <w:r w:rsidR="00A15976" w:rsidRPr="004E1DE3">
        <w:rPr>
          <w:b/>
          <w:bCs/>
          <w:lang w:val="en-CA"/>
        </w:rPr>
        <w:t>EMN</w:t>
      </w:r>
      <w:r w:rsidR="00385448" w:rsidRPr="004E1DE3">
        <w:rPr>
          <w:lang w:val="en-CA"/>
        </w:rPr>
        <w:t xml:space="preserve"> </w:t>
      </w:r>
      <w:r w:rsidR="00A15976" w:rsidRPr="004E1DE3">
        <w:rPr>
          <w:lang w:val="en-CA"/>
        </w:rPr>
        <w:t xml:space="preserve">them </w:t>
      </w:r>
      <w:r w:rsidR="00385448" w:rsidRPr="004E1DE3">
        <w:rPr>
          <w:lang w:val="en-CA"/>
        </w:rPr>
        <w:t>solida</w:t>
      </w:r>
      <w:r w:rsidR="00A15976" w:rsidRPr="004E1DE3">
        <w:rPr>
          <w:lang w:val="en-CA"/>
        </w:rPr>
        <w:t xml:space="preserve">rily to pay the </w:t>
      </w:r>
      <w:r w:rsidR="00BE58B5">
        <w:rPr>
          <w:lang w:val="en-CA"/>
        </w:rPr>
        <w:t xml:space="preserve">Class </w:t>
      </w:r>
      <w:r w:rsidR="00A15976" w:rsidRPr="004E1DE3">
        <w:rPr>
          <w:lang w:val="en-CA"/>
        </w:rPr>
        <w:t xml:space="preserve">members an amount to be determined by </w:t>
      </w:r>
      <w:r w:rsidR="00385448" w:rsidRPr="004E1DE3">
        <w:rPr>
          <w:lang w:val="en-CA"/>
        </w:rPr>
        <w:t>the</w:t>
      </w:r>
      <w:r w:rsidR="00A15976" w:rsidRPr="004E1DE3">
        <w:rPr>
          <w:lang w:val="en-CA"/>
        </w:rPr>
        <w:t xml:space="preserve"> </w:t>
      </w:r>
      <w:r w:rsidR="00385448" w:rsidRPr="004E1DE3">
        <w:rPr>
          <w:lang w:val="en-CA"/>
        </w:rPr>
        <w:t>Court</w:t>
      </w:r>
      <w:r w:rsidR="00A15976" w:rsidRPr="004E1DE3">
        <w:rPr>
          <w:lang w:val="en-CA"/>
        </w:rPr>
        <w:t xml:space="preserve"> as </w:t>
      </w:r>
      <w:r w:rsidR="00385448" w:rsidRPr="004E1DE3">
        <w:rPr>
          <w:lang w:val="en-CA"/>
        </w:rPr>
        <w:t>punitive</w:t>
      </w:r>
      <w:r w:rsidR="00A15976" w:rsidRPr="004E1DE3">
        <w:rPr>
          <w:lang w:val="en-CA"/>
        </w:rPr>
        <w:t xml:space="preserve"> </w:t>
      </w:r>
      <w:r w:rsidR="00385448" w:rsidRPr="004E1DE3">
        <w:rPr>
          <w:lang w:val="en-CA"/>
        </w:rPr>
        <w:t>damages</w:t>
      </w:r>
      <w:r w:rsidR="00A15976" w:rsidRPr="004E1DE3">
        <w:rPr>
          <w:lang w:val="en-CA"/>
        </w:rPr>
        <w:t xml:space="preserve"> under s</w:t>
      </w:r>
      <w:r w:rsidR="00385448" w:rsidRPr="004E1DE3">
        <w:rPr>
          <w:lang w:val="en-CA"/>
        </w:rPr>
        <w:t xml:space="preserve">ection 49 </w:t>
      </w:r>
      <w:r w:rsidR="00A15976" w:rsidRPr="004E1DE3">
        <w:rPr>
          <w:lang w:val="en-CA"/>
        </w:rPr>
        <w:t xml:space="preserve">of the </w:t>
      </w:r>
      <w:r w:rsidR="00385448" w:rsidRPr="004E1DE3">
        <w:rPr>
          <w:i/>
          <w:iCs/>
          <w:lang w:val="en-CA"/>
        </w:rPr>
        <w:t>Charter</w:t>
      </w:r>
      <w:r w:rsidR="00A15976" w:rsidRPr="004E1DE3">
        <w:rPr>
          <w:i/>
          <w:iCs/>
          <w:lang w:val="en-CA"/>
        </w:rPr>
        <w:t xml:space="preserve"> </w:t>
      </w:r>
      <w:r w:rsidR="00385448" w:rsidRPr="004E1DE3">
        <w:rPr>
          <w:i/>
          <w:iCs/>
          <w:lang w:val="en-CA"/>
        </w:rPr>
        <w:t>of</w:t>
      </w:r>
      <w:r w:rsidR="00A15976" w:rsidRPr="004E1DE3">
        <w:rPr>
          <w:i/>
          <w:iCs/>
          <w:lang w:val="en-CA"/>
        </w:rPr>
        <w:t xml:space="preserve"> </w:t>
      </w:r>
      <w:r w:rsidR="00385448" w:rsidRPr="004E1DE3">
        <w:rPr>
          <w:i/>
          <w:iCs/>
          <w:lang w:val="en-CA"/>
        </w:rPr>
        <w:t>human</w:t>
      </w:r>
      <w:r w:rsidR="00A15976" w:rsidRPr="004E1DE3">
        <w:rPr>
          <w:i/>
          <w:iCs/>
          <w:lang w:val="en-CA"/>
        </w:rPr>
        <w:t xml:space="preserve"> </w:t>
      </w:r>
      <w:r w:rsidR="00385448" w:rsidRPr="004E1DE3">
        <w:rPr>
          <w:i/>
          <w:iCs/>
          <w:lang w:val="en-CA"/>
        </w:rPr>
        <w:t>rights</w:t>
      </w:r>
      <w:r w:rsidR="00A15976" w:rsidRPr="004E1DE3">
        <w:rPr>
          <w:i/>
          <w:iCs/>
          <w:lang w:val="en-CA"/>
        </w:rPr>
        <w:t xml:space="preserve"> </w:t>
      </w:r>
      <w:r w:rsidR="00385448" w:rsidRPr="004E1DE3">
        <w:rPr>
          <w:i/>
          <w:iCs/>
          <w:lang w:val="en-CA"/>
        </w:rPr>
        <w:t>and</w:t>
      </w:r>
      <w:r w:rsidR="00A15976" w:rsidRPr="004E1DE3">
        <w:rPr>
          <w:i/>
          <w:iCs/>
          <w:lang w:val="en-CA"/>
        </w:rPr>
        <w:t xml:space="preserve"> </w:t>
      </w:r>
      <w:r w:rsidR="00385448" w:rsidRPr="004E1DE3">
        <w:rPr>
          <w:i/>
          <w:iCs/>
          <w:lang w:val="en-CA"/>
        </w:rPr>
        <w:t>freedoms</w:t>
      </w:r>
      <w:r w:rsidR="00385448" w:rsidRPr="004E1DE3">
        <w:rPr>
          <w:lang w:val="en-CA"/>
        </w:rPr>
        <w:t>,</w:t>
      </w:r>
      <w:r w:rsidR="00A15976" w:rsidRPr="004E1DE3">
        <w:rPr>
          <w:lang w:val="en-CA"/>
        </w:rPr>
        <w:t xml:space="preserve"> with interest at the legal rate and the </w:t>
      </w:r>
      <w:r w:rsidR="00385448" w:rsidRPr="004E1DE3">
        <w:rPr>
          <w:lang w:val="en-CA"/>
        </w:rPr>
        <w:t>additional</w:t>
      </w:r>
      <w:r w:rsidR="00A15976" w:rsidRPr="004E1DE3">
        <w:rPr>
          <w:lang w:val="en-CA"/>
        </w:rPr>
        <w:t xml:space="preserve"> </w:t>
      </w:r>
      <w:r w:rsidR="00385448" w:rsidRPr="004E1DE3">
        <w:rPr>
          <w:lang w:val="en-CA"/>
        </w:rPr>
        <w:t>indemnity</w:t>
      </w:r>
      <w:r w:rsidR="00A15976" w:rsidRPr="004E1DE3">
        <w:rPr>
          <w:lang w:val="en-CA"/>
        </w:rPr>
        <w:t xml:space="preserve"> provided by law</w:t>
      </w:r>
      <w:r w:rsidR="00385448" w:rsidRPr="004E1DE3">
        <w:rPr>
          <w:lang w:val="en-CA"/>
        </w:rPr>
        <w:t>;</w:t>
      </w:r>
    </w:p>
    <w:p w14:paraId="7D43264A" w14:textId="77777777" w:rsidR="008C2493" w:rsidRPr="004E1DE3" w:rsidRDefault="00573CA9" w:rsidP="000B5771">
      <w:pPr>
        <w:pStyle w:val="Paragrdouble"/>
        <w:numPr>
          <w:ilvl w:val="0"/>
          <w:numId w:val="32"/>
        </w:numPr>
        <w:tabs>
          <w:tab w:val="clear" w:pos="4755"/>
        </w:tabs>
        <w:spacing w:line="240" w:lineRule="auto"/>
        <w:ind w:left="1276"/>
        <w:rPr>
          <w:lang w:val="en-CA"/>
        </w:rPr>
      </w:pPr>
      <w:r w:rsidRPr="004E1DE3">
        <w:rPr>
          <w:b/>
          <w:bCs/>
          <w:lang w:val="en-CA"/>
        </w:rPr>
        <w:t>ORD</w:t>
      </w:r>
      <w:r w:rsidR="0013683B" w:rsidRPr="004E1DE3">
        <w:rPr>
          <w:b/>
          <w:bCs/>
          <w:lang w:val="en-CA"/>
        </w:rPr>
        <w:t>ER</w:t>
      </w:r>
      <w:r w:rsidRPr="004E1DE3">
        <w:rPr>
          <w:b/>
          <w:bCs/>
          <w:lang w:val="en-CA"/>
        </w:rPr>
        <w:t xml:space="preserve"> </w:t>
      </w:r>
      <w:r w:rsidR="0013683B" w:rsidRPr="004E1DE3">
        <w:rPr>
          <w:lang w:val="en-CA"/>
        </w:rPr>
        <w:t xml:space="preserve">the </w:t>
      </w:r>
      <w:r w:rsidRPr="004E1DE3">
        <w:rPr>
          <w:lang w:val="en-CA"/>
        </w:rPr>
        <w:t>collective</w:t>
      </w:r>
      <w:r w:rsidR="0013683B" w:rsidRPr="004E1DE3">
        <w:rPr>
          <w:lang w:val="en-CA"/>
        </w:rPr>
        <w:t xml:space="preserve"> </w:t>
      </w:r>
      <w:r w:rsidRPr="004E1DE3">
        <w:rPr>
          <w:lang w:val="en-CA"/>
        </w:rPr>
        <w:t>recovery</w:t>
      </w:r>
      <w:r w:rsidR="0013683B" w:rsidRPr="004E1DE3">
        <w:rPr>
          <w:lang w:val="en-CA"/>
        </w:rPr>
        <w:t xml:space="preserve"> of the C</w:t>
      </w:r>
      <w:r w:rsidRPr="004E1DE3">
        <w:rPr>
          <w:lang w:val="en-CA"/>
        </w:rPr>
        <w:t>lass</w:t>
      </w:r>
      <w:r w:rsidR="0013683B" w:rsidRPr="004E1DE3">
        <w:rPr>
          <w:lang w:val="en-CA"/>
        </w:rPr>
        <w:t xml:space="preserve"> </w:t>
      </w:r>
      <w:r w:rsidRPr="004E1DE3">
        <w:rPr>
          <w:lang w:val="en-CA"/>
        </w:rPr>
        <w:t>members</w:t>
      </w:r>
      <w:r w:rsidR="0013683B" w:rsidRPr="004E1DE3">
        <w:rPr>
          <w:lang w:val="en-CA"/>
        </w:rPr>
        <w:t xml:space="preserve">’ claims, or </w:t>
      </w:r>
      <w:r w:rsidR="00D44754" w:rsidRPr="004E1DE3">
        <w:rPr>
          <w:lang w:val="en-CA"/>
        </w:rPr>
        <w:t>failing that, the individual recovery of said claims</w:t>
      </w:r>
      <w:r w:rsidRPr="004E1DE3">
        <w:rPr>
          <w:lang w:val="en-CA"/>
        </w:rPr>
        <w:t>;</w:t>
      </w:r>
    </w:p>
    <w:p w14:paraId="1420E264" w14:textId="77777777" w:rsidR="008C2493" w:rsidRPr="004E1DE3" w:rsidRDefault="00573CA9" w:rsidP="000B5771">
      <w:pPr>
        <w:pStyle w:val="Paragrdouble"/>
        <w:numPr>
          <w:ilvl w:val="0"/>
          <w:numId w:val="32"/>
        </w:numPr>
        <w:tabs>
          <w:tab w:val="clear" w:pos="4755"/>
        </w:tabs>
        <w:spacing w:line="240" w:lineRule="auto"/>
        <w:ind w:left="1276"/>
        <w:rPr>
          <w:lang w:val="en-CA"/>
        </w:rPr>
      </w:pPr>
      <w:r w:rsidRPr="004E1DE3">
        <w:rPr>
          <w:b/>
          <w:bCs/>
          <w:lang w:val="en-CA"/>
        </w:rPr>
        <w:t>THE WHOL</w:t>
      </w:r>
      <w:r w:rsidR="00940EDA" w:rsidRPr="004E1DE3">
        <w:rPr>
          <w:b/>
          <w:bCs/>
          <w:lang w:val="en-CA"/>
        </w:rPr>
        <w:t>E</w:t>
      </w:r>
      <w:r w:rsidR="00940EDA" w:rsidRPr="004E1DE3">
        <w:rPr>
          <w:lang w:val="en-CA"/>
        </w:rPr>
        <w:t xml:space="preserve"> with</w:t>
      </w:r>
      <w:r w:rsidRPr="004E1DE3">
        <w:rPr>
          <w:lang w:val="en-CA"/>
        </w:rPr>
        <w:t xml:space="preserve"> </w:t>
      </w:r>
      <w:r w:rsidR="00940EDA" w:rsidRPr="004E1DE3">
        <w:rPr>
          <w:lang w:val="en-CA"/>
        </w:rPr>
        <w:t>costs</w:t>
      </w:r>
      <w:r w:rsidRPr="004E1DE3">
        <w:rPr>
          <w:lang w:val="en-CA"/>
        </w:rPr>
        <w:t xml:space="preserve"> against the </w:t>
      </w:r>
      <w:r w:rsidR="00940EDA" w:rsidRPr="004E1DE3">
        <w:rPr>
          <w:lang w:val="en-CA"/>
        </w:rPr>
        <w:t>defendants, inclu</w:t>
      </w:r>
      <w:r w:rsidRPr="004E1DE3">
        <w:rPr>
          <w:lang w:val="en-CA"/>
        </w:rPr>
        <w:t xml:space="preserve">ding all </w:t>
      </w:r>
      <w:r w:rsidR="00940EDA" w:rsidRPr="004E1DE3">
        <w:rPr>
          <w:lang w:val="en-CA"/>
        </w:rPr>
        <w:t>expert</w:t>
      </w:r>
      <w:r w:rsidRPr="004E1DE3">
        <w:rPr>
          <w:lang w:val="en-CA"/>
        </w:rPr>
        <w:t xml:space="preserve"> costs and the costs of </w:t>
      </w:r>
      <w:r w:rsidR="00FC3745" w:rsidRPr="004E1DE3">
        <w:rPr>
          <w:lang w:val="en-CA"/>
        </w:rPr>
        <w:t>publishing the notices required by law</w:t>
      </w:r>
      <w:r w:rsidR="00940EDA" w:rsidRPr="004E1DE3">
        <w:rPr>
          <w:lang w:val="en-CA"/>
        </w:rPr>
        <w:t>;</w:t>
      </w:r>
    </w:p>
    <w:p w14:paraId="4C99D365" w14:textId="77777777" w:rsidR="008C2493" w:rsidRPr="004E1DE3" w:rsidRDefault="00573CA9" w:rsidP="00BD01E0">
      <w:pPr>
        <w:pStyle w:val="Paragrdouble"/>
        <w:tabs>
          <w:tab w:val="num" w:pos="851"/>
        </w:tabs>
        <w:spacing w:line="240" w:lineRule="auto"/>
        <w:ind w:left="0"/>
        <w:rPr>
          <w:b/>
          <w:bCs/>
          <w:lang w:val="en-CA"/>
        </w:rPr>
      </w:pPr>
      <w:r w:rsidRPr="004E1DE3">
        <w:rPr>
          <w:b/>
          <w:bCs/>
          <w:lang w:val="en-CA"/>
        </w:rPr>
        <w:t>DECLARES</w:t>
      </w:r>
      <w:r w:rsidRPr="004E1DE3">
        <w:rPr>
          <w:bCs/>
          <w:lang w:val="en-CA"/>
        </w:rPr>
        <w:t xml:space="preserve"> that unless they have opted out, all </w:t>
      </w:r>
      <w:r w:rsidR="00BE58B5">
        <w:rPr>
          <w:bCs/>
          <w:lang w:val="en-CA"/>
        </w:rPr>
        <w:t>C</w:t>
      </w:r>
      <w:r w:rsidRPr="004E1DE3">
        <w:rPr>
          <w:bCs/>
          <w:lang w:val="en-CA"/>
        </w:rPr>
        <w:t>lass members will be bound by any judgment rendered on the class action, in the manner provided by law;</w:t>
      </w:r>
    </w:p>
    <w:p w14:paraId="444FA4F4" w14:textId="77777777" w:rsidR="008C2493" w:rsidRPr="004E1DE3" w:rsidRDefault="00573CA9" w:rsidP="00BD01E0">
      <w:pPr>
        <w:pStyle w:val="Paragrdouble"/>
        <w:tabs>
          <w:tab w:val="num" w:pos="851"/>
        </w:tabs>
        <w:spacing w:line="240" w:lineRule="auto"/>
        <w:ind w:left="0"/>
        <w:rPr>
          <w:b/>
          <w:bCs/>
          <w:lang w:val="en-CA"/>
        </w:rPr>
      </w:pPr>
      <w:r w:rsidRPr="004E1DE3">
        <w:rPr>
          <w:b/>
          <w:bCs/>
          <w:lang w:val="en-CA"/>
        </w:rPr>
        <w:t>FIXE</w:t>
      </w:r>
      <w:r w:rsidR="00E24C22" w:rsidRPr="004E1DE3">
        <w:rPr>
          <w:b/>
          <w:bCs/>
          <w:lang w:val="en-CA"/>
        </w:rPr>
        <w:t>S</w:t>
      </w:r>
      <w:r w:rsidRPr="004E1DE3">
        <w:rPr>
          <w:b/>
          <w:bCs/>
          <w:lang w:val="en-CA"/>
        </w:rPr>
        <w:t xml:space="preserve"> </w:t>
      </w:r>
      <w:r w:rsidR="00E24C22" w:rsidRPr="004E1DE3">
        <w:rPr>
          <w:lang w:val="en-CA"/>
        </w:rPr>
        <w:t xml:space="preserve">the period during which a </w:t>
      </w:r>
      <w:r w:rsidR="00BE58B5">
        <w:rPr>
          <w:lang w:val="en-CA"/>
        </w:rPr>
        <w:t>C</w:t>
      </w:r>
      <w:r w:rsidR="00CF18FD">
        <w:rPr>
          <w:lang w:val="en-CA"/>
        </w:rPr>
        <w:t xml:space="preserve">lass </w:t>
      </w:r>
      <w:r w:rsidR="00E24C22" w:rsidRPr="004E1DE3">
        <w:rPr>
          <w:lang w:val="en-CA"/>
        </w:rPr>
        <w:t>member may</w:t>
      </w:r>
      <w:r w:rsidR="00D3206F" w:rsidRPr="004E1DE3">
        <w:rPr>
          <w:lang w:val="en-CA"/>
        </w:rPr>
        <w:t xml:space="preserve"> request to opt out at thirty (30) days following the date </w:t>
      </w:r>
      <w:r w:rsidR="00D3206F" w:rsidRPr="004E1DE3">
        <w:rPr>
          <w:u w:val="single"/>
          <w:lang w:val="en-CA"/>
        </w:rPr>
        <w:t xml:space="preserve">of the notice to </w:t>
      </w:r>
      <w:r w:rsidR="0016632B">
        <w:rPr>
          <w:u w:val="single"/>
          <w:lang w:val="en-CA"/>
        </w:rPr>
        <w:t>C</w:t>
      </w:r>
      <w:r w:rsidR="00CF18FD">
        <w:rPr>
          <w:u w:val="single"/>
          <w:lang w:val="en-CA"/>
        </w:rPr>
        <w:t xml:space="preserve">lass </w:t>
      </w:r>
      <w:r w:rsidR="00D3206F" w:rsidRPr="004E1DE3">
        <w:rPr>
          <w:u w:val="single"/>
          <w:lang w:val="en-CA"/>
        </w:rPr>
        <w:t>members</w:t>
      </w:r>
      <w:r w:rsidR="00D3206F" w:rsidRPr="004E1DE3">
        <w:rPr>
          <w:lang w:val="en-CA"/>
        </w:rPr>
        <w:t>, following which all C</w:t>
      </w:r>
      <w:r w:rsidRPr="004E1DE3">
        <w:rPr>
          <w:lang w:val="en-CA"/>
        </w:rPr>
        <w:t>lass</w:t>
      </w:r>
      <w:r w:rsidR="00D3206F" w:rsidRPr="004E1DE3">
        <w:rPr>
          <w:lang w:val="en-CA"/>
        </w:rPr>
        <w:t xml:space="preserve"> </w:t>
      </w:r>
      <w:r w:rsidRPr="004E1DE3">
        <w:rPr>
          <w:lang w:val="en-CA"/>
        </w:rPr>
        <w:t>members</w:t>
      </w:r>
      <w:r w:rsidR="00D3206F" w:rsidRPr="004E1DE3">
        <w:rPr>
          <w:lang w:val="en-CA"/>
        </w:rPr>
        <w:t xml:space="preserve"> who have not asked to </w:t>
      </w:r>
      <w:r w:rsidR="00983F25">
        <w:rPr>
          <w:lang w:val="en-CA"/>
        </w:rPr>
        <w:t>opt out</w:t>
      </w:r>
      <w:r w:rsidR="00D3206F" w:rsidRPr="004E1DE3">
        <w:rPr>
          <w:lang w:val="en-CA"/>
        </w:rPr>
        <w:t xml:space="preserve"> will be bound by the </w:t>
      </w:r>
      <w:r w:rsidRPr="004E1DE3">
        <w:rPr>
          <w:lang w:val="en-CA"/>
        </w:rPr>
        <w:t>ju</w:t>
      </w:r>
      <w:r w:rsidR="00D3206F" w:rsidRPr="004E1DE3">
        <w:rPr>
          <w:lang w:val="en-CA"/>
        </w:rPr>
        <w:t>d</w:t>
      </w:r>
      <w:r w:rsidRPr="004E1DE3">
        <w:rPr>
          <w:lang w:val="en-CA"/>
        </w:rPr>
        <w:t xml:space="preserve">gment </w:t>
      </w:r>
      <w:r w:rsidR="00D3206F" w:rsidRPr="004E1DE3">
        <w:rPr>
          <w:lang w:val="en-CA"/>
        </w:rPr>
        <w:t xml:space="preserve">to be rendered on the </w:t>
      </w:r>
      <w:r w:rsidRPr="004E1DE3">
        <w:rPr>
          <w:lang w:val="en-CA"/>
        </w:rPr>
        <w:t>class</w:t>
      </w:r>
      <w:r w:rsidR="00D3206F" w:rsidRPr="004E1DE3">
        <w:rPr>
          <w:lang w:val="en-CA"/>
        </w:rPr>
        <w:t xml:space="preserve"> </w:t>
      </w:r>
      <w:r w:rsidRPr="004E1DE3">
        <w:rPr>
          <w:lang w:val="en-CA"/>
        </w:rPr>
        <w:t>action;</w:t>
      </w:r>
    </w:p>
    <w:p w14:paraId="3E78079F" w14:textId="77777777" w:rsidR="00DB15EE" w:rsidRPr="004E1DE3" w:rsidRDefault="00573CA9" w:rsidP="00BD01E0">
      <w:pPr>
        <w:pStyle w:val="Paragrdouble"/>
        <w:tabs>
          <w:tab w:val="num" w:pos="851"/>
        </w:tabs>
        <w:spacing w:line="240" w:lineRule="auto"/>
        <w:ind w:left="0"/>
        <w:rPr>
          <w:b/>
          <w:bCs/>
          <w:lang w:val="en-CA"/>
        </w:rPr>
      </w:pPr>
      <w:r w:rsidRPr="004E1DE3">
        <w:rPr>
          <w:b/>
          <w:bCs/>
          <w:lang w:val="en-CA"/>
        </w:rPr>
        <w:t>ORD</w:t>
      </w:r>
      <w:r w:rsidR="00D3206F" w:rsidRPr="004E1DE3">
        <w:rPr>
          <w:b/>
          <w:bCs/>
          <w:lang w:val="en-CA"/>
        </w:rPr>
        <w:t>ERS</w:t>
      </w:r>
      <w:r w:rsidRPr="004E1DE3">
        <w:rPr>
          <w:b/>
          <w:bCs/>
          <w:lang w:val="en-CA"/>
        </w:rPr>
        <w:t xml:space="preserve"> </w:t>
      </w:r>
      <w:r w:rsidR="00D3206F" w:rsidRPr="004E1DE3">
        <w:rPr>
          <w:lang w:val="en-CA"/>
        </w:rPr>
        <w:t>the</w:t>
      </w:r>
      <w:r w:rsidR="00940EDA" w:rsidRPr="004E1DE3">
        <w:rPr>
          <w:lang w:val="en-CA"/>
        </w:rPr>
        <w:t xml:space="preserve"> publication </w:t>
      </w:r>
      <w:r w:rsidR="00D3206F" w:rsidRPr="004E1DE3">
        <w:rPr>
          <w:lang w:val="en-CA"/>
        </w:rPr>
        <w:t xml:space="preserve">of a notice to </w:t>
      </w:r>
      <w:r w:rsidR="00BE58B5">
        <w:rPr>
          <w:lang w:val="en-CA"/>
        </w:rPr>
        <w:t xml:space="preserve">Class </w:t>
      </w:r>
      <w:r w:rsidR="00D3206F" w:rsidRPr="004E1DE3">
        <w:rPr>
          <w:lang w:val="en-CA"/>
        </w:rPr>
        <w:t xml:space="preserve">members of this </w:t>
      </w:r>
      <w:r w:rsidR="00940EDA" w:rsidRPr="004E1DE3">
        <w:rPr>
          <w:lang w:val="en-CA"/>
        </w:rPr>
        <w:t>class</w:t>
      </w:r>
      <w:r w:rsidR="00D3206F" w:rsidRPr="004E1DE3">
        <w:rPr>
          <w:lang w:val="en-CA"/>
        </w:rPr>
        <w:t xml:space="preserve"> </w:t>
      </w:r>
      <w:r w:rsidR="00940EDA" w:rsidRPr="004E1DE3">
        <w:rPr>
          <w:lang w:val="en-CA"/>
        </w:rPr>
        <w:t>action</w:t>
      </w:r>
      <w:r w:rsidR="00F21EE1" w:rsidRPr="004E1DE3">
        <w:rPr>
          <w:lang w:val="en-CA"/>
        </w:rPr>
        <w:t xml:space="preserve"> that is </w:t>
      </w:r>
      <w:r w:rsidR="00940EDA" w:rsidRPr="004E1DE3">
        <w:rPr>
          <w:lang w:val="en-CA"/>
        </w:rPr>
        <w:t>accessible</w:t>
      </w:r>
      <w:r w:rsidR="00D3206F" w:rsidRPr="004E1DE3">
        <w:rPr>
          <w:lang w:val="en-CA"/>
        </w:rPr>
        <w:t xml:space="preserve"> to the Class</w:t>
      </w:r>
      <w:r w:rsidR="00F21EE1" w:rsidRPr="004E1DE3">
        <w:rPr>
          <w:lang w:val="en-CA"/>
        </w:rPr>
        <w:t>,</w:t>
      </w:r>
      <w:r w:rsidR="00D3206F" w:rsidRPr="004E1DE3">
        <w:rPr>
          <w:lang w:val="en-CA"/>
        </w:rPr>
        <w:t xml:space="preserve"> </w:t>
      </w:r>
      <w:r w:rsidR="00F21EE1" w:rsidRPr="004E1DE3">
        <w:rPr>
          <w:lang w:val="en-CA"/>
        </w:rPr>
        <w:t xml:space="preserve">drafted in the appropriate manner in accordance with </w:t>
      </w:r>
      <w:r w:rsidR="00940EDA" w:rsidRPr="004E1DE3">
        <w:rPr>
          <w:lang w:val="en-CA"/>
        </w:rPr>
        <w:t xml:space="preserve">article 579 </w:t>
      </w:r>
      <w:r w:rsidR="00F21EE1" w:rsidRPr="004E1DE3">
        <w:rPr>
          <w:lang w:val="en-CA"/>
        </w:rPr>
        <w:t>CCP</w:t>
      </w:r>
      <w:r w:rsidR="00940EDA" w:rsidRPr="004E1DE3">
        <w:rPr>
          <w:lang w:val="en-CA"/>
        </w:rPr>
        <w:t>;</w:t>
      </w:r>
    </w:p>
    <w:p w14:paraId="1DC93695" w14:textId="77777777" w:rsidR="00625555" w:rsidRPr="004E1DE3" w:rsidRDefault="00573CA9" w:rsidP="00BD01E0">
      <w:pPr>
        <w:pStyle w:val="Paragrdouble"/>
        <w:tabs>
          <w:tab w:val="num" w:pos="851"/>
        </w:tabs>
        <w:spacing w:line="240" w:lineRule="auto"/>
        <w:ind w:left="0"/>
        <w:rPr>
          <w:b/>
          <w:bCs/>
          <w:lang w:val="en-CA"/>
        </w:rPr>
      </w:pPr>
      <w:r w:rsidRPr="004E1DE3">
        <w:rPr>
          <w:b/>
          <w:bCs/>
          <w:lang w:val="en-CA"/>
        </w:rPr>
        <w:t>ORD</w:t>
      </w:r>
      <w:r w:rsidR="00F21EE1" w:rsidRPr="004E1DE3">
        <w:rPr>
          <w:b/>
          <w:bCs/>
          <w:lang w:val="en-CA"/>
        </w:rPr>
        <w:t>ERS</w:t>
      </w:r>
      <w:r w:rsidRPr="004E1DE3">
        <w:rPr>
          <w:b/>
          <w:bCs/>
          <w:lang w:val="en-CA"/>
        </w:rPr>
        <w:t xml:space="preserve"> </w:t>
      </w:r>
      <w:r w:rsidR="00F21EE1" w:rsidRPr="004E1DE3">
        <w:rPr>
          <w:lang w:val="en-CA"/>
        </w:rPr>
        <w:t xml:space="preserve">the </w:t>
      </w:r>
      <w:r w:rsidRPr="004E1DE3">
        <w:rPr>
          <w:lang w:val="en-CA"/>
        </w:rPr>
        <w:t>defendants</w:t>
      </w:r>
      <w:r w:rsidR="00F21EE1" w:rsidRPr="004E1DE3">
        <w:rPr>
          <w:lang w:val="en-CA"/>
        </w:rPr>
        <w:t xml:space="preserve"> to send the notice to the C</w:t>
      </w:r>
      <w:r w:rsidRPr="004E1DE3">
        <w:rPr>
          <w:lang w:val="en-CA"/>
        </w:rPr>
        <w:t>lass</w:t>
      </w:r>
      <w:r w:rsidR="00F21EE1" w:rsidRPr="004E1DE3">
        <w:rPr>
          <w:lang w:val="en-CA"/>
        </w:rPr>
        <w:t xml:space="preserve"> </w:t>
      </w:r>
      <w:r w:rsidRPr="004E1DE3">
        <w:rPr>
          <w:lang w:val="en-CA"/>
        </w:rPr>
        <w:t>members</w:t>
      </w:r>
      <w:r w:rsidR="00F21EE1" w:rsidRPr="004E1DE3">
        <w:rPr>
          <w:lang w:val="en-CA"/>
        </w:rPr>
        <w:t xml:space="preserve"> at their last known email address </w:t>
      </w:r>
      <w:r w:rsidR="00941063" w:rsidRPr="004E1DE3">
        <w:rPr>
          <w:lang w:val="en-CA"/>
        </w:rPr>
        <w:t>with the words</w:t>
      </w:r>
      <w:r w:rsidR="00F21EE1" w:rsidRPr="004E1DE3">
        <w:rPr>
          <w:lang w:val="en-CA"/>
        </w:rPr>
        <w:t xml:space="preserve"> [</w:t>
      </w:r>
      <w:r w:rsidR="00F21EE1" w:rsidRPr="004E1DE3">
        <w:rPr>
          <w:smallCaps/>
          <w:lang w:val="en-CA"/>
        </w:rPr>
        <w:t>translation</w:t>
      </w:r>
      <w:r w:rsidR="00F21EE1" w:rsidRPr="004E1DE3">
        <w:rPr>
          <w:lang w:val="en-CA"/>
        </w:rPr>
        <w:t xml:space="preserve">] “Notice of </w:t>
      </w:r>
      <w:r w:rsidRPr="004E1DE3">
        <w:rPr>
          <w:lang w:val="en-CA"/>
        </w:rPr>
        <w:t>class</w:t>
      </w:r>
      <w:r w:rsidR="00F21EE1" w:rsidRPr="004E1DE3">
        <w:rPr>
          <w:lang w:val="en-CA"/>
        </w:rPr>
        <w:t xml:space="preserve"> </w:t>
      </w:r>
      <w:r w:rsidRPr="004E1DE3">
        <w:rPr>
          <w:lang w:val="en-CA"/>
        </w:rPr>
        <w:t>action</w:t>
      </w:r>
      <w:r w:rsidR="00F21EE1" w:rsidRPr="004E1DE3">
        <w:rPr>
          <w:lang w:val="en-CA"/>
        </w:rPr>
        <w:t>”</w:t>
      </w:r>
      <w:r w:rsidRPr="004E1DE3">
        <w:rPr>
          <w:lang w:val="en-CA"/>
        </w:rPr>
        <w:t xml:space="preserve"> </w:t>
      </w:r>
      <w:r w:rsidR="00F21EE1" w:rsidRPr="004E1DE3">
        <w:rPr>
          <w:lang w:val="en-CA"/>
        </w:rPr>
        <w:t>in the subject line of the email</w:t>
      </w:r>
      <w:r w:rsidRPr="004E1DE3">
        <w:rPr>
          <w:lang w:val="en-CA"/>
        </w:rPr>
        <w:t>;</w:t>
      </w:r>
    </w:p>
    <w:p w14:paraId="4B3FA11C" w14:textId="77777777" w:rsidR="00DB15EE" w:rsidRPr="004E1DE3" w:rsidRDefault="00573CA9" w:rsidP="00BD01E0">
      <w:pPr>
        <w:pStyle w:val="Paragrdouble"/>
        <w:tabs>
          <w:tab w:val="num" w:pos="851"/>
        </w:tabs>
        <w:spacing w:line="240" w:lineRule="auto"/>
        <w:ind w:left="0"/>
        <w:rPr>
          <w:b/>
          <w:bCs/>
          <w:lang w:val="en-CA"/>
        </w:rPr>
      </w:pPr>
      <w:r w:rsidRPr="004E1DE3">
        <w:rPr>
          <w:b/>
          <w:bCs/>
          <w:lang w:val="en-CA"/>
        </w:rPr>
        <w:t>ORD</w:t>
      </w:r>
      <w:r w:rsidR="00941063" w:rsidRPr="004E1DE3">
        <w:rPr>
          <w:b/>
          <w:bCs/>
          <w:lang w:val="en-CA"/>
        </w:rPr>
        <w:t>ERS</w:t>
      </w:r>
      <w:r w:rsidRPr="004E1DE3">
        <w:rPr>
          <w:b/>
          <w:bCs/>
          <w:lang w:val="en-CA"/>
        </w:rPr>
        <w:t xml:space="preserve"> </w:t>
      </w:r>
      <w:r w:rsidR="00941063" w:rsidRPr="004E1DE3">
        <w:rPr>
          <w:lang w:val="en-CA"/>
        </w:rPr>
        <w:t xml:space="preserve">the </w:t>
      </w:r>
      <w:r w:rsidRPr="004E1DE3">
        <w:rPr>
          <w:lang w:val="en-CA"/>
        </w:rPr>
        <w:t>defendants</w:t>
      </w:r>
      <w:r w:rsidR="00941063" w:rsidRPr="004E1DE3">
        <w:rPr>
          <w:lang w:val="en-CA"/>
        </w:rPr>
        <w:t xml:space="preserve"> to publish the notice to the C</w:t>
      </w:r>
      <w:r w:rsidRPr="004E1DE3">
        <w:rPr>
          <w:lang w:val="en-CA"/>
        </w:rPr>
        <w:t>lass</w:t>
      </w:r>
      <w:r w:rsidR="00941063" w:rsidRPr="004E1DE3">
        <w:rPr>
          <w:lang w:val="en-CA"/>
        </w:rPr>
        <w:t xml:space="preserve"> </w:t>
      </w:r>
      <w:r w:rsidRPr="004E1DE3">
        <w:rPr>
          <w:lang w:val="en-CA"/>
        </w:rPr>
        <w:t>members</w:t>
      </w:r>
      <w:r w:rsidR="00941063" w:rsidRPr="004E1DE3">
        <w:rPr>
          <w:lang w:val="en-CA"/>
        </w:rPr>
        <w:t xml:space="preserve"> on their website, their </w:t>
      </w:r>
      <w:r w:rsidRPr="004E1DE3">
        <w:rPr>
          <w:lang w:val="en-CA"/>
        </w:rPr>
        <w:t>Facebook</w:t>
      </w:r>
      <w:r w:rsidR="00941063" w:rsidRPr="004E1DE3">
        <w:rPr>
          <w:lang w:val="en-CA"/>
        </w:rPr>
        <w:t xml:space="preserve"> or Threads page, and their </w:t>
      </w:r>
      <w:r w:rsidRPr="004E1DE3">
        <w:rPr>
          <w:lang w:val="en-CA"/>
        </w:rPr>
        <w:t>Twitter</w:t>
      </w:r>
      <w:r w:rsidR="00941063" w:rsidRPr="004E1DE3">
        <w:rPr>
          <w:lang w:val="en-CA"/>
        </w:rPr>
        <w:t xml:space="preserve"> page, with the words [</w:t>
      </w:r>
      <w:r w:rsidR="00941063" w:rsidRPr="004E1DE3">
        <w:rPr>
          <w:smallCaps/>
          <w:lang w:val="en-CA"/>
        </w:rPr>
        <w:t>translation</w:t>
      </w:r>
      <w:r w:rsidR="00941063" w:rsidRPr="004E1DE3">
        <w:rPr>
          <w:lang w:val="en-CA"/>
        </w:rPr>
        <w:t xml:space="preserve">] “Notice of class action” for thirty </w:t>
      </w:r>
      <w:r w:rsidRPr="004E1DE3">
        <w:rPr>
          <w:lang w:val="en-CA"/>
        </w:rPr>
        <w:t xml:space="preserve">(30) </w:t>
      </w:r>
      <w:r w:rsidR="00941063" w:rsidRPr="004E1DE3">
        <w:rPr>
          <w:lang w:val="en-CA"/>
        </w:rPr>
        <w:t>days following</w:t>
      </w:r>
      <w:r w:rsidRPr="004E1DE3">
        <w:rPr>
          <w:lang w:val="en-CA"/>
        </w:rPr>
        <w:t xml:space="preserve"> </w:t>
      </w:r>
      <w:r w:rsidR="00941063" w:rsidRPr="004E1DE3">
        <w:rPr>
          <w:u w:val="single"/>
          <w:lang w:val="en-CA"/>
        </w:rPr>
        <w:t>the</w:t>
      </w:r>
      <w:r w:rsidR="00B012D2" w:rsidRPr="004E1DE3">
        <w:rPr>
          <w:u w:val="single"/>
          <w:lang w:val="en-CA"/>
        </w:rPr>
        <w:t xml:space="preserve"> date </w:t>
      </w:r>
      <w:r w:rsidR="00941063" w:rsidRPr="004E1DE3">
        <w:rPr>
          <w:u w:val="single"/>
          <w:lang w:val="en-CA"/>
        </w:rPr>
        <w:t xml:space="preserve">of </w:t>
      </w:r>
      <w:r w:rsidR="00B012D2" w:rsidRPr="004E1DE3">
        <w:rPr>
          <w:u w:val="single"/>
          <w:lang w:val="en-CA"/>
        </w:rPr>
        <w:t xml:space="preserve">publication </w:t>
      </w:r>
      <w:r w:rsidR="00941063" w:rsidRPr="004E1DE3">
        <w:rPr>
          <w:u w:val="single"/>
          <w:lang w:val="en-CA"/>
        </w:rPr>
        <w:t>of the notice</w:t>
      </w:r>
      <w:r w:rsidR="00B012D2" w:rsidRPr="004E1DE3">
        <w:rPr>
          <w:lang w:val="en-CA"/>
        </w:rPr>
        <w:t>;</w:t>
      </w:r>
    </w:p>
    <w:p w14:paraId="631484BD" w14:textId="77777777" w:rsidR="00A93FA7" w:rsidRPr="004E1DE3" w:rsidRDefault="00573CA9" w:rsidP="00BD01E0">
      <w:pPr>
        <w:pStyle w:val="Paragrdouble"/>
        <w:tabs>
          <w:tab w:val="num" w:pos="851"/>
        </w:tabs>
        <w:spacing w:line="240" w:lineRule="auto"/>
        <w:ind w:left="0"/>
        <w:rPr>
          <w:b/>
          <w:bCs/>
          <w:lang w:val="en-CA"/>
        </w:rPr>
      </w:pPr>
      <w:r w:rsidRPr="004E1DE3">
        <w:rPr>
          <w:b/>
          <w:bCs/>
          <w:lang w:val="en-CA"/>
        </w:rPr>
        <w:t>ORD</w:t>
      </w:r>
      <w:r w:rsidR="00941063" w:rsidRPr="004E1DE3">
        <w:rPr>
          <w:b/>
          <w:bCs/>
          <w:lang w:val="en-CA"/>
        </w:rPr>
        <w:t>ERS</w:t>
      </w:r>
      <w:r w:rsidRPr="004E1DE3">
        <w:rPr>
          <w:lang w:val="en-CA"/>
        </w:rPr>
        <w:t xml:space="preserve"> </w:t>
      </w:r>
      <w:r w:rsidR="00941063" w:rsidRPr="004E1DE3">
        <w:rPr>
          <w:lang w:val="en-CA"/>
        </w:rPr>
        <w:t xml:space="preserve">that the closing date of the Class will be the date of the </w:t>
      </w:r>
      <w:r w:rsidRPr="004E1DE3">
        <w:rPr>
          <w:lang w:val="en-CA"/>
        </w:rPr>
        <w:t xml:space="preserve">publication </w:t>
      </w:r>
      <w:r w:rsidR="00795E59" w:rsidRPr="004E1DE3">
        <w:rPr>
          <w:lang w:val="en-CA"/>
        </w:rPr>
        <w:t xml:space="preserve">of the notice to </w:t>
      </w:r>
      <w:r w:rsidR="0016632B">
        <w:rPr>
          <w:lang w:val="en-CA"/>
        </w:rPr>
        <w:t>C</w:t>
      </w:r>
      <w:r w:rsidR="005706D7">
        <w:rPr>
          <w:lang w:val="en-CA"/>
        </w:rPr>
        <w:t xml:space="preserve">lass </w:t>
      </w:r>
      <w:r w:rsidR="00795E59" w:rsidRPr="004E1DE3">
        <w:rPr>
          <w:lang w:val="en-CA"/>
        </w:rPr>
        <w:t>members</w:t>
      </w:r>
      <w:r w:rsidRPr="004E1DE3">
        <w:rPr>
          <w:lang w:val="en-CA"/>
        </w:rPr>
        <w:t>;</w:t>
      </w:r>
    </w:p>
    <w:p w14:paraId="25353123" w14:textId="77777777" w:rsidR="00385448" w:rsidRPr="004E1DE3" w:rsidRDefault="00573CA9" w:rsidP="001454E0">
      <w:pPr>
        <w:pStyle w:val="Paragrdouble"/>
        <w:tabs>
          <w:tab w:val="num" w:pos="851"/>
        </w:tabs>
        <w:spacing w:line="240" w:lineRule="auto"/>
        <w:ind w:left="0"/>
        <w:rPr>
          <w:b/>
          <w:bCs/>
          <w:lang w:val="en-CA"/>
        </w:rPr>
      </w:pPr>
      <w:r w:rsidRPr="004E1DE3">
        <w:rPr>
          <w:b/>
          <w:bCs/>
          <w:lang w:val="en-CA"/>
        </w:rPr>
        <w:t>THE WHOLE</w:t>
      </w:r>
      <w:r w:rsidRPr="004E1DE3">
        <w:rPr>
          <w:bCs/>
          <w:lang w:val="en-CA"/>
        </w:rPr>
        <w:t>, with legal costs against the defendants.</w:t>
      </w:r>
    </w:p>
    <w:tbl>
      <w:tblPr>
        <w:tblW w:w="9505" w:type="dxa"/>
        <w:tblLayout w:type="fixed"/>
        <w:tblCellMar>
          <w:left w:w="70" w:type="dxa"/>
          <w:right w:w="70" w:type="dxa"/>
        </w:tblCellMar>
        <w:tblLook w:val="0000" w:firstRow="0" w:lastRow="0" w:firstColumn="0" w:lastColumn="0" w:noHBand="0" w:noVBand="0"/>
      </w:tblPr>
      <w:tblGrid>
        <w:gridCol w:w="2197"/>
        <w:gridCol w:w="2670"/>
        <w:gridCol w:w="4638"/>
      </w:tblGrid>
      <w:tr w:rsidR="00B0137B" w:rsidRPr="00CE2A8E" w14:paraId="2619651A" w14:textId="77777777" w:rsidTr="00BA153A">
        <w:trPr>
          <w:trHeight w:val="576"/>
        </w:trPr>
        <w:tc>
          <w:tcPr>
            <w:tcW w:w="9505" w:type="dxa"/>
            <w:gridSpan w:val="3"/>
          </w:tcPr>
          <w:p w14:paraId="04AAC377" w14:textId="77777777" w:rsidR="00121A72" w:rsidRPr="004E1DE3" w:rsidRDefault="00121A72" w:rsidP="00D26929">
            <w:pPr>
              <w:keepNext/>
              <w:keepLines/>
              <w:rPr>
                <w:lang w:val="en-CA"/>
              </w:rPr>
            </w:pPr>
          </w:p>
        </w:tc>
      </w:tr>
      <w:tr w:rsidR="00B0137B" w:rsidRPr="00CE2A8E" w14:paraId="16E9D70A" w14:textId="77777777" w:rsidTr="00BA153A">
        <w:tblPrEx>
          <w:tblCellMar>
            <w:left w:w="0" w:type="dxa"/>
            <w:right w:w="0" w:type="dxa"/>
          </w:tblCellMar>
        </w:tblPrEx>
        <w:trPr>
          <w:cantSplit/>
        </w:trPr>
        <w:tc>
          <w:tcPr>
            <w:tcW w:w="4867" w:type="dxa"/>
            <w:gridSpan w:val="2"/>
          </w:tcPr>
          <w:p w14:paraId="37486B1D" w14:textId="77777777" w:rsidR="00121A72" w:rsidRPr="004E1DE3" w:rsidRDefault="00121A72" w:rsidP="00D26929">
            <w:pPr>
              <w:rPr>
                <w:lang w:val="en-CA"/>
              </w:rPr>
            </w:pPr>
          </w:p>
        </w:tc>
        <w:tc>
          <w:tcPr>
            <w:tcW w:w="4638" w:type="dxa"/>
          </w:tcPr>
          <w:p w14:paraId="70421B1D" w14:textId="77777777" w:rsidR="0073163C" w:rsidRPr="004E1DE3" w:rsidRDefault="00573CA9" w:rsidP="0073163C">
            <w:pPr>
              <w:pStyle w:val="zSoquijdatSignature3Juge"/>
              <w:rPr>
                <w:caps/>
                <w:lang w:val="en-CA"/>
              </w:rPr>
            </w:pPr>
            <w:r w:rsidRPr="004E1DE3">
              <w:rPr>
                <w:caps/>
                <w:lang w:val="en-CA"/>
              </w:rPr>
              <w:t>__________________________________</w:t>
            </w:r>
          </w:p>
          <w:p w14:paraId="331710BC" w14:textId="77777777" w:rsidR="00121A72" w:rsidRPr="004E1DE3" w:rsidRDefault="00573CA9" w:rsidP="0073163C">
            <w:pPr>
              <w:pStyle w:val="zSoquijdatSignature3Juge"/>
              <w:jc w:val="center"/>
              <w:rPr>
                <w:b/>
                <w:lang w:val="en-CA"/>
              </w:rPr>
            </w:pPr>
            <w:r w:rsidRPr="004E1DE3">
              <w:rPr>
                <w:b/>
                <w:caps/>
                <w:lang w:val="en-CA"/>
              </w:rPr>
              <w:t>BERNARD TREMBLAY,</w:t>
            </w:r>
            <w:r w:rsidRPr="004E1DE3">
              <w:rPr>
                <w:b/>
                <w:lang w:val="en-CA"/>
              </w:rPr>
              <w:t xml:space="preserve"> J.S.C.</w:t>
            </w:r>
          </w:p>
        </w:tc>
      </w:tr>
      <w:tr w:rsidR="00B0137B" w:rsidRPr="00CE2A8E" w14:paraId="14EF7C0C" w14:textId="77777777" w:rsidTr="00BA153A">
        <w:tc>
          <w:tcPr>
            <w:tcW w:w="9505" w:type="dxa"/>
            <w:gridSpan w:val="3"/>
          </w:tcPr>
          <w:p w14:paraId="23EB4CD6" w14:textId="77777777" w:rsidR="00121A72" w:rsidRPr="004E1DE3" w:rsidRDefault="00121A72" w:rsidP="00D26929">
            <w:pPr>
              <w:rPr>
                <w:lang w:val="en-CA"/>
              </w:rPr>
            </w:pPr>
          </w:p>
        </w:tc>
      </w:tr>
      <w:tr w:rsidR="00B0137B" w:rsidRPr="00CE2A8E" w14:paraId="156FA65B" w14:textId="77777777" w:rsidTr="00BA153A">
        <w:trPr>
          <w:cantSplit/>
        </w:trPr>
        <w:tc>
          <w:tcPr>
            <w:tcW w:w="9505" w:type="dxa"/>
            <w:gridSpan w:val="3"/>
          </w:tcPr>
          <w:p w14:paraId="427684B8" w14:textId="77777777" w:rsidR="00C21D29" w:rsidRPr="004E1DE3" w:rsidRDefault="00573CA9" w:rsidP="00BD51DF">
            <w:pPr>
              <w:pStyle w:val="zSoquijdatNomProcureurDem"/>
              <w:rPr>
                <w:lang w:val="en-CA"/>
              </w:rPr>
            </w:pPr>
            <w:r w:rsidRPr="004E1DE3">
              <w:rPr>
                <w:lang w:val="en-CA"/>
              </w:rPr>
              <w:t>Mtre</w:t>
            </w:r>
            <w:r w:rsidR="002008A3" w:rsidRPr="004E1DE3">
              <w:rPr>
                <w:vertAlign w:val="superscript"/>
                <w:lang w:val="en-CA"/>
              </w:rPr>
              <w:t xml:space="preserve"> </w:t>
            </w:r>
            <w:r w:rsidR="000554BE" w:rsidRPr="004E1DE3">
              <w:rPr>
                <w:lang w:val="en-CA"/>
              </w:rPr>
              <w:t>Jeff Orenstein</w:t>
            </w:r>
          </w:p>
          <w:p w14:paraId="57CE4EB3" w14:textId="77777777" w:rsidR="000554BE" w:rsidRPr="004E1DE3" w:rsidRDefault="00573CA9" w:rsidP="00BD51DF">
            <w:pPr>
              <w:pStyle w:val="zSoquijdatNomProcureurDem"/>
              <w:rPr>
                <w:lang w:val="en-CA"/>
              </w:rPr>
            </w:pPr>
            <w:r w:rsidRPr="004E1DE3">
              <w:rPr>
                <w:lang w:val="en-CA"/>
              </w:rPr>
              <w:t>Mtre Andrea Grass</w:t>
            </w:r>
          </w:p>
          <w:p w14:paraId="20AE0A49" w14:textId="77777777" w:rsidR="000554BE" w:rsidRPr="004E1DE3" w:rsidRDefault="00573CA9" w:rsidP="00BD51DF">
            <w:pPr>
              <w:pStyle w:val="zSoquijdatNomProcureurDem"/>
              <w:rPr>
                <w:lang w:val="en-CA"/>
              </w:rPr>
            </w:pPr>
            <w:r w:rsidRPr="004E1DE3">
              <w:rPr>
                <w:lang w:val="en-CA"/>
              </w:rPr>
              <w:t>CONSUMER LAW GROUP INC.</w:t>
            </w:r>
          </w:p>
          <w:p w14:paraId="4FCD6384" w14:textId="77777777" w:rsidR="0073163C" w:rsidRPr="004E1DE3" w:rsidRDefault="00573CA9" w:rsidP="00BD51DF">
            <w:pPr>
              <w:pStyle w:val="zSoquijdatNomProcureurDem"/>
              <w:rPr>
                <w:lang w:val="en-CA"/>
              </w:rPr>
            </w:pPr>
            <w:r w:rsidRPr="004E1DE3">
              <w:rPr>
                <w:lang w:val="en-CA"/>
              </w:rPr>
              <w:t>C</w:t>
            </w:r>
            <w:r w:rsidR="001D6B31" w:rsidRPr="004E1DE3">
              <w:rPr>
                <w:lang w:val="en-CA"/>
              </w:rPr>
              <w:t>ounsel</w:t>
            </w:r>
            <w:r w:rsidRPr="004E1DE3">
              <w:rPr>
                <w:lang w:val="en-CA"/>
              </w:rPr>
              <w:t xml:space="preserve"> for the plaintiffs</w:t>
            </w:r>
          </w:p>
        </w:tc>
      </w:tr>
      <w:tr w:rsidR="00B0137B" w:rsidRPr="00CE2A8E" w14:paraId="7C7F4178" w14:textId="77777777" w:rsidTr="00BA153A">
        <w:trPr>
          <w:cantSplit/>
        </w:trPr>
        <w:tc>
          <w:tcPr>
            <w:tcW w:w="9505" w:type="dxa"/>
            <w:gridSpan w:val="3"/>
          </w:tcPr>
          <w:p w14:paraId="774DBE02" w14:textId="77777777" w:rsidR="00121A72" w:rsidRPr="004E1DE3" w:rsidRDefault="00121A72" w:rsidP="00D26929">
            <w:pPr>
              <w:rPr>
                <w:lang w:val="en-CA"/>
              </w:rPr>
            </w:pPr>
          </w:p>
        </w:tc>
      </w:tr>
      <w:tr w:rsidR="00B0137B" w:rsidRPr="00CE2A8E" w14:paraId="16D3FAAF" w14:textId="77777777" w:rsidTr="00BA153A">
        <w:trPr>
          <w:cantSplit/>
        </w:trPr>
        <w:tc>
          <w:tcPr>
            <w:tcW w:w="9505" w:type="dxa"/>
            <w:gridSpan w:val="3"/>
          </w:tcPr>
          <w:p w14:paraId="38FF846B" w14:textId="77777777" w:rsidR="00836D3A" w:rsidRPr="005510B2" w:rsidRDefault="00573CA9" w:rsidP="00C21D29">
            <w:pPr>
              <w:pStyle w:val="zSoquijdatNomProcureurDem"/>
            </w:pPr>
            <w:r w:rsidRPr="005510B2">
              <w:t>Mtre</w:t>
            </w:r>
            <w:r w:rsidR="000554BE" w:rsidRPr="005510B2">
              <w:t xml:space="preserve"> Noah Boudreau</w:t>
            </w:r>
          </w:p>
          <w:p w14:paraId="3D87BF09" w14:textId="77777777" w:rsidR="00144D7C" w:rsidRPr="005510B2" w:rsidRDefault="00573CA9" w:rsidP="00C21D29">
            <w:pPr>
              <w:pStyle w:val="zSoquijdatNomProcureurDem"/>
            </w:pPr>
            <w:r w:rsidRPr="005510B2">
              <w:t>Mtre Mirna Kaddis</w:t>
            </w:r>
          </w:p>
          <w:p w14:paraId="1BB87EA9" w14:textId="77777777" w:rsidR="000554BE" w:rsidRPr="004E1DE3" w:rsidRDefault="00573CA9" w:rsidP="00C21D29">
            <w:pPr>
              <w:pStyle w:val="zSoquijdatNomProcureurDem"/>
              <w:rPr>
                <w:lang w:val="en-CA"/>
              </w:rPr>
            </w:pPr>
            <w:r w:rsidRPr="004E1DE3">
              <w:rPr>
                <w:lang w:val="en-CA"/>
              </w:rPr>
              <w:t>FASKEN MARTINEAU DUMOULIN INC.</w:t>
            </w:r>
          </w:p>
          <w:p w14:paraId="0FDFCA53" w14:textId="77777777" w:rsidR="002008A3" w:rsidRPr="004E1DE3" w:rsidRDefault="00573CA9" w:rsidP="006C1484">
            <w:pPr>
              <w:pStyle w:val="zSoquijdatNomProcureurDef"/>
              <w:tabs>
                <w:tab w:val="left" w:pos="3150"/>
              </w:tabs>
              <w:rPr>
                <w:lang w:val="en-CA"/>
              </w:rPr>
            </w:pPr>
            <w:r w:rsidRPr="004E1DE3">
              <w:rPr>
                <w:lang w:val="en-CA"/>
              </w:rPr>
              <w:t>C</w:t>
            </w:r>
            <w:r w:rsidR="001D6B31" w:rsidRPr="004E1DE3">
              <w:rPr>
                <w:lang w:val="en-CA"/>
              </w:rPr>
              <w:t>ounsel</w:t>
            </w:r>
            <w:r w:rsidRPr="004E1DE3">
              <w:rPr>
                <w:lang w:val="en-CA"/>
              </w:rPr>
              <w:t xml:space="preserve"> for the </w:t>
            </w:r>
            <w:r w:rsidR="001D6B31" w:rsidRPr="004E1DE3">
              <w:rPr>
                <w:lang w:val="en-CA"/>
              </w:rPr>
              <w:t>defendants Capital One Bank (Canada Branch), Capital (Financial Corporation)</w:t>
            </w:r>
            <w:r w:rsidRPr="004E1DE3">
              <w:rPr>
                <w:lang w:val="en-CA"/>
              </w:rPr>
              <w:t>, and</w:t>
            </w:r>
            <w:r w:rsidR="001D6B31" w:rsidRPr="004E1DE3">
              <w:rPr>
                <w:lang w:val="en-CA"/>
              </w:rPr>
              <w:t xml:space="preserve"> Capital One Bank (USA) National Association.</w:t>
            </w:r>
          </w:p>
          <w:p w14:paraId="17619D15" w14:textId="77777777" w:rsidR="000554BE" w:rsidRPr="004E1DE3" w:rsidRDefault="000554BE" w:rsidP="006C1484">
            <w:pPr>
              <w:pStyle w:val="zSoquijdatNomProcureurDef"/>
              <w:tabs>
                <w:tab w:val="left" w:pos="3150"/>
              </w:tabs>
              <w:rPr>
                <w:lang w:val="en-CA"/>
              </w:rPr>
            </w:pPr>
          </w:p>
        </w:tc>
      </w:tr>
      <w:tr w:rsidR="00B0137B" w:rsidRPr="00CE2A8E" w14:paraId="65EFD550" w14:textId="77777777" w:rsidTr="00BA153A">
        <w:trPr>
          <w:cantSplit/>
        </w:trPr>
        <w:tc>
          <w:tcPr>
            <w:tcW w:w="9505" w:type="dxa"/>
            <w:gridSpan w:val="3"/>
          </w:tcPr>
          <w:p w14:paraId="5D44CD0F" w14:textId="77777777" w:rsidR="005C42D5" w:rsidRPr="004E1DE3" w:rsidRDefault="00573CA9" w:rsidP="006C1484">
            <w:pPr>
              <w:pStyle w:val="zSoquijdatNomProcureurDem"/>
              <w:rPr>
                <w:lang w:val="en-CA"/>
              </w:rPr>
            </w:pPr>
            <w:r w:rsidRPr="004E1DE3">
              <w:rPr>
                <w:lang w:val="en-CA"/>
              </w:rPr>
              <w:t>Mtre Paule Hamelin</w:t>
            </w:r>
          </w:p>
          <w:p w14:paraId="337BAF36" w14:textId="77777777" w:rsidR="001D6B31" w:rsidRPr="004E1DE3" w:rsidRDefault="00573CA9" w:rsidP="001D6B31">
            <w:pPr>
              <w:pStyle w:val="zSoquijdatNomProcureurDem"/>
              <w:rPr>
                <w:lang w:val="en-CA"/>
              </w:rPr>
            </w:pPr>
            <w:r w:rsidRPr="004E1DE3">
              <w:rPr>
                <w:lang w:val="en-CA"/>
              </w:rPr>
              <w:t>GOWLING WLG (CANADA)</w:t>
            </w:r>
          </w:p>
          <w:p w14:paraId="2AFD80A3" w14:textId="77777777" w:rsidR="00144D7C" w:rsidRPr="004E1DE3" w:rsidRDefault="00573CA9" w:rsidP="000554BE">
            <w:pPr>
              <w:pStyle w:val="zSoquijdatNomProcureurDem"/>
              <w:rPr>
                <w:lang w:val="en-CA"/>
              </w:rPr>
            </w:pPr>
            <w:r w:rsidRPr="004E1DE3">
              <w:rPr>
                <w:lang w:val="en-CA"/>
              </w:rPr>
              <w:t xml:space="preserve">Counsel for the </w:t>
            </w:r>
            <w:r w:rsidR="001D6B31" w:rsidRPr="004E1DE3">
              <w:rPr>
                <w:lang w:val="en-CA"/>
              </w:rPr>
              <w:t xml:space="preserve">defendants Amazon.com </w:t>
            </w:r>
            <w:r w:rsidR="00795E59" w:rsidRPr="004E1DE3">
              <w:rPr>
                <w:lang w:val="en-CA"/>
              </w:rPr>
              <w:t>I</w:t>
            </w:r>
            <w:r w:rsidR="001D6B31" w:rsidRPr="004E1DE3">
              <w:rPr>
                <w:lang w:val="en-CA"/>
              </w:rPr>
              <w:t xml:space="preserve">nc., Amazon.com.ca </w:t>
            </w:r>
            <w:r w:rsidR="00795E59" w:rsidRPr="004E1DE3">
              <w:rPr>
                <w:lang w:val="en-CA"/>
              </w:rPr>
              <w:t>I</w:t>
            </w:r>
            <w:r w:rsidR="001D6B31" w:rsidRPr="004E1DE3">
              <w:rPr>
                <w:lang w:val="en-CA"/>
              </w:rPr>
              <w:t xml:space="preserve">nc., Amazon Web Services Canada </w:t>
            </w:r>
            <w:r w:rsidR="00795E59" w:rsidRPr="004E1DE3">
              <w:rPr>
                <w:lang w:val="en-CA"/>
              </w:rPr>
              <w:t>I</w:t>
            </w:r>
            <w:r w:rsidR="001D6B31" w:rsidRPr="004E1DE3">
              <w:rPr>
                <w:lang w:val="en-CA"/>
              </w:rPr>
              <w:t xml:space="preserve">nc., Amazon Web Services </w:t>
            </w:r>
            <w:r w:rsidR="00795E59" w:rsidRPr="004E1DE3">
              <w:rPr>
                <w:lang w:val="en-CA"/>
              </w:rPr>
              <w:t>I</w:t>
            </w:r>
            <w:r w:rsidR="001D6B31" w:rsidRPr="004E1DE3">
              <w:rPr>
                <w:lang w:val="en-CA"/>
              </w:rPr>
              <w:t>nc.</w:t>
            </w:r>
            <w:r w:rsidRPr="004E1DE3">
              <w:rPr>
                <w:lang w:val="en-CA"/>
              </w:rPr>
              <w:t>, and</w:t>
            </w:r>
            <w:r w:rsidR="001D6B31" w:rsidRPr="004E1DE3">
              <w:rPr>
                <w:lang w:val="en-CA"/>
              </w:rPr>
              <w:t xml:space="preserve"> Amazon Technologies </w:t>
            </w:r>
            <w:r w:rsidR="00795E59" w:rsidRPr="004E1DE3">
              <w:rPr>
                <w:lang w:val="en-CA"/>
              </w:rPr>
              <w:t>I</w:t>
            </w:r>
            <w:r w:rsidR="001D6B31" w:rsidRPr="004E1DE3">
              <w:rPr>
                <w:lang w:val="en-CA"/>
              </w:rPr>
              <w:t>nc.</w:t>
            </w:r>
          </w:p>
          <w:p w14:paraId="5A3CB4C5" w14:textId="77777777" w:rsidR="000554BE" w:rsidRPr="004E1DE3" w:rsidRDefault="000554BE" w:rsidP="000554BE">
            <w:pPr>
              <w:pStyle w:val="zSoquijdatNomProcureurDem"/>
              <w:rPr>
                <w:b/>
                <w:i/>
                <w:lang w:val="en-CA"/>
              </w:rPr>
            </w:pPr>
          </w:p>
        </w:tc>
      </w:tr>
      <w:tr w:rsidR="00B0137B" w14:paraId="277C2D18" w14:textId="77777777" w:rsidTr="00BA153A">
        <w:tc>
          <w:tcPr>
            <w:tcW w:w="2197" w:type="dxa"/>
          </w:tcPr>
          <w:p w14:paraId="3CD73F8B" w14:textId="77777777" w:rsidR="00121A72" w:rsidRPr="004E1DE3" w:rsidRDefault="00573CA9" w:rsidP="00D26929">
            <w:pPr>
              <w:pStyle w:val="zSoquijlblDateAudience"/>
              <w:rPr>
                <w:lang w:val="en-CA"/>
              </w:rPr>
            </w:pPr>
            <w:r w:rsidRPr="004E1DE3">
              <w:rPr>
                <w:lang w:val="en-CA"/>
              </w:rPr>
              <w:t>Dates of hearing:</w:t>
            </w:r>
          </w:p>
        </w:tc>
        <w:tc>
          <w:tcPr>
            <w:tcW w:w="7308" w:type="dxa"/>
            <w:gridSpan w:val="2"/>
          </w:tcPr>
          <w:p w14:paraId="28AD9D66" w14:textId="77777777" w:rsidR="00121A72" w:rsidRPr="004E1DE3" w:rsidRDefault="00573CA9" w:rsidP="00D26929">
            <w:pPr>
              <w:pStyle w:val="zSoquijdatDateAudience"/>
              <w:rPr>
                <w:lang w:val="en-CA"/>
              </w:rPr>
            </w:pPr>
            <w:r w:rsidRPr="004E1DE3">
              <w:rPr>
                <w:lang w:val="en-CA"/>
              </w:rPr>
              <w:t>January</w:t>
            </w:r>
            <w:r w:rsidR="00971875" w:rsidRPr="004E1DE3">
              <w:rPr>
                <w:lang w:val="en-CA"/>
              </w:rPr>
              <w:t xml:space="preserve"> 31 and </w:t>
            </w:r>
            <w:r w:rsidRPr="004E1DE3">
              <w:rPr>
                <w:lang w:val="en-CA"/>
              </w:rPr>
              <w:t>February</w:t>
            </w:r>
            <w:r w:rsidR="00971875" w:rsidRPr="004E1DE3">
              <w:rPr>
                <w:lang w:val="en-CA"/>
              </w:rPr>
              <w:t xml:space="preserve"> 1,</w:t>
            </w:r>
            <w:r w:rsidRPr="004E1DE3">
              <w:rPr>
                <w:lang w:val="en-CA"/>
              </w:rPr>
              <w:t xml:space="preserve"> 2023</w:t>
            </w:r>
          </w:p>
        </w:tc>
      </w:tr>
    </w:tbl>
    <w:p w14:paraId="61DABFCB" w14:textId="77777777" w:rsidR="00BA153A" w:rsidRPr="004E1DE3" w:rsidRDefault="00BA153A" w:rsidP="00D26929">
      <w:pPr>
        <w:rPr>
          <w:lang w:val="en-CA"/>
        </w:rPr>
      </w:pPr>
    </w:p>
    <w:p w14:paraId="1FFCB2ED" w14:textId="77777777" w:rsidR="00121A72" w:rsidRPr="004E1DE3" w:rsidRDefault="00121A72" w:rsidP="00D26929">
      <w:pPr>
        <w:rPr>
          <w:lang w:val="en-CA"/>
        </w:rPr>
      </w:pPr>
    </w:p>
    <w:sectPr w:rsidR="00121A72" w:rsidRPr="004E1DE3" w:rsidSect="007D1A3F">
      <w:headerReference w:type="even" r:id="rId11"/>
      <w:headerReference w:type="default" r:id="rId12"/>
      <w:footerReference w:type="even" r:id="rId13"/>
      <w:headerReference w:type="first" r:id="rId14"/>
      <w:footnotePr>
        <w:numRestart w:val="eachSect"/>
      </w:footnotePr>
      <w:pgSz w:w="12242" w:h="15842" w:code="1"/>
      <w:pgMar w:top="1440" w:right="1043"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027A" w14:textId="77777777" w:rsidR="003E32D9" w:rsidRDefault="003E32D9">
      <w:r>
        <w:separator/>
      </w:r>
    </w:p>
  </w:endnote>
  <w:endnote w:type="continuationSeparator" w:id="0">
    <w:p w14:paraId="18D73064" w14:textId="77777777" w:rsidR="003E32D9" w:rsidRDefault="003E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8E8A" w14:textId="77777777" w:rsidR="00121A72" w:rsidRDefault="00573CA9">
    <w:pPr>
      <w:framePr w:wrap="around" w:vAnchor="text" w:hAnchor="margin" w:xAlign="right" w:y="1"/>
    </w:pPr>
    <w:r>
      <w:fldChar w:fldCharType="begin"/>
    </w:r>
    <w:r>
      <w:instrText xml:space="preserve">PAGE  </w:instrText>
    </w:r>
    <w:r>
      <w:fldChar w:fldCharType="separate"/>
    </w:r>
    <w:r>
      <w:fldChar w:fldCharType="end"/>
    </w:r>
  </w:p>
  <w:p w14:paraId="74A81654" w14:textId="77777777" w:rsidR="00121A72" w:rsidRDefault="00121A7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14CB" w14:textId="77777777" w:rsidR="003E32D9" w:rsidRDefault="003E32D9">
      <w:r>
        <w:separator/>
      </w:r>
    </w:p>
  </w:footnote>
  <w:footnote w:type="continuationSeparator" w:id="0">
    <w:p w14:paraId="17500E1F" w14:textId="77777777" w:rsidR="003E32D9" w:rsidRDefault="003E32D9">
      <w:r>
        <w:continuationSeparator/>
      </w:r>
    </w:p>
  </w:footnote>
  <w:footnote w:id="1">
    <w:p w14:paraId="3949DEF1" w14:textId="77777777" w:rsidR="00B2016E" w:rsidRPr="0015199D" w:rsidRDefault="00573CA9" w:rsidP="00B2016E">
      <w:pPr>
        <w:pStyle w:val="Notedebasdepage"/>
        <w:rPr>
          <w:lang w:val="en-CA"/>
        </w:rPr>
      </w:pPr>
      <w:r>
        <w:rPr>
          <w:rStyle w:val="Appelnotedebasdep"/>
        </w:rPr>
        <w:footnoteRef/>
      </w:r>
      <w:r w:rsidRPr="0015199D">
        <w:rPr>
          <w:lang w:val="en-CA"/>
        </w:rPr>
        <w:t xml:space="preserve"> </w:t>
      </w:r>
      <w:r w:rsidRPr="0015199D">
        <w:rPr>
          <w:lang w:val="en-CA"/>
        </w:rPr>
        <w:tab/>
      </w:r>
      <w:r w:rsidR="00971875" w:rsidRPr="004A7821">
        <w:rPr>
          <w:lang w:val="en-CA"/>
        </w:rPr>
        <w:t>January 29, 2020.</w:t>
      </w:r>
    </w:p>
  </w:footnote>
  <w:footnote w:id="2">
    <w:p w14:paraId="61FAA34F" w14:textId="77777777" w:rsidR="007D4218" w:rsidRPr="0015199D" w:rsidRDefault="00573CA9">
      <w:pPr>
        <w:pStyle w:val="Notedebasdepage"/>
        <w:rPr>
          <w:lang w:val="en-CA"/>
        </w:rPr>
      </w:pPr>
      <w:r>
        <w:rPr>
          <w:rStyle w:val="Appelnotedebasdep"/>
        </w:rPr>
        <w:footnoteRef/>
      </w:r>
      <w:r w:rsidR="00103D45" w:rsidRPr="0015199D">
        <w:rPr>
          <w:lang w:val="en-CA"/>
        </w:rPr>
        <w:t xml:space="preserve"> </w:t>
      </w:r>
      <w:r w:rsidR="00103D45" w:rsidRPr="0015199D">
        <w:rPr>
          <w:lang w:val="en-CA"/>
        </w:rPr>
        <w:tab/>
      </w:r>
      <w:r w:rsidR="002A2439" w:rsidRPr="0015199D">
        <w:rPr>
          <w:lang w:val="en-CA"/>
        </w:rPr>
        <w:t>Application at p</w:t>
      </w:r>
      <w:r w:rsidR="00103D45" w:rsidRPr="0015199D">
        <w:rPr>
          <w:lang w:val="en-CA"/>
        </w:rPr>
        <w:t>ar</w:t>
      </w:r>
      <w:r w:rsidR="002A2439" w:rsidRPr="0015199D">
        <w:rPr>
          <w:lang w:val="en-CA"/>
        </w:rPr>
        <w:t>a</w:t>
      </w:r>
      <w:r w:rsidR="00103D45" w:rsidRPr="0015199D">
        <w:rPr>
          <w:lang w:val="en-CA"/>
        </w:rPr>
        <w:t xml:space="preserve">. 10.74 </w:t>
      </w:r>
      <w:r w:rsidR="00103D45" w:rsidRPr="0015199D">
        <w:rPr>
          <w:i/>
          <w:iCs/>
          <w:lang w:val="en-CA"/>
        </w:rPr>
        <w:t xml:space="preserve">et </w:t>
      </w:r>
      <w:r w:rsidR="002A2439" w:rsidRPr="0015199D">
        <w:rPr>
          <w:i/>
          <w:iCs/>
          <w:lang w:val="en-CA"/>
        </w:rPr>
        <w:t>seq</w:t>
      </w:r>
      <w:r w:rsidR="002A2439" w:rsidRPr="0015199D">
        <w:rPr>
          <w:lang w:val="en-CA"/>
        </w:rPr>
        <w:t>.</w:t>
      </w:r>
    </w:p>
  </w:footnote>
  <w:footnote w:id="3">
    <w:p w14:paraId="6757ECC8" w14:textId="77777777" w:rsidR="007C2F47" w:rsidRPr="00291A19" w:rsidRDefault="00573CA9" w:rsidP="007C2F47">
      <w:pPr>
        <w:pStyle w:val="Notedebasdepage"/>
        <w:rPr>
          <w:lang w:val="en-CA"/>
        </w:rPr>
      </w:pPr>
      <w:r>
        <w:rPr>
          <w:rStyle w:val="Appelnotedebasdep"/>
        </w:rPr>
        <w:footnoteRef/>
      </w:r>
      <w:r w:rsidRPr="00291A19">
        <w:rPr>
          <w:lang w:val="en-CA"/>
        </w:rPr>
        <w:t xml:space="preserve"> </w:t>
      </w:r>
      <w:r w:rsidRPr="00291A19">
        <w:rPr>
          <w:lang w:val="en-CA"/>
        </w:rPr>
        <w:tab/>
      </w:r>
      <w:r w:rsidRPr="00291A19">
        <w:rPr>
          <w:i/>
          <w:iCs/>
          <w:lang w:val="en-CA"/>
        </w:rPr>
        <w:t>Del Giudice</w:t>
      </w:r>
      <w:r w:rsidRPr="00291A19">
        <w:rPr>
          <w:lang w:val="en-CA"/>
        </w:rPr>
        <w:t xml:space="preserve"> </w:t>
      </w:r>
      <w:r w:rsidRPr="000C3053">
        <w:rPr>
          <w:i/>
          <w:iCs/>
          <w:lang w:val="en-CA"/>
        </w:rPr>
        <w:t>v</w:t>
      </w:r>
      <w:r w:rsidRPr="00291A19">
        <w:rPr>
          <w:lang w:val="en-CA"/>
        </w:rPr>
        <w:t xml:space="preserve">. </w:t>
      </w:r>
      <w:r w:rsidRPr="00291A19">
        <w:rPr>
          <w:i/>
          <w:iCs/>
          <w:lang w:val="en-CA"/>
        </w:rPr>
        <w:t>Thompson</w:t>
      </w:r>
      <w:r w:rsidRPr="00291A19">
        <w:rPr>
          <w:lang w:val="en-CA"/>
        </w:rPr>
        <w:t xml:space="preserve">, </w:t>
      </w:r>
      <w:r w:rsidRPr="00291A19">
        <w:rPr>
          <w:rFonts w:cs="Arial"/>
          <w:lang w:val="en-CA" w:eastAsia="fr-CA"/>
        </w:rPr>
        <w:t>2021 ONSC 5379.</w:t>
      </w:r>
    </w:p>
  </w:footnote>
  <w:footnote w:id="4">
    <w:p w14:paraId="3323A1C1" w14:textId="77777777" w:rsidR="00AE31BC" w:rsidRPr="00AE31BC" w:rsidRDefault="00573CA9">
      <w:pPr>
        <w:pStyle w:val="Notedebasdepage"/>
        <w:rPr>
          <w:lang w:val="en-CA"/>
        </w:rPr>
      </w:pPr>
      <w:r>
        <w:rPr>
          <w:rStyle w:val="Appelnotedebasdep"/>
        </w:rPr>
        <w:footnoteRef/>
      </w:r>
      <w:r w:rsidRPr="00AE31BC">
        <w:rPr>
          <w:lang w:val="en-CA"/>
        </w:rPr>
        <w:t xml:space="preserve"> </w:t>
      </w:r>
      <w:r w:rsidRPr="00AE31BC">
        <w:rPr>
          <w:lang w:val="en-CA"/>
        </w:rPr>
        <w:tab/>
      </w:r>
      <w:r w:rsidRPr="00AE31BC">
        <w:rPr>
          <w:i/>
          <w:iCs/>
          <w:lang w:val="en-CA"/>
        </w:rPr>
        <w:t xml:space="preserve">Campbell </w:t>
      </w:r>
      <w:r w:rsidRPr="006D0A1E">
        <w:rPr>
          <w:i/>
          <w:iCs/>
          <w:lang w:val="en-CA"/>
        </w:rPr>
        <w:t>v</w:t>
      </w:r>
      <w:r w:rsidRPr="00AE31BC">
        <w:rPr>
          <w:lang w:val="en-CA"/>
        </w:rPr>
        <w:t>.</w:t>
      </w:r>
      <w:r w:rsidRPr="00AE31BC">
        <w:rPr>
          <w:i/>
          <w:iCs/>
          <w:lang w:val="en-CA"/>
        </w:rPr>
        <w:t xml:space="preserve"> Capital One Financial Corporation, </w:t>
      </w:r>
      <w:r w:rsidRPr="00AE31BC">
        <w:rPr>
          <w:rFonts w:cs="Arial"/>
          <w:lang w:val="en-CA" w:eastAsia="fr-CA"/>
        </w:rPr>
        <w:t>2022 BCSC 928.</w:t>
      </w:r>
    </w:p>
  </w:footnote>
  <w:footnote w:id="5">
    <w:p w14:paraId="79012E92" w14:textId="77777777" w:rsidR="00042BF4" w:rsidRPr="003151C7" w:rsidRDefault="00573CA9" w:rsidP="00042BF4">
      <w:pPr>
        <w:pStyle w:val="Notedebasdepage"/>
        <w:rPr>
          <w:lang w:val="es-CL"/>
        </w:rPr>
      </w:pPr>
      <w:r>
        <w:rPr>
          <w:rStyle w:val="Appelnotedebasdep"/>
        </w:rPr>
        <w:footnoteRef/>
      </w:r>
      <w:r w:rsidRPr="003151C7">
        <w:rPr>
          <w:lang w:val="es-CL"/>
        </w:rPr>
        <w:t xml:space="preserve"> </w:t>
      </w:r>
      <w:r w:rsidRPr="003151C7">
        <w:rPr>
          <w:lang w:val="es-CL"/>
        </w:rPr>
        <w:tab/>
      </w:r>
      <w:r w:rsidR="00971875" w:rsidRPr="004A7821">
        <w:rPr>
          <w:lang w:val="es-CL"/>
        </w:rPr>
        <w:t>CQLR, c</w:t>
      </w:r>
      <w:r w:rsidR="000C3053" w:rsidRPr="004A7821">
        <w:rPr>
          <w:lang w:val="es-CL"/>
        </w:rPr>
        <w:t>.</w:t>
      </w:r>
      <w:r w:rsidR="00971875" w:rsidRPr="004A7821">
        <w:rPr>
          <w:lang w:val="es-CL"/>
        </w:rPr>
        <w:t xml:space="preserve"> C-12.</w:t>
      </w:r>
    </w:p>
  </w:footnote>
  <w:footnote w:id="6">
    <w:p w14:paraId="3D647F7D" w14:textId="77777777" w:rsidR="00737082" w:rsidRPr="003151C7" w:rsidRDefault="00573CA9">
      <w:pPr>
        <w:pStyle w:val="Notedebasdepage"/>
        <w:rPr>
          <w:lang w:val="es-CL"/>
        </w:rPr>
      </w:pPr>
      <w:r>
        <w:rPr>
          <w:rStyle w:val="Appelnotedebasdep"/>
        </w:rPr>
        <w:footnoteRef/>
      </w:r>
      <w:r w:rsidR="00D62FFC" w:rsidRPr="003151C7">
        <w:rPr>
          <w:lang w:val="es-CL"/>
        </w:rPr>
        <w:t xml:space="preserve"> </w:t>
      </w:r>
      <w:r w:rsidR="00D62FFC" w:rsidRPr="003151C7">
        <w:rPr>
          <w:lang w:val="es-CL"/>
        </w:rPr>
        <w:tab/>
      </w:r>
      <w:r w:rsidR="00971875" w:rsidRPr="004A7821">
        <w:rPr>
          <w:lang w:val="es-CL"/>
        </w:rPr>
        <w:t>CQLR</w:t>
      </w:r>
      <w:r w:rsidR="00F12FBD" w:rsidRPr="004A7821">
        <w:rPr>
          <w:lang w:val="es-CL"/>
        </w:rPr>
        <w:t>,</w:t>
      </w:r>
      <w:r w:rsidR="00971875" w:rsidRPr="004A7821">
        <w:rPr>
          <w:lang w:val="es-CL"/>
        </w:rPr>
        <w:t xml:space="preserve"> c</w:t>
      </w:r>
      <w:r w:rsidR="000C3053" w:rsidRPr="004A7821">
        <w:rPr>
          <w:lang w:val="es-CL"/>
        </w:rPr>
        <w:t>.</w:t>
      </w:r>
      <w:r w:rsidR="00971875" w:rsidRPr="004A7821">
        <w:rPr>
          <w:lang w:val="es-CL"/>
        </w:rPr>
        <w:t xml:space="preserve"> P-40.1.</w:t>
      </w:r>
    </w:p>
  </w:footnote>
  <w:footnote w:id="7">
    <w:p w14:paraId="537BC057" w14:textId="77777777" w:rsidR="002B527F" w:rsidRPr="00B93837" w:rsidRDefault="00573CA9" w:rsidP="002B527F">
      <w:pPr>
        <w:pStyle w:val="Notedebasdepage"/>
        <w:rPr>
          <w:lang w:val="es-CL"/>
        </w:rPr>
      </w:pPr>
      <w:r>
        <w:rPr>
          <w:rStyle w:val="Appelnotedebasdep"/>
        </w:rPr>
        <w:footnoteRef/>
      </w:r>
      <w:r w:rsidRPr="00B93837">
        <w:rPr>
          <w:lang w:val="es-CL"/>
        </w:rPr>
        <w:t xml:space="preserve"> </w:t>
      </w:r>
      <w:r w:rsidRPr="00B93837">
        <w:rPr>
          <w:lang w:val="es-CL"/>
        </w:rPr>
        <w:tab/>
      </w:r>
      <w:r w:rsidRPr="00B93837">
        <w:rPr>
          <w:i/>
          <w:iCs/>
          <w:lang w:val="es-CL"/>
        </w:rPr>
        <w:t>Saurette</w:t>
      </w:r>
      <w:r w:rsidR="00B93837">
        <w:rPr>
          <w:i/>
          <w:iCs/>
          <w:lang w:val="es-CL"/>
        </w:rPr>
        <w:t xml:space="preserve"> c</w:t>
      </w:r>
      <w:r w:rsidRPr="00B93837">
        <w:rPr>
          <w:lang w:val="es-CL"/>
        </w:rPr>
        <w:t xml:space="preserve">. </w:t>
      </w:r>
      <w:r w:rsidRPr="00B93837">
        <w:rPr>
          <w:i/>
          <w:iCs/>
          <w:lang w:val="es-CL"/>
        </w:rPr>
        <w:t>Astrazeneca Canada inc.</w:t>
      </w:r>
      <w:r w:rsidRPr="00B93837">
        <w:rPr>
          <w:lang w:val="es-CL"/>
        </w:rPr>
        <w:t>, 2019 QCCS 3323.</w:t>
      </w:r>
    </w:p>
  </w:footnote>
  <w:footnote w:id="8">
    <w:p w14:paraId="4D8EB2F4" w14:textId="77777777" w:rsidR="002B527F" w:rsidRPr="00F045D3" w:rsidRDefault="00573CA9" w:rsidP="002B527F">
      <w:pPr>
        <w:pStyle w:val="Notedebasdepage"/>
      </w:pPr>
      <w:r w:rsidRPr="00F045D3">
        <w:rPr>
          <w:rStyle w:val="Appelnotedebasdep"/>
        </w:rPr>
        <w:footnoteRef/>
      </w:r>
      <w:r>
        <w:t xml:space="preserve"> </w:t>
      </w:r>
      <w:r>
        <w:tab/>
      </w:r>
      <w:r w:rsidRPr="004A7821">
        <w:t xml:space="preserve">2020 </w:t>
      </w:r>
      <w:r w:rsidR="00B93837" w:rsidRPr="004A7821">
        <w:t>SC</w:t>
      </w:r>
      <w:r w:rsidRPr="004A7821">
        <w:t>C 30.</w:t>
      </w:r>
    </w:p>
  </w:footnote>
  <w:footnote w:id="9">
    <w:p w14:paraId="76742350" w14:textId="77777777" w:rsidR="002B527F" w:rsidRPr="00971875" w:rsidRDefault="00573CA9" w:rsidP="002B527F">
      <w:pPr>
        <w:pStyle w:val="Notedebasdepage"/>
        <w:rPr>
          <w:rFonts w:cs="Arial"/>
        </w:rPr>
      </w:pPr>
      <w:r>
        <w:rPr>
          <w:rStyle w:val="Appelnotedebasdep"/>
        </w:rPr>
        <w:footnoteRef/>
      </w:r>
      <w:r>
        <w:t xml:space="preserve"> </w:t>
      </w:r>
      <w:r>
        <w:tab/>
      </w:r>
      <w:r w:rsidR="00971875" w:rsidRPr="004A7821">
        <w:rPr>
          <w:rFonts w:cs="Arial"/>
          <w:i/>
          <w:iCs/>
        </w:rPr>
        <w:t>L’Oratoire Saint-Joseph du Mont-Royal v. J.J.</w:t>
      </w:r>
      <w:r w:rsidR="00971875" w:rsidRPr="004A7821">
        <w:rPr>
          <w:rFonts w:cs="Arial"/>
          <w:iCs/>
        </w:rPr>
        <w:t>, 2019 SCC 35.</w:t>
      </w:r>
    </w:p>
  </w:footnote>
  <w:footnote w:id="10">
    <w:p w14:paraId="607BAABF" w14:textId="77777777" w:rsidR="002B527F" w:rsidRPr="00CE2A8E" w:rsidRDefault="00573CA9" w:rsidP="00CE087D">
      <w:pPr>
        <w:pStyle w:val="Notedebasdepage"/>
        <w:ind w:left="426" w:hanging="426"/>
      </w:pPr>
      <w:r>
        <w:rPr>
          <w:rStyle w:val="Appelnotedebasdep"/>
        </w:rPr>
        <w:footnoteRef/>
      </w:r>
      <w:r w:rsidRPr="00CE2A8E">
        <w:t xml:space="preserve"> </w:t>
      </w:r>
      <w:r w:rsidR="000B117A" w:rsidRPr="00CE2A8E">
        <w:t xml:space="preserve"> </w:t>
      </w:r>
      <w:r w:rsidR="00CE087D" w:rsidRPr="00CE2A8E">
        <w:rPr>
          <w:i/>
          <w:iCs/>
        </w:rPr>
        <w:t>Mustapha</w:t>
      </w:r>
      <w:r w:rsidR="000B117A" w:rsidRPr="00CE2A8E">
        <w:rPr>
          <w:i/>
          <w:iCs/>
        </w:rPr>
        <w:t xml:space="preserve"> v</w:t>
      </w:r>
      <w:r w:rsidR="00CE087D" w:rsidRPr="00CE2A8E">
        <w:rPr>
          <w:i/>
          <w:iCs/>
        </w:rPr>
        <w:t>. Culligan,</w:t>
      </w:r>
      <w:r w:rsidR="00CE087D" w:rsidRPr="00CE2A8E">
        <w:t xml:space="preserve"> 2008 S</w:t>
      </w:r>
      <w:r w:rsidR="000B117A" w:rsidRPr="00CE2A8E">
        <w:t>C</w:t>
      </w:r>
      <w:r w:rsidR="00CE087D" w:rsidRPr="00CE2A8E">
        <w:t xml:space="preserve">C 27; </w:t>
      </w:r>
      <w:r w:rsidRPr="00CE2A8E">
        <w:rPr>
          <w:i/>
          <w:iCs/>
        </w:rPr>
        <w:t>Zuckerman v</w:t>
      </w:r>
      <w:r w:rsidRPr="00CE2A8E">
        <w:t xml:space="preserve">. </w:t>
      </w:r>
      <w:r w:rsidRPr="00CE2A8E">
        <w:rPr>
          <w:i/>
          <w:iCs/>
        </w:rPr>
        <w:t>MGM Resorts International</w:t>
      </w:r>
      <w:r w:rsidRPr="00CE2A8E">
        <w:t>, 2022 QCCS 2914.</w:t>
      </w:r>
    </w:p>
  </w:footnote>
  <w:footnote w:id="11">
    <w:p w14:paraId="035256CE" w14:textId="77777777" w:rsidR="00E027FB" w:rsidRPr="00CE2A8E" w:rsidRDefault="00573CA9">
      <w:pPr>
        <w:pStyle w:val="Notedebasdepage"/>
      </w:pPr>
      <w:r>
        <w:rPr>
          <w:rStyle w:val="Appelnotedebasdep"/>
        </w:rPr>
        <w:footnoteRef/>
      </w:r>
      <w:r w:rsidR="00F045D3" w:rsidRPr="00CE2A8E">
        <w:t xml:space="preserve"> </w:t>
      </w:r>
      <w:r w:rsidR="00971875" w:rsidRPr="00CE2A8E">
        <w:t xml:space="preserve"> </w:t>
      </w:r>
      <w:r w:rsidRPr="00CE2A8E">
        <w:rPr>
          <w:i/>
          <w:iCs/>
        </w:rPr>
        <w:t>Option</w:t>
      </w:r>
      <w:r w:rsidR="00971875" w:rsidRPr="00CE2A8E">
        <w:rPr>
          <w:i/>
          <w:iCs/>
        </w:rPr>
        <w:t xml:space="preserve"> </w:t>
      </w:r>
      <w:r w:rsidRPr="00CE2A8E">
        <w:rPr>
          <w:i/>
          <w:iCs/>
        </w:rPr>
        <w:t>Consommateurs</w:t>
      </w:r>
      <w:r w:rsidR="00971875" w:rsidRPr="00CE2A8E">
        <w:rPr>
          <w:i/>
          <w:iCs/>
        </w:rPr>
        <w:t xml:space="preserve"> c</w:t>
      </w:r>
      <w:r w:rsidRPr="00CE2A8E">
        <w:t xml:space="preserve">. </w:t>
      </w:r>
      <w:r w:rsidRPr="00CE2A8E">
        <w:rPr>
          <w:i/>
          <w:iCs/>
        </w:rPr>
        <w:t>Google</w:t>
      </w:r>
      <w:r w:rsidRPr="00CE2A8E">
        <w:t>, 2022 QCCS 2308.</w:t>
      </w:r>
    </w:p>
  </w:footnote>
  <w:footnote w:id="12">
    <w:p w14:paraId="08D8C227" w14:textId="77777777" w:rsidR="0019786A" w:rsidRPr="00CE2A8E" w:rsidRDefault="00573CA9" w:rsidP="00BD01E0">
      <w:pPr>
        <w:pStyle w:val="Default"/>
      </w:pPr>
      <w:r w:rsidRPr="0019786A">
        <w:rPr>
          <w:rStyle w:val="Appelnotedebasdep"/>
          <w:sz w:val="20"/>
          <w:szCs w:val="20"/>
        </w:rPr>
        <w:footnoteRef/>
      </w:r>
      <w:r w:rsidRPr="00CE2A8E">
        <w:rPr>
          <w:sz w:val="20"/>
        </w:rPr>
        <w:t xml:space="preserve"> </w:t>
      </w:r>
      <w:r w:rsidR="00AF1630" w:rsidRPr="00CE2A8E">
        <w:t xml:space="preserve"> </w:t>
      </w:r>
      <w:r w:rsidRPr="00CE2A8E">
        <w:rPr>
          <w:i/>
          <w:iCs/>
          <w:sz w:val="20"/>
        </w:rPr>
        <w:t xml:space="preserve">Durand </w:t>
      </w:r>
      <w:r w:rsidRPr="00CE2A8E">
        <w:rPr>
          <w:i/>
          <w:iCs/>
          <w:color w:val="auto"/>
          <w:sz w:val="20"/>
        </w:rPr>
        <w:t>c</w:t>
      </w:r>
      <w:r w:rsidRPr="00CE2A8E">
        <w:rPr>
          <w:sz w:val="20"/>
        </w:rPr>
        <w:t xml:space="preserve">. </w:t>
      </w:r>
      <w:r w:rsidRPr="00CE2A8E">
        <w:rPr>
          <w:i/>
          <w:iCs/>
          <w:sz w:val="20"/>
        </w:rPr>
        <w:t>Subway Franchise Systems of Canada</w:t>
      </w:r>
      <w:r w:rsidR="00DE1648" w:rsidRPr="00CE2A8E">
        <w:rPr>
          <w:sz w:val="20"/>
          <w:szCs w:val="20"/>
        </w:rPr>
        <w:t>, 2020 QCCA 1647</w:t>
      </w:r>
      <w:r w:rsidRPr="00CE2A8E">
        <w:rPr>
          <w:sz w:val="23"/>
          <w:szCs w:val="23"/>
        </w:rPr>
        <w:t>.</w:t>
      </w:r>
    </w:p>
  </w:footnote>
  <w:footnote w:id="13">
    <w:p w14:paraId="7E9D172D" w14:textId="77777777" w:rsidR="00C10F93" w:rsidRPr="00971875" w:rsidRDefault="00573CA9">
      <w:pPr>
        <w:pStyle w:val="Notedebasdepage"/>
        <w:rPr>
          <w:lang w:val="en-CA"/>
        </w:rPr>
      </w:pPr>
      <w:r>
        <w:rPr>
          <w:rStyle w:val="Appelnotedebasdep"/>
        </w:rPr>
        <w:footnoteRef/>
      </w:r>
      <w:r w:rsidRPr="00971875">
        <w:rPr>
          <w:lang w:val="en-CA"/>
        </w:rPr>
        <w:t xml:space="preserve">  </w:t>
      </w:r>
      <w:r w:rsidRPr="004A7821">
        <w:rPr>
          <w:lang w:val="en-CA"/>
        </w:rPr>
        <w:t>September</w:t>
      </w:r>
      <w:r w:rsidR="00971875" w:rsidRPr="004A7821">
        <w:rPr>
          <w:lang w:val="en-CA"/>
        </w:rPr>
        <w:t xml:space="preserve"> 29,</w:t>
      </w:r>
      <w:r w:rsidRPr="004A7821">
        <w:rPr>
          <w:lang w:val="en-CA"/>
        </w:rPr>
        <w:t xml:space="preserve"> 2021.</w:t>
      </w:r>
    </w:p>
  </w:footnote>
  <w:footnote w:id="14">
    <w:p w14:paraId="6B8F1558" w14:textId="77777777" w:rsidR="00E027FB" w:rsidRPr="003151C7" w:rsidRDefault="00573CA9">
      <w:pPr>
        <w:pStyle w:val="Notedebasdepage"/>
        <w:rPr>
          <w:lang w:val="en-CA"/>
        </w:rPr>
      </w:pPr>
      <w:r>
        <w:rPr>
          <w:rStyle w:val="Appelnotedebasdep"/>
        </w:rPr>
        <w:footnoteRef/>
      </w:r>
      <w:r w:rsidR="00C10F93" w:rsidRPr="003151C7">
        <w:rPr>
          <w:lang w:val="en-CA"/>
        </w:rPr>
        <w:t xml:space="preserve">  </w:t>
      </w:r>
      <w:r w:rsidRPr="004A7821">
        <w:rPr>
          <w:i/>
          <w:iCs/>
          <w:lang w:val="en-CA"/>
        </w:rPr>
        <w:t>Benamor</w:t>
      </w:r>
      <w:r w:rsidR="00971875" w:rsidRPr="004A7821">
        <w:rPr>
          <w:i/>
          <w:iCs/>
          <w:lang w:val="en-CA"/>
        </w:rPr>
        <w:t xml:space="preserve"> c.</w:t>
      </w:r>
      <w:r w:rsidRPr="004A7821">
        <w:rPr>
          <w:i/>
          <w:iCs/>
          <w:lang w:val="en-CA"/>
        </w:rPr>
        <w:t xml:space="preserve"> Air</w:t>
      </w:r>
      <w:r w:rsidR="00971875" w:rsidRPr="004A7821">
        <w:rPr>
          <w:i/>
          <w:iCs/>
          <w:lang w:val="en-CA"/>
        </w:rPr>
        <w:t xml:space="preserve"> </w:t>
      </w:r>
      <w:r w:rsidRPr="004A7821">
        <w:rPr>
          <w:i/>
          <w:iCs/>
          <w:lang w:val="en-CA"/>
        </w:rPr>
        <w:t>Canada</w:t>
      </w:r>
      <w:r w:rsidRPr="004A7821">
        <w:rPr>
          <w:lang w:val="en-CA"/>
        </w:rPr>
        <w:t>, 2020 QCCA 1597.</w:t>
      </w:r>
    </w:p>
  </w:footnote>
  <w:footnote w:id="15">
    <w:p w14:paraId="6B32B333" w14:textId="77777777" w:rsidR="00AE3430" w:rsidRPr="00971875" w:rsidRDefault="00573CA9" w:rsidP="00AF1630">
      <w:pPr>
        <w:pStyle w:val="Default"/>
        <w:ind w:left="142" w:hanging="142"/>
        <w:rPr>
          <w:lang w:val="en-CA"/>
        </w:rPr>
      </w:pPr>
      <w:r w:rsidRPr="0019786A">
        <w:rPr>
          <w:rStyle w:val="Appelnotedebasdep"/>
          <w:sz w:val="20"/>
          <w:szCs w:val="20"/>
        </w:rPr>
        <w:footnoteRef/>
      </w:r>
      <w:r w:rsidRPr="00971875">
        <w:rPr>
          <w:sz w:val="20"/>
          <w:szCs w:val="20"/>
          <w:lang w:val="en-CA"/>
        </w:rPr>
        <w:t xml:space="preserve"> </w:t>
      </w:r>
      <w:r w:rsidR="0019786A" w:rsidRPr="00971875">
        <w:rPr>
          <w:lang w:val="en-CA"/>
        </w:rPr>
        <w:t xml:space="preserve"> </w:t>
      </w:r>
      <w:r w:rsidR="0019786A" w:rsidRPr="00971875">
        <w:rPr>
          <w:i/>
          <w:iCs/>
          <w:sz w:val="20"/>
          <w:szCs w:val="20"/>
          <w:lang w:val="en-CA"/>
        </w:rPr>
        <w:t>M.L.</w:t>
      </w:r>
      <w:r w:rsidR="00971875" w:rsidRPr="00971875">
        <w:rPr>
          <w:i/>
          <w:iCs/>
          <w:sz w:val="20"/>
          <w:szCs w:val="20"/>
          <w:lang w:val="en-CA"/>
        </w:rPr>
        <w:t xml:space="preserve"> c</w:t>
      </w:r>
      <w:r w:rsidR="0019786A" w:rsidRPr="00971875">
        <w:rPr>
          <w:sz w:val="20"/>
          <w:szCs w:val="20"/>
          <w:lang w:val="en-CA"/>
        </w:rPr>
        <w:t xml:space="preserve">. </w:t>
      </w:r>
      <w:r w:rsidR="0019786A" w:rsidRPr="00971875">
        <w:rPr>
          <w:i/>
          <w:iCs/>
          <w:sz w:val="20"/>
          <w:szCs w:val="20"/>
          <w:lang w:val="en-CA"/>
        </w:rPr>
        <w:t>Guillot</w:t>
      </w:r>
      <w:r w:rsidR="00C34FAB" w:rsidRPr="00971875">
        <w:rPr>
          <w:sz w:val="20"/>
          <w:szCs w:val="20"/>
          <w:lang w:val="en-CA"/>
        </w:rPr>
        <w:t>, 2021 QCCA 1450.</w:t>
      </w:r>
    </w:p>
  </w:footnote>
  <w:footnote w:id="16">
    <w:p w14:paraId="13118A77" w14:textId="77777777" w:rsidR="0019786A" w:rsidRPr="0019786A" w:rsidRDefault="00573CA9" w:rsidP="00AF1630">
      <w:pPr>
        <w:pStyle w:val="Default"/>
        <w:ind w:left="284" w:hanging="284"/>
        <w:rPr>
          <w:sz w:val="20"/>
          <w:szCs w:val="20"/>
        </w:rPr>
      </w:pPr>
      <w:r w:rsidRPr="0019786A">
        <w:rPr>
          <w:rStyle w:val="Appelnotedebasdep"/>
          <w:sz w:val="20"/>
          <w:szCs w:val="20"/>
        </w:rPr>
        <w:footnoteRef/>
      </w:r>
      <w:r w:rsidR="00AF1630">
        <w:rPr>
          <w:sz w:val="20"/>
          <w:szCs w:val="20"/>
        </w:rPr>
        <w:t xml:space="preserve">  </w:t>
      </w:r>
      <w:r w:rsidRPr="004A7821">
        <w:rPr>
          <w:i/>
          <w:iCs/>
          <w:color w:val="auto"/>
          <w:sz w:val="20"/>
          <w:szCs w:val="20"/>
        </w:rPr>
        <w:t>Société</w:t>
      </w:r>
      <w:r w:rsidR="00971875" w:rsidRPr="004A7821">
        <w:rPr>
          <w:i/>
          <w:iCs/>
          <w:color w:val="auto"/>
          <w:sz w:val="20"/>
          <w:szCs w:val="20"/>
        </w:rPr>
        <w:t xml:space="preserve"> </w:t>
      </w:r>
      <w:r w:rsidRPr="004A7821">
        <w:rPr>
          <w:i/>
          <w:iCs/>
          <w:sz w:val="20"/>
          <w:szCs w:val="20"/>
        </w:rPr>
        <w:t xml:space="preserve">québécoise de gestion collective des </w:t>
      </w:r>
      <w:r w:rsidRPr="004A7821">
        <w:rPr>
          <w:i/>
          <w:iCs/>
          <w:color w:val="auto"/>
          <w:sz w:val="20"/>
          <w:szCs w:val="20"/>
        </w:rPr>
        <w:t>droits</w:t>
      </w:r>
      <w:r w:rsidR="00971875" w:rsidRPr="004A7821">
        <w:rPr>
          <w:i/>
          <w:iCs/>
          <w:color w:val="auto"/>
          <w:sz w:val="20"/>
          <w:szCs w:val="20"/>
        </w:rPr>
        <w:t xml:space="preserve"> </w:t>
      </w:r>
      <w:r w:rsidRPr="004A7821">
        <w:rPr>
          <w:i/>
          <w:iCs/>
          <w:color w:val="auto"/>
          <w:sz w:val="20"/>
          <w:szCs w:val="20"/>
        </w:rPr>
        <w:t>de</w:t>
      </w:r>
      <w:r w:rsidR="00971875" w:rsidRPr="004A7821">
        <w:rPr>
          <w:i/>
          <w:iCs/>
          <w:color w:val="auto"/>
          <w:sz w:val="20"/>
          <w:szCs w:val="20"/>
        </w:rPr>
        <w:t xml:space="preserve"> </w:t>
      </w:r>
      <w:r w:rsidRPr="004A7821">
        <w:rPr>
          <w:i/>
          <w:iCs/>
          <w:color w:val="auto"/>
          <w:sz w:val="20"/>
          <w:szCs w:val="20"/>
        </w:rPr>
        <w:t>reproduction</w:t>
      </w:r>
      <w:r w:rsidRPr="004A7821">
        <w:rPr>
          <w:i/>
          <w:iCs/>
          <w:sz w:val="20"/>
          <w:szCs w:val="20"/>
        </w:rPr>
        <w:t xml:space="preserve"> (Copibec) </w:t>
      </w:r>
      <w:r w:rsidRPr="004A7821">
        <w:rPr>
          <w:i/>
          <w:iCs/>
          <w:color w:val="auto"/>
          <w:sz w:val="20"/>
          <w:szCs w:val="20"/>
        </w:rPr>
        <w:t>c</w:t>
      </w:r>
      <w:r w:rsidRPr="004A7821">
        <w:rPr>
          <w:sz w:val="20"/>
          <w:szCs w:val="20"/>
        </w:rPr>
        <w:t xml:space="preserve">. </w:t>
      </w:r>
      <w:r w:rsidRPr="004A7821">
        <w:rPr>
          <w:i/>
          <w:iCs/>
          <w:sz w:val="20"/>
          <w:szCs w:val="20"/>
        </w:rPr>
        <w:t>Université Laval</w:t>
      </w:r>
      <w:r w:rsidRPr="004A7821">
        <w:rPr>
          <w:sz w:val="20"/>
          <w:szCs w:val="20"/>
        </w:rPr>
        <w:t>, 2017 QCCA 199.</w:t>
      </w:r>
    </w:p>
  </w:footnote>
  <w:footnote w:id="17">
    <w:p w14:paraId="22F9B01A" w14:textId="77777777" w:rsidR="001E689A" w:rsidRPr="000C269F" w:rsidRDefault="00573CA9" w:rsidP="001E689A">
      <w:pPr>
        <w:pStyle w:val="Default"/>
        <w:ind w:left="284" w:hanging="284"/>
        <w:rPr>
          <w:sz w:val="20"/>
          <w:szCs w:val="20"/>
        </w:rPr>
      </w:pPr>
      <w:r w:rsidRPr="00AF1630">
        <w:rPr>
          <w:rStyle w:val="Appelnotedebasdep"/>
          <w:sz w:val="18"/>
          <w:szCs w:val="18"/>
        </w:rPr>
        <w:footnoteRef/>
      </w:r>
      <w:r>
        <w:rPr>
          <w:sz w:val="18"/>
          <w:szCs w:val="18"/>
        </w:rPr>
        <w:t xml:space="preserve">   </w:t>
      </w:r>
      <w:r w:rsidR="00971875" w:rsidRPr="000C269F">
        <w:rPr>
          <w:i/>
          <w:iCs/>
          <w:sz w:val="20"/>
          <w:szCs w:val="20"/>
        </w:rPr>
        <w:t>Sofio c. Organisme canadien de réglementation du commerce des valeurs mobilières (OCRCVM)</w:t>
      </w:r>
      <w:r w:rsidR="00971875" w:rsidRPr="000C269F">
        <w:rPr>
          <w:iCs/>
          <w:sz w:val="20"/>
          <w:szCs w:val="20"/>
        </w:rPr>
        <w:t xml:space="preserve">, </w:t>
      </w:r>
      <w:r w:rsidR="000C269F">
        <w:rPr>
          <w:iCs/>
          <w:sz w:val="20"/>
          <w:szCs w:val="20"/>
        </w:rPr>
        <w:t xml:space="preserve"> </w:t>
      </w:r>
      <w:r w:rsidR="00971875" w:rsidRPr="000C269F">
        <w:rPr>
          <w:iCs/>
          <w:sz w:val="20"/>
          <w:szCs w:val="20"/>
        </w:rPr>
        <w:t>2015 QCCA 1820.</w:t>
      </w:r>
    </w:p>
  </w:footnote>
  <w:footnote w:id="18">
    <w:p w14:paraId="5FE5AA1D" w14:textId="77777777" w:rsidR="00FB6089" w:rsidRPr="00971875" w:rsidRDefault="00573CA9">
      <w:pPr>
        <w:pStyle w:val="Notedebasdepage"/>
        <w:rPr>
          <w:lang w:val="es-CL"/>
        </w:rPr>
      </w:pPr>
      <w:r>
        <w:rPr>
          <w:rStyle w:val="Appelnotedebasdep"/>
        </w:rPr>
        <w:footnoteRef/>
      </w:r>
      <w:r w:rsidR="00CE4B63" w:rsidRPr="00971875">
        <w:rPr>
          <w:lang w:val="es-CL"/>
        </w:rPr>
        <w:t xml:space="preserve">  </w:t>
      </w:r>
      <w:r w:rsidR="000C269F">
        <w:rPr>
          <w:lang w:val="es-CL"/>
        </w:rPr>
        <w:t xml:space="preserve"> </w:t>
      </w:r>
      <w:r w:rsidR="00971875" w:rsidRPr="004A7821">
        <w:rPr>
          <w:i/>
          <w:lang w:val="es-CL"/>
        </w:rPr>
        <w:t>Supra</w:t>
      </w:r>
      <w:r w:rsidR="00971875" w:rsidRPr="004A7821">
        <w:rPr>
          <w:lang w:val="es-CL"/>
        </w:rPr>
        <w:t xml:space="preserve"> note 10.</w:t>
      </w:r>
    </w:p>
  </w:footnote>
  <w:footnote w:id="19">
    <w:p w14:paraId="08BBFE1E" w14:textId="77777777" w:rsidR="00CE4B63" w:rsidRPr="00971875" w:rsidRDefault="00573CA9" w:rsidP="00CE4B63">
      <w:pPr>
        <w:pStyle w:val="Notedebasdepage"/>
        <w:rPr>
          <w:lang w:val="es-CL"/>
        </w:rPr>
      </w:pPr>
      <w:r>
        <w:rPr>
          <w:rStyle w:val="Appelnotedebasdep"/>
        </w:rPr>
        <w:footnoteRef/>
      </w:r>
      <w:r w:rsidRPr="00971875">
        <w:rPr>
          <w:lang w:val="es-CL"/>
        </w:rPr>
        <w:t xml:space="preserve"> </w:t>
      </w:r>
      <w:r w:rsidR="00971875" w:rsidRPr="00971875">
        <w:rPr>
          <w:lang w:val="es-CL"/>
        </w:rPr>
        <w:t xml:space="preserve">  </w:t>
      </w:r>
      <w:r w:rsidR="00971875" w:rsidRPr="004A7821">
        <w:rPr>
          <w:lang w:val="es-CL"/>
        </w:rPr>
        <w:t>Exhibit R-6.</w:t>
      </w:r>
    </w:p>
  </w:footnote>
  <w:footnote w:id="20">
    <w:p w14:paraId="2F1087BC" w14:textId="77777777" w:rsidR="00114A1F" w:rsidRPr="00971875" w:rsidRDefault="00573CA9" w:rsidP="00AF1630">
      <w:pPr>
        <w:pStyle w:val="Notedebasdepage"/>
        <w:ind w:left="0" w:firstLine="0"/>
        <w:rPr>
          <w:sz w:val="18"/>
          <w:szCs w:val="18"/>
          <w:lang w:val="es-CL"/>
        </w:rPr>
      </w:pPr>
      <w:r w:rsidRPr="00AF1630">
        <w:rPr>
          <w:rStyle w:val="Appelnotedebasdep"/>
          <w:sz w:val="18"/>
          <w:szCs w:val="18"/>
        </w:rPr>
        <w:footnoteRef/>
      </w:r>
      <w:r w:rsidR="00753007" w:rsidRPr="00971875">
        <w:rPr>
          <w:sz w:val="18"/>
          <w:szCs w:val="18"/>
          <w:lang w:val="es-CL"/>
        </w:rPr>
        <w:t xml:space="preserve">   </w:t>
      </w:r>
      <w:r w:rsidR="00971875" w:rsidRPr="00971875">
        <w:rPr>
          <w:sz w:val="18"/>
          <w:szCs w:val="18"/>
          <w:lang w:val="es-CL"/>
        </w:rPr>
        <w:t>S</w:t>
      </w:r>
      <w:r w:rsidR="00753007" w:rsidRPr="00971875">
        <w:rPr>
          <w:sz w:val="18"/>
          <w:szCs w:val="18"/>
          <w:lang w:val="es-CL"/>
        </w:rPr>
        <w:t xml:space="preserve">.C. 2000, </w:t>
      </w:r>
      <w:r w:rsidR="00753007" w:rsidRPr="004A7821">
        <w:rPr>
          <w:sz w:val="18"/>
          <w:szCs w:val="18"/>
          <w:lang w:val="es-CL"/>
        </w:rPr>
        <w:t>c</w:t>
      </w:r>
      <w:r w:rsidR="00753007" w:rsidRPr="00971875">
        <w:rPr>
          <w:sz w:val="18"/>
          <w:szCs w:val="18"/>
          <w:lang w:val="es-CL"/>
        </w:rPr>
        <w:t>. 5.</w:t>
      </w:r>
    </w:p>
  </w:footnote>
  <w:footnote w:id="21">
    <w:p w14:paraId="28341209" w14:textId="77777777" w:rsidR="00753007" w:rsidRPr="004F1204" w:rsidRDefault="00573CA9" w:rsidP="00AF1630">
      <w:pPr>
        <w:pStyle w:val="Notedebasdepage"/>
        <w:ind w:left="0" w:firstLine="0"/>
        <w:rPr>
          <w:sz w:val="18"/>
          <w:szCs w:val="18"/>
          <w:lang w:val="en-CA"/>
        </w:rPr>
      </w:pPr>
      <w:r w:rsidRPr="00AF1630">
        <w:rPr>
          <w:rStyle w:val="Appelnotedebasdep"/>
          <w:sz w:val="18"/>
          <w:szCs w:val="18"/>
        </w:rPr>
        <w:footnoteRef/>
      </w:r>
      <w:r w:rsidRPr="004F1204">
        <w:rPr>
          <w:sz w:val="18"/>
          <w:szCs w:val="18"/>
          <w:lang w:val="en-CA"/>
        </w:rPr>
        <w:t xml:space="preserve">   </w:t>
      </w:r>
      <w:r w:rsidRPr="004A7821">
        <w:rPr>
          <w:sz w:val="18"/>
          <w:szCs w:val="18"/>
          <w:lang w:val="en-CA"/>
        </w:rPr>
        <w:t>CQLR, c. P-39.1.</w:t>
      </w:r>
    </w:p>
  </w:footnote>
  <w:footnote w:id="22">
    <w:p w14:paraId="70A4BBD5" w14:textId="77777777" w:rsidR="00933419" w:rsidRPr="004F1204" w:rsidRDefault="00573CA9">
      <w:pPr>
        <w:pStyle w:val="Notedebasdepage"/>
        <w:rPr>
          <w:lang w:val="en-CA"/>
        </w:rPr>
      </w:pPr>
      <w:r>
        <w:rPr>
          <w:rStyle w:val="Appelnotedebasdep"/>
        </w:rPr>
        <w:footnoteRef/>
      </w:r>
      <w:r w:rsidRPr="004F1204">
        <w:rPr>
          <w:lang w:val="en-CA"/>
        </w:rPr>
        <w:t xml:space="preserve">    </w:t>
      </w:r>
      <w:r w:rsidR="003020C9" w:rsidRPr="004F1204">
        <w:rPr>
          <w:lang w:val="en-CA"/>
        </w:rPr>
        <w:t>S</w:t>
      </w:r>
      <w:r w:rsidRPr="004A7821">
        <w:rPr>
          <w:lang w:val="en-CA"/>
        </w:rPr>
        <w:t>ections</w:t>
      </w:r>
      <w:r w:rsidRPr="004F1204">
        <w:rPr>
          <w:lang w:val="en-CA"/>
        </w:rPr>
        <w:t xml:space="preserve"> 11 </w:t>
      </w:r>
      <w:r w:rsidR="003020C9" w:rsidRPr="004F1204">
        <w:rPr>
          <w:lang w:val="en-CA"/>
        </w:rPr>
        <w:t>to</w:t>
      </w:r>
      <w:r w:rsidRPr="004F1204">
        <w:rPr>
          <w:lang w:val="en-CA"/>
        </w:rPr>
        <w:t xml:space="preserve"> 16 </w:t>
      </w:r>
      <w:r w:rsidR="003020C9" w:rsidRPr="00C2414F">
        <w:rPr>
          <w:i/>
          <w:iCs/>
          <w:lang w:val="en-CA"/>
        </w:rPr>
        <w:t>PIPEDA</w:t>
      </w:r>
      <w:r w:rsidRPr="004F1204">
        <w:rPr>
          <w:lang w:val="en-CA"/>
        </w:rPr>
        <w:t>.</w:t>
      </w:r>
    </w:p>
  </w:footnote>
  <w:footnote w:id="23">
    <w:p w14:paraId="7AC6CF0A" w14:textId="77777777" w:rsidR="00611B4C" w:rsidRPr="00BD01E0" w:rsidRDefault="00573CA9" w:rsidP="00342089">
      <w:pPr>
        <w:pStyle w:val="Notedebasdepage"/>
        <w:ind w:left="284" w:hanging="284"/>
      </w:pPr>
      <w:r>
        <w:rPr>
          <w:rStyle w:val="Appelnotedebasdep"/>
        </w:rPr>
        <w:footnoteRef/>
      </w:r>
      <w:r w:rsidRPr="00BD01E0">
        <w:t xml:space="preserve"> </w:t>
      </w:r>
      <w:r w:rsidRPr="00BD01E0">
        <w:tab/>
      </w:r>
      <w:r w:rsidRPr="004A7821">
        <w:t>2012 S</w:t>
      </w:r>
      <w:r w:rsidR="00B13EE3" w:rsidRPr="004A7821">
        <w:t>C</w:t>
      </w:r>
      <w:r w:rsidRPr="004A7821">
        <w:t>C 8.</w:t>
      </w:r>
    </w:p>
  </w:footnote>
  <w:footnote w:id="24">
    <w:p w14:paraId="3801ABCB" w14:textId="77777777" w:rsidR="00A036B5" w:rsidRDefault="00573CA9" w:rsidP="00342089">
      <w:pPr>
        <w:pStyle w:val="Default"/>
        <w:ind w:left="284" w:hanging="284"/>
      </w:pPr>
      <w:r w:rsidRPr="00EA4A07">
        <w:rPr>
          <w:rStyle w:val="Appelnotedebasdep"/>
          <w:sz w:val="20"/>
          <w:szCs w:val="20"/>
        </w:rPr>
        <w:footnoteRef/>
      </w:r>
      <w:r w:rsidRPr="00EA4A07">
        <w:rPr>
          <w:sz w:val="20"/>
          <w:szCs w:val="20"/>
        </w:rPr>
        <w:t xml:space="preserve">  Dallaire, Claude, </w:t>
      </w:r>
      <w:r w:rsidR="007C68A9" w:rsidRPr="007C68A9">
        <w:rPr>
          <w:sz w:val="20"/>
          <w:szCs w:val="20"/>
        </w:rPr>
        <w:t>“</w:t>
      </w:r>
      <w:r w:rsidRPr="007C68A9">
        <w:rPr>
          <w:sz w:val="20"/>
          <w:szCs w:val="20"/>
        </w:rPr>
        <w:t xml:space="preserve">L’évolution des </w:t>
      </w:r>
      <w:r w:rsidRPr="004A7821">
        <w:rPr>
          <w:color w:val="auto"/>
          <w:sz w:val="20"/>
          <w:szCs w:val="20"/>
        </w:rPr>
        <w:t>dommages</w:t>
      </w:r>
      <w:r w:rsidR="00092D1D" w:rsidRPr="004A7821">
        <w:rPr>
          <w:color w:val="auto"/>
          <w:sz w:val="20"/>
          <w:szCs w:val="20"/>
        </w:rPr>
        <w:t xml:space="preserve"> </w:t>
      </w:r>
      <w:r w:rsidRPr="004A7821">
        <w:rPr>
          <w:color w:val="auto"/>
          <w:sz w:val="20"/>
          <w:szCs w:val="20"/>
        </w:rPr>
        <w:t>exemplaires</w:t>
      </w:r>
      <w:r w:rsidRPr="007C68A9">
        <w:rPr>
          <w:sz w:val="20"/>
          <w:szCs w:val="20"/>
        </w:rPr>
        <w:t xml:space="preserve"> depuis les </w:t>
      </w:r>
      <w:r w:rsidRPr="004A7821">
        <w:rPr>
          <w:color w:val="auto"/>
          <w:sz w:val="20"/>
          <w:szCs w:val="20"/>
        </w:rPr>
        <w:t>décisions</w:t>
      </w:r>
      <w:r w:rsidR="00092D1D" w:rsidRPr="004A7821">
        <w:rPr>
          <w:color w:val="auto"/>
          <w:sz w:val="20"/>
          <w:szCs w:val="20"/>
        </w:rPr>
        <w:t xml:space="preserve"> </w:t>
      </w:r>
      <w:r w:rsidRPr="004A7821">
        <w:rPr>
          <w:color w:val="auto"/>
          <w:sz w:val="20"/>
          <w:szCs w:val="20"/>
        </w:rPr>
        <w:t>de</w:t>
      </w:r>
      <w:r w:rsidR="00092D1D" w:rsidRPr="004A7821">
        <w:rPr>
          <w:color w:val="auto"/>
          <w:sz w:val="20"/>
          <w:szCs w:val="20"/>
        </w:rPr>
        <w:t xml:space="preserve"> </w:t>
      </w:r>
      <w:r w:rsidRPr="004A7821">
        <w:rPr>
          <w:color w:val="auto"/>
          <w:sz w:val="20"/>
          <w:szCs w:val="20"/>
        </w:rPr>
        <w:t>la</w:t>
      </w:r>
      <w:r w:rsidR="00092D1D" w:rsidRPr="004A7821">
        <w:rPr>
          <w:color w:val="auto"/>
          <w:sz w:val="20"/>
          <w:szCs w:val="20"/>
        </w:rPr>
        <w:t xml:space="preserve"> </w:t>
      </w:r>
      <w:r w:rsidRPr="004A7821">
        <w:rPr>
          <w:color w:val="auto"/>
          <w:sz w:val="20"/>
          <w:szCs w:val="20"/>
        </w:rPr>
        <w:t>Cour</w:t>
      </w:r>
      <w:r w:rsidRPr="007C68A9">
        <w:rPr>
          <w:sz w:val="20"/>
          <w:szCs w:val="20"/>
        </w:rPr>
        <w:t xml:space="preserve"> suprême en 1996 - dix ans de cheminement</w:t>
      </w:r>
      <w:r w:rsidR="007C68A9" w:rsidRPr="007C68A9">
        <w:rPr>
          <w:sz w:val="20"/>
          <w:szCs w:val="20"/>
        </w:rPr>
        <w:t>”</w:t>
      </w:r>
      <w:r w:rsidR="00092D1D">
        <w:rPr>
          <w:i/>
          <w:iCs/>
          <w:sz w:val="20"/>
          <w:szCs w:val="20"/>
        </w:rPr>
        <w:t xml:space="preserve"> </w:t>
      </w:r>
      <w:r w:rsidR="00092D1D">
        <w:rPr>
          <w:sz w:val="20"/>
          <w:szCs w:val="20"/>
        </w:rPr>
        <w:t>in</w:t>
      </w:r>
      <w:r w:rsidR="007C68A9">
        <w:rPr>
          <w:sz w:val="20"/>
          <w:szCs w:val="20"/>
        </w:rPr>
        <w:t xml:space="preserve"> </w:t>
      </w:r>
      <w:r w:rsidRPr="007C68A9">
        <w:rPr>
          <w:i/>
          <w:iCs/>
          <w:sz w:val="20"/>
          <w:szCs w:val="20"/>
        </w:rPr>
        <w:t xml:space="preserve">Développements récents en </w:t>
      </w:r>
      <w:r w:rsidRPr="004A7821">
        <w:rPr>
          <w:i/>
          <w:iCs/>
          <w:color w:val="auto"/>
          <w:sz w:val="20"/>
          <w:szCs w:val="20"/>
        </w:rPr>
        <w:t>droit</w:t>
      </w:r>
      <w:r w:rsidR="00092D1D" w:rsidRPr="004A7821">
        <w:rPr>
          <w:i/>
          <w:iCs/>
          <w:color w:val="auto"/>
          <w:sz w:val="20"/>
          <w:szCs w:val="20"/>
        </w:rPr>
        <w:t xml:space="preserve"> </w:t>
      </w:r>
      <w:r w:rsidRPr="007C68A9">
        <w:rPr>
          <w:i/>
          <w:iCs/>
          <w:sz w:val="20"/>
          <w:szCs w:val="20"/>
        </w:rPr>
        <w:t>administratif et constitutionnel</w:t>
      </w:r>
      <w:r w:rsidRPr="00EA4A07">
        <w:rPr>
          <w:sz w:val="20"/>
          <w:szCs w:val="20"/>
        </w:rPr>
        <w:t xml:space="preserve"> </w:t>
      </w:r>
      <w:r w:rsidR="007C68A9">
        <w:rPr>
          <w:sz w:val="20"/>
          <w:szCs w:val="20"/>
        </w:rPr>
        <w:t>(</w:t>
      </w:r>
      <w:r w:rsidR="007C68A9" w:rsidRPr="00EA4A07">
        <w:rPr>
          <w:sz w:val="20"/>
          <w:szCs w:val="20"/>
        </w:rPr>
        <w:t>Barreau du Québec – Service de la formation continue</w:t>
      </w:r>
      <w:r w:rsidR="007C68A9">
        <w:rPr>
          <w:sz w:val="20"/>
          <w:szCs w:val="20"/>
        </w:rPr>
        <w:t>,</w:t>
      </w:r>
      <w:r w:rsidR="007C68A9" w:rsidRPr="00EA4A07">
        <w:rPr>
          <w:sz w:val="20"/>
          <w:szCs w:val="20"/>
        </w:rPr>
        <w:t xml:space="preserve"> </w:t>
      </w:r>
      <w:r w:rsidRPr="00EA4A07">
        <w:rPr>
          <w:sz w:val="20"/>
          <w:szCs w:val="20"/>
        </w:rPr>
        <w:t>2006)</w:t>
      </w:r>
      <w:r w:rsidR="007C68A9">
        <w:rPr>
          <w:sz w:val="20"/>
          <w:szCs w:val="20"/>
        </w:rPr>
        <w:t xml:space="preserve"> at</w:t>
      </w:r>
      <w:r w:rsidRPr="00EA4A07">
        <w:rPr>
          <w:sz w:val="20"/>
          <w:szCs w:val="20"/>
        </w:rPr>
        <w:t xml:space="preserve"> 249</w:t>
      </w:r>
      <w:r w:rsidR="007C68A9">
        <w:rPr>
          <w:sz w:val="20"/>
          <w:szCs w:val="20"/>
        </w:rPr>
        <w:t>–</w:t>
      </w:r>
      <w:r w:rsidRPr="00EA4A07">
        <w:rPr>
          <w:sz w:val="20"/>
          <w:szCs w:val="20"/>
        </w:rPr>
        <w:t xml:space="preserve">252. </w:t>
      </w:r>
    </w:p>
  </w:footnote>
  <w:footnote w:id="25">
    <w:p w14:paraId="332859A6" w14:textId="77777777" w:rsidR="00A036B5" w:rsidRPr="00B93837" w:rsidRDefault="00573CA9" w:rsidP="00342089">
      <w:pPr>
        <w:pStyle w:val="Default"/>
        <w:ind w:left="284" w:hanging="284"/>
        <w:rPr>
          <w:lang w:val="es-CL"/>
        </w:rPr>
      </w:pPr>
      <w:r w:rsidRPr="00EA4A07">
        <w:rPr>
          <w:rStyle w:val="Appelnotedebasdep"/>
          <w:sz w:val="20"/>
          <w:szCs w:val="20"/>
        </w:rPr>
        <w:footnoteRef/>
      </w:r>
      <w:r w:rsidRPr="00B93837">
        <w:rPr>
          <w:i/>
          <w:iCs/>
          <w:sz w:val="20"/>
          <w:szCs w:val="20"/>
          <w:lang w:val="es-CL"/>
        </w:rPr>
        <w:t xml:space="preserve">  Levy </w:t>
      </w:r>
      <w:r w:rsidR="00233678">
        <w:rPr>
          <w:i/>
          <w:iCs/>
          <w:sz w:val="20"/>
          <w:szCs w:val="20"/>
          <w:lang w:val="es-CL"/>
        </w:rPr>
        <w:t>c</w:t>
      </w:r>
      <w:r w:rsidRPr="00B93837">
        <w:rPr>
          <w:sz w:val="20"/>
          <w:szCs w:val="20"/>
          <w:lang w:val="es-CL"/>
        </w:rPr>
        <w:t xml:space="preserve">. </w:t>
      </w:r>
      <w:r w:rsidRPr="00B93837">
        <w:rPr>
          <w:i/>
          <w:iCs/>
          <w:sz w:val="20"/>
          <w:szCs w:val="20"/>
          <w:lang w:val="es-CL"/>
        </w:rPr>
        <w:t>Nissan Canada inc</w:t>
      </w:r>
      <w:r w:rsidRPr="00B93837">
        <w:rPr>
          <w:sz w:val="20"/>
          <w:szCs w:val="20"/>
          <w:lang w:val="es-CL"/>
        </w:rPr>
        <w:t xml:space="preserve">., 2021 QCCA 682. </w:t>
      </w:r>
    </w:p>
  </w:footnote>
  <w:footnote w:id="26">
    <w:p w14:paraId="2E03F30C" w14:textId="77777777" w:rsidR="00656A97" w:rsidRPr="00971875" w:rsidRDefault="00573CA9">
      <w:pPr>
        <w:pStyle w:val="Notedebasdepage"/>
        <w:rPr>
          <w:lang w:val="en-CA"/>
        </w:rPr>
      </w:pPr>
      <w:r>
        <w:rPr>
          <w:rStyle w:val="Appelnotedebasdep"/>
        </w:rPr>
        <w:footnoteRef/>
      </w:r>
      <w:r w:rsidRPr="00971875">
        <w:rPr>
          <w:lang w:val="en-CA"/>
        </w:rPr>
        <w:t xml:space="preserve">   </w:t>
      </w:r>
      <w:r w:rsidR="00971875" w:rsidRPr="004A7821">
        <w:rPr>
          <w:lang w:val="en-CA"/>
        </w:rPr>
        <w:t>Exhibit P-29.</w:t>
      </w:r>
    </w:p>
  </w:footnote>
  <w:footnote w:id="27">
    <w:p w14:paraId="688FE09C" w14:textId="77777777" w:rsidR="00656A97" w:rsidRPr="00971875" w:rsidRDefault="00573CA9">
      <w:pPr>
        <w:pStyle w:val="Notedebasdepage"/>
        <w:rPr>
          <w:lang w:val="en-CA"/>
        </w:rPr>
      </w:pPr>
      <w:r>
        <w:rPr>
          <w:rStyle w:val="Appelnotedebasdep"/>
        </w:rPr>
        <w:footnoteRef/>
      </w:r>
      <w:r w:rsidRPr="00971875">
        <w:rPr>
          <w:lang w:val="en-CA"/>
        </w:rPr>
        <w:t xml:space="preserve">   </w:t>
      </w:r>
      <w:r w:rsidR="00971875" w:rsidRPr="004A7821">
        <w:rPr>
          <w:lang w:val="en-CA"/>
        </w:rPr>
        <w:t>Exhibit R-29.</w:t>
      </w:r>
    </w:p>
  </w:footnote>
  <w:footnote w:id="28">
    <w:p w14:paraId="72A8A4EC" w14:textId="77777777" w:rsidR="001C1002" w:rsidRPr="00B93837" w:rsidRDefault="00573CA9">
      <w:pPr>
        <w:pStyle w:val="Notedebasdepage"/>
        <w:rPr>
          <w:lang w:val="en-CA"/>
        </w:rPr>
      </w:pPr>
      <w:r>
        <w:rPr>
          <w:rStyle w:val="Appelnotedebasdep"/>
        </w:rPr>
        <w:footnoteRef/>
      </w:r>
      <w:r w:rsidRPr="00B93837">
        <w:rPr>
          <w:lang w:val="en-CA"/>
        </w:rPr>
        <w:t xml:space="preserve">    </w:t>
      </w:r>
      <w:r w:rsidR="00971875" w:rsidRPr="004A7821">
        <w:rPr>
          <w:lang w:val="en-CA"/>
        </w:rPr>
        <w:t>Exhibit R-7.</w:t>
      </w:r>
    </w:p>
  </w:footnote>
  <w:footnote w:id="29">
    <w:p w14:paraId="4ACBF349" w14:textId="77777777" w:rsidR="008C1178" w:rsidRPr="003151C7" w:rsidRDefault="00573CA9" w:rsidP="008C1178">
      <w:pPr>
        <w:pStyle w:val="Notedebasdepage"/>
        <w:rPr>
          <w:lang w:val="en-CA"/>
        </w:rPr>
      </w:pPr>
      <w:r>
        <w:rPr>
          <w:rStyle w:val="Appelnotedebasdep"/>
        </w:rPr>
        <w:footnoteRef/>
      </w:r>
      <w:r w:rsidRPr="003151C7">
        <w:rPr>
          <w:lang w:val="en-CA"/>
        </w:rPr>
        <w:t xml:space="preserve"> </w:t>
      </w:r>
      <w:r w:rsidRPr="003151C7">
        <w:rPr>
          <w:lang w:val="en-CA"/>
        </w:rPr>
        <w:tab/>
      </w:r>
      <w:r w:rsidR="00971875" w:rsidRPr="003151C7">
        <w:rPr>
          <w:lang w:val="en-CA"/>
        </w:rPr>
        <w:t xml:space="preserve">Exhibit </w:t>
      </w:r>
      <w:r w:rsidRPr="003151C7">
        <w:rPr>
          <w:lang w:val="en-CA"/>
        </w:rPr>
        <w:t>R-8.</w:t>
      </w:r>
    </w:p>
  </w:footnote>
  <w:footnote w:id="30">
    <w:p w14:paraId="0D41139C" w14:textId="77777777" w:rsidR="00F51CEE" w:rsidRPr="00971875" w:rsidRDefault="00573CA9">
      <w:pPr>
        <w:pStyle w:val="Notedebasdepage"/>
        <w:rPr>
          <w:lang w:val="en-CA"/>
        </w:rPr>
      </w:pPr>
      <w:r>
        <w:rPr>
          <w:rStyle w:val="Appelnotedebasdep"/>
        </w:rPr>
        <w:footnoteRef/>
      </w:r>
      <w:r w:rsidR="007D4273" w:rsidRPr="00971875">
        <w:rPr>
          <w:lang w:val="en-CA"/>
        </w:rPr>
        <w:t xml:space="preserve"> </w:t>
      </w:r>
      <w:r w:rsidR="007D4273" w:rsidRPr="00971875">
        <w:rPr>
          <w:lang w:val="en-CA"/>
        </w:rPr>
        <w:tab/>
      </w:r>
      <w:r w:rsidR="00971875" w:rsidRPr="00971875">
        <w:rPr>
          <w:lang w:val="en-CA"/>
        </w:rPr>
        <w:t>E</w:t>
      </w:r>
      <w:r w:rsidR="007D4273" w:rsidRPr="004A7821">
        <w:rPr>
          <w:lang w:val="en-CA"/>
        </w:rPr>
        <w:t xml:space="preserve">xhibits R-11 </w:t>
      </w:r>
      <w:r w:rsidR="00971875" w:rsidRPr="004A7821">
        <w:rPr>
          <w:lang w:val="en-CA"/>
        </w:rPr>
        <w:t>and</w:t>
      </w:r>
      <w:r w:rsidR="007D4273" w:rsidRPr="004A7821">
        <w:rPr>
          <w:lang w:val="en-CA"/>
        </w:rPr>
        <w:t xml:space="preserve"> R-15.</w:t>
      </w:r>
    </w:p>
  </w:footnote>
  <w:footnote w:id="31">
    <w:p w14:paraId="149A0438" w14:textId="77777777" w:rsidR="00F51CEE" w:rsidRPr="00971875" w:rsidRDefault="00573CA9" w:rsidP="00F51CEE">
      <w:pPr>
        <w:pStyle w:val="Notedebasdepage"/>
        <w:rPr>
          <w:lang w:val="en-CA"/>
        </w:rPr>
      </w:pPr>
      <w:r>
        <w:rPr>
          <w:rStyle w:val="Appelnotedebasdep"/>
        </w:rPr>
        <w:footnoteRef/>
      </w:r>
      <w:r w:rsidRPr="00971875">
        <w:rPr>
          <w:lang w:val="en-CA"/>
        </w:rPr>
        <w:t xml:space="preserve"> </w:t>
      </w:r>
      <w:r w:rsidRPr="00971875">
        <w:rPr>
          <w:lang w:val="en-CA"/>
        </w:rPr>
        <w:tab/>
      </w:r>
      <w:r w:rsidR="00971875" w:rsidRPr="00971875">
        <w:rPr>
          <w:lang w:val="en-CA"/>
        </w:rPr>
        <w:t>E</w:t>
      </w:r>
      <w:r w:rsidRPr="004A7821">
        <w:rPr>
          <w:lang w:val="en-CA"/>
        </w:rPr>
        <w:t>xhibit R-15.</w:t>
      </w:r>
    </w:p>
  </w:footnote>
  <w:footnote w:id="32">
    <w:p w14:paraId="73A082D3" w14:textId="77777777" w:rsidR="00CF6FD8" w:rsidRPr="003151C7" w:rsidRDefault="00573CA9" w:rsidP="00CF6FD8">
      <w:pPr>
        <w:pStyle w:val="Notedebasdepage"/>
        <w:rPr>
          <w:i/>
          <w:iCs/>
          <w:lang w:val="en-CA"/>
        </w:rPr>
      </w:pPr>
      <w:r>
        <w:rPr>
          <w:rStyle w:val="Appelnotedebasdep"/>
        </w:rPr>
        <w:footnoteRef/>
      </w:r>
      <w:r w:rsidRPr="003151C7">
        <w:rPr>
          <w:lang w:val="en-CA"/>
        </w:rPr>
        <w:t xml:space="preserve"> </w:t>
      </w:r>
      <w:r w:rsidRPr="003151C7">
        <w:rPr>
          <w:lang w:val="en-CA"/>
        </w:rPr>
        <w:tab/>
      </w:r>
      <w:r w:rsidR="00971875" w:rsidRPr="004A7821">
        <w:rPr>
          <w:i/>
          <w:iCs/>
          <w:lang w:val="en-CA"/>
        </w:rPr>
        <w:t>Ibid</w:t>
      </w:r>
      <w:r w:rsidR="00971875" w:rsidRPr="004A7821">
        <w:rPr>
          <w:iCs/>
          <w:lang w:val="en-CA"/>
        </w:rPr>
        <w:t>.</w:t>
      </w:r>
    </w:p>
  </w:footnote>
  <w:footnote w:id="33">
    <w:p w14:paraId="6FC7D87A" w14:textId="77777777" w:rsidR="00CF6FD8" w:rsidRPr="00971875" w:rsidRDefault="00573CA9" w:rsidP="00CF6FD8">
      <w:pPr>
        <w:pStyle w:val="Notedebasdepage"/>
        <w:rPr>
          <w:lang w:val="en-CA"/>
        </w:rPr>
      </w:pPr>
      <w:r>
        <w:rPr>
          <w:rStyle w:val="Appelnotedebasdep"/>
        </w:rPr>
        <w:footnoteRef/>
      </w:r>
      <w:r w:rsidRPr="00971875">
        <w:rPr>
          <w:lang w:val="en-CA"/>
        </w:rPr>
        <w:t xml:space="preserve"> </w:t>
      </w:r>
      <w:r w:rsidRPr="00971875">
        <w:rPr>
          <w:lang w:val="en-CA"/>
        </w:rPr>
        <w:tab/>
      </w:r>
      <w:r w:rsidR="00971875" w:rsidRPr="00971875">
        <w:rPr>
          <w:lang w:val="en-CA"/>
        </w:rPr>
        <w:t>E</w:t>
      </w:r>
      <w:r w:rsidRPr="004A7821">
        <w:rPr>
          <w:lang w:val="en-CA"/>
        </w:rPr>
        <w:t xml:space="preserve">xhibits R-6 </w:t>
      </w:r>
      <w:r w:rsidR="00971875" w:rsidRPr="004A7821">
        <w:rPr>
          <w:lang w:val="en-CA"/>
        </w:rPr>
        <w:t>and</w:t>
      </w:r>
      <w:r w:rsidRPr="004A7821">
        <w:rPr>
          <w:lang w:val="en-CA"/>
        </w:rPr>
        <w:t xml:space="preserve"> R-58.</w:t>
      </w:r>
    </w:p>
  </w:footnote>
  <w:footnote w:id="34">
    <w:p w14:paraId="60C8BC06" w14:textId="77777777" w:rsidR="00194879" w:rsidRPr="001C5707" w:rsidRDefault="00573CA9" w:rsidP="00194879">
      <w:pPr>
        <w:pStyle w:val="Notedebasdepage"/>
        <w:rPr>
          <w:lang w:val="en-CA"/>
        </w:rPr>
      </w:pPr>
      <w:r>
        <w:rPr>
          <w:rStyle w:val="Appelnotedebasdep"/>
        </w:rPr>
        <w:footnoteRef/>
      </w:r>
      <w:r w:rsidR="00F51CEE" w:rsidRPr="001C5707">
        <w:rPr>
          <w:lang w:val="en-CA"/>
        </w:rPr>
        <w:t xml:space="preserve">   </w:t>
      </w:r>
      <w:r w:rsidR="006B52CE">
        <w:rPr>
          <w:lang w:val="en-CA"/>
        </w:rPr>
        <w:t xml:space="preserve"> </w:t>
      </w:r>
      <w:r w:rsidR="00971875" w:rsidRPr="001C5707">
        <w:rPr>
          <w:lang w:val="en-CA"/>
        </w:rPr>
        <w:t>E</w:t>
      </w:r>
      <w:r w:rsidR="00F51CEE" w:rsidRPr="004A7821">
        <w:rPr>
          <w:lang w:val="en-CA"/>
        </w:rPr>
        <w:t>xhibit</w:t>
      </w:r>
      <w:r w:rsidR="00F51CEE" w:rsidRPr="001C5707">
        <w:rPr>
          <w:lang w:val="en-CA"/>
        </w:rPr>
        <w:t xml:space="preserve"> R-93, </w:t>
      </w:r>
      <w:r w:rsidR="00971875" w:rsidRPr="001C5707">
        <w:rPr>
          <w:lang w:val="en-CA"/>
        </w:rPr>
        <w:t xml:space="preserve">2022 </w:t>
      </w:r>
      <w:r w:rsidR="00F51CEE" w:rsidRPr="001C5707">
        <w:rPr>
          <w:lang w:val="en-CA"/>
        </w:rPr>
        <w:t>version.</w:t>
      </w:r>
    </w:p>
  </w:footnote>
  <w:footnote w:id="35">
    <w:p w14:paraId="0FE22E30" w14:textId="77777777" w:rsidR="00194879" w:rsidRPr="00A45B77" w:rsidRDefault="00573CA9" w:rsidP="00194879">
      <w:pPr>
        <w:pStyle w:val="Notedebasdepage"/>
        <w:rPr>
          <w:lang w:val="en-CA"/>
        </w:rPr>
      </w:pPr>
      <w:r>
        <w:rPr>
          <w:rStyle w:val="Appelnotedebasdep"/>
        </w:rPr>
        <w:footnoteRef/>
      </w:r>
      <w:r w:rsidRPr="00A45B77">
        <w:rPr>
          <w:lang w:val="en-CA"/>
        </w:rPr>
        <w:t xml:space="preserve">  </w:t>
      </w:r>
      <w:r w:rsidR="006B52CE">
        <w:rPr>
          <w:lang w:val="en-CA"/>
        </w:rPr>
        <w:t xml:space="preserve">  </w:t>
      </w:r>
      <w:r w:rsidR="00A45B77" w:rsidRPr="00A45B77">
        <w:rPr>
          <w:lang w:val="en-CA"/>
        </w:rPr>
        <w:t xml:space="preserve">The </w:t>
      </w:r>
      <w:r w:rsidRPr="004A7821">
        <w:rPr>
          <w:lang w:val="en-CA"/>
        </w:rPr>
        <w:t>defendants</w:t>
      </w:r>
      <w:r w:rsidR="00A45B77" w:rsidRPr="004A7821">
        <w:rPr>
          <w:lang w:val="en-CA"/>
        </w:rPr>
        <w:t xml:space="preserve"> submit that </w:t>
      </w:r>
      <w:r w:rsidRPr="00A45B77">
        <w:rPr>
          <w:lang w:val="en-CA"/>
        </w:rPr>
        <w:t>documents R-8, R-15, R-16</w:t>
      </w:r>
      <w:r w:rsidR="00A45B77" w:rsidRPr="00A45B77">
        <w:rPr>
          <w:lang w:val="en-CA"/>
        </w:rPr>
        <w:t xml:space="preserve">, and </w:t>
      </w:r>
      <w:r w:rsidRPr="00A45B77">
        <w:rPr>
          <w:lang w:val="en-CA"/>
        </w:rPr>
        <w:t xml:space="preserve">R-93 </w:t>
      </w:r>
      <w:r w:rsidR="00162A85">
        <w:rPr>
          <w:lang w:val="en-CA"/>
        </w:rPr>
        <w:t>date from after</w:t>
      </w:r>
      <w:r w:rsidR="00A45B77" w:rsidRPr="00A45B77">
        <w:rPr>
          <w:lang w:val="en-CA"/>
        </w:rPr>
        <w:t xml:space="preserve"> </w:t>
      </w:r>
      <w:r w:rsidRPr="00A45B77">
        <w:rPr>
          <w:lang w:val="en-CA"/>
        </w:rPr>
        <w:t xml:space="preserve">2015 </w:t>
      </w:r>
      <w:r w:rsidR="00A45B77" w:rsidRPr="00A45B77">
        <w:rPr>
          <w:lang w:val="en-CA"/>
        </w:rPr>
        <w:t xml:space="preserve">and add in regard to the last </w:t>
      </w:r>
      <w:r w:rsidRPr="004A7821">
        <w:rPr>
          <w:lang w:val="en-CA"/>
        </w:rPr>
        <w:t>exhibit</w:t>
      </w:r>
      <w:r w:rsidRPr="00A45B77">
        <w:rPr>
          <w:lang w:val="en-CA"/>
        </w:rPr>
        <w:t>,</w:t>
      </w:r>
      <w:r w:rsidR="00A45B77" w:rsidRPr="00A45B77">
        <w:rPr>
          <w:lang w:val="en-CA"/>
        </w:rPr>
        <w:t xml:space="preserve"> and for </w:t>
      </w:r>
      <w:r w:rsidRPr="004A7821">
        <w:rPr>
          <w:lang w:val="en-CA"/>
        </w:rPr>
        <w:t>exhibit</w:t>
      </w:r>
      <w:r w:rsidR="00A45B77" w:rsidRPr="004A7821">
        <w:rPr>
          <w:lang w:val="en-CA"/>
        </w:rPr>
        <w:t>s</w:t>
      </w:r>
      <w:r w:rsidRPr="00A45B77">
        <w:rPr>
          <w:lang w:val="en-CA"/>
        </w:rPr>
        <w:t xml:space="preserve"> R-94 </w:t>
      </w:r>
      <w:r w:rsidR="00A45B77" w:rsidRPr="00A45B77">
        <w:rPr>
          <w:lang w:val="en-CA"/>
        </w:rPr>
        <w:t>and</w:t>
      </w:r>
      <w:r w:rsidRPr="00A45B77">
        <w:rPr>
          <w:lang w:val="en-CA"/>
        </w:rPr>
        <w:t xml:space="preserve"> R-95, </w:t>
      </w:r>
      <w:r w:rsidR="00A45B77" w:rsidRPr="00A45B77">
        <w:rPr>
          <w:lang w:val="en-CA"/>
        </w:rPr>
        <w:t xml:space="preserve">that this manner of proceeding by the plaintiffs is </w:t>
      </w:r>
      <w:r w:rsidRPr="00A45B77">
        <w:rPr>
          <w:lang w:val="en-CA"/>
        </w:rPr>
        <w:t>irr</w:t>
      </w:r>
      <w:r w:rsidR="00A45B77" w:rsidRPr="00A45B77">
        <w:rPr>
          <w:lang w:val="en-CA"/>
        </w:rPr>
        <w:t xml:space="preserve">egular and unlawful in that the </w:t>
      </w:r>
      <w:r w:rsidRPr="00A45B77">
        <w:rPr>
          <w:lang w:val="en-CA"/>
        </w:rPr>
        <w:t xml:space="preserve">documents </w:t>
      </w:r>
      <w:r w:rsidR="00A45B77" w:rsidRPr="00A45B77">
        <w:rPr>
          <w:lang w:val="en-CA"/>
        </w:rPr>
        <w:t>they invoke must be alleged and invoked as ex</w:t>
      </w:r>
      <w:r w:rsidR="00A45B77">
        <w:rPr>
          <w:lang w:val="en-CA"/>
        </w:rPr>
        <w:t xml:space="preserve">hibits in </w:t>
      </w:r>
      <w:r w:rsidR="00A94342">
        <w:rPr>
          <w:lang w:val="en-CA"/>
        </w:rPr>
        <w:t>support of the A</w:t>
      </w:r>
      <w:r w:rsidRPr="004A7821">
        <w:rPr>
          <w:lang w:val="en-CA"/>
        </w:rPr>
        <w:t>pplication</w:t>
      </w:r>
      <w:r w:rsidR="00A94342" w:rsidRPr="004A7821">
        <w:rPr>
          <w:lang w:val="en-CA"/>
        </w:rPr>
        <w:t xml:space="preserve">, not of their </w:t>
      </w:r>
      <w:r w:rsidRPr="00A45B77">
        <w:rPr>
          <w:lang w:val="en-CA"/>
        </w:rPr>
        <w:t xml:space="preserve">plan </w:t>
      </w:r>
      <w:r w:rsidR="00A94342">
        <w:rPr>
          <w:lang w:val="en-CA"/>
        </w:rPr>
        <w:t xml:space="preserve">of </w:t>
      </w:r>
      <w:r w:rsidRPr="00A45B77">
        <w:rPr>
          <w:lang w:val="en-CA"/>
        </w:rPr>
        <w:t>argument</w:t>
      </w:r>
      <w:r w:rsidR="00A94342">
        <w:rPr>
          <w:lang w:val="en-CA"/>
        </w:rPr>
        <w:t>, which was remedied at the hearing by an oral application to amend the A</w:t>
      </w:r>
      <w:r w:rsidRPr="004A7821">
        <w:rPr>
          <w:lang w:val="en-CA"/>
        </w:rPr>
        <w:t>pplication</w:t>
      </w:r>
      <w:r w:rsidRPr="00A45B77">
        <w:rPr>
          <w:lang w:val="en-CA"/>
        </w:rPr>
        <w:t>.</w:t>
      </w:r>
    </w:p>
  </w:footnote>
  <w:footnote w:id="36">
    <w:p w14:paraId="7312B283" w14:textId="77777777" w:rsidR="00194879" w:rsidRPr="00971875" w:rsidRDefault="00573CA9" w:rsidP="00194879">
      <w:pPr>
        <w:pStyle w:val="Notedebasdepage"/>
        <w:rPr>
          <w:lang w:val="en-CA"/>
        </w:rPr>
      </w:pPr>
      <w:r>
        <w:rPr>
          <w:rStyle w:val="Appelnotedebasdep"/>
        </w:rPr>
        <w:footnoteRef/>
      </w:r>
      <w:r w:rsidRPr="00971875">
        <w:rPr>
          <w:lang w:val="en-CA"/>
        </w:rPr>
        <w:t xml:space="preserve"> </w:t>
      </w:r>
      <w:r w:rsidRPr="00971875">
        <w:rPr>
          <w:lang w:val="en-CA"/>
        </w:rPr>
        <w:tab/>
      </w:r>
      <w:r w:rsidR="00971875" w:rsidRPr="00971875">
        <w:rPr>
          <w:lang w:val="en-CA"/>
        </w:rPr>
        <w:t>E</w:t>
      </w:r>
      <w:r w:rsidRPr="004A7821">
        <w:rPr>
          <w:lang w:val="en-CA"/>
        </w:rPr>
        <w:t>xhibit R-93.</w:t>
      </w:r>
    </w:p>
  </w:footnote>
  <w:footnote w:id="37">
    <w:p w14:paraId="2F574BF1" w14:textId="77777777" w:rsidR="00194879" w:rsidRPr="00971875" w:rsidRDefault="00573CA9" w:rsidP="00194879">
      <w:pPr>
        <w:pStyle w:val="Notedebasdepage"/>
        <w:rPr>
          <w:lang w:val="en-CA"/>
        </w:rPr>
      </w:pPr>
      <w:r>
        <w:rPr>
          <w:rStyle w:val="Appelnotedebasdep"/>
        </w:rPr>
        <w:footnoteRef/>
      </w:r>
      <w:r w:rsidRPr="00971875">
        <w:rPr>
          <w:lang w:val="en-CA"/>
        </w:rPr>
        <w:t xml:space="preserve"> </w:t>
      </w:r>
      <w:r w:rsidRPr="00971875">
        <w:rPr>
          <w:lang w:val="en-CA"/>
        </w:rPr>
        <w:tab/>
      </w:r>
      <w:r w:rsidR="00971875" w:rsidRPr="00971875">
        <w:rPr>
          <w:lang w:val="en-CA"/>
        </w:rPr>
        <w:t>E</w:t>
      </w:r>
      <w:r w:rsidRPr="004A7821">
        <w:rPr>
          <w:lang w:val="en-CA"/>
        </w:rPr>
        <w:t xml:space="preserve">xhibits P-93 </w:t>
      </w:r>
      <w:r w:rsidR="00971875" w:rsidRPr="004A7821">
        <w:rPr>
          <w:lang w:val="en-CA"/>
        </w:rPr>
        <w:t>to</w:t>
      </w:r>
      <w:r w:rsidRPr="004A7821">
        <w:rPr>
          <w:lang w:val="en-CA"/>
        </w:rPr>
        <w:t xml:space="preserve"> P-95.</w:t>
      </w:r>
    </w:p>
  </w:footnote>
  <w:footnote w:id="38">
    <w:p w14:paraId="43093C3C" w14:textId="77777777" w:rsidR="00194879" w:rsidRPr="00FF1BC8" w:rsidRDefault="00573CA9" w:rsidP="00194879">
      <w:pPr>
        <w:pStyle w:val="Notedebasdepage"/>
        <w:rPr>
          <w:lang w:val="en-CA"/>
        </w:rPr>
      </w:pPr>
      <w:r>
        <w:rPr>
          <w:rStyle w:val="Appelnotedebasdep"/>
        </w:rPr>
        <w:footnoteRef/>
      </w:r>
      <w:r w:rsidRPr="00FF1BC8">
        <w:rPr>
          <w:lang w:val="en-CA"/>
        </w:rPr>
        <w:t xml:space="preserve"> </w:t>
      </w:r>
      <w:r w:rsidRPr="00FF1BC8">
        <w:rPr>
          <w:lang w:val="en-CA"/>
        </w:rPr>
        <w:tab/>
      </w:r>
      <w:r w:rsidR="00FF1BC8" w:rsidRPr="00FF1BC8">
        <w:rPr>
          <w:lang w:val="en-CA"/>
        </w:rPr>
        <w:t xml:space="preserve">See the excerpts reproduced in the two </w:t>
      </w:r>
      <w:r w:rsidRPr="00FF1BC8">
        <w:rPr>
          <w:lang w:val="en-CA"/>
        </w:rPr>
        <w:t>ju</w:t>
      </w:r>
      <w:r w:rsidR="00FF1BC8" w:rsidRPr="00FF1BC8">
        <w:rPr>
          <w:lang w:val="en-CA"/>
        </w:rPr>
        <w:t>d</w:t>
      </w:r>
      <w:r w:rsidRPr="00FF1BC8">
        <w:rPr>
          <w:lang w:val="en-CA"/>
        </w:rPr>
        <w:t xml:space="preserve">gments </w:t>
      </w:r>
      <w:r w:rsidR="00FF1BC8" w:rsidRPr="00FF1BC8">
        <w:rPr>
          <w:lang w:val="en-CA"/>
        </w:rPr>
        <w:t xml:space="preserve">cited </w:t>
      </w:r>
      <w:r w:rsidR="00FF1BC8">
        <w:rPr>
          <w:lang w:val="en-CA"/>
        </w:rPr>
        <w:t xml:space="preserve">above of </w:t>
      </w:r>
      <w:r w:rsidRPr="00FF1BC8">
        <w:rPr>
          <w:lang w:val="en-CA"/>
        </w:rPr>
        <w:t xml:space="preserve">Perell </w:t>
      </w:r>
      <w:r w:rsidR="00FF1BC8">
        <w:rPr>
          <w:lang w:val="en-CA"/>
        </w:rPr>
        <w:t xml:space="preserve">and </w:t>
      </w:r>
      <w:r w:rsidRPr="00FF1BC8">
        <w:rPr>
          <w:lang w:val="en-CA"/>
        </w:rPr>
        <w:t>Iver</w:t>
      </w:r>
      <w:r w:rsidR="00FF1BC8">
        <w:rPr>
          <w:lang w:val="en-CA"/>
        </w:rPr>
        <w:t xml:space="preserve"> J</w:t>
      </w:r>
      <w:r w:rsidR="00D93925">
        <w:rPr>
          <w:lang w:val="en-CA"/>
        </w:rPr>
        <w:t>J</w:t>
      </w:r>
      <w:r w:rsidR="00FF1BC8">
        <w:rPr>
          <w:lang w:val="en-CA"/>
        </w:rPr>
        <w:t xml:space="preserve">., </w:t>
      </w:r>
      <w:r w:rsidR="00FF1BC8">
        <w:rPr>
          <w:i/>
          <w:iCs/>
          <w:lang w:val="en-CA"/>
        </w:rPr>
        <w:t xml:space="preserve">supra </w:t>
      </w:r>
      <w:r w:rsidRPr="00FF1BC8">
        <w:rPr>
          <w:lang w:val="en-CA"/>
        </w:rPr>
        <w:t xml:space="preserve">notes 3 </w:t>
      </w:r>
      <w:r w:rsidR="006B52CE">
        <w:rPr>
          <w:lang w:val="en-CA"/>
        </w:rPr>
        <w:t>and</w:t>
      </w:r>
      <w:r w:rsidRPr="00FF1BC8">
        <w:rPr>
          <w:lang w:val="en-CA"/>
        </w:rPr>
        <w:t xml:space="preserve"> 4.</w:t>
      </w:r>
    </w:p>
  </w:footnote>
  <w:footnote w:id="39">
    <w:p w14:paraId="5458A1E9" w14:textId="77777777" w:rsidR="003102CD" w:rsidRPr="003151C7" w:rsidRDefault="00573CA9" w:rsidP="003102CD">
      <w:pPr>
        <w:pStyle w:val="Notedebasdepage"/>
        <w:rPr>
          <w:lang w:val="en-CA"/>
        </w:rPr>
      </w:pPr>
      <w:r>
        <w:rPr>
          <w:rStyle w:val="Appelnotedebasdep"/>
        </w:rPr>
        <w:footnoteRef/>
      </w:r>
      <w:r w:rsidRPr="003151C7">
        <w:rPr>
          <w:lang w:val="en-CA"/>
        </w:rPr>
        <w:t xml:space="preserve"> </w:t>
      </w:r>
      <w:r w:rsidRPr="003151C7">
        <w:rPr>
          <w:lang w:val="en-CA"/>
        </w:rPr>
        <w:tab/>
      </w:r>
      <w:r w:rsidR="008A6BB8" w:rsidRPr="003151C7">
        <w:rPr>
          <w:i/>
          <w:iCs/>
          <w:lang w:val="en-CA"/>
        </w:rPr>
        <w:t xml:space="preserve">Supra </w:t>
      </w:r>
      <w:r w:rsidRPr="004A7821">
        <w:rPr>
          <w:lang w:val="en-CA"/>
        </w:rPr>
        <w:t>note 9.</w:t>
      </w:r>
    </w:p>
  </w:footnote>
  <w:footnote w:id="40">
    <w:p w14:paraId="674858DC" w14:textId="77777777" w:rsidR="003102CD" w:rsidRPr="008132C7" w:rsidRDefault="00573CA9" w:rsidP="003102CD">
      <w:pPr>
        <w:pStyle w:val="Notedebasdepage"/>
        <w:rPr>
          <w:lang w:val="en-CA"/>
        </w:rPr>
      </w:pPr>
      <w:r>
        <w:rPr>
          <w:rStyle w:val="Appelnotedebasdep"/>
        </w:rPr>
        <w:footnoteRef/>
      </w:r>
      <w:r w:rsidRPr="008132C7">
        <w:rPr>
          <w:lang w:val="en-CA"/>
        </w:rPr>
        <w:t xml:space="preserve"> </w:t>
      </w:r>
      <w:r w:rsidRPr="008132C7">
        <w:rPr>
          <w:lang w:val="en-CA"/>
        </w:rPr>
        <w:tab/>
      </w:r>
      <w:r w:rsidR="008132C7" w:rsidRPr="008132C7">
        <w:rPr>
          <w:lang w:val="en-CA"/>
        </w:rPr>
        <w:t>E</w:t>
      </w:r>
      <w:r w:rsidRPr="004A7821">
        <w:rPr>
          <w:lang w:val="en-CA"/>
        </w:rPr>
        <w:t xml:space="preserve">xhibits R-11 </w:t>
      </w:r>
      <w:r w:rsidR="008132C7" w:rsidRPr="004A7821">
        <w:rPr>
          <w:lang w:val="en-CA"/>
        </w:rPr>
        <w:t>to</w:t>
      </w:r>
      <w:r w:rsidRPr="004A7821">
        <w:rPr>
          <w:lang w:val="en-CA"/>
        </w:rPr>
        <w:t xml:space="preserve"> R-13.</w:t>
      </w:r>
    </w:p>
  </w:footnote>
  <w:footnote w:id="41">
    <w:p w14:paraId="5D85DB5E" w14:textId="77777777" w:rsidR="00630730" w:rsidRPr="008132C7" w:rsidRDefault="00573CA9" w:rsidP="00630730">
      <w:pPr>
        <w:pStyle w:val="Notedebasdepage"/>
        <w:rPr>
          <w:lang w:val="en-CA"/>
        </w:rPr>
      </w:pPr>
      <w:r>
        <w:rPr>
          <w:rStyle w:val="Appelnotedebasdep"/>
        </w:rPr>
        <w:footnoteRef/>
      </w:r>
      <w:r w:rsidRPr="008132C7">
        <w:rPr>
          <w:lang w:val="en-CA"/>
        </w:rPr>
        <w:t xml:space="preserve"> </w:t>
      </w:r>
      <w:r w:rsidRPr="008132C7">
        <w:rPr>
          <w:lang w:val="en-CA"/>
        </w:rPr>
        <w:tab/>
      </w:r>
      <w:r w:rsidR="008132C7" w:rsidRPr="008132C7">
        <w:rPr>
          <w:lang w:val="en-CA"/>
        </w:rPr>
        <w:t>E</w:t>
      </w:r>
      <w:r w:rsidRPr="004A7821">
        <w:rPr>
          <w:lang w:val="en-CA"/>
        </w:rPr>
        <w:t xml:space="preserve">xhibits R-39 a) </w:t>
      </w:r>
      <w:r w:rsidR="008132C7" w:rsidRPr="004A7821">
        <w:rPr>
          <w:lang w:val="en-CA"/>
        </w:rPr>
        <w:t>and</w:t>
      </w:r>
      <w:r w:rsidRPr="004A7821">
        <w:rPr>
          <w:lang w:val="en-CA"/>
        </w:rPr>
        <w:t xml:space="preserve"> b).</w:t>
      </w:r>
    </w:p>
  </w:footnote>
  <w:footnote w:id="42">
    <w:p w14:paraId="733D911E" w14:textId="77777777" w:rsidR="003102CD" w:rsidRPr="008132C7" w:rsidRDefault="00573CA9" w:rsidP="003102CD">
      <w:pPr>
        <w:pStyle w:val="Notedebasdepage"/>
        <w:rPr>
          <w:lang w:val="en-CA"/>
        </w:rPr>
      </w:pPr>
      <w:r>
        <w:rPr>
          <w:rStyle w:val="Appelnotedebasdep"/>
        </w:rPr>
        <w:footnoteRef/>
      </w:r>
      <w:r w:rsidRPr="003151C7">
        <w:rPr>
          <w:lang w:val="en-CA"/>
        </w:rPr>
        <w:t xml:space="preserve"> </w:t>
      </w:r>
      <w:r w:rsidRPr="003151C7">
        <w:rPr>
          <w:lang w:val="en-CA"/>
        </w:rPr>
        <w:tab/>
      </w:r>
      <w:r w:rsidR="008132C7" w:rsidRPr="003151C7">
        <w:rPr>
          <w:lang w:val="en-CA"/>
        </w:rPr>
        <w:t>Application at par</w:t>
      </w:r>
      <w:r w:rsidRPr="003151C7">
        <w:rPr>
          <w:lang w:val="en-CA"/>
        </w:rPr>
        <w:t xml:space="preserve">a. </w:t>
      </w:r>
      <w:r w:rsidRPr="008132C7">
        <w:rPr>
          <w:lang w:val="en-CA"/>
        </w:rPr>
        <w:t xml:space="preserve">10.58 </w:t>
      </w:r>
      <w:r w:rsidR="008132C7" w:rsidRPr="008132C7">
        <w:rPr>
          <w:lang w:val="en-CA"/>
        </w:rPr>
        <w:t xml:space="preserve">and </w:t>
      </w:r>
      <w:r w:rsidRPr="004A7821">
        <w:rPr>
          <w:lang w:val="en-CA"/>
        </w:rPr>
        <w:t>exhibit</w:t>
      </w:r>
      <w:r w:rsidRPr="008132C7">
        <w:rPr>
          <w:lang w:val="en-CA"/>
        </w:rPr>
        <w:t xml:space="preserve"> R-14.</w:t>
      </w:r>
    </w:p>
  </w:footnote>
  <w:footnote w:id="43">
    <w:p w14:paraId="1BF5224A" w14:textId="77777777" w:rsidR="007A4B42" w:rsidRPr="007A4B42" w:rsidRDefault="00573CA9" w:rsidP="007A4B42">
      <w:pPr>
        <w:pStyle w:val="Notedebasdepage"/>
        <w:rPr>
          <w:lang w:val="en-CA"/>
        </w:rPr>
      </w:pPr>
      <w:r>
        <w:rPr>
          <w:rStyle w:val="Appelnotedebasdep"/>
        </w:rPr>
        <w:footnoteRef/>
      </w:r>
      <w:r w:rsidRPr="007A4B42">
        <w:rPr>
          <w:lang w:val="en-CA"/>
        </w:rPr>
        <w:t xml:space="preserve">    </w:t>
      </w:r>
      <w:r w:rsidR="008132C7">
        <w:rPr>
          <w:lang w:val="en-CA"/>
        </w:rPr>
        <w:t>E</w:t>
      </w:r>
      <w:r w:rsidRPr="004A7821">
        <w:rPr>
          <w:lang w:val="en-CA"/>
        </w:rPr>
        <w:t>xhibits R-12.</w:t>
      </w:r>
    </w:p>
  </w:footnote>
  <w:footnote w:id="44">
    <w:p w14:paraId="26312410" w14:textId="77777777" w:rsidR="003102CD" w:rsidRPr="005F18E1" w:rsidRDefault="00573CA9" w:rsidP="003102CD">
      <w:pPr>
        <w:pStyle w:val="Notedebasdepage"/>
        <w:rPr>
          <w:i/>
          <w:iCs/>
          <w:lang w:val="en-CA"/>
        </w:rPr>
      </w:pPr>
      <w:r>
        <w:rPr>
          <w:rStyle w:val="Appelnotedebasdep"/>
        </w:rPr>
        <w:footnoteRef/>
      </w:r>
      <w:r w:rsidRPr="005F18E1">
        <w:rPr>
          <w:lang w:val="en-CA"/>
        </w:rPr>
        <w:t xml:space="preserve"> </w:t>
      </w:r>
      <w:r w:rsidRPr="005F18E1">
        <w:rPr>
          <w:lang w:val="en-CA"/>
        </w:rPr>
        <w:tab/>
      </w:r>
      <w:r>
        <w:rPr>
          <w:i/>
          <w:iCs/>
          <w:lang w:val="en-CA"/>
        </w:rPr>
        <w:t>US Office of the Comptroller of the Currency.</w:t>
      </w:r>
    </w:p>
  </w:footnote>
  <w:footnote w:id="45">
    <w:p w14:paraId="46412F9C" w14:textId="77777777" w:rsidR="003102CD" w:rsidRDefault="00573CA9" w:rsidP="003102CD">
      <w:pPr>
        <w:pStyle w:val="Notedebasdepage"/>
      </w:pPr>
      <w:r>
        <w:rPr>
          <w:rStyle w:val="Appelnotedebasdep"/>
        </w:rPr>
        <w:footnoteRef/>
      </w:r>
      <w:r w:rsidR="0049477A">
        <w:t xml:space="preserve"> </w:t>
      </w:r>
      <w:r w:rsidR="0049477A">
        <w:tab/>
      </w:r>
      <w:r w:rsidR="008132C7">
        <w:t>Application at para</w:t>
      </w:r>
      <w:r w:rsidR="0049477A">
        <w:t xml:space="preserve">. 10.74 </w:t>
      </w:r>
      <w:r w:rsidR="0049477A" w:rsidRPr="008132C7">
        <w:rPr>
          <w:i/>
          <w:iCs/>
        </w:rPr>
        <w:t>et s</w:t>
      </w:r>
      <w:r w:rsidR="008132C7" w:rsidRPr="008132C7">
        <w:rPr>
          <w:i/>
          <w:iCs/>
        </w:rPr>
        <w:t>eq</w:t>
      </w:r>
      <w:r w:rsidR="008132C7">
        <w:t>.</w:t>
      </w:r>
    </w:p>
  </w:footnote>
  <w:footnote w:id="46">
    <w:p w14:paraId="4DCC5D8C" w14:textId="77777777" w:rsidR="003102CD" w:rsidRPr="002F3F38" w:rsidRDefault="00573CA9" w:rsidP="003102CD">
      <w:pPr>
        <w:pStyle w:val="Notedebasdepage"/>
        <w:rPr>
          <w:lang w:val="en-CA"/>
        </w:rPr>
      </w:pPr>
      <w:r>
        <w:rPr>
          <w:rStyle w:val="Appelnotedebasdep"/>
        </w:rPr>
        <w:footnoteRef/>
      </w:r>
      <w:r w:rsidRPr="002F3F38">
        <w:rPr>
          <w:lang w:val="en-CA"/>
        </w:rPr>
        <w:t xml:space="preserve"> </w:t>
      </w:r>
      <w:r w:rsidRPr="002F3F38">
        <w:rPr>
          <w:lang w:val="en-CA"/>
        </w:rPr>
        <w:tab/>
      </w:r>
      <w:r w:rsidR="002F3F38" w:rsidRPr="002F3F38">
        <w:rPr>
          <w:lang w:val="en-CA"/>
        </w:rPr>
        <w:t xml:space="preserve">Which was the subject of a </w:t>
      </w:r>
      <w:r w:rsidRPr="002F3F38">
        <w:rPr>
          <w:lang w:val="en-CA"/>
        </w:rPr>
        <w:t xml:space="preserve">transaction </w:t>
      </w:r>
      <w:r w:rsidR="002F3F38" w:rsidRPr="002F3F38">
        <w:rPr>
          <w:lang w:val="en-CA"/>
        </w:rPr>
        <w:t xml:space="preserve">on </w:t>
      </w:r>
      <w:r w:rsidRPr="004A7821">
        <w:rPr>
          <w:lang w:val="en-CA"/>
        </w:rPr>
        <w:t>January</w:t>
      </w:r>
      <w:r w:rsidR="002F3F38" w:rsidRPr="004A7821">
        <w:rPr>
          <w:lang w:val="en-CA"/>
        </w:rPr>
        <w:t xml:space="preserve"> 31,</w:t>
      </w:r>
      <w:r w:rsidRPr="002F3F38">
        <w:rPr>
          <w:lang w:val="en-CA"/>
        </w:rPr>
        <w:t xml:space="preserve"> 2022</w:t>
      </w:r>
      <w:r w:rsidR="002F3F38" w:rsidRPr="002F3F38">
        <w:rPr>
          <w:lang w:val="en-CA"/>
        </w:rPr>
        <w:t xml:space="preserve">, before the presentation of the </w:t>
      </w:r>
      <w:r w:rsidRPr="004A7821">
        <w:rPr>
          <w:lang w:val="en-CA"/>
        </w:rPr>
        <w:t>application</w:t>
      </w:r>
      <w:r w:rsidR="002F3F38" w:rsidRPr="004A7821">
        <w:rPr>
          <w:lang w:val="en-CA"/>
        </w:rPr>
        <w:t xml:space="preserve"> for </w:t>
      </w:r>
      <w:r w:rsidRPr="002F3F38">
        <w:rPr>
          <w:lang w:val="en-CA"/>
        </w:rPr>
        <w:t xml:space="preserve">certification </w:t>
      </w:r>
      <w:r w:rsidR="002F3F38">
        <w:rPr>
          <w:lang w:val="en-CA"/>
        </w:rPr>
        <w:t>scheduled for the next day</w:t>
      </w:r>
      <w:r w:rsidRPr="002F3F38">
        <w:rPr>
          <w:lang w:val="en-CA"/>
        </w:rPr>
        <w:t>.</w:t>
      </w:r>
    </w:p>
  </w:footnote>
  <w:footnote w:id="47">
    <w:p w14:paraId="342D9096" w14:textId="77777777" w:rsidR="003102CD" w:rsidRPr="008132C7" w:rsidRDefault="00573CA9" w:rsidP="003102CD">
      <w:pPr>
        <w:pStyle w:val="Notedebasdepage"/>
        <w:rPr>
          <w:lang w:val="en-CA"/>
        </w:rPr>
      </w:pPr>
      <w:r>
        <w:rPr>
          <w:rStyle w:val="Appelnotedebasdep"/>
        </w:rPr>
        <w:footnoteRef/>
      </w:r>
      <w:r w:rsidRPr="008132C7">
        <w:rPr>
          <w:lang w:val="en-CA"/>
        </w:rPr>
        <w:t xml:space="preserve"> </w:t>
      </w:r>
      <w:r w:rsidRPr="008132C7">
        <w:rPr>
          <w:lang w:val="en-CA"/>
        </w:rPr>
        <w:tab/>
      </w:r>
      <w:r w:rsidR="008132C7" w:rsidRPr="008132C7">
        <w:rPr>
          <w:lang w:val="en-CA"/>
        </w:rPr>
        <w:t>E</w:t>
      </w:r>
      <w:r w:rsidRPr="004A7821">
        <w:rPr>
          <w:lang w:val="en-CA"/>
        </w:rPr>
        <w:t>xhibit R-18.</w:t>
      </w:r>
    </w:p>
  </w:footnote>
  <w:footnote w:id="48">
    <w:p w14:paraId="5310A455" w14:textId="77777777" w:rsidR="003102CD" w:rsidRPr="008132C7" w:rsidRDefault="00573CA9" w:rsidP="003102CD">
      <w:pPr>
        <w:pStyle w:val="Notedebasdepage"/>
        <w:rPr>
          <w:lang w:val="en-CA"/>
        </w:rPr>
      </w:pPr>
      <w:r>
        <w:rPr>
          <w:rStyle w:val="Appelnotedebasdep"/>
        </w:rPr>
        <w:footnoteRef/>
      </w:r>
      <w:r w:rsidRPr="008132C7">
        <w:rPr>
          <w:lang w:val="en-CA"/>
        </w:rPr>
        <w:t xml:space="preserve"> </w:t>
      </w:r>
      <w:r w:rsidRPr="008132C7">
        <w:rPr>
          <w:lang w:val="en-CA"/>
        </w:rPr>
        <w:tab/>
      </w:r>
      <w:r w:rsidR="008132C7" w:rsidRPr="004A7821">
        <w:rPr>
          <w:lang w:val="en-CA"/>
        </w:rPr>
        <w:t>E</w:t>
      </w:r>
      <w:r w:rsidRPr="004A7821">
        <w:rPr>
          <w:lang w:val="en-CA"/>
        </w:rPr>
        <w:t>xhibit R-89.</w:t>
      </w:r>
    </w:p>
  </w:footnote>
  <w:footnote w:id="49">
    <w:p w14:paraId="407D228D" w14:textId="77777777" w:rsidR="00C640FA" w:rsidRPr="003151C7" w:rsidRDefault="00573CA9" w:rsidP="00C640FA">
      <w:pPr>
        <w:pStyle w:val="Notedebasdepage"/>
        <w:rPr>
          <w:lang w:val="en-CA"/>
        </w:rPr>
      </w:pPr>
      <w:r>
        <w:rPr>
          <w:rStyle w:val="Appelnotedebasdep"/>
        </w:rPr>
        <w:footnoteRef/>
      </w:r>
      <w:r w:rsidRPr="008132C7">
        <w:rPr>
          <w:lang w:val="en-CA"/>
        </w:rPr>
        <w:t xml:space="preserve"> </w:t>
      </w:r>
      <w:r w:rsidRPr="008132C7">
        <w:rPr>
          <w:lang w:val="en-CA"/>
        </w:rPr>
        <w:tab/>
      </w:r>
      <w:r w:rsidR="008132C7" w:rsidRPr="008132C7">
        <w:rPr>
          <w:lang w:val="en-CA"/>
        </w:rPr>
        <w:t>Application at para</w:t>
      </w:r>
      <w:r w:rsidRPr="004A7821">
        <w:rPr>
          <w:lang w:val="en-CA"/>
        </w:rPr>
        <w:t>. 10.59.</w:t>
      </w:r>
    </w:p>
  </w:footnote>
  <w:footnote w:id="50">
    <w:p w14:paraId="1BA3549D" w14:textId="77777777" w:rsidR="0058049E" w:rsidRPr="003151C7" w:rsidRDefault="00573CA9" w:rsidP="0058049E">
      <w:pPr>
        <w:pStyle w:val="Notedebasdepage"/>
        <w:rPr>
          <w:i/>
          <w:iCs/>
          <w:lang w:val="en-CA"/>
        </w:rPr>
      </w:pPr>
      <w:r>
        <w:rPr>
          <w:rStyle w:val="Appelnotedebasdep"/>
        </w:rPr>
        <w:footnoteRef/>
      </w:r>
      <w:r w:rsidRPr="003151C7">
        <w:rPr>
          <w:lang w:val="en-CA"/>
        </w:rPr>
        <w:t xml:space="preserve"> </w:t>
      </w:r>
      <w:r w:rsidRPr="003151C7">
        <w:rPr>
          <w:lang w:val="en-CA"/>
        </w:rPr>
        <w:tab/>
      </w:r>
      <w:r w:rsidR="00971875" w:rsidRPr="004A7821">
        <w:rPr>
          <w:i/>
          <w:iCs/>
          <w:lang w:val="en-CA"/>
        </w:rPr>
        <w:t>Ibid</w:t>
      </w:r>
      <w:r w:rsidR="00971875" w:rsidRPr="004A7821">
        <w:rPr>
          <w:iCs/>
          <w:lang w:val="en-CA"/>
        </w:rPr>
        <w:t>.</w:t>
      </w:r>
    </w:p>
  </w:footnote>
  <w:footnote w:id="51">
    <w:p w14:paraId="63F1D942" w14:textId="77777777" w:rsidR="0058049E" w:rsidRPr="008132C7" w:rsidRDefault="00573CA9" w:rsidP="0058049E">
      <w:pPr>
        <w:pStyle w:val="Notedebasdepage"/>
        <w:rPr>
          <w:lang w:val="en-CA"/>
        </w:rPr>
      </w:pPr>
      <w:r>
        <w:rPr>
          <w:rStyle w:val="Appelnotedebasdep"/>
        </w:rPr>
        <w:footnoteRef/>
      </w:r>
      <w:r w:rsidRPr="008132C7">
        <w:rPr>
          <w:lang w:val="en-CA"/>
        </w:rPr>
        <w:t xml:space="preserve"> </w:t>
      </w:r>
      <w:r w:rsidRPr="008132C7">
        <w:rPr>
          <w:lang w:val="en-CA"/>
        </w:rPr>
        <w:tab/>
      </w:r>
      <w:r w:rsidR="008132C7" w:rsidRPr="008132C7">
        <w:rPr>
          <w:lang w:val="en-CA"/>
        </w:rPr>
        <w:t>E</w:t>
      </w:r>
      <w:r w:rsidRPr="004A7821">
        <w:rPr>
          <w:lang w:val="en-CA"/>
        </w:rPr>
        <w:t>xhibits R-8, R-15, R-58</w:t>
      </w:r>
      <w:r w:rsidR="008132C7" w:rsidRPr="004A7821">
        <w:rPr>
          <w:lang w:val="en-CA"/>
        </w:rPr>
        <w:t>, and</w:t>
      </w:r>
      <w:r w:rsidRPr="004A7821">
        <w:rPr>
          <w:lang w:val="en-CA"/>
        </w:rPr>
        <w:t xml:space="preserve"> R-93.</w:t>
      </w:r>
    </w:p>
  </w:footnote>
  <w:footnote w:id="52">
    <w:p w14:paraId="5028AB17" w14:textId="77777777" w:rsidR="00F3554C" w:rsidRPr="008132C7" w:rsidRDefault="00573CA9" w:rsidP="00F3554C">
      <w:pPr>
        <w:pStyle w:val="Notedebasdepage"/>
        <w:rPr>
          <w:lang w:val="en-CA"/>
        </w:rPr>
      </w:pPr>
      <w:r>
        <w:rPr>
          <w:rStyle w:val="Appelnotedebasdep"/>
        </w:rPr>
        <w:footnoteRef/>
      </w:r>
      <w:r w:rsidRPr="008132C7">
        <w:rPr>
          <w:lang w:val="en-CA"/>
        </w:rPr>
        <w:t xml:space="preserve"> </w:t>
      </w:r>
      <w:r w:rsidRPr="008132C7">
        <w:rPr>
          <w:lang w:val="en-CA"/>
        </w:rPr>
        <w:tab/>
      </w:r>
      <w:r w:rsidR="008132C7" w:rsidRPr="008132C7">
        <w:rPr>
          <w:lang w:val="en-CA"/>
        </w:rPr>
        <w:t>E</w:t>
      </w:r>
      <w:r w:rsidRPr="004A7821">
        <w:rPr>
          <w:lang w:val="en-CA"/>
        </w:rPr>
        <w:t xml:space="preserve">xhibits R-15 </w:t>
      </w:r>
      <w:r w:rsidR="008132C7" w:rsidRPr="004A7821">
        <w:rPr>
          <w:lang w:val="en-CA"/>
        </w:rPr>
        <w:t>and</w:t>
      </w:r>
      <w:r w:rsidRPr="004A7821">
        <w:rPr>
          <w:lang w:val="en-CA"/>
        </w:rPr>
        <w:t xml:space="preserve"> R-16.</w:t>
      </w:r>
    </w:p>
  </w:footnote>
  <w:footnote w:id="53">
    <w:p w14:paraId="433883B2" w14:textId="77777777" w:rsidR="00FC5970" w:rsidRPr="008132C7" w:rsidRDefault="00573CA9" w:rsidP="00FC5970">
      <w:pPr>
        <w:pStyle w:val="Notedebasdepage"/>
        <w:rPr>
          <w:lang w:val="en-CA"/>
        </w:rPr>
      </w:pPr>
      <w:r>
        <w:rPr>
          <w:rStyle w:val="Appelnotedebasdep"/>
        </w:rPr>
        <w:footnoteRef/>
      </w:r>
      <w:r w:rsidRPr="008132C7">
        <w:rPr>
          <w:lang w:val="en-CA"/>
        </w:rPr>
        <w:t xml:space="preserve">    </w:t>
      </w:r>
      <w:r w:rsidR="008132C7" w:rsidRPr="008132C7">
        <w:rPr>
          <w:lang w:val="en-CA"/>
        </w:rPr>
        <w:t>E</w:t>
      </w:r>
      <w:r w:rsidRPr="004A7821">
        <w:rPr>
          <w:lang w:val="en-CA"/>
        </w:rPr>
        <w:t>xhibits R-6, R-11</w:t>
      </w:r>
      <w:r w:rsidR="008132C7" w:rsidRPr="004A7821">
        <w:rPr>
          <w:lang w:val="en-CA"/>
        </w:rPr>
        <w:t>, and</w:t>
      </w:r>
      <w:r w:rsidRPr="004A7821">
        <w:rPr>
          <w:lang w:val="en-CA"/>
        </w:rPr>
        <w:t xml:space="preserve"> R-15.</w:t>
      </w:r>
    </w:p>
  </w:footnote>
  <w:footnote w:id="54">
    <w:p w14:paraId="6A21248B" w14:textId="77777777" w:rsidR="00B57F55" w:rsidRPr="008132C7" w:rsidRDefault="00573CA9" w:rsidP="00B57F55">
      <w:pPr>
        <w:pStyle w:val="Notedebasdepage"/>
        <w:rPr>
          <w:lang w:val="en-CA"/>
        </w:rPr>
      </w:pPr>
      <w:r>
        <w:rPr>
          <w:rStyle w:val="Appelnotedebasdep"/>
        </w:rPr>
        <w:footnoteRef/>
      </w:r>
      <w:r w:rsidRPr="008132C7">
        <w:rPr>
          <w:lang w:val="en-CA"/>
        </w:rPr>
        <w:t xml:space="preserve"> </w:t>
      </w:r>
      <w:r w:rsidR="00971875" w:rsidRPr="004A7821">
        <w:rPr>
          <w:lang w:val="en-CA"/>
        </w:rPr>
        <w:t>Exhibit R-6.</w:t>
      </w:r>
    </w:p>
  </w:footnote>
  <w:footnote w:id="55">
    <w:p w14:paraId="1483E362" w14:textId="77777777" w:rsidR="002E1FD0" w:rsidRPr="008132C7" w:rsidRDefault="00573CA9">
      <w:pPr>
        <w:pStyle w:val="Notedebasdepage"/>
        <w:rPr>
          <w:lang w:val="en-CA"/>
        </w:rPr>
      </w:pPr>
      <w:r>
        <w:rPr>
          <w:rStyle w:val="Appelnotedebasdep"/>
        </w:rPr>
        <w:footnoteRef/>
      </w:r>
      <w:r w:rsidRPr="008132C7">
        <w:rPr>
          <w:lang w:val="en-CA"/>
        </w:rPr>
        <w:t xml:space="preserve"> </w:t>
      </w:r>
      <w:r w:rsidR="00971875" w:rsidRPr="004A7821">
        <w:rPr>
          <w:i/>
          <w:iCs/>
          <w:lang w:val="en-CA"/>
        </w:rPr>
        <w:t>Ibid</w:t>
      </w:r>
      <w:r w:rsidR="00971875" w:rsidRPr="004A7821">
        <w:rPr>
          <w:iCs/>
          <w:lang w:val="en-CA"/>
        </w:rPr>
        <w:t>.</w:t>
      </w:r>
      <w:r w:rsidR="00D718F1" w:rsidRPr="008132C7">
        <w:rPr>
          <w:lang w:val="en-CA"/>
        </w:rPr>
        <w:t xml:space="preserve"> </w:t>
      </w:r>
    </w:p>
  </w:footnote>
  <w:footnote w:id="56">
    <w:p w14:paraId="22B6D5E2" w14:textId="77777777" w:rsidR="009B56A4" w:rsidRPr="003641BB" w:rsidRDefault="00573CA9">
      <w:pPr>
        <w:pStyle w:val="Notedebasdepage"/>
        <w:rPr>
          <w:lang w:val="en-CA"/>
        </w:rPr>
      </w:pPr>
      <w:r>
        <w:rPr>
          <w:rStyle w:val="Appelnotedebasdep"/>
        </w:rPr>
        <w:footnoteRef/>
      </w:r>
      <w:r w:rsidRPr="003151C7">
        <w:rPr>
          <w:lang w:val="en-CA"/>
        </w:rPr>
        <w:t xml:space="preserve"> </w:t>
      </w:r>
      <w:r w:rsidRPr="003151C7">
        <w:rPr>
          <w:lang w:val="en-CA"/>
        </w:rPr>
        <w:tab/>
      </w:r>
      <w:r w:rsidR="008132C7" w:rsidRPr="003151C7">
        <w:rPr>
          <w:lang w:val="en-CA"/>
        </w:rPr>
        <w:t xml:space="preserve">Application at para. </w:t>
      </w:r>
      <w:r w:rsidRPr="003641BB">
        <w:rPr>
          <w:lang w:val="en-CA"/>
        </w:rPr>
        <w:t>10.20.</w:t>
      </w:r>
    </w:p>
  </w:footnote>
  <w:footnote w:id="57">
    <w:p w14:paraId="5B380A2E" w14:textId="77777777" w:rsidR="00CF2F6A" w:rsidRPr="003641BB" w:rsidRDefault="00573CA9">
      <w:pPr>
        <w:pStyle w:val="Notedebasdepage"/>
        <w:rPr>
          <w:lang w:val="en-CA"/>
        </w:rPr>
      </w:pPr>
      <w:r>
        <w:rPr>
          <w:rStyle w:val="Appelnotedebasdep"/>
        </w:rPr>
        <w:footnoteRef/>
      </w:r>
      <w:r w:rsidRPr="003641BB">
        <w:rPr>
          <w:lang w:val="en-CA"/>
        </w:rPr>
        <w:t xml:space="preserve"> </w:t>
      </w:r>
      <w:r w:rsidRPr="003641BB">
        <w:rPr>
          <w:lang w:val="en-CA"/>
        </w:rPr>
        <w:tab/>
      </w:r>
      <w:r w:rsidR="008132C7" w:rsidRPr="003641BB">
        <w:rPr>
          <w:lang w:val="en-CA"/>
        </w:rPr>
        <w:t>Application at para.</w:t>
      </w:r>
      <w:r w:rsidRPr="003641BB">
        <w:rPr>
          <w:lang w:val="en-CA"/>
        </w:rPr>
        <w:t xml:space="preserve"> 10.28.1.</w:t>
      </w:r>
    </w:p>
  </w:footnote>
  <w:footnote w:id="58">
    <w:p w14:paraId="0FEB60B4" w14:textId="77777777" w:rsidR="00CF2F6A" w:rsidRPr="003151C7" w:rsidRDefault="00573CA9">
      <w:pPr>
        <w:pStyle w:val="Notedebasdepage"/>
        <w:rPr>
          <w:lang w:val="en-CA"/>
        </w:rPr>
      </w:pPr>
      <w:r>
        <w:rPr>
          <w:rStyle w:val="Appelnotedebasdep"/>
        </w:rPr>
        <w:footnoteRef/>
      </w:r>
      <w:r w:rsidR="00EE4539" w:rsidRPr="003641BB">
        <w:rPr>
          <w:lang w:val="en-CA"/>
        </w:rPr>
        <w:t xml:space="preserve"> </w:t>
      </w:r>
      <w:r w:rsidR="00EE4539" w:rsidRPr="003641BB">
        <w:rPr>
          <w:lang w:val="en-CA"/>
        </w:rPr>
        <w:tab/>
      </w:r>
      <w:r w:rsidR="003641BB" w:rsidRPr="003641BB">
        <w:rPr>
          <w:lang w:val="en-CA"/>
        </w:rPr>
        <w:t>At para</w:t>
      </w:r>
      <w:r w:rsidR="00EE4539" w:rsidRPr="003641BB">
        <w:rPr>
          <w:lang w:val="en-CA"/>
        </w:rPr>
        <w:t xml:space="preserve">. </w:t>
      </w:r>
      <w:r w:rsidR="00EE4539" w:rsidRPr="003151C7">
        <w:rPr>
          <w:lang w:val="en-CA"/>
        </w:rPr>
        <w:t>10.31.8.</w:t>
      </w:r>
    </w:p>
  </w:footnote>
  <w:footnote w:id="59">
    <w:p w14:paraId="53E992A3" w14:textId="77777777" w:rsidR="002C3C22" w:rsidRPr="003641BB" w:rsidRDefault="00573CA9" w:rsidP="002C3C22">
      <w:pPr>
        <w:pStyle w:val="Notedebasdepage"/>
        <w:rPr>
          <w:lang w:val="en-CA"/>
        </w:rPr>
      </w:pPr>
      <w:r>
        <w:rPr>
          <w:rStyle w:val="Appelnotedebasdep"/>
        </w:rPr>
        <w:footnoteRef/>
      </w:r>
      <w:r w:rsidRPr="003641BB">
        <w:rPr>
          <w:lang w:val="en-CA"/>
        </w:rPr>
        <w:t xml:space="preserve"> </w:t>
      </w:r>
      <w:r w:rsidRPr="003641BB">
        <w:rPr>
          <w:lang w:val="en-CA"/>
        </w:rPr>
        <w:tab/>
      </w:r>
      <w:r w:rsidR="003641BB" w:rsidRPr="003641BB">
        <w:rPr>
          <w:lang w:val="en-CA"/>
        </w:rPr>
        <w:t>At para</w:t>
      </w:r>
      <w:r w:rsidR="003641BB" w:rsidRPr="004A7821">
        <w:rPr>
          <w:lang w:val="en-CA"/>
        </w:rPr>
        <w:t xml:space="preserve"> </w:t>
      </w:r>
      <w:r w:rsidRPr="004A7821">
        <w:rPr>
          <w:lang w:val="en-CA"/>
        </w:rPr>
        <w:t xml:space="preserve">10.30 </w:t>
      </w:r>
      <w:r w:rsidR="003641BB" w:rsidRPr="004A7821">
        <w:rPr>
          <w:lang w:val="en-CA"/>
        </w:rPr>
        <w:t xml:space="preserve">and </w:t>
      </w:r>
      <w:r w:rsidRPr="004A7821">
        <w:rPr>
          <w:lang w:val="en-CA"/>
        </w:rPr>
        <w:t>exhibit R-12.</w:t>
      </w:r>
    </w:p>
  </w:footnote>
  <w:footnote w:id="60">
    <w:p w14:paraId="42AB485D" w14:textId="77777777" w:rsidR="002C3C22" w:rsidRPr="003641BB" w:rsidRDefault="00573CA9">
      <w:pPr>
        <w:pStyle w:val="Notedebasdepage"/>
        <w:rPr>
          <w:lang w:val="en-CA"/>
        </w:rPr>
      </w:pPr>
      <w:r>
        <w:rPr>
          <w:rStyle w:val="Appelnotedebasdep"/>
        </w:rPr>
        <w:footnoteRef/>
      </w:r>
      <w:r w:rsidRPr="003641BB">
        <w:rPr>
          <w:lang w:val="en-CA"/>
        </w:rPr>
        <w:t xml:space="preserve"> </w:t>
      </w:r>
      <w:r w:rsidRPr="003641BB">
        <w:rPr>
          <w:lang w:val="en-CA"/>
        </w:rPr>
        <w:tab/>
      </w:r>
      <w:r w:rsidR="003641BB" w:rsidRPr="003641BB">
        <w:rPr>
          <w:lang w:val="en-CA"/>
        </w:rPr>
        <w:t>At para</w:t>
      </w:r>
      <w:r w:rsidR="003641BB" w:rsidRPr="004A7821">
        <w:rPr>
          <w:lang w:val="en-CA"/>
        </w:rPr>
        <w:t xml:space="preserve"> </w:t>
      </w:r>
      <w:r w:rsidRPr="004A7821">
        <w:rPr>
          <w:lang w:val="en-CA"/>
        </w:rPr>
        <w:t xml:space="preserve">10.41 </w:t>
      </w:r>
      <w:r w:rsidR="003641BB" w:rsidRPr="004A7821">
        <w:rPr>
          <w:lang w:val="en-CA"/>
        </w:rPr>
        <w:t xml:space="preserve">and </w:t>
      </w:r>
      <w:r w:rsidRPr="004A7821">
        <w:rPr>
          <w:lang w:val="en-CA"/>
        </w:rPr>
        <w:t>exhibit</w:t>
      </w:r>
      <w:r w:rsidR="003641BB" w:rsidRPr="004A7821">
        <w:rPr>
          <w:lang w:val="en-CA"/>
        </w:rPr>
        <w:t>s</w:t>
      </w:r>
      <w:r w:rsidRPr="004A7821">
        <w:rPr>
          <w:lang w:val="en-CA"/>
        </w:rPr>
        <w:t xml:space="preserve"> R-8, R-9</w:t>
      </w:r>
      <w:r w:rsidR="003641BB" w:rsidRPr="004A7821">
        <w:rPr>
          <w:lang w:val="en-CA"/>
        </w:rPr>
        <w:t>, and</w:t>
      </w:r>
      <w:r w:rsidRPr="004A7821">
        <w:rPr>
          <w:lang w:val="en-CA"/>
        </w:rPr>
        <w:t xml:space="preserve"> R-10.</w:t>
      </w:r>
    </w:p>
  </w:footnote>
  <w:footnote w:id="61">
    <w:p w14:paraId="4003E6C3" w14:textId="77777777" w:rsidR="00766461" w:rsidRPr="003641BB" w:rsidRDefault="00573CA9">
      <w:pPr>
        <w:pStyle w:val="Notedebasdepage"/>
        <w:rPr>
          <w:lang w:val="en-CA"/>
        </w:rPr>
      </w:pPr>
      <w:r>
        <w:rPr>
          <w:rStyle w:val="Appelnotedebasdep"/>
        </w:rPr>
        <w:footnoteRef/>
      </w:r>
      <w:r w:rsidRPr="003641BB">
        <w:rPr>
          <w:lang w:val="en-CA"/>
        </w:rPr>
        <w:t xml:space="preserve"> </w:t>
      </w:r>
      <w:r w:rsidRPr="003641BB">
        <w:rPr>
          <w:lang w:val="en-CA"/>
        </w:rPr>
        <w:tab/>
      </w:r>
      <w:r w:rsidR="003641BB" w:rsidRPr="003641BB">
        <w:rPr>
          <w:lang w:val="en-CA"/>
        </w:rPr>
        <w:t>E</w:t>
      </w:r>
      <w:r w:rsidRPr="004A7821">
        <w:rPr>
          <w:lang w:val="en-CA"/>
        </w:rPr>
        <w:t>xhibit</w:t>
      </w:r>
      <w:r w:rsidRPr="003641BB">
        <w:rPr>
          <w:lang w:val="en-CA"/>
        </w:rPr>
        <w:t xml:space="preserve"> R-6</w:t>
      </w:r>
      <w:r w:rsidR="003641BB" w:rsidRPr="003641BB">
        <w:rPr>
          <w:lang w:val="en-CA"/>
        </w:rPr>
        <w:t>,</w:t>
      </w:r>
      <w:r w:rsidRPr="003641BB">
        <w:rPr>
          <w:lang w:val="en-CA"/>
        </w:rPr>
        <w:t xml:space="preserve"> </w:t>
      </w:r>
      <w:r w:rsidR="003641BB" w:rsidRPr="003641BB">
        <w:rPr>
          <w:lang w:val="en-CA"/>
        </w:rPr>
        <w:t xml:space="preserve">referring to the Federal </w:t>
      </w:r>
      <w:r w:rsidR="003641BB" w:rsidRPr="003641BB">
        <w:rPr>
          <w:i/>
          <w:iCs/>
          <w:lang w:val="en-CA"/>
        </w:rPr>
        <w:t xml:space="preserve">Act </w:t>
      </w:r>
      <w:r w:rsidR="003641BB" w:rsidRPr="003641BB">
        <w:rPr>
          <w:lang w:val="en-CA"/>
        </w:rPr>
        <w:t xml:space="preserve">cited at </w:t>
      </w:r>
      <w:r w:rsidRPr="003641BB">
        <w:rPr>
          <w:lang w:val="en-CA"/>
        </w:rPr>
        <w:t>note 17.</w:t>
      </w:r>
    </w:p>
  </w:footnote>
  <w:footnote w:id="62">
    <w:p w14:paraId="70B88B8C" w14:textId="77777777" w:rsidR="00CE281E" w:rsidRDefault="00573CA9">
      <w:pPr>
        <w:pStyle w:val="Notedebasdepage"/>
      </w:pPr>
      <w:r>
        <w:rPr>
          <w:rStyle w:val="Appelnotedebasdep"/>
        </w:rPr>
        <w:footnoteRef/>
      </w:r>
      <w:r w:rsidR="000B1B95">
        <w:t xml:space="preserve">    </w:t>
      </w:r>
      <w:r w:rsidR="000B1B95" w:rsidRPr="004A7821">
        <w:t>Article 1458 CCQ</w:t>
      </w:r>
      <w:r w:rsidR="00FA11D2" w:rsidRPr="004A7821">
        <w:t>.</w:t>
      </w:r>
    </w:p>
  </w:footnote>
  <w:footnote w:id="63">
    <w:p w14:paraId="72CE695A" w14:textId="77777777" w:rsidR="00E85BC7" w:rsidRDefault="00573CA9" w:rsidP="00E85BC7">
      <w:pPr>
        <w:pStyle w:val="Notedebasdepage"/>
      </w:pPr>
      <w:r>
        <w:rPr>
          <w:rStyle w:val="Appelnotedebasdep"/>
        </w:rPr>
        <w:footnoteRef/>
      </w:r>
      <w:r>
        <w:t xml:space="preserve"> </w:t>
      </w:r>
      <w:r>
        <w:tab/>
      </w:r>
      <w:r w:rsidR="003641BB">
        <w:t>S</w:t>
      </w:r>
      <w:r w:rsidRPr="004A7821">
        <w:t>ection</w:t>
      </w:r>
      <w:r>
        <w:t xml:space="preserve"> 217 </w:t>
      </w:r>
      <w:r w:rsidR="003641BB" w:rsidRPr="003641BB">
        <w:rPr>
          <w:i/>
          <w:iCs/>
        </w:rPr>
        <w:t>CPA</w:t>
      </w:r>
      <w:r>
        <w:t>.</w:t>
      </w:r>
    </w:p>
  </w:footnote>
  <w:footnote w:id="64">
    <w:p w14:paraId="73AC8652" w14:textId="77777777" w:rsidR="00F24107" w:rsidRPr="008E29CB" w:rsidRDefault="00573CA9" w:rsidP="00F24107">
      <w:pPr>
        <w:pStyle w:val="Notedebasdepage"/>
        <w:ind w:left="426" w:hanging="426"/>
      </w:pPr>
      <w:r>
        <w:rPr>
          <w:rStyle w:val="Appelnotedebasdep"/>
        </w:rPr>
        <w:footnoteRef/>
      </w:r>
      <w:r w:rsidR="00CE087D" w:rsidRPr="008E29CB">
        <w:t xml:space="preserve">    </w:t>
      </w:r>
      <w:r w:rsidR="00971875" w:rsidRPr="004A7821">
        <w:rPr>
          <w:i/>
        </w:rPr>
        <w:t>Supra</w:t>
      </w:r>
      <w:r w:rsidR="00971875" w:rsidRPr="004A7821">
        <w:t xml:space="preserve"> note 10.</w:t>
      </w:r>
    </w:p>
  </w:footnote>
  <w:footnote w:id="65">
    <w:p w14:paraId="3CA9F5E5" w14:textId="77777777" w:rsidR="001047C3" w:rsidRPr="008E29CB" w:rsidRDefault="00573CA9" w:rsidP="001047C3">
      <w:pPr>
        <w:pStyle w:val="Notedebasdepage"/>
        <w:rPr>
          <w:lang w:val="en-CA"/>
        </w:rPr>
      </w:pPr>
      <w:r>
        <w:rPr>
          <w:rStyle w:val="Appelnotedebasdep"/>
        </w:rPr>
        <w:footnoteRef/>
      </w:r>
      <w:r w:rsidRPr="008E29CB">
        <w:rPr>
          <w:lang w:val="en-CA"/>
        </w:rPr>
        <w:t xml:space="preserve"> </w:t>
      </w:r>
      <w:r w:rsidRPr="004A7821">
        <w:rPr>
          <w:i/>
          <w:iCs/>
          <w:lang w:val="en-CA"/>
        </w:rPr>
        <w:t>Li</w:t>
      </w:r>
      <w:r w:rsidRPr="004A7821">
        <w:rPr>
          <w:lang w:val="en-CA"/>
        </w:rPr>
        <w:t xml:space="preserve"> </w:t>
      </w:r>
      <w:r w:rsidR="002176DF" w:rsidRPr="004A7821">
        <w:rPr>
          <w:i/>
          <w:iCs/>
          <w:lang w:val="en-CA"/>
        </w:rPr>
        <w:t>c</w:t>
      </w:r>
      <w:r w:rsidRPr="004A7821">
        <w:rPr>
          <w:i/>
          <w:iCs/>
          <w:lang w:val="en-CA"/>
        </w:rPr>
        <w:t>. Equifax</w:t>
      </w:r>
      <w:r w:rsidRPr="004A7821">
        <w:rPr>
          <w:lang w:val="en-CA"/>
        </w:rPr>
        <w:t>, 2019 QCCS 4340.</w:t>
      </w:r>
    </w:p>
    <w:p w14:paraId="5F4B20A4" w14:textId="77777777" w:rsidR="001047C3" w:rsidRPr="008E29CB" w:rsidRDefault="001047C3" w:rsidP="001047C3">
      <w:pPr>
        <w:pStyle w:val="Notedebasdepage"/>
        <w:rPr>
          <w:lang w:val="en-CA"/>
        </w:rPr>
      </w:pPr>
    </w:p>
  </w:footnote>
  <w:footnote w:id="66">
    <w:p w14:paraId="6030143C" w14:textId="77777777" w:rsidR="001047C3" w:rsidRPr="003151C7" w:rsidRDefault="00573CA9" w:rsidP="001047C3">
      <w:pPr>
        <w:pStyle w:val="Notedebasdepage"/>
        <w:rPr>
          <w:lang w:val="en-CA"/>
        </w:rPr>
      </w:pPr>
      <w:r>
        <w:rPr>
          <w:rStyle w:val="Appelnotedebasdep"/>
        </w:rPr>
        <w:footnoteRef/>
      </w:r>
      <w:r w:rsidRPr="003151C7">
        <w:rPr>
          <w:lang w:val="en-CA"/>
        </w:rPr>
        <w:t xml:space="preserve">  </w:t>
      </w:r>
      <w:r w:rsidR="003641BB" w:rsidRPr="003151C7">
        <w:rPr>
          <w:lang w:val="en-CA"/>
        </w:rPr>
        <w:t xml:space="preserve">See e.g., </w:t>
      </w:r>
      <w:r w:rsidRPr="003151C7">
        <w:rPr>
          <w:i/>
          <w:iCs/>
          <w:lang w:val="en-CA"/>
        </w:rPr>
        <w:t xml:space="preserve">Mazzona </w:t>
      </w:r>
      <w:r w:rsidRPr="004A7821">
        <w:rPr>
          <w:i/>
          <w:iCs/>
          <w:lang w:val="en-CA"/>
        </w:rPr>
        <w:t>c</w:t>
      </w:r>
      <w:r w:rsidRPr="003151C7">
        <w:rPr>
          <w:lang w:val="en-CA"/>
        </w:rPr>
        <w:t xml:space="preserve">. </w:t>
      </w:r>
      <w:r w:rsidRPr="003151C7">
        <w:rPr>
          <w:i/>
          <w:iCs/>
          <w:lang w:val="en-CA"/>
        </w:rPr>
        <w:t xml:space="preserve">Daimler Chrysler Financial services canada inc., </w:t>
      </w:r>
      <w:r w:rsidRPr="003151C7">
        <w:rPr>
          <w:lang w:val="en-CA"/>
        </w:rPr>
        <w:t>2012 QCCS 958.</w:t>
      </w:r>
    </w:p>
  </w:footnote>
  <w:footnote w:id="67">
    <w:p w14:paraId="2F8527C7" w14:textId="77777777" w:rsidR="00416F39" w:rsidRPr="00CE2A8E" w:rsidRDefault="00573CA9">
      <w:pPr>
        <w:pStyle w:val="Notedebasdepage"/>
      </w:pPr>
      <w:r>
        <w:rPr>
          <w:rStyle w:val="Appelnotedebasdep"/>
        </w:rPr>
        <w:footnoteRef/>
      </w:r>
      <w:r w:rsidRPr="00CE2A8E">
        <w:t xml:space="preserve"> </w:t>
      </w:r>
      <w:r w:rsidR="00317E04" w:rsidRPr="00CE2A8E">
        <w:t xml:space="preserve"> </w:t>
      </w:r>
      <w:r w:rsidRPr="00CE2A8E">
        <w:t>Articles</w:t>
      </w:r>
      <w:r w:rsidR="003641BB" w:rsidRPr="00CE2A8E">
        <w:t xml:space="preserve"> </w:t>
      </w:r>
      <w:r w:rsidRPr="00CE2A8E">
        <w:t xml:space="preserve">1611 </w:t>
      </w:r>
      <w:r w:rsidR="003641BB" w:rsidRPr="00CE2A8E">
        <w:t>and</w:t>
      </w:r>
      <w:r w:rsidRPr="00CE2A8E">
        <w:t xml:space="preserve"> 1613 CCQ. </w:t>
      </w:r>
    </w:p>
  </w:footnote>
  <w:footnote w:id="68">
    <w:p w14:paraId="2253B8F0" w14:textId="77777777" w:rsidR="00D1622D" w:rsidRPr="00A45D37" w:rsidRDefault="00573CA9" w:rsidP="00131421">
      <w:pPr>
        <w:pStyle w:val="Notedebasdepage"/>
        <w:ind w:left="426" w:hanging="426"/>
      </w:pPr>
      <w:r>
        <w:rPr>
          <w:rStyle w:val="Appelnotedebasdep"/>
        </w:rPr>
        <w:footnoteRef/>
      </w:r>
      <w:r>
        <w:t xml:space="preserve"> </w:t>
      </w:r>
      <w:r w:rsidR="004C5658">
        <w:t xml:space="preserve">  </w:t>
      </w:r>
      <w:r w:rsidR="003641BB">
        <w:t xml:space="preserve"> </w:t>
      </w:r>
      <w:r w:rsidRPr="004A7821">
        <w:t xml:space="preserve">Articles 1611 </w:t>
      </w:r>
      <w:r w:rsidR="003641BB" w:rsidRPr="004A7821">
        <w:t>and</w:t>
      </w:r>
      <w:r w:rsidRPr="004A7821">
        <w:t xml:space="preserve"> 1613 CCQ.</w:t>
      </w:r>
    </w:p>
  </w:footnote>
  <w:footnote w:id="69">
    <w:p w14:paraId="00EA9925" w14:textId="77777777" w:rsidR="00F24107" w:rsidRDefault="00573CA9" w:rsidP="00F24107">
      <w:pPr>
        <w:pStyle w:val="Notedebasdepage"/>
      </w:pPr>
      <w:r>
        <w:rPr>
          <w:rStyle w:val="Appelnotedebasdep"/>
        </w:rPr>
        <w:footnoteRef/>
      </w:r>
      <w:r>
        <w:t xml:space="preserve"> </w:t>
      </w:r>
      <w:r>
        <w:tab/>
      </w:r>
      <w:r w:rsidR="003641BB">
        <w:t>A</w:t>
      </w:r>
      <w:r w:rsidR="003641BB" w:rsidRPr="004A7821">
        <w:t>pplication</w:t>
      </w:r>
      <w:r w:rsidR="003641BB">
        <w:t xml:space="preserve"> a</w:t>
      </w:r>
      <w:r w:rsidR="003641BB" w:rsidRPr="003641BB">
        <w:t>t para</w:t>
      </w:r>
      <w:r>
        <w:t xml:space="preserve"> 10.73.5 </w:t>
      </w:r>
      <w:r w:rsidRPr="003641BB">
        <w:rPr>
          <w:i/>
          <w:iCs/>
        </w:rPr>
        <w:t>et s</w:t>
      </w:r>
      <w:r w:rsidR="003641BB" w:rsidRPr="003641BB">
        <w:rPr>
          <w:i/>
          <w:iCs/>
        </w:rPr>
        <w:t>eq</w:t>
      </w:r>
      <w:r w:rsidR="003641BB">
        <w:t>.</w:t>
      </w:r>
    </w:p>
  </w:footnote>
  <w:footnote w:id="70">
    <w:p w14:paraId="4301DEA2" w14:textId="77777777" w:rsidR="00F24107" w:rsidRPr="00CE2A8E" w:rsidRDefault="00573CA9" w:rsidP="00F24107">
      <w:pPr>
        <w:pStyle w:val="Notedebasdepage"/>
        <w:rPr>
          <w:lang w:val="en-CA"/>
        </w:rPr>
      </w:pPr>
      <w:r>
        <w:rPr>
          <w:rStyle w:val="Appelnotedebasdep"/>
        </w:rPr>
        <w:footnoteRef/>
      </w:r>
      <w:r w:rsidRPr="00CE2A8E">
        <w:rPr>
          <w:lang w:val="en-CA"/>
        </w:rPr>
        <w:t xml:space="preserve"> </w:t>
      </w:r>
      <w:r w:rsidRPr="00CE2A8E">
        <w:rPr>
          <w:lang w:val="en-CA"/>
        </w:rPr>
        <w:tab/>
      </w:r>
      <w:r w:rsidRPr="00CE2A8E">
        <w:rPr>
          <w:i/>
          <w:iCs/>
          <w:lang w:val="en-CA"/>
        </w:rPr>
        <w:t>I</w:t>
      </w:r>
      <w:r w:rsidR="003641BB" w:rsidRPr="00CE2A8E">
        <w:rPr>
          <w:i/>
          <w:iCs/>
          <w:lang w:val="en-CA"/>
        </w:rPr>
        <w:t>bi</w:t>
      </w:r>
      <w:r w:rsidRPr="00CE2A8E">
        <w:rPr>
          <w:i/>
          <w:iCs/>
          <w:lang w:val="en-CA"/>
        </w:rPr>
        <w:t xml:space="preserve">d. </w:t>
      </w:r>
      <w:r w:rsidR="003641BB" w:rsidRPr="00CE2A8E">
        <w:rPr>
          <w:lang w:val="en-CA"/>
        </w:rPr>
        <w:t xml:space="preserve">and </w:t>
      </w:r>
      <w:r w:rsidRPr="00CE2A8E">
        <w:rPr>
          <w:lang w:val="en-CA"/>
        </w:rPr>
        <w:t>par</w:t>
      </w:r>
      <w:r w:rsidR="002D3335" w:rsidRPr="00CE2A8E">
        <w:rPr>
          <w:lang w:val="en-CA"/>
        </w:rPr>
        <w:t>a</w:t>
      </w:r>
      <w:r w:rsidRPr="00CE2A8E">
        <w:rPr>
          <w:lang w:val="en-CA"/>
        </w:rPr>
        <w:t xml:space="preserve">.10.73.7 </w:t>
      </w:r>
      <w:r w:rsidRPr="00CE2A8E">
        <w:rPr>
          <w:i/>
          <w:iCs/>
          <w:lang w:val="en-CA"/>
        </w:rPr>
        <w:t>et s</w:t>
      </w:r>
      <w:r w:rsidR="003641BB" w:rsidRPr="00CE2A8E">
        <w:rPr>
          <w:i/>
          <w:iCs/>
          <w:lang w:val="en-CA"/>
        </w:rPr>
        <w:t>eq</w:t>
      </w:r>
      <w:r w:rsidRPr="00CE2A8E">
        <w:rPr>
          <w:lang w:val="en-CA"/>
        </w:rPr>
        <w:t>.</w:t>
      </w:r>
    </w:p>
  </w:footnote>
  <w:footnote w:id="71">
    <w:p w14:paraId="39C6BD8D" w14:textId="77777777" w:rsidR="00206783" w:rsidRPr="00CE2A8E" w:rsidRDefault="00573CA9" w:rsidP="00206783">
      <w:pPr>
        <w:pStyle w:val="Notedebasdepage"/>
        <w:rPr>
          <w:lang w:val="en-CA"/>
        </w:rPr>
      </w:pPr>
      <w:r>
        <w:rPr>
          <w:rStyle w:val="Appelnotedebasdep"/>
        </w:rPr>
        <w:footnoteRef/>
      </w:r>
      <w:r w:rsidR="00131421" w:rsidRPr="00CE2A8E">
        <w:rPr>
          <w:lang w:val="en-CA"/>
        </w:rPr>
        <w:t xml:space="preserve"> </w:t>
      </w:r>
      <w:r w:rsidR="00131421" w:rsidRPr="00CE2A8E">
        <w:rPr>
          <w:lang w:val="en-CA"/>
        </w:rPr>
        <w:tab/>
        <w:t>2021 QCCA 682.</w:t>
      </w:r>
    </w:p>
  </w:footnote>
  <w:footnote w:id="72">
    <w:p w14:paraId="1862A138" w14:textId="77777777" w:rsidR="00206783" w:rsidRPr="00CE2A8E" w:rsidRDefault="00573CA9" w:rsidP="00206783">
      <w:pPr>
        <w:pStyle w:val="Notedebasdepage"/>
        <w:rPr>
          <w:lang w:val="en-CA"/>
        </w:rPr>
      </w:pPr>
      <w:r>
        <w:rPr>
          <w:rStyle w:val="Appelnotedebasdep"/>
        </w:rPr>
        <w:footnoteRef/>
      </w:r>
      <w:r w:rsidR="00131421" w:rsidRPr="00CE2A8E">
        <w:rPr>
          <w:lang w:val="en-CA"/>
        </w:rPr>
        <w:t xml:space="preserve"> </w:t>
      </w:r>
      <w:r w:rsidR="003641BB" w:rsidRPr="00CE2A8E">
        <w:rPr>
          <w:lang w:val="en-CA"/>
        </w:rPr>
        <w:t xml:space="preserve">  </w:t>
      </w:r>
      <w:r w:rsidR="0077349A" w:rsidRPr="00CE2A8E">
        <w:rPr>
          <w:lang w:val="en-CA"/>
        </w:rPr>
        <w:t xml:space="preserve"> </w:t>
      </w:r>
      <w:r w:rsidR="00971875" w:rsidRPr="00CE2A8E">
        <w:rPr>
          <w:i/>
          <w:iCs/>
          <w:lang w:val="en-CA"/>
        </w:rPr>
        <w:t>Ibid</w:t>
      </w:r>
      <w:r w:rsidR="00971875" w:rsidRPr="00CE2A8E">
        <w:rPr>
          <w:iCs/>
          <w:lang w:val="en-CA"/>
        </w:rPr>
        <w:t>.</w:t>
      </w:r>
    </w:p>
  </w:footnote>
  <w:footnote w:id="73">
    <w:p w14:paraId="1ACF9067" w14:textId="77777777" w:rsidR="0074253C" w:rsidRPr="00CE2A8E" w:rsidRDefault="00573CA9">
      <w:pPr>
        <w:pStyle w:val="Notedebasdepage"/>
        <w:rPr>
          <w:lang w:val="en-CA"/>
        </w:rPr>
      </w:pPr>
      <w:r>
        <w:rPr>
          <w:rStyle w:val="Appelnotedebasdep"/>
        </w:rPr>
        <w:footnoteRef/>
      </w:r>
      <w:r w:rsidRPr="00CE2A8E">
        <w:rPr>
          <w:lang w:val="en-CA"/>
        </w:rPr>
        <w:t xml:space="preserve">   </w:t>
      </w:r>
      <w:r w:rsidR="0077349A" w:rsidRPr="00CE2A8E">
        <w:rPr>
          <w:lang w:val="en-CA"/>
        </w:rPr>
        <w:t xml:space="preserve"> </w:t>
      </w:r>
      <w:r w:rsidRPr="00CE2A8E">
        <w:rPr>
          <w:i/>
          <w:iCs/>
          <w:lang w:val="en-CA"/>
        </w:rPr>
        <w:t>Zucherman</w:t>
      </w:r>
      <w:r w:rsidR="003641BB" w:rsidRPr="00CE2A8E">
        <w:rPr>
          <w:i/>
          <w:iCs/>
          <w:lang w:val="en-CA"/>
        </w:rPr>
        <w:t xml:space="preserve"> c</w:t>
      </w:r>
      <w:r w:rsidRPr="00CE2A8E">
        <w:rPr>
          <w:lang w:val="en-CA"/>
        </w:rPr>
        <w:t xml:space="preserve">. </w:t>
      </w:r>
      <w:r w:rsidRPr="00CE2A8E">
        <w:rPr>
          <w:i/>
          <w:iCs/>
          <w:lang w:val="en-CA"/>
        </w:rPr>
        <w:t>MGM Resorts International</w:t>
      </w:r>
      <w:r w:rsidRPr="00CE2A8E">
        <w:rPr>
          <w:lang w:val="en-CA"/>
        </w:rPr>
        <w:t>, 2022 QCCS 2914.</w:t>
      </w:r>
    </w:p>
  </w:footnote>
  <w:footnote w:id="74">
    <w:p w14:paraId="27E37598" w14:textId="77777777" w:rsidR="008478D0" w:rsidRPr="00CE2A8E" w:rsidRDefault="00573CA9" w:rsidP="00684C29">
      <w:pPr>
        <w:pStyle w:val="Notedebasdepage"/>
        <w:rPr>
          <w:lang w:val="en-CA"/>
        </w:rPr>
      </w:pPr>
      <w:r w:rsidRPr="00213DA1">
        <w:rPr>
          <w:rStyle w:val="Appelnotedebasdep"/>
          <w:sz w:val="18"/>
          <w:szCs w:val="18"/>
        </w:rPr>
        <w:footnoteRef/>
      </w:r>
      <w:r w:rsidR="0034347A" w:rsidRPr="00CE2A8E">
        <w:rPr>
          <w:sz w:val="18"/>
          <w:szCs w:val="18"/>
          <w:lang w:val="en-CA"/>
        </w:rPr>
        <w:t xml:space="preserve">    </w:t>
      </w:r>
      <w:r w:rsidR="005A3FAF" w:rsidRPr="00CE2A8E">
        <w:rPr>
          <w:i/>
          <w:iCs/>
          <w:lang w:val="en-CA"/>
        </w:rPr>
        <w:t xml:space="preserve">Supra </w:t>
      </w:r>
      <w:r w:rsidR="0034347A" w:rsidRPr="00CE2A8E">
        <w:rPr>
          <w:lang w:val="en-CA"/>
        </w:rPr>
        <w:t>note 24.</w:t>
      </w:r>
    </w:p>
  </w:footnote>
  <w:footnote w:id="75">
    <w:p w14:paraId="5C230835" w14:textId="77777777" w:rsidR="00013A99" w:rsidRPr="00CE2A8E" w:rsidRDefault="00573CA9" w:rsidP="00BD01E0">
      <w:pPr>
        <w:pStyle w:val="Citationenretrait"/>
        <w:spacing w:before="0" w:after="0"/>
        <w:ind w:left="0"/>
        <w:rPr>
          <w:sz w:val="18"/>
          <w:szCs w:val="18"/>
          <w:lang w:val="en-CA"/>
        </w:rPr>
      </w:pPr>
      <w:r w:rsidRPr="00213DA1">
        <w:rPr>
          <w:rStyle w:val="Appelnotedebasdep"/>
          <w:sz w:val="18"/>
          <w:szCs w:val="18"/>
        </w:rPr>
        <w:footnoteRef/>
      </w:r>
      <w:r w:rsidRPr="00CE2A8E">
        <w:rPr>
          <w:sz w:val="18"/>
          <w:szCs w:val="18"/>
          <w:lang w:val="en-CA"/>
        </w:rPr>
        <w:t xml:space="preserve">    </w:t>
      </w:r>
      <w:r w:rsidR="00971875" w:rsidRPr="00CE2A8E">
        <w:rPr>
          <w:i/>
          <w:iCs/>
          <w:sz w:val="20"/>
          <w:lang w:val="en-CA"/>
        </w:rPr>
        <w:t>Ibid</w:t>
      </w:r>
      <w:r w:rsidR="00971875" w:rsidRPr="00CE2A8E">
        <w:rPr>
          <w:iCs/>
          <w:sz w:val="20"/>
          <w:lang w:val="en-CA"/>
        </w:rPr>
        <w:t>.</w:t>
      </w:r>
    </w:p>
  </w:footnote>
  <w:footnote w:id="76">
    <w:p w14:paraId="46FEB7BD" w14:textId="77777777" w:rsidR="00013A99" w:rsidRPr="00CE2A8E" w:rsidRDefault="00573CA9" w:rsidP="00213DA1">
      <w:pPr>
        <w:pStyle w:val="Notedebasdepage"/>
        <w:ind w:left="426" w:hanging="426"/>
        <w:rPr>
          <w:sz w:val="18"/>
          <w:szCs w:val="18"/>
          <w:lang w:val="en-CA"/>
        </w:rPr>
      </w:pPr>
      <w:r w:rsidRPr="00213DA1">
        <w:rPr>
          <w:rStyle w:val="Appelnotedebasdep"/>
          <w:sz w:val="18"/>
          <w:szCs w:val="18"/>
        </w:rPr>
        <w:footnoteRef/>
      </w:r>
      <w:r w:rsidRPr="00CE2A8E">
        <w:rPr>
          <w:sz w:val="18"/>
          <w:szCs w:val="18"/>
          <w:lang w:val="en-CA"/>
        </w:rPr>
        <w:t xml:space="preserve">  </w:t>
      </w:r>
      <w:r w:rsidR="0016632B" w:rsidRPr="00CE2A8E">
        <w:rPr>
          <w:sz w:val="18"/>
          <w:szCs w:val="18"/>
          <w:lang w:val="en-CA"/>
        </w:rPr>
        <w:t xml:space="preserve"> </w:t>
      </w:r>
      <w:r w:rsidR="00971875" w:rsidRPr="00CE2A8E">
        <w:rPr>
          <w:i/>
          <w:iCs/>
          <w:lang w:val="en-CA"/>
        </w:rPr>
        <w:t>Ibid</w:t>
      </w:r>
      <w:r w:rsidR="00971875" w:rsidRPr="00CE2A8E">
        <w:rPr>
          <w:iCs/>
          <w:lang w:val="en-CA"/>
        </w:rPr>
        <w:t>.</w:t>
      </w:r>
      <w:r w:rsidR="00213DA1" w:rsidRPr="00CE2A8E">
        <w:rPr>
          <w:i/>
          <w:iCs/>
          <w:sz w:val="18"/>
          <w:szCs w:val="18"/>
          <w:lang w:val="en-CA"/>
        </w:rPr>
        <w:t xml:space="preserve"> </w:t>
      </w:r>
    </w:p>
  </w:footnote>
  <w:footnote w:id="77">
    <w:p w14:paraId="34DBA960" w14:textId="77777777" w:rsidR="00013A99" w:rsidRPr="00CE2A8E" w:rsidRDefault="00573CA9">
      <w:pPr>
        <w:pStyle w:val="Notedebasdepage"/>
        <w:rPr>
          <w:lang w:val="en-CA"/>
        </w:rPr>
      </w:pPr>
      <w:r>
        <w:rPr>
          <w:rStyle w:val="Appelnotedebasdep"/>
        </w:rPr>
        <w:footnoteRef/>
      </w:r>
      <w:r w:rsidR="0076565A" w:rsidRPr="00CE2A8E">
        <w:rPr>
          <w:lang w:val="en-CA"/>
        </w:rPr>
        <w:t xml:space="preserve">  </w:t>
      </w:r>
      <w:r w:rsidR="005A3FAF" w:rsidRPr="00CE2A8E">
        <w:rPr>
          <w:i/>
          <w:iCs/>
          <w:lang w:val="en-CA"/>
        </w:rPr>
        <w:t xml:space="preserve">Supra </w:t>
      </w:r>
      <w:r w:rsidR="0076565A" w:rsidRPr="00CE2A8E">
        <w:rPr>
          <w:lang w:val="en-CA"/>
        </w:rPr>
        <w:t>note 25.</w:t>
      </w:r>
    </w:p>
  </w:footnote>
  <w:footnote w:id="78">
    <w:p w14:paraId="69FD87F0" w14:textId="77777777" w:rsidR="00821C0A" w:rsidRPr="004F1204" w:rsidRDefault="00573CA9">
      <w:pPr>
        <w:pStyle w:val="Notedebasdepage"/>
      </w:pPr>
      <w:r>
        <w:rPr>
          <w:rStyle w:val="Appelnotedebasdep"/>
        </w:rPr>
        <w:footnoteRef/>
      </w:r>
      <w:r w:rsidR="005C4531" w:rsidRPr="004F1204">
        <w:t xml:space="preserve">  </w:t>
      </w:r>
      <w:r w:rsidRPr="004A7821">
        <w:rPr>
          <w:i/>
          <w:iCs/>
        </w:rPr>
        <w:t>Zucherman</w:t>
      </w:r>
      <w:r w:rsidR="005A3FAF" w:rsidRPr="004A7821">
        <w:rPr>
          <w:i/>
          <w:iCs/>
        </w:rPr>
        <w:t xml:space="preserve"> c</w:t>
      </w:r>
      <w:r w:rsidRPr="004A7821">
        <w:t xml:space="preserve">. </w:t>
      </w:r>
      <w:r w:rsidRPr="004A7821">
        <w:rPr>
          <w:i/>
          <w:iCs/>
        </w:rPr>
        <w:t>MGM Resorts International</w:t>
      </w:r>
      <w:r w:rsidRPr="004A7821">
        <w:t>, 2022 QCCS 2914.</w:t>
      </w:r>
    </w:p>
  </w:footnote>
  <w:footnote w:id="79">
    <w:p w14:paraId="3E54E7A4" w14:textId="77777777" w:rsidR="00783FAD" w:rsidRDefault="00573CA9" w:rsidP="00783FAD">
      <w:pPr>
        <w:pStyle w:val="Notedebasdepage"/>
      </w:pPr>
      <w:r>
        <w:rPr>
          <w:rStyle w:val="Appelnotedebasdep"/>
        </w:rPr>
        <w:footnoteRef/>
      </w:r>
      <w:r>
        <w:t xml:space="preserve"> </w:t>
      </w:r>
      <w:r>
        <w:tab/>
      </w:r>
      <w:r w:rsidR="005A3FAF">
        <w:t>Application at para</w:t>
      </w:r>
      <w:r w:rsidRPr="004A7821">
        <w:t>. 10.59.</w:t>
      </w:r>
    </w:p>
  </w:footnote>
  <w:footnote w:id="80">
    <w:p w14:paraId="5A47562B" w14:textId="77777777" w:rsidR="009820BB" w:rsidRPr="00821C0A" w:rsidRDefault="00573CA9">
      <w:pPr>
        <w:pStyle w:val="Notedebasdepage"/>
      </w:pPr>
      <w:r>
        <w:rPr>
          <w:rStyle w:val="Appelnotedebasdep"/>
        </w:rPr>
        <w:footnoteRef/>
      </w:r>
      <w:r w:rsidRPr="00821C0A">
        <w:t xml:space="preserve"> </w:t>
      </w:r>
      <w:r w:rsidRPr="00821C0A">
        <w:tab/>
      </w:r>
      <w:r w:rsidRPr="004A7821">
        <w:t>2012 S</w:t>
      </w:r>
      <w:r w:rsidR="00332E0A" w:rsidRPr="004A7821">
        <w:t>C</w:t>
      </w:r>
      <w:r w:rsidRPr="004A7821">
        <w:t>C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CD35" w14:textId="77777777" w:rsidR="004A7821" w:rsidRDefault="00573CA9">
    <w:pPr>
      <w:pStyle w:val="En-tte"/>
    </w:pPr>
    <w:r>
      <w:rPr>
        <w:noProof/>
      </w:rPr>
      <w:pict w14:anchorId="00C85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23376" o:spid="_x0000_s3073" type="#_x0000_t136" style="position:absolute;margin-left:0;margin-top:0;width:591.7pt;height:65.7pt;rotation:315;z-index:-251658752;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363E" w14:textId="77777777" w:rsidR="00121A72" w:rsidRDefault="00573CA9" w:rsidP="007C1346">
    <w:pPr>
      <w:tabs>
        <w:tab w:val="left" w:pos="3825"/>
        <w:tab w:val="center" w:pos="4709"/>
        <w:tab w:val="right" w:pos="9356"/>
      </w:tabs>
      <w:ind w:right="-29"/>
    </w:pPr>
    <w:r>
      <w:rPr>
        <w:noProof/>
      </w:rPr>
      <w:pict w14:anchorId="1FFD0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23377" o:spid="_x0000_s3074" type="#_x0000_t136" style="position:absolute;margin-left:0;margin-top:0;width:591.7pt;height:65.7pt;rotation:315;z-index:-251657728;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r w:rsidR="00940EDA" w:rsidRPr="004A7821">
      <w:t>S</w:t>
    </w:r>
    <w:r w:rsidR="00971875" w:rsidRPr="004A7821">
      <w:t>up. Ct</w:t>
    </w:r>
    <w:r w:rsidR="00940EDA" w:rsidRPr="004A7821">
      <w:t>.</w:t>
    </w:r>
    <w:r w:rsidR="00940EDA">
      <w:t xml:space="preserve"> 500-06-001010-194</w:t>
    </w:r>
    <w:r w:rsidR="00940EDA">
      <w:tab/>
    </w:r>
    <w:r w:rsidR="00940EDA">
      <w:tab/>
    </w:r>
    <w:r w:rsidR="00940EDA">
      <w:tab/>
    </w:r>
    <w:r w:rsidR="00940EDA" w:rsidRPr="004A7821">
      <w:t>PAGE:</w:t>
    </w:r>
    <w:r w:rsidR="00940EDA">
      <w:t xml:space="preserve"> </w:t>
    </w:r>
    <w:r w:rsidR="00940EDA">
      <w:fldChar w:fldCharType="begin"/>
    </w:r>
    <w:r w:rsidR="00940EDA">
      <w:instrText xml:space="preserve"> PAGE </w:instrText>
    </w:r>
    <w:r w:rsidR="00940EDA">
      <w:fldChar w:fldCharType="separate"/>
    </w:r>
    <w:r w:rsidR="00940EDA">
      <w:t>50</w:t>
    </w:r>
    <w:r w:rsidR="00940EDA">
      <w:fldChar w:fldCharType="end"/>
    </w:r>
  </w:p>
  <w:p w14:paraId="40A8CAD4" w14:textId="77777777" w:rsidR="00121A72" w:rsidRDefault="00121A72">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B987" w14:textId="77777777" w:rsidR="004A7821" w:rsidRDefault="00573CA9">
    <w:pPr>
      <w:pStyle w:val="En-tte"/>
    </w:pPr>
    <w:r>
      <w:rPr>
        <w:noProof/>
      </w:rPr>
      <w:pict w14:anchorId="48DF4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23375" o:spid="_x0000_s3075" type="#_x0000_t136" style="position:absolute;margin-left:0;margin-top:0;width:591.7pt;height:65.7pt;rotation:315;z-index:-251659776;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F8B83"/>
    <w:multiLevelType w:val="hybridMultilevel"/>
    <w:tmpl w:val="FFFFFFFF"/>
    <w:lvl w:ilvl="0" w:tplc="C4EAB69A">
      <w:start w:val="1"/>
      <w:numFmt w:val="ideographDigital"/>
      <w:lvlText w:val=""/>
      <w:lvlJc w:val="left"/>
    </w:lvl>
    <w:lvl w:ilvl="1" w:tplc="B8422A02">
      <w:numFmt w:val="decimal"/>
      <w:lvlText w:val=""/>
      <w:lvlJc w:val="left"/>
    </w:lvl>
    <w:lvl w:ilvl="2" w:tplc="163425DE">
      <w:numFmt w:val="decimal"/>
      <w:lvlText w:val=""/>
      <w:lvlJc w:val="left"/>
    </w:lvl>
    <w:lvl w:ilvl="3" w:tplc="3A14A15C">
      <w:numFmt w:val="decimal"/>
      <w:lvlText w:val=""/>
      <w:lvlJc w:val="left"/>
    </w:lvl>
    <w:lvl w:ilvl="4" w:tplc="B6C65B1E">
      <w:numFmt w:val="decimal"/>
      <w:lvlText w:val=""/>
      <w:lvlJc w:val="left"/>
    </w:lvl>
    <w:lvl w:ilvl="5" w:tplc="272C160C">
      <w:numFmt w:val="decimal"/>
      <w:lvlText w:val=""/>
      <w:lvlJc w:val="left"/>
    </w:lvl>
    <w:lvl w:ilvl="6" w:tplc="3462E11C">
      <w:numFmt w:val="decimal"/>
      <w:lvlText w:val=""/>
      <w:lvlJc w:val="left"/>
    </w:lvl>
    <w:lvl w:ilvl="7" w:tplc="8E7A6426">
      <w:numFmt w:val="decimal"/>
      <w:lvlText w:val=""/>
      <w:lvlJc w:val="left"/>
    </w:lvl>
    <w:lvl w:ilvl="8" w:tplc="67606BC0">
      <w:numFmt w:val="decimal"/>
      <w:lvlText w:val=""/>
      <w:lvlJc w:val="left"/>
    </w:lvl>
  </w:abstractNum>
  <w:abstractNum w:abstractNumId="1" w15:restartNumberingAfterBreak="0">
    <w:nsid w:val="A2BE8A69"/>
    <w:multiLevelType w:val="hybridMultilevel"/>
    <w:tmpl w:val="FFFFFFFF"/>
    <w:lvl w:ilvl="0" w:tplc="C5747324">
      <w:start w:val="1"/>
      <w:numFmt w:val="ideographDigital"/>
      <w:lvlText w:val=""/>
      <w:lvlJc w:val="left"/>
    </w:lvl>
    <w:lvl w:ilvl="1" w:tplc="C06C7FB6">
      <w:numFmt w:val="decimal"/>
      <w:lvlText w:val=""/>
      <w:lvlJc w:val="left"/>
    </w:lvl>
    <w:lvl w:ilvl="2" w:tplc="E4203F20">
      <w:numFmt w:val="decimal"/>
      <w:lvlText w:val=""/>
      <w:lvlJc w:val="left"/>
    </w:lvl>
    <w:lvl w:ilvl="3" w:tplc="1B70E8F6">
      <w:numFmt w:val="decimal"/>
      <w:lvlText w:val=""/>
      <w:lvlJc w:val="left"/>
    </w:lvl>
    <w:lvl w:ilvl="4" w:tplc="C3843F58">
      <w:numFmt w:val="decimal"/>
      <w:lvlText w:val=""/>
      <w:lvlJc w:val="left"/>
    </w:lvl>
    <w:lvl w:ilvl="5" w:tplc="7C32108C">
      <w:numFmt w:val="decimal"/>
      <w:lvlText w:val=""/>
      <w:lvlJc w:val="left"/>
    </w:lvl>
    <w:lvl w:ilvl="6" w:tplc="15908414">
      <w:numFmt w:val="decimal"/>
      <w:lvlText w:val=""/>
      <w:lvlJc w:val="left"/>
    </w:lvl>
    <w:lvl w:ilvl="7" w:tplc="61A09D8E">
      <w:numFmt w:val="decimal"/>
      <w:lvlText w:val=""/>
      <w:lvlJc w:val="left"/>
    </w:lvl>
    <w:lvl w:ilvl="8" w:tplc="FA669E16">
      <w:numFmt w:val="decimal"/>
      <w:lvlText w:val=""/>
      <w:lvlJc w:val="left"/>
    </w:lvl>
  </w:abstractNum>
  <w:abstractNum w:abstractNumId="2" w15:restartNumberingAfterBreak="0">
    <w:nsid w:val="CB845345"/>
    <w:multiLevelType w:val="hybridMultilevel"/>
    <w:tmpl w:val="FFFFFFFF"/>
    <w:lvl w:ilvl="0" w:tplc="DE089C2C">
      <w:start w:val="1"/>
      <w:numFmt w:val="ideographDigital"/>
      <w:lvlText w:val=""/>
      <w:lvlJc w:val="left"/>
    </w:lvl>
    <w:lvl w:ilvl="1" w:tplc="DCE8637C">
      <w:numFmt w:val="decimal"/>
      <w:lvlText w:val=""/>
      <w:lvlJc w:val="left"/>
    </w:lvl>
    <w:lvl w:ilvl="2" w:tplc="E36C6C46">
      <w:numFmt w:val="decimal"/>
      <w:lvlText w:val=""/>
      <w:lvlJc w:val="left"/>
    </w:lvl>
    <w:lvl w:ilvl="3" w:tplc="31920BA8">
      <w:numFmt w:val="decimal"/>
      <w:lvlText w:val=""/>
      <w:lvlJc w:val="left"/>
    </w:lvl>
    <w:lvl w:ilvl="4" w:tplc="A60E19E4">
      <w:numFmt w:val="decimal"/>
      <w:lvlText w:val=""/>
      <w:lvlJc w:val="left"/>
    </w:lvl>
    <w:lvl w:ilvl="5" w:tplc="AFCA75F8">
      <w:numFmt w:val="decimal"/>
      <w:lvlText w:val=""/>
      <w:lvlJc w:val="left"/>
    </w:lvl>
    <w:lvl w:ilvl="6" w:tplc="32CAC1BE">
      <w:numFmt w:val="decimal"/>
      <w:lvlText w:val=""/>
      <w:lvlJc w:val="left"/>
    </w:lvl>
    <w:lvl w:ilvl="7" w:tplc="13A06070">
      <w:numFmt w:val="decimal"/>
      <w:lvlText w:val=""/>
      <w:lvlJc w:val="left"/>
    </w:lvl>
    <w:lvl w:ilvl="8" w:tplc="112C38A2">
      <w:numFmt w:val="decimal"/>
      <w:lvlText w:val=""/>
      <w:lvlJc w:val="left"/>
    </w:lvl>
  </w:abstractNum>
  <w:abstractNum w:abstractNumId="3" w15:restartNumberingAfterBreak="0">
    <w:nsid w:val="DFFED68A"/>
    <w:multiLevelType w:val="hybridMultilevel"/>
    <w:tmpl w:val="FFFFFFFF"/>
    <w:lvl w:ilvl="0" w:tplc="65AA80D2">
      <w:start w:val="1"/>
      <w:numFmt w:val="ideographDigital"/>
      <w:lvlText w:val=""/>
      <w:lvlJc w:val="left"/>
    </w:lvl>
    <w:lvl w:ilvl="1" w:tplc="723E1D9C">
      <w:numFmt w:val="decimal"/>
      <w:lvlText w:val=""/>
      <w:lvlJc w:val="left"/>
    </w:lvl>
    <w:lvl w:ilvl="2" w:tplc="68642176">
      <w:numFmt w:val="decimal"/>
      <w:lvlText w:val=""/>
      <w:lvlJc w:val="left"/>
    </w:lvl>
    <w:lvl w:ilvl="3" w:tplc="36FE1E1C">
      <w:numFmt w:val="decimal"/>
      <w:lvlText w:val=""/>
      <w:lvlJc w:val="left"/>
    </w:lvl>
    <w:lvl w:ilvl="4" w:tplc="79009822">
      <w:numFmt w:val="decimal"/>
      <w:lvlText w:val=""/>
      <w:lvlJc w:val="left"/>
    </w:lvl>
    <w:lvl w:ilvl="5" w:tplc="BB843DE0">
      <w:numFmt w:val="decimal"/>
      <w:lvlText w:val=""/>
      <w:lvlJc w:val="left"/>
    </w:lvl>
    <w:lvl w:ilvl="6" w:tplc="1D5233A8">
      <w:numFmt w:val="decimal"/>
      <w:lvlText w:val=""/>
      <w:lvlJc w:val="left"/>
    </w:lvl>
    <w:lvl w:ilvl="7" w:tplc="32101444">
      <w:numFmt w:val="decimal"/>
      <w:lvlText w:val=""/>
      <w:lvlJc w:val="left"/>
    </w:lvl>
    <w:lvl w:ilvl="8" w:tplc="ECE21C7C">
      <w:numFmt w:val="decimal"/>
      <w:lvlText w:val=""/>
      <w:lvlJc w:val="left"/>
    </w:lvl>
  </w:abstractNum>
  <w:abstractNum w:abstractNumId="4" w15:restartNumberingAfterBreak="0">
    <w:nsid w:val="F911BC87"/>
    <w:multiLevelType w:val="hybridMultilevel"/>
    <w:tmpl w:val="FFFFFFFF"/>
    <w:lvl w:ilvl="0" w:tplc="11EA8E9E">
      <w:start w:val="1"/>
      <w:numFmt w:val="ideographDigital"/>
      <w:lvlText w:val=""/>
      <w:lvlJc w:val="left"/>
    </w:lvl>
    <w:lvl w:ilvl="1" w:tplc="E940DF6C">
      <w:numFmt w:val="decimal"/>
      <w:lvlText w:val=""/>
      <w:lvlJc w:val="left"/>
    </w:lvl>
    <w:lvl w:ilvl="2" w:tplc="C9EE3F74">
      <w:numFmt w:val="decimal"/>
      <w:lvlText w:val=""/>
      <w:lvlJc w:val="left"/>
    </w:lvl>
    <w:lvl w:ilvl="3" w:tplc="C4B04946">
      <w:numFmt w:val="decimal"/>
      <w:lvlText w:val=""/>
      <w:lvlJc w:val="left"/>
    </w:lvl>
    <w:lvl w:ilvl="4" w:tplc="4F0E65A4">
      <w:numFmt w:val="decimal"/>
      <w:lvlText w:val=""/>
      <w:lvlJc w:val="left"/>
    </w:lvl>
    <w:lvl w:ilvl="5" w:tplc="B0D8CF48">
      <w:numFmt w:val="decimal"/>
      <w:lvlText w:val=""/>
      <w:lvlJc w:val="left"/>
    </w:lvl>
    <w:lvl w:ilvl="6" w:tplc="B8180174">
      <w:numFmt w:val="decimal"/>
      <w:lvlText w:val=""/>
      <w:lvlJc w:val="left"/>
    </w:lvl>
    <w:lvl w:ilvl="7" w:tplc="1024A3A4">
      <w:numFmt w:val="decimal"/>
      <w:lvlText w:val=""/>
      <w:lvlJc w:val="left"/>
    </w:lvl>
    <w:lvl w:ilvl="8" w:tplc="69741FA4">
      <w:numFmt w:val="decimal"/>
      <w:lvlText w:val=""/>
      <w:lvlJc w:val="left"/>
    </w:lvl>
  </w:abstractNum>
  <w:abstractNum w:abstractNumId="5" w15:restartNumberingAfterBreak="0">
    <w:nsid w:val="06395070"/>
    <w:multiLevelType w:val="hybridMultilevel"/>
    <w:tmpl w:val="FFFFFFFF"/>
    <w:lvl w:ilvl="0" w:tplc="E37EE42A">
      <w:start w:val="1"/>
      <w:numFmt w:val="ideographDigital"/>
      <w:lvlText w:val=""/>
      <w:lvlJc w:val="left"/>
    </w:lvl>
    <w:lvl w:ilvl="1" w:tplc="B0F89BE4">
      <w:numFmt w:val="decimal"/>
      <w:lvlText w:val=""/>
      <w:lvlJc w:val="left"/>
    </w:lvl>
    <w:lvl w:ilvl="2" w:tplc="F424AB52">
      <w:numFmt w:val="decimal"/>
      <w:lvlText w:val=""/>
      <w:lvlJc w:val="left"/>
    </w:lvl>
    <w:lvl w:ilvl="3" w:tplc="1CB4994C">
      <w:numFmt w:val="decimal"/>
      <w:lvlText w:val=""/>
      <w:lvlJc w:val="left"/>
    </w:lvl>
    <w:lvl w:ilvl="4" w:tplc="A52623AC">
      <w:numFmt w:val="decimal"/>
      <w:lvlText w:val=""/>
      <w:lvlJc w:val="left"/>
    </w:lvl>
    <w:lvl w:ilvl="5" w:tplc="CDD043F8">
      <w:numFmt w:val="decimal"/>
      <w:lvlText w:val=""/>
      <w:lvlJc w:val="left"/>
    </w:lvl>
    <w:lvl w:ilvl="6" w:tplc="D054BB18">
      <w:numFmt w:val="decimal"/>
      <w:lvlText w:val=""/>
      <w:lvlJc w:val="left"/>
    </w:lvl>
    <w:lvl w:ilvl="7" w:tplc="07849228">
      <w:numFmt w:val="decimal"/>
      <w:lvlText w:val=""/>
      <w:lvlJc w:val="left"/>
    </w:lvl>
    <w:lvl w:ilvl="8" w:tplc="7F66DB68">
      <w:numFmt w:val="decimal"/>
      <w:lvlText w:val=""/>
      <w:lvlJc w:val="left"/>
    </w:lvl>
  </w:abstractNum>
  <w:abstractNum w:abstractNumId="6" w15:restartNumberingAfterBreak="0">
    <w:nsid w:val="120B5A5F"/>
    <w:multiLevelType w:val="hybridMultilevel"/>
    <w:tmpl w:val="D6D43F5C"/>
    <w:lvl w:ilvl="0" w:tplc="30AE118E">
      <w:start w:val="1"/>
      <w:numFmt w:val="upperRoman"/>
      <w:pStyle w:val="Titre2"/>
      <w:lvlText w:val="%1."/>
      <w:lvlJc w:val="left"/>
      <w:pPr>
        <w:ind w:left="1713" w:hanging="720"/>
      </w:pPr>
      <w:rPr>
        <w:rFonts w:hint="default"/>
        <w:i w:val="0"/>
        <w:iCs w:val="0"/>
      </w:rPr>
    </w:lvl>
    <w:lvl w:ilvl="1" w:tplc="FB78E174" w:tentative="1">
      <w:start w:val="1"/>
      <w:numFmt w:val="lowerLetter"/>
      <w:lvlText w:val="%2."/>
      <w:lvlJc w:val="left"/>
      <w:pPr>
        <w:ind w:left="1811" w:hanging="360"/>
      </w:pPr>
    </w:lvl>
    <w:lvl w:ilvl="2" w:tplc="CC209566" w:tentative="1">
      <w:start w:val="1"/>
      <w:numFmt w:val="lowerRoman"/>
      <w:lvlText w:val="%3."/>
      <w:lvlJc w:val="right"/>
      <w:pPr>
        <w:ind w:left="2531" w:hanging="180"/>
      </w:pPr>
    </w:lvl>
    <w:lvl w:ilvl="3" w:tplc="D5E090AA" w:tentative="1">
      <w:start w:val="1"/>
      <w:numFmt w:val="decimal"/>
      <w:lvlText w:val="%4."/>
      <w:lvlJc w:val="left"/>
      <w:pPr>
        <w:ind w:left="3251" w:hanging="360"/>
      </w:pPr>
    </w:lvl>
    <w:lvl w:ilvl="4" w:tplc="3594F3F6" w:tentative="1">
      <w:start w:val="1"/>
      <w:numFmt w:val="lowerLetter"/>
      <w:lvlText w:val="%5."/>
      <w:lvlJc w:val="left"/>
      <w:pPr>
        <w:ind w:left="3971" w:hanging="360"/>
      </w:pPr>
    </w:lvl>
    <w:lvl w:ilvl="5" w:tplc="EB70AA82" w:tentative="1">
      <w:start w:val="1"/>
      <w:numFmt w:val="lowerRoman"/>
      <w:lvlText w:val="%6."/>
      <w:lvlJc w:val="right"/>
      <w:pPr>
        <w:ind w:left="4691" w:hanging="180"/>
      </w:pPr>
    </w:lvl>
    <w:lvl w:ilvl="6" w:tplc="C5447DBC" w:tentative="1">
      <w:start w:val="1"/>
      <w:numFmt w:val="decimal"/>
      <w:lvlText w:val="%7."/>
      <w:lvlJc w:val="left"/>
      <w:pPr>
        <w:ind w:left="5411" w:hanging="360"/>
      </w:pPr>
    </w:lvl>
    <w:lvl w:ilvl="7" w:tplc="20A48330" w:tentative="1">
      <w:start w:val="1"/>
      <w:numFmt w:val="lowerLetter"/>
      <w:lvlText w:val="%8."/>
      <w:lvlJc w:val="left"/>
      <w:pPr>
        <w:ind w:left="6131" w:hanging="360"/>
      </w:pPr>
    </w:lvl>
    <w:lvl w:ilvl="8" w:tplc="5AE80EFC" w:tentative="1">
      <w:start w:val="1"/>
      <w:numFmt w:val="lowerRoman"/>
      <w:lvlText w:val="%9."/>
      <w:lvlJc w:val="right"/>
      <w:pPr>
        <w:ind w:left="6851" w:hanging="180"/>
      </w:pPr>
    </w:lvl>
  </w:abstractNum>
  <w:abstractNum w:abstractNumId="7" w15:restartNumberingAfterBreak="0">
    <w:nsid w:val="1A136F91"/>
    <w:multiLevelType w:val="multilevel"/>
    <w:tmpl w:val="A5E48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72710"/>
    <w:multiLevelType w:val="hybridMultilevel"/>
    <w:tmpl w:val="85186474"/>
    <w:lvl w:ilvl="0" w:tplc="CFDCAFA0">
      <w:start w:val="1"/>
      <w:numFmt w:val="decimal"/>
      <w:lvlText w:val="%1."/>
      <w:lvlJc w:val="left"/>
      <w:pPr>
        <w:ind w:left="720" w:hanging="360"/>
      </w:pPr>
      <w:rPr>
        <w:rFonts w:hint="default"/>
      </w:rPr>
    </w:lvl>
    <w:lvl w:ilvl="1" w:tplc="2B5E1D98" w:tentative="1">
      <w:start w:val="1"/>
      <w:numFmt w:val="lowerLetter"/>
      <w:lvlText w:val="%2."/>
      <w:lvlJc w:val="left"/>
      <w:pPr>
        <w:ind w:left="1440" w:hanging="360"/>
      </w:pPr>
    </w:lvl>
    <w:lvl w:ilvl="2" w:tplc="BCFE012A" w:tentative="1">
      <w:start w:val="1"/>
      <w:numFmt w:val="lowerRoman"/>
      <w:lvlText w:val="%3."/>
      <w:lvlJc w:val="right"/>
      <w:pPr>
        <w:ind w:left="2160" w:hanging="180"/>
      </w:pPr>
    </w:lvl>
    <w:lvl w:ilvl="3" w:tplc="E670EA1C" w:tentative="1">
      <w:start w:val="1"/>
      <w:numFmt w:val="decimal"/>
      <w:lvlText w:val="%4."/>
      <w:lvlJc w:val="left"/>
      <w:pPr>
        <w:ind w:left="2880" w:hanging="360"/>
      </w:pPr>
    </w:lvl>
    <w:lvl w:ilvl="4" w:tplc="BD74BFA4" w:tentative="1">
      <w:start w:val="1"/>
      <w:numFmt w:val="lowerLetter"/>
      <w:lvlText w:val="%5."/>
      <w:lvlJc w:val="left"/>
      <w:pPr>
        <w:ind w:left="3600" w:hanging="360"/>
      </w:pPr>
    </w:lvl>
    <w:lvl w:ilvl="5" w:tplc="6DB4F086" w:tentative="1">
      <w:start w:val="1"/>
      <w:numFmt w:val="lowerRoman"/>
      <w:lvlText w:val="%6."/>
      <w:lvlJc w:val="right"/>
      <w:pPr>
        <w:ind w:left="4320" w:hanging="180"/>
      </w:pPr>
    </w:lvl>
    <w:lvl w:ilvl="6" w:tplc="D154396A" w:tentative="1">
      <w:start w:val="1"/>
      <w:numFmt w:val="decimal"/>
      <w:lvlText w:val="%7."/>
      <w:lvlJc w:val="left"/>
      <w:pPr>
        <w:ind w:left="5040" w:hanging="360"/>
      </w:pPr>
    </w:lvl>
    <w:lvl w:ilvl="7" w:tplc="0A04B854" w:tentative="1">
      <w:start w:val="1"/>
      <w:numFmt w:val="lowerLetter"/>
      <w:lvlText w:val="%8."/>
      <w:lvlJc w:val="left"/>
      <w:pPr>
        <w:ind w:left="5760" w:hanging="360"/>
      </w:pPr>
    </w:lvl>
    <w:lvl w:ilvl="8" w:tplc="DE24C984" w:tentative="1">
      <w:start w:val="1"/>
      <w:numFmt w:val="lowerRoman"/>
      <w:lvlText w:val="%9."/>
      <w:lvlJc w:val="right"/>
      <w:pPr>
        <w:ind w:left="6480" w:hanging="180"/>
      </w:pPr>
    </w:lvl>
  </w:abstractNum>
  <w:abstractNum w:abstractNumId="9" w15:restartNumberingAfterBreak="0">
    <w:nsid w:val="1FF075C9"/>
    <w:multiLevelType w:val="hybridMultilevel"/>
    <w:tmpl w:val="F062821C"/>
    <w:lvl w:ilvl="0" w:tplc="3FF62742">
      <w:start w:val="1"/>
      <w:numFmt w:val="upperLetter"/>
      <w:lvlText w:val="(%1)"/>
      <w:lvlJc w:val="left"/>
      <w:pPr>
        <w:ind w:left="1211" w:hanging="360"/>
      </w:pPr>
      <w:rPr>
        <w:rFonts w:hint="default"/>
      </w:rPr>
    </w:lvl>
    <w:lvl w:ilvl="1" w:tplc="8C3A0048" w:tentative="1">
      <w:start w:val="1"/>
      <w:numFmt w:val="lowerLetter"/>
      <w:lvlText w:val="%2."/>
      <w:lvlJc w:val="left"/>
      <w:pPr>
        <w:ind w:left="1931" w:hanging="360"/>
      </w:pPr>
    </w:lvl>
    <w:lvl w:ilvl="2" w:tplc="1B04D074" w:tentative="1">
      <w:start w:val="1"/>
      <w:numFmt w:val="lowerRoman"/>
      <w:lvlText w:val="%3."/>
      <w:lvlJc w:val="right"/>
      <w:pPr>
        <w:ind w:left="2651" w:hanging="180"/>
      </w:pPr>
    </w:lvl>
    <w:lvl w:ilvl="3" w:tplc="97F655EE" w:tentative="1">
      <w:start w:val="1"/>
      <w:numFmt w:val="decimal"/>
      <w:lvlText w:val="%4."/>
      <w:lvlJc w:val="left"/>
      <w:pPr>
        <w:ind w:left="3371" w:hanging="360"/>
      </w:pPr>
    </w:lvl>
    <w:lvl w:ilvl="4" w:tplc="14B47DF8" w:tentative="1">
      <w:start w:val="1"/>
      <w:numFmt w:val="lowerLetter"/>
      <w:lvlText w:val="%5."/>
      <w:lvlJc w:val="left"/>
      <w:pPr>
        <w:ind w:left="4091" w:hanging="360"/>
      </w:pPr>
    </w:lvl>
    <w:lvl w:ilvl="5" w:tplc="FFA86C02" w:tentative="1">
      <w:start w:val="1"/>
      <w:numFmt w:val="lowerRoman"/>
      <w:lvlText w:val="%6."/>
      <w:lvlJc w:val="right"/>
      <w:pPr>
        <w:ind w:left="4811" w:hanging="180"/>
      </w:pPr>
    </w:lvl>
    <w:lvl w:ilvl="6" w:tplc="E7B217C8" w:tentative="1">
      <w:start w:val="1"/>
      <w:numFmt w:val="decimal"/>
      <w:lvlText w:val="%7."/>
      <w:lvlJc w:val="left"/>
      <w:pPr>
        <w:ind w:left="5531" w:hanging="360"/>
      </w:pPr>
    </w:lvl>
    <w:lvl w:ilvl="7" w:tplc="D7B83C82" w:tentative="1">
      <w:start w:val="1"/>
      <w:numFmt w:val="lowerLetter"/>
      <w:lvlText w:val="%8."/>
      <w:lvlJc w:val="left"/>
      <w:pPr>
        <w:ind w:left="6251" w:hanging="360"/>
      </w:pPr>
    </w:lvl>
    <w:lvl w:ilvl="8" w:tplc="9D08C9A2" w:tentative="1">
      <w:start w:val="1"/>
      <w:numFmt w:val="lowerRoman"/>
      <w:lvlText w:val="%9."/>
      <w:lvlJc w:val="right"/>
      <w:pPr>
        <w:ind w:left="6971" w:hanging="180"/>
      </w:pPr>
    </w:lvl>
  </w:abstractNum>
  <w:abstractNum w:abstractNumId="10" w15:restartNumberingAfterBreak="0">
    <w:nsid w:val="215B4C54"/>
    <w:multiLevelType w:val="multilevel"/>
    <w:tmpl w:val="EA44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11B71"/>
    <w:multiLevelType w:val="multilevel"/>
    <w:tmpl w:val="78E43A60"/>
    <w:name w:val="Style1"/>
    <w:styleLink w:val="Style1"/>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2" w15:restartNumberingAfterBreak="0">
    <w:nsid w:val="2ABB00AC"/>
    <w:multiLevelType w:val="multilevel"/>
    <w:tmpl w:val="B8565C9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pStyle w:val="Titre7"/>
      <w:lvlText w:val="%1.%2.%3.%4.%5.%6.%7"/>
      <w:lvlJc w:val="left"/>
      <w:pPr>
        <w:ind w:left="431" w:hanging="431"/>
      </w:pPr>
      <w:rPr>
        <w:rFonts w:hint="default"/>
      </w:rPr>
    </w:lvl>
    <w:lvl w:ilvl="7">
      <w:start w:val="1"/>
      <w:numFmt w:val="decimal"/>
      <w:pStyle w:val="Titre8"/>
      <w:lvlText w:val="%1.%2.%3.%4.%5.%6.%7.%8"/>
      <w:lvlJc w:val="left"/>
      <w:pPr>
        <w:ind w:left="431" w:hanging="431"/>
      </w:pPr>
      <w:rPr>
        <w:rFonts w:hint="default"/>
      </w:rPr>
    </w:lvl>
    <w:lvl w:ilvl="8">
      <w:start w:val="1"/>
      <w:numFmt w:val="decimal"/>
      <w:pStyle w:val="Titre9"/>
      <w:lvlText w:val="%1.%2.%3.%4.%5.%6.%7.%8.%9"/>
      <w:lvlJc w:val="left"/>
      <w:pPr>
        <w:ind w:left="431" w:hanging="431"/>
      </w:pPr>
      <w:rPr>
        <w:rFonts w:hint="default"/>
      </w:rPr>
    </w:lvl>
  </w:abstractNum>
  <w:abstractNum w:abstractNumId="13" w15:restartNumberingAfterBreak="0">
    <w:nsid w:val="2CB566B0"/>
    <w:multiLevelType w:val="hybridMultilevel"/>
    <w:tmpl w:val="1F28849C"/>
    <w:lvl w:ilvl="0" w:tplc="E7462DB8">
      <w:start w:val="124"/>
      <w:numFmt w:val="decimal"/>
      <w:lvlText w:val="%1."/>
      <w:lvlJc w:val="left"/>
      <w:pPr>
        <w:ind w:left="832" w:hanging="472"/>
      </w:pPr>
      <w:rPr>
        <w:rFonts w:hint="default"/>
        <w:color w:val="000000"/>
      </w:rPr>
    </w:lvl>
    <w:lvl w:ilvl="1" w:tplc="4A109474">
      <w:start w:val="1"/>
      <w:numFmt w:val="lowerLetter"/>
      <w:lvlText w:val="%2."/>
      <w:lvlJc w:val="left"/>
      <w:pPr>
        <w:ind w:left="1440" w:hanging="360"/>
      </w:pPr>
    </w:lvl>
    <w:lvl w:ilvl="2" w:tplc="8BCA5460">
      <w:start w:val="1"/>
      <w:numFmt w:val="lowerRoman"/>
      <w:lvlText w:val="%3."/>
      <w:lvlJc w:val="right"/>
      <w:pPr>
        <w:ind w:left="2160" w:hanging="180"/>
      </w:pPr>
    </w:lvl>
    <w:lvl w:ilvl="3" w:tplc="3E36F552">
      <w:start w:val="1"/>
      <w:numFmt w:val="decimal"/>
      <w:lvlText w:val="%4."/>
      <w:lvlJc w:val="left"/>
      <w:pPr>
        <w:ind w:left="2880" w:hanging="360"/>
      </w:pPr>
    </w:lvl>
    <w:lvl w:ilvl="4" w:tplc="F1E0AFCA">
      <w:start w:val="1"/>
      <w:numFmt w:val="lowerLetter"/>
      <w:lvlText w:val="%5."/>
      <w:lvlJc w:val="left"/>
      <w:pPr>
        <w:ind w:left="3600" w:hanging="360"/>
      </w:pPr>
    </w:lvl>
    <w:lvl w:ilvl="5" w:tplc="587E4A90">
      <w:start w:val="1"/>
      <w:numFmt w:val="lowerRoman"/>
      <w:lvlText w:val="%6."/>
      <w:lvlJc w:val="right"/>
      <w:pPr>
        <w:ind w:left="4320" w:hanging="180"/>
      </w:pPr>
    </w:lvl>
    <w:lvl w:ilvl="6" w:tplc="E14479E2">
      <w:start w:val="1"/>
      <w:numFmt w:val="decimal"/>
      <w:lvlText w:val="%7."/>
      <w:lvlJc w:val="left"/>
      <w:pPr>
        <w:ind w:left="5040" w:hanging="360"/>
      </w:pPr>
    </w:lvl>
    <w:lvl w:ilvl="7" w:tplc="47F842FC">
      <w:start w:val="1"/>
      <w:numFmt w:val="lowerLetter"/>
      <w:lvlText w:val="%8."/>
      <w:lvlJc w:val="left"/>
      <w:pPr>
        <w:ind w:left="5760" w:hanging="360"/>
      </w:pPr>
    </w:lvl>
    <w:lvl w:ilvl="8" w:tplc="14BCE6AA" w:tentative="1">
      <w:start w:val="1"/>
      <w:numFmt w:val="lowerRoman"/>
      <w:lvlText w:val="%9."/>
      <w:lvlJc w:val="right"/>
      <w:pPr>
        <w:ind w:left="6480" w:hanging="180"/>
      </w:pPr>
    </w:lvl>
  </w:abstractNum>
  <w:abstractNum w:abstractNumId="14" w15:restartNumberingAfterBreak="0">
    <w:nsid w:val="3059085F"/>
    <w:multiLevelType w:val="hybridMultilevel"/>
    <w:tmpl w:val="9A6E05A0"/>
    <w:lvl w:ilvl="0" w:tplc="E92868CA">
      <w:start w:val="1"/>
      <w:numFmt w:val="lowerLetter"/>
      <w:pStyle w:val="Titre3"/>
      <w:lvlText w:val="(%1)"/>
      <w:lvlJc w:val="left"/>
      <w:pPr>
        <w:ind w:left="2062" w:hanging="360"/>
      </w:pPr>
      <w:rPr>
        <w:rFonts w:hint="default"/>
        <w:i w:val="0"/>
      </w:rPr>
    </w:lvl>
    <w:lvl w:ilvl="1" w:tplc="6F327014">
      <w:start w:val="1"/>
      <w:numFmt w:val="lowerLetter"/>
      <w:lvlText w:val="%2."/>
      <w:lvlJc w:val="left"/>
      <w:pPr>
        <w:ind w:left="2793" w:hanging="360"/>
      </w:pPr>
    </w:lvl>
    <w:lvl w:ilvl="2" w:tplc="49F49A22" w:tentative="1">
      <w:start w:val="1"/>
      <w:numFmt w:val="lowerRoman"/>
      <w:lvlText w:val="%3."/>
      <w:lvlJc w:val="right"/>
      <w:pPr>
        <w:ind w:left="3513" w:hanging="180"/>
      </w:pPr>
    </w:lvl>
    <w:lvl w:ilvl="3" w:tplc="AC98BFC0" w:tentative="1">
      <w:start w:val="1"/>
      <w:numFmt w:val="decimal"/>
      <w:lvlText w:val="%4."/>
      <w:lvlJc w:val="left"/>
      <w:pPr>
        <w:ind w:left="4233" w:hanging="360"/>
      </w:pPr>
    </w:lvl>
    <w:lvl w:ilvl="4" w:tplc="C2ACF4BE" w:tentative="1">
      <w:start w:val="1"/>
      <w:numFmt w:val="lowerLetter"/>
      <w:lvlText w:val="%5."/>
      <w:lvlJc w:val="left"/>
      <w:pPr>
        <w:ind w:left="4953" w:hanging="360"/>
      </w:pPr>
    </w:lvl>
    <w:lvl w:ilvl="5" w:tplc="9E82843C" w:tentative="1">
      <w:start w:val="1"/>
      <w:numFmt w:val="lowerRoman"/>
      <w:lvlText w:val="%6."/>
      <w:lvlJc w:val="right"/>
      <w:pPr>
        <w:ind w:left="5673" w:hanging="180"/>
      </w:pPr>
    </w:lvl>
    <w:lvl w:ilvl="6" w:tplc="77405176" w:tentative="1">
      <w:start w:val="1"/>
      <w:numFmt w:val="decimal"/>
      <w:lvlText w:val="%7."/>
      <w:lvlJc w:val="left"/>
      <w:pPr>
        <w:ind w:left="6393" w:hanging="360"/>
      </w:pPr>
    </w:lvl>
    <w:lvl w:ilvl="7" w:tplc="AADC3CAA" w:tentative="1">
      <w:start w:val="1"/>
      <w:numFmt w:val="lowerLetter"/>
      <w:lvlText w:val="%8."/>
      <w:lvlJc w:val="left"/>
      <w:pPr>
        <w:ind w:left="7113" w:hanging="360"/>
      </w:pPr>
    </w:lvl>
    <w:lvl w:ilvl="8" w:tplc="99B40BA4" w:tentative="1">
      <w:start w:val="1"/>
      <w:numFmt w:val="lowerRoman"/>
      <w:lvlText w:val="%9."/>
      <w:lvlJc w:val="right"/>
      <w:pPr>
        <w:ind w:left="7833" w:hanging="180"/>
      </w:pPr>
    </w:lvl>
  </w:abstractNum>
  <w:abstractNum w:abstractNumId="15" w15:restartNumberingAfterBreak="0">
    <w:nsid w:val="39715699"/>
    <w:multiLevelType w:val="hybridMultilevel"/>
    <w:tmpl w:val="C8981B30"/>
    <w:lvl w:ilvl="0" w:tplc="90360AAA">
      <w:start w:val="2012"/>
      <w:numFmt w:val="bullet"/>
      <w:lvlText w:val="-"/>
      <w:lvlJc w:val="left"/>
      <w:pPr>
        <w:ind w:left="720" w:hanging="360"/>
      </w:pPr>
      <w:rPr>
        <w:rFonts w:ascii="Arial" w:eastAsia="Times New Roman" w:hAnsi="Arial" w:cs="Arial" w:hint="default"/>
      </w:rPr>
    </w:lvl>
    <w:lvl w:ilvl="1" w:tplc="9BF47ABA" w:tentative="1">
      <w:start w:val="1"/>
      <w:numFmt w:val="bullet"/>
      <w:lvlText w:val="o"/>
      <w:lvlJc w:val="left"/>
      <w:pPr>
        <w:ind w:left="1440" w:hanging="360"/>
      </w:pPr>
      <w:rPr>
        <w:rFonts w:ascii="Courier New" w:hAnsi="Courier New" w:cs="Courier New" w:hint="default"/>
      </w:rPr>
    </w:lvl>
    <w:lvl w:ilvl="2" w:tplc="8E26B04A" w:tentative="1">
      <w:start w:val="1"/>
      <w:numFmt w:val="bullet"/>
      <w:lvlText w:val=""/>
      <w:lvlJc w:val="left"/>
      <w:pPr>
        <w:ind w:left="2160" w:hanging="360"/>
      </w:pPr>
      <w:rPr>
        <w:rFonts w:ascii="Wingdings" w:hAnsi="Wingdings" w:hint="default"/>
      </w:rPr>
    </w:lvl>
    <w:lvl w:ilvl="3" w:tplc="993AECDC" w:tentative="1">
      <w:start w:val="1"/>
      <w:numFmt w:val="bullet"/>
      <w:lvlText w:val=""/>
      <w:lvlJc w:val="left"/>
      <w:pPr>
        <w:ind w:left="2880" w:hanging="360"/>
      </w:pPr>
      <w:rPr>
        <w:rFonts w:ascii="Symbol" w:hAnsi="Symbol" w:hint="default"/>
      </w:rPr>
    </w:lvl>
    <w:lvl w:ilvl="4" w:tplc="4A027D8A" w:tentative="1">
      <w:start w:val="1"/>
      <w:numFmt w:val="bullet"/>
      <w:lvlText w:val="o"/>
      <w:lvlJc w:val="left"/>
      <w:pPr>
        <w:ind w:left="3600" w:hanging="360"/>
      </w:pPr>
      <w:rPr>
        <w:rFonts w:ascii="Courier New" w:hAnsi="Courier New" w:cs="Courier New" w:hint="default"/>
      </w:rPr>
    </w:lvl>
    <w:lvl w:ilvl="5" w:tplc="AB7EA3C0" w:tentative="1">
      <w:start w:val="1"/>
      <w:numFmt w:val="bullet"/>
      <w:lvlText w:val=""/>
      <w:lvlJc w:val="left"/>
      <w:pPr>
        <w:ind w:left="4320" w:hanging="360"/>
      </w:pPr>
      <w:rPr>
        <w:rFonts w:ascii="Wingdings" w:hAnsi="Wingdings" w:hint="default"/>
      </w:rPr>
    </w:lvl>
    <w:lvl w:ilvl="6" w:tplc="784A117C" w:tentative="1">
      <w:start w:val="1"/>
      <w:numFmt w:val="bullet"/>
      <w:lvlText w:val=""/>
      <w:lvlJc w:val="left"/>
      <w:pPr>
        <w:ind w:left="5040" w:hanging="360"/>
      </w:pPr>
      <w:rPr>
        <w:rFonts w:ascii="Symbol" w:hAnsi="Symbol" w:hint="default"/>
      </w:rPr>
    </w:lvl>
    <w:lvl w:ilvl="7" w:tplc="2570C23A" w:tentative="1">
      <w:start w:val="1"/>
      <w:numFmt w:val="bullet"/>
      <w:lvlText w:val="o"/>
      <w:lvlJc w:val="left"/>
      <w:pPr>
        <w:ind w:left="5760" w:hanging="360"/>
      </w:pPr>
      <w:rPr>
        <w:rFonts w:ascii="Courier New" w:hAnsi="Courier New" w:cs="Courier New" w:hint="default"/>
      </w:rPr>
    </w:lvl>
    <w:lvl w:ilvl="8" w:tplc="D7300934" w:tentative="1">
      <w:start w:val="1"/>
      <w:numFmt w:val="bullet"/>
      <w:lvlText w:val=""/>
      <w:lvlJc w:val="left"/>
      <w:pPr>
        <w:ind w:left="6480" w:hanging="360"/>
      </w:pPr>
      <w:rPr>
        <w:rFonts w:ascii="Wingdings" w:hAnsi="Wingdings" w:hint="default"/>
      </w:rPr>
    </w:lvl>
  </w:abstractNum>
  <w:abstractNum w:abstractNumId="16" w15:restartNumberingAfterBreak="0">
    <w:nsid w:val="3A6034C2"/>
    <w:multiLevelType w:val="multilevel"/>
    <w:tmpl w:val="555AD2D0"/>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E0560A"/>
    <w:multiLevelType w:val="hybridMultilevel"/>
    <w:tmpl w:val="FFFFFFFF"/>
    <w:lvl w:ilvl="0" w:tplc="B8C4CAE8">
      <w:start w:val="1"/>
      <w:numFmt w:val="ideographDigital"/>
      <w:lvlText w:val=""/>
      <w:lvlJc w:val="left"/>
    </w:lvl>
    <w:lvl w:ilvl="1" w:tplc="BB961822">
      <w:numFmt w:val="decimal"/>
      <w:lvlText w:val=""/>
      <w:lvlJc w:val="left"/>
    </w:lvl>
    <w:lvl w:ilvl="2" w:tplc="439E7C1A">
      <w:numFmt w:val="decimal"/>
      <w:lvlText w:val=""/>
      <w:lvlJc w:val="left"/>
    </w:lvl>
    <w:lvl w:ilvl="3" w:tplc="7006F674">
      <w:numFmt w:val="decimal"/>
      <w:lvlText w:val=""/>
      <w:lvlJc w:val="left"/>
    </w:lvl>
    <w:lvl w:ilvl="4" w:tplc="4178F4E2">
      <w:numFmt w:val="decimal"/>
      <w:lvlText w:val=""/>
      <w:lvlJc w:val="left"/>
    </w:lvl>
    <w:lvl w:ilvl="5" w:tplc="19AAFECC">
      <w:numFmt w:val="decimal"/>
      <w:lvlText w:val=""/>
      <w:lvlJc w:val="left"/>
    </w:lvl>
    <w:lvl w:ilvl="6" w:tplc="65EEEA6A">
      <w:numFmt w:val="decimal"/>
      <w:lvlText w:val=""/>
      <w:lvlJc w:val="left"/>
    </w:lvl>
    <w:lvl w:ilvl="7" w:tplc="7B98E0F8">
      <w:numFmt w:val="decimal"/>
      <w:lvlText w:val=""/>
      <w:lvlJc w:val="left"/>
    </w:lvl>
    <w:lvl w:ilvl="8" w:tplc="36F6FB02">
      <w:numFmt w:val="decimal"/>
      <w:lvlText w:val=""/>
      <w:lvlJc w:val="left"/>
    </w:lvl>
  </w:abstractNum>
  <w:abstractNum w:abstractNumId="18" w15:restartNumberingAfterBreak="0">
    <w:nsid w:val="4BF423AA"/>
    <w:multiLevelType w:val="multilevel"/>
    <w:tmpl w:val="78E43A60"/>
    <w:name w:val="Style12"/>
    <w:numStyleLink w:val="Style1"/>
  </w:abstractNum>
  <w:abstractNum w:abstractNumId="19" w15:restartNumberingAfterBreak="0">
    <w:nsid w:val="55AC6598"/>
    <w:multiLevelType w:val="hybridMultilevel"/>
    <w:tmpl w:val="47B2077C"/>
    <w:lvl w:ilvl="0" w:tplc="ECAAE6FC">
      <w:start w:val="1"/>
      <w:numFmt w:val="decimal"/>
      <w:pStyle w:val="Titre1"/>
      <w:lvlText w:val="%1."/>
      <w:lvlJc w:val="left"/>
      <w:pPr>
        <w:ind w:left="720" w:hanging="360"/>
      </w:pPr>
    </w:lvl>
    <w:lvl w:ilvl="1" w:tplc="EBBC1B92" w:tentative="1">
      <w:start w:val="1"/>
      <w:numFmt w:val="lowerLetter"/>
      <w:lvlText w:val="%2."/>
      <w:lvlJc w:val="left"/>
      <w:pPr>
        <w:ind w:left="1440" w:hanging="360"/>
      </w:pPr>
    </w:lvl>
    <w:lvl w:ilvl="2" w:tplc="28046662" w:tentative="1">
      <w:start w:val="1"/>
      <w:numFmt w:val="lowerRoman"/>
      <w:lvlText w:val="%3."/>
      <w:lvlJc w:val="right"/>
      <w:pPr>
        <w:ind w:left="2160" w:hanging="180"/>
      </w:pPr>
    </w:lvl>
    <w:lvl w:ilvl="3" w:tplc="2862C322" w:tentative="1">
      <w:start w:val="1"/>
      <w:numFmt w:val="decimal"/>
      <w:lvlText w:val="%4."/>
      <w:lvlJc w:val="left"/>
      <w:pPr>
        <w:ind w:left="2880" w:hanging="360"/>
      </w:pPr>
    </w:lvl>
    <w:lvl w:ilvl="4" w:tplc="765AFCE6" w:tentative="1">
      <w:start w:val="1"/>
      <w:numFmt w:val="lowerLetter"/>
      <w:lvlText w:val="%5."/>
      <w:lvlJc w:val="left"/>
      <w:pPr>
        <w:ind w:left="3600" w:hanging="360"/>
      </w:pPr>
    </w:lvl>
    <w:lvl w:ilvl="5" w:tplc="8654E73A" w:tentative="1">
      <w:start w:val="1"/>
      <w:numFmt w:val="lowerRoman"/>
      <w:lvlText w:val="%6."/>
      <w:lvlJc w:val="right"/>
      <w:pPr>
        <w:ind w:left="4320" w:hanging="180"/>
      </w:pPr>
    </w:lvl>
    <w:lvl w:ilvl="6" w:tplc="45624234" w:tentative="1">
      <w:start w:val="1"/>
      <w:numFmt w:val="decimal"/>
      <w:lvlText w:val="%7."/>
      <w:lvlJc w:val="left"/>
      <w:pPr>
        <w:ind w:left="5040" w:hanging="360"/>
      </w:pPr>
    </w:lvl>
    <w:lvl w:ilvl="7" w:tplc="4A82AAC0" w:tentative="1">
      <w:start w:val="1"/>
      <w:numFmt w:val="lowerLetter"/>
      <w:lvlText w:val="%8."/>
      <w:lvlJc w:val="left"/>
      <w:pPr>
        <w:ind w:left="5760" w:hanging="360"/>
      </w:pPr>
    </w:lvl>
    <w:lvl w:ilvl="8" w:tplc="0CEACD52" w:tentative="1">
      <w:start w:val="1"/>
      <w:numFmt w:val="lowerRoman"/>
      <w:lvlText w:val="%9."/>
      <w:lvlJc w:val="right"/>
      <w:pPr>
        <w:ind w:left="6480" w:hanging="180"/>
      </w:pPr>
    </w:lvl>
  </w:abstractNum>
  <w:abstractNum w:abstractNumId="20" w15:restartNumberingAfterBreak="0">
    <w:nsid w:val="56DD2B17"/>
    <w:multiLevelType w:val="hybridMultilevel"/>
    <w:tmpl w:val="FFFFFFFF"/>
    <w:lvl w:ilvl="0" w:tplc="A6A82786">
      <w:start w:val="1"/>
      <w:numFmt w:val="ideographDigital"/>
      <w:lvlText w:val=""/>
      <w:lvlJc w:val="left"/>
    </w:lvl>
    <w:lvl w:ilvl="1" w:tplc="C722FD28">
      <w:numFmt w:val="decimal"/>
      <w:lvlText w:val=""/>
      <w:lvlJc w:val="left"/>
    </w:lvl>
    <w:lvl w:ilvl="2" w:tplc="8D4E6832">
      <w:numFmt w:val="decimal"/>
      <w:lvlText w:val=""/>
      <w:lvlJc w:val="left"/>
    </w:lvl>
    <w:lvl w:ilvl="3" w:tplc="DA34BD7A">
      <w:numFmt w:val="decimal"/>
      <w:lvlText w:val=""/>
      <w:lvlJc w:val="left"/>
    </w:lvl>
    <w:lvl w:ilvl="4" w:tplc="87B0D716">
      <w:numFmt w:val="decimal"/>
      <w:lvlText w:val=""/>
      <w:lvlJc w:val="left"/>
    </w:lvl>
    <w:lvl w:ilvl="5" w:tplc="0B0287F0">
      <w:numFmt w:val="decimal"/>
      <w:lvlText w:val=""/>
      <w:lvlJc w:val="left"/>
    </w:lvl>
    <w:lvl w:ilvl="6" w:tplc="80FA8CC2">
      <w:numFmt w:val="decimal"/>
      <w:lvlText w:val=""/>
      <w:lvlJc w:val="left"/>
    </w:lvl>
    <w:lvl w:ilvl="7" w:tplc="91A0338C">
      <w:numFmt w:val="decimal"/>
      <w:lvlText w:val=""/>
      <w:lvlJc w:val="left"/>
    </w:lvl>
    <w:lvl w:ilvl="8" w:tplc="E63E857C">
      <w:numFmt w:val="decimal"/>
      <w:lvlText w:val=""/>
      <w:lvlJc w:val="left"/>
    </w:lvl>
  </w:abstractNum>
  <w:abstractNum w:abstractNumId="21" w15:restartNumberingAfterBreak="0">
    <w:nsid w:val="5951302D"/>
    <w:multiLevelType w:val="hybridMultilevel"/>
    <w:tmpl w:val="B2F28BCE"/>
    <w:lvl w:ilvl="0" w:tplc="71740A0C">
      <w:start w:val="1"/>
      <w:numFmt w:val="decimal"/>
      <w:lvlText w:val="%1."/>
      <w:lvlJc w:val="left"/>
      <w:pPr>
        <w:ind w:left="720" w:hanging="360"/>
      </w:pPr>
      <w:rPr>
        <w:rFonts w:hint="default"/>
        <w:i w:val="0"/>
      </w:rPr>
    </w:lvl>
    <w:lvl w:ilvl="1" w:tplc="CE902870" w:tentative="1">
      <w:start w:val="1"/>
      <w:numFmt w:val="lowerLetter"/>
      <w:lvlText w:val="%2."/>
      <w:lvlJc w:val="left"/>
      <w:pPr>
        <w:ind w:left="1440" w:hanging="360"/>
      </w:pPr>
    </w:lvl>
    <w:lvl w:ilvl="2" w:tplc="CCEAB7F0" w:tentative="1">
      <w:start w:val="1"/>
      <w:numFmt w:val="lowerRoman"/>
      <w:lvlText w:val="%3."/>
      <w:lvlJc w:val="right"/>
      <w:pPr>
        <w:ind w:left="2160" w:hanging="180"/>
      </w:pPr>
    </w:lvl>
    <w:lvl w:ilvl="3" w:tplc="2872200E" w:tentative="1">
      <w:start w:val="1"/>
      <w:numFmt w:val="decimal"/>
      <w:lvlText w:val="%4."/>
      <w:lvlJc w:val="left"/>
      <w:pPr>
        <w:ind w:left="2880" w:hanging="360"/>
      </w:pPr>
    </w:lvl>
    <w:lvl w:ilvl="4" w:tplc="354CF45E" w:tentative="1">
      <w:start w:val="1"/>
      <w:numFmt w:val="lowerLetter"/>
      <w:lvlText w:val="%5."/>
      <w:lvlJc w:val="left"/>
      <w:pPr>
        <w:ind w:left="3600" w:hanging="360"/>
      </w:pPr>
    </w:lvl>
    <w:lvl w:ilvl="5" w:tplc="8620E53E" w:tentative="1">
      <w:start w:val="1"/>
      <w:numFmt w:val="lowerRoman"/>
      <w:lvlText w:val="%6."/>
      <w:lvlJc w:val="right"/>
      <w:pPr>
        <w:ind w:left="4320" w:hanging="180"/>
      </w:pPr>
    </w:lvl>
    <w:lvl w:ilvl="6" w:tplc="315C1336" w:tentative="1">
      <w:start w:val="1"/>
      <w:numFmt w:val="decimal"/>
      <w:lvlText w:val="%7."/>
      <w:lvlJc w:val="left"/>
      <w:pPr>
        <w:ind w:left="5040" w:hanging="360"/>
      </w:pPr>
    </w:lvl>
    <w:lvl w:ilvl="7" w:tplc="77C8CD60" w:tentative="1">
      <w:start w:val="1"/>
      <w:numFmt w:val="lowerLetter"/>
      <w:lvlText w:val="%8."/>
      <w:lvlJc w:val="left"/>
      <w:pPr>
        <w:ind w:left="5760" w:hanging="360"/>
      </w:pPr>
    </w:lvl>
    <w:lvl w:ilvl="8" w:tplc="62C24C64" w:tentative="1">
      <w:start w:val="1"/>
      <w:numFmt w:val="lowerRoman"/>
      <w:lvlText w:val="%9."/>
      <w:lvlJc w:val="right"/>
      <w:pPr>
        <w:ind w:left="6480" w:hanging="180"/>
      </w:pPr>
    </w:lvl>
  </w:abstractNum>
  <w:abstractNum w:abstractNumId="22" w15:restartNumberingAfterBreak="0">
    <w:nsid w:val="5A0C4719"/>
    <w:multiLevelType w:val="multilevel"/>
    <w:tmpl w:val="78E43A60"/>
    <w:name w:val="Style13"/>
    <w:numStyleLink w:val="Style1"/>
  </w:abstractNum>
  <w:abstractNum w:abstractNumId="23" w15:restartNumberingAfterBreak="0">
    <w:nsid w:val="5D8C1A97"/>
    <w:multiLevelType w:val="hybridMultilevel"/>
    <w:tmpl w:val="FFFFFFFF"/>
    <w:lvl w:ilvl="0" w:tplc="8E84EA88">
      <w:start w:val="1"/>
      <w:numFmt w:val="ideographDigital"/>
      <w:lvlText w:val=""/>
      <w:lvlJc w:val="left"/>
    </w:lvl>
    <w:lvl w:ilvl="1" w:tplc="1E588BEE">
      <w:numFmt w:val="decimal"/>
      <w:lvlText w:val=""/>
      <w:lvlJc w:val="left"/>
    </w:lvl>
    <w:lvl w:ilvl="2" w:tplc="A8AAEC38">
      <w:numFmt w:val="decimal"/>
      <w:lvlText w:val=""/>
      <w:lvlJc w:val="left"/>
    </w:lvl>
    <w:lvl w:ilvl="3" w:tplc="E9DE8D22">
      <w:numFmt w:val="decimal"/>
      <w:lvlText w:val=""/>
      <w:lvlJc w:val="left"/>
    </w:lvl>
    <w:lvl w:ilvl="4" w:tplc="D3D2DA78">
      <w:numFmt w:val="decimal"/>
      <w:lvlText w:val=""/>
      <w:lvlJc w:val="left"/>
    </w:lvl>
    <w:lvl w:ilvl="5" w:tplc="B18E0E5C">
      <w:numFmt w:val="decimal"/>
      <w:lvlText w:val=""/>
      <w:lvlJc w:val="left"/>
    </w:lvl>
    <w:lvl w:ilvl="6" w:tplc="415E00A8">
      <w:numFmt w:val="decimal"/>
      <w:lvlText w:val=""/>
      <w:lvlJc w:val="left"/>
    </w:lvl>
    <w:lvl w:ilvl="7" w:tplc="96F4AD76">
      <w:numFmt w:val="decimal"/>
      <w:lvlText w:val=""/>
      <w:lvlJc w:val="left"/>
    </w:lvl>
    <w:lvl w:ilvl="8" w:tplc="25EE91F0">
      <w:numFmt w:val="decimal"/>
      <w:lvlText w:val=""/>
      <w:lvlJc w:val="left"/>
    </w:lvl>
  </w:abstractNum>
  <w:abstractNum w:abstractNumId="24" w15:restartNumberingAfterBreak="0">
    <w:nsid w:val="5F723E11"/>
    <w:multiLevelType w:val="hybridMultilevel"/>
    <w:tmpl w:val="FFFFFFFF"/>
    <w:lvl w:ilvl="0" w:tplc="6E16B6C8">
      <w:start w:val="1"/>
      <w:numFmt w:val="ideographDigital"/>
      <w:lvlText w:val=""/>
      <w:lvlJc w:val="left"/>
    </w:lvl>
    <w:lvl w:ilvl="1" w:tplc="D02812EC">
      <w:numFmt w:val="decimal"/>
      <w:lvlText w:val=""/>
      <w:lvlJc w:val="left"/>
    </w:lvl>
    <w:lvl w:ilvl="2" w:tplc="546AD13A">
      <w:numFmt w:val="decimal"/>
      <w:lvlText w:val=""/>
      <w:lvlJc w:val="left"/>
    </w:lvl>
    <w:lvl w:ilvl="3" w:tplc="5A7CDE08">
      <w:numFmt w:val="decimal"/>
      <w:lvlText w:val=""/>
      <w:lvlJc w:val="left"/>
    </w:lvl>
    <w:lvl w:ilvl="4" w:tplc="5B7C1966">
      <w:numFmt w:val="decimal"/>
      <w:lvlText w:val=""/>
      <w:lvlJc w:val="left"/>
    </w:lvl>
    <w:lvl w:ilvl="5" w:tplc="E480B6FA">
      <w:numFmt w:val="decimal"/>
      <w:lvlText w:val=""/>
      <w:lvlJc w:val="left"/>
    </w:lvl>
    <w:lvl w:ilvl="6" w:tplc="05284710">
      <w:numFmt w:val="decimal"/>
      <w:lvlText w:val=""/>
      <w:lvlJc w:val="left"/>
    </w:lvl>
    <w:lvl w:ilvl="7" w:tplc="7F9ACAC4">
      <w:numFmt w:val="decimal"/>
      <w:lvlText w:val=""/>
      <w:lvlJc w:val="left"/>
    </w:lvl>
    <w:lvl w:ilvl="8" w:tplc="40207644">
      <w:numFmt w:val="decimal"/>
      <w:lvlText w:val=""/>
      <w:lvlJc w:val="left"/>
    </w:lvl>
  </w:abstractNum>
  <w:abstractNum w:abstractNumId="25" w15:restartNumberingAfterBreak="0">
    <w:nsid w:val="5FF57AD5"/>
    <w:multiLevelType w:val="multilevel"/>
    <w:tmpl w:val="FD4CF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0"/>
      <w:numFmt w:val="decimal"/>
      <w:lvlText w:val="%3"/>
      <w:lvlJc w:val="left"/>
      <w:pPr>
        <w:ind w:left="2160" w:hanging="360"/>
      </w:pPr>
      <w:rPr>
        <w:rFonts w:hint="default"/>
      </w:rPr>
    </w:lvl>
    <w:lvl w:ilvl="3">
      <w:start w:val="30"/>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8F20C3"/>
    <w:multiLevelType w:val="hybridMultilevel"/>
    <w:tmpl w:val="88E64C14"/>
    <w:lvl w:ilvl="0" w:tplc="F33A8332">
      <w:start w:val="2"/>
      <w:numFmt w:val="decimal"/>
      <w:lvlText w:val="%1."/>
      <w:lvlJc w:val="left"/>
      <w:pPr>
        <w:ind w:left="720" w:hanging="360"/>
      </w:pPr>
      <w:rPr>
        <w:rFonts w:hint="default"/>
        <w:i w:val="0"/>
      </w:rPr>
    </w:lvl>
    <w:lvl w:ilvl="1" w:tplc="A04E4EC8" w:tentative="1">
      <w:start w:val="1"/>
      <w:numFmt w:val="lowerLetter"/>
      <w:lvlText w:val="%2."/>
      <w:lvlJc w:val="left"/>
      <w:pPr>
        <w:ind w:left="1440" w:hanging="360"/>
      </w:pPr>
    </w:lvl>
    <w:lvl w:ilvl="2" w:tplc="E6ACDC8E" w:tentative="1">
      <w:start w:val="1"/>
      <w:numFmt w:val="lowerRoman"/>
      <w:lvlText w:val="%3."/>
      <w:lvlJc w:val="right"/>
      <w:pPr>
        <w:ind w:left="2160" w:hanging="180"/>
      </w:pPr>
    </w:lvl>
    <w:lvl w:ilvl="3" w:tplc="D2C0A45E" w:tentative="1">
      <w:start w:val="1"/>
      <w:numFmt w:val="decimal"/>
      <w:lvlText w:val="%4."/>
      <w:lvlJc w:val="left"/>
      <w:pPr>
        <w:ind w:left="2880" w:hanging="360"/>
      </w:pPr>
    </w:lvl>
    <w:lvl w:ilvl="4" w:tplc="4420F128" w:tentative="1">
      <w:start w:val="1"/>
      <w:numFmt w:val="lowerLetter"/>
      <w:lvlText w:val="%5."/>
      <w:lvlJc w:val="left"/>
      <w:pPr>
        <w:ind w:left="3600" w:hanging="360"/>
      </w:pPr>
    </w:lvl>
    <w:lvl w:ilvl="5" w:tplc="23946896" w:tentative="1">
      <w:start w:val="1"/>
      <w:numFmt w:val="lowerRoman"/>
      <w:lvlText w:val="%6."/>
      <w:lvlJc w:val="right"/>
      <w:pPr>
        <w:ind w:left="4320" w:hanging="180"/>
      </w:pPr>
    </w:lvl>
    <w:lvl w:ilvl="6" w:tplc="C06A15A8" w:tentative="1">
      <w:start w:val="1"/>
      <w:numFmt w:val="decimal"/>
      <w:lvlText w:val="%7."/>
      <w:lvlJc w:val="left"/>
      <w:pPr>
        <w:ind w:left="5040" w:hanging="360"/>
      </w:pPr>
    </w:lvl>
    <w:lvl w:ilvl="7" w:tplc="40B4C1CA" w:tentative="1">
      <w:start w:val="1"/>
      <w:numFmt w:val="lowerLetter"/>
      <w:lvlText w:val="%8."/>
      <w:lvlJc w:val="left"/>
      <w:pPr>
        <w:ind w:left="5760" w:hanging="360"/>
      </w:pPr>
    </w:lvl>
    <w:lvl w:ilvl="8" w:tplc="0B287890" w:tentative="1">
      <w:start w:val="1"/>
      <w:numFmt w:val="lowerRoman"/>
      <w:lvlText w:val="%9."/>
      <w:lvlJc w:val="right"/>
      <w:pPr>
        <w:ind w:left="6480" w:hanging="180"/>
      </w:pPr>
    </w:lvl>
  </w:abstractNum>
  <w:abstractNum w:abstractNumId="27" w15:restartNumberingAfterBreak="0">
    <w:nsid w:val="609C0DCC"/>
    <w:multiLevelType w:val="multilevel"/>
    <w:tmpl w:val="CEEA7D4C"/>
    <w:lvl w:ilvl="0">
      <w:start w:val="1"/>
      <w:numFmt w:val="decimal"/>
      <w:pStyle w:val="Paragrdouble"/>
      <w:lvlText w:val="[%1]"/>
      <w:lvlJc w:val="left"/>
      <w:pPr>
        <w:tabs>
          <w:tab w:val="num" w:pos="4188"/>
        </w:tabs>
        <w:ind w:left="3828" w:firstLine="0"/>
      </w:pPr>
      <w:rPr>
        <w:rFonts w:ascii="Arial" w:hAnsi="Arial" w:hint="default"/>
        <w:b w:val="0"/>
        <w:bCs/>
        <w:i w:val="0"/>
        <w:sz w:val="24"/>
      </w:rPr>
    </w:lvl>
    <w:lvl w:ilvl="1">
      <w:start w:val="1"/>
      <w:numFmt w:val="decimal"/>
      <w:pStyle w:val="Sous-paragraphe"/>
      <w:lvlText w:val="%1.%2."/>
      <w:lvlJc w:val="left"/>
      <w:pPr>
        <w:tabs>
          <w:tab w:val="num" w:pos="2767"/>
        </w:tabs>
        <w:ind w:left="2767" w:hanging="432"/>
      </w:pPr>
    </w:lvl>
    <w:lvl w:ilvl="2">
      <w:start w:val="1"/>
      <w:numFmt w:val="decimal"/>
      <w:lvlText w:val="%1.%2.%3."/>
      <w:lvlJc w:val="left"/>
      <w:pPr>
        <w:tabs>
          <w:tab w:val="num" w:pos="3207"/>
        </w:tabs>
        <w:ind w:left="2991" w:hanging="504"/>
      </w:pPr>
    </w:lvl>
    <w:lvl w:ilvl="3">
      <w:start w:val="1"/>
      <w:numFmt w:val="decimal"/>
      <w:lvlText w:val="%1.%2.%3.%4."/>
      <w:lvlJc w:val="left"/>
      <w:pPr>
        <w:tabs>
          <w:tab w:val="num" w:pos="3495"/>
        </w:tabs>
        <w:ind w:left="3495" w:hanging="648"/>
      </w:pPr>
    </w:lvl>
    <w:lvl w:ilvl="4">
      <w:start w:val="1"/>
      <w:numFmt w:val="decimal"/>
      <w:lvlText w:val="%1.%2.%3.%4.%5."/>
      <w:lvlJc w:val="left"/>
      <w:pPr>
        <w:tabs>
          <w:tab w:val="num" w:pos="4287"/>
        </w:tabs>
        <w:ind w:left="3999" w:hanging="792"/>
      </w:pPr>
    </w:lvl>
    <w:lvl w:ilvl="5">
      <w:start w:val="1"/>
      <w:numFmt w:val="decimal"/>
      <w:lvlText w:val="%1.%2.%3.%4.%5.%6."/>
      <w:lvlJc w:val="left"/>
      <w:pPr>
        <w:tabs>
          <w:tab w:val="num" w:pos="5007"/>
        </w:tabs>
        <w:ind w:left="4503" w:hanging="936"/>
      </w:pPr>
    </w:lvl>
    <w:lvl w:ilvl="6">
      <w:start w:val="1"/>
      <w:numFmt w:val="decimal"/>
      <w:lvlText w:val="%1.%2.%3.%4.%5.%6.%7."/>
      <w:lvlJc w:val="left"/>
      <w:pPr>
        <w:tabs>
          <w:tab w:val="num" w:pos="5367"/>
        </w:tabs>
        <w:ind w:left="5007" w:hanging="1080"/>
      </w:pPr>
    </w:lvl>
    <w:lvl w:ilvl="7">
      <w:start w:val="1"/>
      <w:numFmt w:val="decimal"/>
      <w:lvlText w:val="%1.%2.%3.%4.%5.%6.%7.%8."/>
      <w:lvlJc w:val="left"/>
      <w:pPr>
        <w:tabs>
          <w:tab w:val="num" w:pos="6087"/>
        </w:tabs>
        <w:ind w:left="5511" w:hanging="1224"/>
      </w:pPr>
    </w:lvl>
    <w:lvl w:ilvl="8">
      <w:start w:val="1"/>
      <w:numFmt w:val="decimal"/>
      <w:lvlText w:val="%1.%2.%3.%4.%5.%6.%7.%8.%9."/>
      <w:lvlJc w:val="left"/>
      <w:pPr>
        <w:tabs>
          <w:tab w:val="num" w:pos="6807"/>
        </w:tabs>
        <w:ind w:left="6087" w:hanging="1440"/>
      </w:pPr>
    </w:lvl>
  </w:abstractNum>
  <w:abstractNum w:abstractNumId="28" w15:restartNumberingAfterBreak="0">
    <w:nsid w:val="60FFAE5B"/>
    <w:multiLevelType w:val="hybridMultilevel"/>
    <w:tmpl w:val="FFFFFFFF"/>
    <w:lvl w:ilvl="0" w:tplc="39F26BF6">
      <w:start w:val="1"/>
      <w:numFmt w:val="ideographDigital"/>
      <w:lvlText w:val=""/>
      <w:lvlJc w:val="left"/>
    </w:lvl>
    <w:lvl w:ilvl="1" w:tplc="49665DBE">
      <w:numFmt w:val="decimal"/>
      <w:lvlText w:val=""/>
      <w:lvlJc w:val="left"/>
    </w:lvl>
    <w:lvl w:ilvl="2" w:tplc="CA68A2C2">
      <w:numFmt w:val="decimal"/>
      <w:lvlText w:val=""/>
      <w:lvlJc w:val="left"/>
    </w:lvl>
    <w:lvl w:ilvl="3" w:tplc="7CCAE30A">
      <w:numFmt w:val="decimal"/>
      <w:lvlText w:val=""/>
      <w:lvlJc w:val="left"/>
    </w:lvl>
    <w:lvl w:ilvl="4" w:tplc="A844C6A0">
      <w:numFmt w:val="decimal"/>
      <w:lvlText w:val=""/>
      <w:lvlJc w:val="left"/>
    </w:lvl>
    <w:lvl w:ilvl="5" w:tplc="70A4BA8A">
      <w:numFmt w:val="decimal"/>
      <w:lvlText w:val=""/>
      <w:lvlJc w:val="left"/>
    </w:lvl>
    <w:lvl w:ilvl="6" w:tplc="D672551C">
      <w:numFmt w:val="decimal"/>
      <w:lvlText w:val=""/>
      <w:lvlJc w:val="left"/>
    </w:lvl>
    <w:lvl w:ilvl="7" w:tplc="7B840D1E">
      <w:numFmt w:val="decimal"/>
      <w:lvlText w:val=""/>
      <w:lvlJc w:val="left"/>
    </w:lvl>
    <w:lvl w:ilvl="8" w:tplc="9A2E78A2">
      <w:numFmt w:val="decimal"/>
      <w:lvlText w:val=""/>
      <w:lvlJc w:val="left"/>
    </w:lvl>
  </w:abstractNum>
  <w:abstractNum w:abstractNumId="29" w15:restartNumberingAfterBreak="0">
    <w:nsid w:val="6398FDCA"/>
    <w:multiLevelType w:val="hybridMultilevel"/>
    <w:tmpl w:val="FFFFFFFF"/>
    <w:lvl w:ilvl="0" w:tplc="2C08B1AC">
      <w:start w:val="1"/>
      <w:numFmt w:val="ideographDigital"/>
      <w:lvlText w:val=""/>
      <w:lvlJc w:val="left"/>
    </w:lvl>
    <w:lvl w:ilvl="1" w:tplc="80B8A382">
      <w:numFmt w:val="decimal"/>
      <w:lvlText w:val=""/>
      <w:lvlJc w:val="left"/>
    </w:lvl>
    <w:lvl w:ilvl="2" w:tplc="29A8A0C6">
      <w:numFmt w:val="decimal"/>
      <w:lvlText w:val=""/>
      <w:lvlJc w:val="left"/>
    </w:lvl>
    <w:lvl w:ilvl="3" w:tplc="5FB2A7F6">
      <w:numFmt w:val="decimal"/>
      <w:lvlText w:val=""/>
      <w:lvlJc w:val="left"/>
    </w:lvl>
    <w:lvl w:ilvl="4" w:tplc="218076D4">
      <w:numFmt w:val="decimal"/>
      <w:lvlText w:val=""/>
      <w:lvlJc w:val="left"/>
    </w:lvl>
    <w:lvl w:ilvl="5" w:tplc="3C5C0CD0">
      <w:numFmt w:val="decimal"/>
      <w:lvlText w:val=""/>
      <w:lvlJc w:val="left"/>
    </w:lvl>
    <w:lvl w:ilvl="6" w:tplc="E03AB5D2">
      <w:numFmt w:val="decimal"/>
      <w:lvlText w:val=""/>
      <w:lvlJc w:val="left"/>
    </w:lvl>
    <w:lvl w:ilvl="7" w:tplc="F1726B7C">
      <w:numFmt w:val="decimal"/>
      <w:lvlText w:val=""/>
      <w:lvlJc w:val="left"/>
    </w:lvl>
    <w:lvl w:ilvl="8" w:tplc="DCFA191E">
      <w:numFmt w:val="decimal"/>
      <w:lvlText w:val=""/>
      <w:lvlJc w:val="left"/>
    </w:lvl>
  </w:abstractNum>
  <w:abstractNum w:abstractNumId="30" w15:restartNumberingAfterBreak="0">
    <w:nsid w:val="64321568"/>
    <w:multiLevelType w:val="hybridMultilevel"/>
    <w:tmpl w:val="B1860D8E"/>
    <w:lvl w:ilvl="0" w:tplc="1C6255F4">
      <w:start w:val="2012"/>
      <w:numFmt w:val="bullet"/>
      <w:lvlText w:val="-"/>
      <w:lvlJc w:val="left"/>
      <w:pPr>
        <w:ind w:left="720" w:hanging="360"/>
      </w:pPr>
      <w:rPr>
        <w:rFonts w:ascii="Arial" w:eastAsia="Times New Roman" w:hAnsi="Arial" w:cs="Arial" w:hint="default"/>
      </w:rPr>
    </w:lvl>
    <w:lvl w:ilvl="1" w:tplc="C8E6D7D2" w:tentative="1">
      <w:start w:val="1"/>
      <w:numFmt w:val="bullet"/>
      <w:lvlText w:val="o"/>
      <w:lvlJc w:val="left"/>
      <w:pPr>
        <w:ind w:left="1440" w:hanging="360"/>
      </w:pPr>
      <w:rPr>
        <w:rFonts w:ascii="Courier New" w:hAnsi="Courier New" w:cs="Courier New" w:hint="default"/>
      </w:rPr>
    </w:lvl>
    <w:lvl w:ilvl="2" w:tplc="544AFB94" w:tentative="1">
      <w:start w:val="1"/>
      <w:numFmt w:val="bullet"/>
      <w:lvlText w:val=""/>
      <w:lvlJc w:val="left"/>
      <w:pPr>
        <w:ind w:left="2160" w:hanging="360"/>
      </w:pPr>
      <w:rPr>
        <w:rFonts w:ascii="Wingdings" w:hAnsi="Wingdings" w:hint="default"/>
      </w:rPr>
    </w:lvl>
    <w:lvl w:ilvl="3" w:tplc="EDB6DD8A" w:tentative="1">
      <w:start w:val="1"/>
      <w:numFmt w:val="bullet"/>
      <w:lvlText w:val=""/>
      <w:lvlJc w:val="left"/>
      <w:pPr>
        <w:ind w:left="2880" w:hanging="360"/>
      </w:pPr>
      <w:rPr>
        <w:rFonts w:ascii="Symbol" w:hAnsi="Symbol" w:hint="default"/>
      </w:rPr>
    </w:lvl>
    <w:lvl w:ilvl="4" w:tplc="8C3424F6" w:tentative="1">
      <w:start w:val="1"/>
      <w:numFmt w:val="bullet"/>
      <w:lvlText w:val="o"/>
      <w:lvlJc w:val="left"/>
      <w:pPr>
        <w:ind w:left="3600" w:hanging="360"/>
      </w:pPr>
      <w:rPr>
        <w:rFonts w:ascii="Courier New" w:hAnsi="Courier New" w:cs="Courier New" w:hint="default"/>
      </w:rPr>
    </w:lvl>
    <w:lvl w:ilvl="5" w:tplc="3E1A0046" w:tentative="1">
      <w:start w:val="1"/>
      <w:numFmt w:val="bullet"/>
      <w:lvlText w:val=""/>
      <w:lvlJc w:val="left"/>
      <w:pPr>
        <w:ind w:left="4320" w:hanging="360"/>
      </w:pPr>
      <w:rPr>
        <w:rFonts w:ascii="Wingdings" w:hAnsi="Wingdings" w:hint="default"/>
      </w:rPr>
    </w:lvl>
    <w:lvl w:ilvl="6" w:tplc="F874061A" w:tentative="1">
      <w:start w:val="1"/>
      <w:numFmt w:val="bullet"/>
      <w:lvlText w:val=""/>
      <w:lvlJc w:val="left"/>
      <w:pPr>
        <w:ind w:left="5040" w:hanging="360"/>
      </w:pPr>
      <w:rPr>
        <w:rFonts w:ascii="Symbol" w:hAnsi="Symbol" w:hint="default"/>
      </w:rPr>
    </w:lvl>
    <w:lvl w:ilvl="7" w:tplc="628877FC" w:tentative="1">
      <w:start w:val="1"/>
      <w:numFmt w:val="bullet"/>
      <w:lvlText w:val="o"/>
      <w:lvlJc w:val="left"/>
      <w:pPr>
        <w:ind w:left="5760" w:hanging="360"/>
      </w:pPr>
      <w:rPr>
        <w:rFonts w:ascii="Courier New" w:hAnsi="Courier New" w:cs="Courier New" w:hint="default"/>
      </w:rPr>
    </w:lvl>
    <w:lvl w:ilvl="8" w:tplc="97F2994E" w:tentative="1">
      <w:start w:val="1"/>
      <w:numFmt w:val="bullet"/>
      <w:lvlText w:val=""/>
      <w:lvlJc w:val="left"/>
      <w:pPr>
        <w:ind w:left="6480" w:hanging="360"/>
      </w:pPr>
      <w:rPr>
        <w:rFonts w:ascii="Wingdings" w:hAnsi="Wingdings" w:hint="default"/>
      </w:rPr>
    </w:lvl>
  </w:abstractNum>
  <w:abstractNum w:abstractNumId="31" w15:restartNumberingAfterBreak="0">
    <w:nsid w:val="645A16E0"/>
    <w:multiLevelType w:val="multilevel"/>
    <w:tmpl w:val="91980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DF08E9"/>
    <w:multiLevelType w:val="hybridMultilevel"/>
    <w:tmpl w:val="FDCAC17A"/>
    <w:lvl w:ilvl="0" w:tplc="1444C336">
      <w:start w:val="1"/>
      <w:numFmt w:val="lowerLetter"/>
      <w:lvlText w:val="%1)"/>
      <w:lvlJc w:val="left"/>
      <w:pPr>
        <w:ind w:left="720" w:hanging="360"/>
      </w:pPr>
    </w:lvl>
    <w:lvl w:ilvl="1" w:tplc="7D662A06" w:tentative="1">
      <w:start w:val="1"/>
      <w:numFmt w:val="lowerLetter"/>
      <w:lvlText w:val="%2."/>
      <w:lvlJc w:val="left"/>
      <w:pPr>
        <w:ind w:left="1440" w:hanging="360"/>
      </w:pPr>
    </w:lvl>
    <w:lvl w:ilvl="2" w:tplc="702CE52C" w:tentative="1">
      <w:start w:val="1"/>
      <w:numFmt w:val="lowerRoman"/>
      <w:lvlText w:val="%3."/>
      <w:lvlJc w:val="right"/>
      <w:pPr>
        <w:ind w:left="2160" w:hanging="180"/>
      </w:pPr>
    </w:lvl>
    <w:lvl w:ilvl="3" w:tplc="69B0DE10" w:tentative="1">
      <w:start w:val="1"/>
      <w:numFmt w:val="decimal"/>
      <w:lvlText w:val="%4."/>
      <w:lvlJc w:val="left"/>
      <w:pPr>
        <w:ind w:left="2880" w:hanging="360"/>
      </w:pPr>
    </w:lvl>
    <w:lvl w:ilvl="4" w:tplc="8E2804FE" w:tentative="1">
      <w:start w:val="1"/>
      <w:numFmt w:val="lowerLetter"/>
      <w:lvlText w:val="%5."/>
      <w:lvlJc w:val="left"/>
      <w:pPr>
        <w:ind w:left="3600" w:hanging="360"/>
      </w:pPr>
    </w:lvl>
    <w:lvl w:ilvl="5" w:tplc="DBEA567A" w:tentative="1">
      <w:start w:val="1"/>
      <w:numFmt w:val="lowerRoman"/>
      <w:lvlText w:val="%6."/>
      <w:lvlJc w:val="right"/>
      <w:pPr>
        <w:ind w:left="4320" w:hanging="180"/>
      </w:pPr>
    </w:lvl>
    <w:lvl w:ilvl="6" w:tplc="EE74812C" w:tentative="1">
      <w:start w:val="1"/>
      <w:numFmt w:val="decimal"/>
      <w:lvlText w:val="%7."/>
      <w:lvlJc w:val="left"/>
      <w:pPr>
        <w:ind w:left="5040" w:hanging="360"/>
      </w:pPr>
    </w:lvl>
    <w:lvl w:ilvl="7" w:tplc="E4E02732" w:tentative="1">
      <w:start w:val="1"/>
      <w:numFmt w:val="lowerLetter"/>
      <w:lvlText w:val="%8."/>
      <w:lvlJc w:val="left"/>
      <w:pPr>
        <w:ind w:left="5760" w:hanging="360"/>
      </w:pPr>
    </w:lvl>
    <w:lvl w:ilvl="8" w:tplc="1B4A50C2" w:tentative="1">
      <w:start w:val="1"/>
      <w:numFmt w:val="lowerRoman"/>
      <w:lvlText w:val="%9."/>
      <w:lvlJc w:val="right"/>
      <w:pPr>
        <w:ind w:left="6480" w:hanging="180"/>
      </w:pPr>
    </w:lvl>
  </w:abstractNum>
  <w:abstractNum w:abstractNumId="33" w15:restartNumberingAfterBreak="0">
    <w:nsid w:val="7A362EC1"/>
    <w:multiLevelType w:val="hybridMultilevel"/>
    <w:tmpl w:val="253E0E30"/>
    <w:lvl w:ilvl="0" w:tplc="A4F61682">
      <w:start w:val="1"/>
      <w:numFmt w:val="lowerLetter"/>
      <w:lvlText w:val="(%1)"/>
      <w:lvlJc w:val="left"/>
      <w:pPr>
        <w:ind w:left="1212" w:hanging="360"/>
      </w:pPr>
      <w:rPr>
        <w:rFonts w:hint="default"/>
      </w:rPr>
    </w:lvl>
    <w:lvl w:ilvl="1" w:tplc="D9285476" w:tentative="1">
      <w:start w:val="1"/>
      <w:numFmt w:val="lowerLetter"/>
      <w:lvlText w:val="%2."/>
      <w:lvlJc w:val="left"/>
      <w:pPr>
        <w:ind w:left="1932" w:hanging="360"/>
      </w:pPr>
    </w:lvl>
    <w:lvl w:ilvl="2" w:tplc="B1E4FBC6" w:tentative="1">
      <w:start w:val="1"/>
      <w:numFmt w:val="lowerRoman"/>
      <w:lvlText w:val="%3."/>
      <w:lvlJc w:val="right"/>
      <w:pPr>
        <w:ind w:left="2652" w:hanging="180"/>
      </w:pPr>
    </w:lvl>
    <w:lvl w:ilvl="3" w:tplc="A46C7474" w:tentative="1">
      <w:start w:val="1"/>
      <w:numFmt w:val="decimal"/>
      <w:lvlText w:val="%4."/>
      <w:lvlJc w:val="left"/>
      <w:pPr>
        <w:ind w:left="3372" w:hanging="360"/>
      </w:pPr>
    </w:lvl>
    <w:lvl w:ilvl="4" w:tplc="DFFA2A92" w:tentative="1">
      <w:start w:val="1"/>
      <w:numFmt w:val="lowerLetter"/>
      <w:lvlText w:val="%5."/>
      <w:lvlJc w:val="left"/>
      <w:pPr>
        <w:ind w:left="4092" w:hanging="360"/>
      </w:pPr>
    </w:lvl>
    <w:lvl w:ilvl="5" w:tplc="8182CC0C" w:tentative="1">
      <w:start w:val="1"/>
      <w:numFmt w:val="lowerRoman"/>
      <w:lvlText w:val="%6."/>
      <w:lvlJc w:val="right"/>
      <w:pPr>
        <w:ind w:left="4812" w:hanging="180"/>
      </w:pPr>
    </w:lvl>
    <w:lvl w:ilvl="6" w:tplc="6BAE7F98" w:tentative="1">
      <w:start w:val="1"/>
      <w:numFmt w:val="decimal"/>
      <w:lvlText w:val="%7."/>
      <w:lvlJc w:val="left"/>
      <w:pPr>
        <w:ind w:left="5532" w:hanging="360"/>
      </w:pPr>
    </w:lvl>
    <w:lvl w:ilvl="7" w:tplc="5314AB18" w:tentative="1">
      <w:start w:val="1"/>
      <w:numFmt w:val="lowerLetter"/>
      <w:lvlText w:val="%8."/>
      <w:lvlJc w:val="left"/>
      <w:pPr>
        <w:ind w:left="6252" w:hanging="360"/>
      </w:pPr>
    </w:lvl>
    <w:lvl w:ilvl="8" w:tplc="64BE5FC8" w:tentative="1">
      <w:start w:val="1"/>
      <w:numFmt w:val="lowerRoman"/>
      <w:lvlText w:val="%9."/>
      <w:lvlJc w:val="right"/>
      <w:pPr>
        <w:ind w:left="6972" w:hanging="180"/>
      </w:pPr>
    </w:lvl>
  </w:abstractNum>
  <w:num w:numId="1" w16cid:durableId="1913345361">
    <w:abstractNumId w:val="27"/>
  </w:num>
  <w:num w:numId="2" w16cid:durableId="1349604652">
    <w:abstractNumId w:val="27"/>
  </w:num>
  <w:num w:numId="3" w16cid:durableId="1368290508">
    <w:abstractNumId w:val="12"/>
  </w:num>
  <w:num w:numId="4" w16cid:durableId="1999117537">
    <w:abstractNumId w:val="11"/>
  </w:num>
  <w:num w:numId="5" w16cid:durableId="690110016">
    <w:abstractNumId w:val="11"/>
  </w:num>
  <w:num w:numId="6" w16cid:durableId="1344018095">
    <w:abstractNumId w:val="9"/>
  </w:num>
  <w:num w:numId="7" w16cid:durableId="1602494510">
    <w:abstractNumId w:val="26"/>
  </w:num>
  <w:num w:numId="8" w16cid:durableId="1312097491">
    <w:abstractNumId w:val="8"/>
  </w:num>
  <w:num w:numId="9" w16cid:durableId="1233585632">
    <w:abstractNumId w:val="21"/>
  </w:num>
  <w:num w:numId="10" w16cid:durableId="551043468">
    <w:abstractNumId w:val="16"/>
  </w:num>
  <w:num w:numId="11" w16cid:durableId="1795177186">
    <w:abstractNumId w:val="13"/>
  </w:num>
  <w:num w:numId="12" w16cid:durableId="913781388">
    <w:abstractNumId w:val="6"/>
  </w:num>
  <w:num w:numId="13" w16cid:durableId="1487360677">
    <w:abstractNumId w:val="23"/>
  </w:num>
  <w:num w:numId="14" w16cid:durableId="1065224668">
    <w:abstractNumId w:val="14"/>
  </w:num>
  <w:num w:numId="15" w16cid:durableId="17594752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8850331">
    <w:abstractNumId w:val="5"/>
  </w:num>
  <w:num w:numId="17" w16cid:durableId="904535532">
    <w:abstractNumId w:val="20"/>
  </w:num>
  <w:num w:numId="18" w16cid:durableId="408384649">
    <w:abstractNumId w:val="33"/>
  </w:num>
  <w:num w:numId="19" w16cid:durableId="177473969">
    <w:abstractNumId w:val="28"/>
  </w:num>
  <w:num w:numId="20" w16cid:durableId="202909854">
    <w:abstractNumId w:val="1"/>
  </w:num>
  <w:num w:numId="21" w16cid:durableId="1705671083">
    <w:abstractNumId w:val="29"/>
  </w:num>
  <w:num w:numId="22" w16cid:durableId="1949777839">
    <w:abstractNumId w:val="2"/>
  </w:num>
  <w:num w:numId="23" w16cid:durableId="1336879384">
    <w:abstractNumId w:val="25"/>
  </w:num>
  <w:num w:numId="24" w16cid:durableId="1188954354">
    <w:abstractNumId w:val="31"/>
  </w:num>
  <w:num w:numId="25" w16cid:durableId="1648895436">
    <w:abstractNumId w:val="7"/>
  </w:num>
  <w:num w:numId="26" w16cid:durableId="831994572">
    <w:abstractNumId w:val="10"/>
  </w:num>
  <w:num w:numId="27" w16cid:durableId="1633946236">
    <w:abstractNumId w:val="3"/>
  </w:num>
  <w:num w:numId="28" w16cid:durableId="1799910131">
    <w:abstractNumId w:val="17"/>
  </w:num>
  <w:num w:numId="29" w16cid:durableId="455875129">
    <w:abstractNumId w:val="4"/>
  </w:num>
  <w:num w:numId="30" w16cid:durableId="851265801">
    <w:abstractNumId w:val="0"/>
  </w:num>
  <w:num w:numId="31" w16cid:durableId="414984160">
    <w:abstractNumId w:val="24"/>
  </w:num>
  <w:num w:numId="32" w16cid:durableId="2084599811">
    <w:abstractNumId w:val="15"/>
  </w:num>
  <w:num w:numId="33" w16cid:durableId="1562398148">
    <w:abstractNumId w:val="32"/>
  </w:num>
  <w:num w:numId="34" w16cid:durableId="525754240">
    <w:abstractNumId w:val="27"/>
  </w:num>
  <w:num w:numId="35" w16cid:durableId="116065494">
    <w:abstractNumId w:val="27"/>
  </w:num>
  <w:num w:numId="36" w16cid:durableId="850870808">
    <w:abstractNumId w:val="30"/>
  </w:num>
  <w:num w:numId="37" w16cid:durableId="1170830287">
    <w:abstractNumId w:val="27"/>
  </w:num>
  <w:num w:numId="38" w16cid:durableId="701784162">
    <w:abstractNumId w:val="27"/>
  </w:num>
  <w:num w:numId="39" w16cid:durableId="1774351514">
    <w:abstractNumId w:val="27"/>
  </w:num>
  <w:num w:numId="40" w16cid:durableId="49692609">
    <w:abstractNumId w:val="27"/>
  </w:num>
  <w:num w:numId="41" w16cid:durableId="207231776">
    <w:abstractNumId w:val="27"/>
  </w:num>
  <w:num w:numId="42" w16cid:durableId="1637301288">
    <w:abstractNumId w:val="27"/>
  </w:num>
  <w:num w:numId="43" w16cid:durableId="166754428">
    <w:abstractNumId w:val="27"/>
  </w:num>
  <w:num w:numId="44" w16cid:durableId="1871527899">
    <w:abstractNumId w:val="19"/>
  </w:num>
  <w:num w:numId="45" w16cid:durableId="728171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31"/>
  <w:hyphenationZone w:val="425"/>
  <w:displayHorizontalDrawingGridEvery w:val="0"/>
  <w:displayVerticalDrawingGridEvery w:val="0"/>
  <w:doNotUseMarginsForDrawingGridOrigin/>
  <w:noPunctuationKerning/>
  <w:characterSpacingControl w:val="doNotCompress"/>
  <w:hdrShapeDefaults>
    <o:shapedefaults v:ext="edit" spidmax="3076"/>
    <o:shapelayout v:ext="edit">
      <o:idmap v:ext="edit" data="1,3"/>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3C"/>
    <w:rsid w:val="000002C8"/>
    <w:rsid w:val="00002784"/>
    <w:rsid w:val="000037C9"/>
    <w:rsid w:val="00004D27"/>
    <w:rsid w:val="00004F1B"/>
    <w:rsid w:val="000055C4"/>
    <w:rsid w:val="00006512"/>
    <w:rsid w:val="00007687"/>
    <w:rsid w:val="0001053D"/>
    <w:rsid w:val="000126D5"/>
    <w:rsid w:val="00013A99"/>
    <w:rsid w:val="00014183"/>
    <w:rsid w:val="0001780A"/>
    <w:rsid w:val="000207BE"/>
    <w:rsid w:val="00020A90"/>
    <w:rsid w:val="00024C43"/>
    <w:rsid w:val="00027F42"/>
    <w:rsid w:val="000339DC"/>
    <w:rsid w:val="00034185"/>
    <w:rsid w:val="00036E52"/>
    <w:rsid w:val="00040AEF"/>
    <w:rsid w:val="00041683"/>
    <w:rsid w:val="00042BF4"/>
    <w:rsid w:val="00044F9B"/>
    <w:rsid w:val="00047742"/>
    <w:rsid w:val="00050166"/>
    <w:rsid w:val="00050688"/>
    <w:rsid w:val="0005237D"/>
    <w:rsid w:val="000526CB"/>
    <w:rsid w:val="000531D4"/>
    <w:rsid w:val="00054FA3"/>
    <w:rsid w:val="000554BE"/>
    <w:rsid w:val="00062573"/>
    <w:rsid w:val="00062BC8"/>
    <w:rsid w:val="000647F4"/>
    <w:rsid w:val="0006696D"/>
    <w:rsid w:val="0006780D"/>
    <w:rsid w:val="0007093E"/>
    <w:rsid w:val="00070997"/>
    <w:rsid w:val="00071976"/>
    <w:rsid w:val="00073045"/>
    <w:rsid w:val="00073089"/>
    <w:rsid w:val="000746B0"/>
    <w:rsid w:val="00075DE4"/>
    <w:rsid w:val="00076B31"/>
    <w:rsid w:val="00077E41"/>
    <w:rsid w:val="00081C8B"/>
    <w:rsid w:val="00083437"/>
    <w:rsid w:val="00084C8F"/>
    <w:rsid w:val="00085F57"/>
    <w:rsid w:val="00087072"/>
    <w:rsid w:val="00090E3C"/>
    <w:rsid w:val="000910EB"/>
    <w:rsid w:val="0009177D"/>
    <w:rsid w:val="00091BE6"/>
    <w:rsid w:val="00092D1D"/>
    <w:rsid w:val="00092F59"/>
    <w:rsid w:val="000932EA"/>
    <w:rsid w:val="000972A6"/>
    <w:rsid w:val="000A0120"/>
    <w:rsid w:val="000A016A"/>
    <w:rsid w:val="000A03C0"/>
    <w:rsid w:val="000A12BA"/>
    <w:rsid w:val="000A136B"/>
    <w:rsid w:val="000A2E06"/>
    <w:rsid w:val="000A3312"/>
    <w:rsid w:val="000A76D6"/>
    <w:rsid w:val="000B0B5D"/>
    <w:rsid w:val="000B117A"/>
    <w:rsid w:val="000B1B95"/>
    <w:rsid w:val="000B5771"/>
    <w:rsid w:val="000B7C83"/>
    <w:rsid w:val="000C0E19"/>
    <w:rsid w:val="000C0E60"/>
    <w:rsid w:val="000C269F"/>
    <w:rsid w:val="000C3053"/>
    <w:rsid w:val="000C3B1B"/>
    <w:rsid w:val="000C4CF9"/>
    <w:rsid w:val="000C4E8F"/>
    <w:rsid w:val="000C5176"/>
    <w:rsid w:val="000C51DF"/>
    <w:rsid w:val="000C58DC"/>
    <w:rsid w:val="000C6BA9"/>
    <w:rsid w:val="000C7B31"/>
    <w:rsid w:val="000D51CF"/>
    <w:rsid w:val="000D575A"/>
    <w:rsid w:val="000D5F39"/>
    <w:rsid w:val="000D6BDB"/>
    <w:rsid w:val="000E2BEA"/>
    <w:rsid w:val="000E2C13"/>
    <w:rsid w:val="000E4C5F"/>
    <w:rsid w:val="000E4DFD"/>
    <w:rsid w:val="000E52CA"/>
    <w:rsid w:val="000E58E8"/>
    <w:rsid w:val="000E5FC4"/>
    <w:rsid w:val="000F327C"/>
    <w:rsid w:val="000F40C6"/>
    <w:rsid w:val="000F7F63"/>
    <w:rsid w:val="001010ED"/>
    <w:rsid w:val="0010211D"/>
    <w:rsid w:val="00103D45"/>
    <w:rsid w:val="001047C3"/>
    <w:rsid w:val="00104E3F"/>
    <w:rsid w:val="00105DE1"/>
    <w:rsid w:val="00107C05"/>
    <w:rsid w:val="00110819"/>
    <w:rsid w:val="00111EC4"/>
    <w:rsid w:val="00113283"/>
    <w:rsid w:val="001140BE"/>
    <w:rsid w:val="00114A1F"/>
    <w:rsid w:val="001176FE"/>
    <w:rsid w:val="00121A72"/>
    <w:rsid w:val="0012344F"/>
    <w:rsid w:val="00124FA6"/>
    <w:rsid w:val="00125A3B"/>
    <w:rsid w:val="00125C64"/>
    <w:rsid w:val="00126883"/>
    <w:rsid w:val="00127D40"/>
    <w:rsid w:val="00131421"/>
    <w:rsid w:val="001314A0"/>
    <w:rsid w:val="00131625"/>
    <w:rsid w:val="001333B3"/>
    <w:rsid w:val="0013683B"/>
    <w:rsid w:val="0013741B"/>
    <w:rsid w:val="00137452"/>
    <w:rsid w:val="0013760E"/>
    <w:rsid w:val="001400EC"/>
    <w:rsid w:val="0014037A"/>
    <w:rsid w:val="00141921"/>
    <w:rsid w:val="00142335"/>
    <w:rsid w:val="001425FB"/>
    <w:rsid w:val="00143E49"/>
    <w:rsid w:val="00144D7C"/>
    <w:rsid w:val="001454E0"/>
    <w:rsid w:val="0014770B"/>
    <w:rsid w:val="0015199D"/>
    <w:rsid w:val="00157006"/>
    <w:rsid w:val="00161466"/>
    <w:rsid w:val="00162A85"/>
    <w:rsid w:val="00162D0E"/>
    <w:rsid w:val="00163DB2"/>
    <w:rsid w:val="00165C83"/>
    <w:rsid w:val="0016632B"/>
    <w:rsid w:val="00167757"/>
    <w:rsid w:val="00170855"/>
    <w:rsid w:val="00173D86"/>
    <w:rsid w:val="00174226"/>
    <w:rsid w:val="001758B6"/>
    <w:rsid w:val="00176368"/>
    <w:rsid w:val="001770B9"/>
    <w:rsid w:val="00177715"/>
    <w:rsid w:val="00180809"/>
    <w:rsid w:val="0018380A"/>
    <w:rsid w:val="00183AD1"/>
    <w:rsid w:val="0018409F"/>
    <w:rsid w:val="0018435D"/>
    <w:rsid w:val="001844F1"/>
    <w:rsid w:val="00184598"/>
    <w:rsid w:val="0018463F"/>
    <w:rsid w:val="0019169B"/>
    <w:rsid w:val="00194879"/>
    <w:rsid w:val="001949BD"/>
    <w:rsid w:val="00194BB1"/>
    <w:rsid w:val="00195001"/>
    <w:rsid w:val="00196F22"/>
    <w:rsid w:val="0019786A"/>
    <w:rsid w:val="001A3E44"/>
    <w:rsid w:val="001A679B"/>
    <w:rsid w:val="001B0DA6"/>
    <w:rsid w:val="001B1EE2"/>
    <w:rsid w:val="001B6AEF"/>
    <w:rsid w:val="001B71D1"/>
    <w:rsid w:val="001C0709"/>
    <w:rsid w:val="001C1002"/>
    <w:rsid w:val="001C1DA2"/>
    <w:rsid w:val="001C3F57"/>
    <w:rsid w:val="001C53E6"/>
    <w:rsid w:val="001C5623"/>
    <w:rsid w:val="001C5707"/>
    <w:rsid w:val="001D03B6"/>
    <w:rsid w:val="001D1EBA"/>
    <w:rsid w:val="001D2739"/>
    <w:rsid w:val="001D300F"/>
    <w:rsid w:val="001D31F5"/>
    <w:rsid w:val="001D3CDE"/>
    <w:rsid w:val="001D592E"/>
    <w:rsid w:val="001D5F69"/>
    <w:rsid w:val="001D615E"/>
    <w:rsid w:val="001D623C"/>
    <w:rsid w:val="001D6B31"/>
    <w:rsid w:val="001D7EF0"/>
    <w:rsid w:val="001E0F9A"/>
    <w:rsid w:val="001E19DC"/>
    <w:rsid w:val="001E2A39"/>
    <w:rsid w:val="001E513C"/>
    <w:rsid w:val="001E545F"/>
    <w:rsid w:val="001E5C20"/>
    <w:rsid w:val="001E689A"/>
    <w:rsid w:val="001E7909"/>
    <w:rsid w:val="001F3F13"/>
    <w:rsid w:val="001F40A5"/>
    <w:rsid w:val="001F54A1"/>
    <w:rsid w:val="001F7CBF"/>
    <w:rsid w:val="002001A9"/>
    <w:rsid w:val="002008A3"/>
    <w:rsid w:val="00202260"/>
    <w:rsid w:val="00202A52"/>
    <w:rsid w:val="00203F54"/>
    <w:rsid w:val="00206783"/>
    <w:rsid w:val="002079FD"/>
    <w:rsid w:val="00210A5A"/>
    <w:rsid w:val="00211D64"/>
    <w:rsid w:val="00211FBB"/>
    <w:rsid w:val="00213DA1"/>
    <w:rsid w:val="00216034"/>
    <w:rsid w:val="002160C6"/>
    <w:rsid w:val="002176DF"/>
    <w:rsid w:val="00217F28"/>
    <w:rsid w:val="0022341A"/>
    <w:rsid w:val="002247E7"/>
    <w:rsid w:val="0022546E"/>
    <w:rsid w:val="00226B42"/>
    <w:rsid w:val="00226F56"/>
    <w:rsid w:val="00227310"/>
    <w:rsid w:val="00230B91"/>
    <w:rsid w:val="00231B23"/>
    <w:rsid w:val="00231E88"/>
    <w:rsid w:val="00233678"/>
    <w:rsid w:val="00233A6A"/>
    <w:rsid w:val="00234902"/>
    <w:rsid w:val="00234BCB"/>
    <w:rsid w:val="0023549E"/>
    <w:rsid w:val="002356DD"/>
    <w:rsid w:val="0024050B"/>
    <w:rsid w:val="002411E5"/>
    <w:rsid w:val="00242777"/>
    <w:rsid w:val="00242D22"/>
    <w:rsid w:val="00244B4F"/>
    <w:rsid w:val="00246D50"/>
    <w:rsid w:val="00247549"/>
    <w:rsid w:val="00251ECD"/>
    <w:rsid w:val="002528CF"/>
    <w:rsid w:val="0025449D"/>
    <w:rsid w:val="00254F45"/>
    <w:rsid w:val="002568D2"/>
    <w:rsid w:val="002620BD"/>
    <w:rsid w:val="00262E30"/>
    <w:rsid w:val="002655D6"/>
    <w:rsid w:val="00267FAB"/>
    <w:rsid w:val="00270FD2"/>
    <w:rsid w:val="00271845"/>
    <w:rsid w:val="00273D8B"/>
    <w:rsid w:val="002746E1"/>
    <w:rsid w:val="00276DF4"/>
    <w:rsid w:val="00281883"/>
    <w:rsid w:val="00282AB8"/>
    <w:rsid w:val="00282D62"/>
    <w:rsid w:val="00282DA6"/>
    <w:rsid w:val="00283779"/>
    <w:rsid w:val="00283CA5"/>
    <w:rsid w:val="00284210"/>
    <w:rsid w:val="00284221"/>
    <w:rsid w:val="00284F77"/>
    <w:rsid w:val="002850A7"/>
    <w:rsid w:val="00285563"/>
    <w:rsid w:val="0028636D"/>
    <w:rsid w:val="00287B1B"/>
    <w:rsid w:val="0029040B"/>
    <w:rsid w:val="00291A19"/>
    <w:rsid w:val="00292AF2"/>
    <w:rsid w:val="00293C1A"/>
    <w:rsid w:val="00294DB4"/>
    <w:rsid w:val="00297134"/>
    <w:rsid w:val="00297176"/>
    <w:rsid w:val="002A00EE"/>
    <w:rsid w:val="002A2439"/>
    <w:rsid w:val="002A4091"/>
    <w:rsid w:val="002A47F5"/>
    <w:rsid w:val="002A6C97"/>
    <w:rsid w:val="002A76ED"/>
    <w:rsid w:val="002A7B92"/>
    <w:rsid w:val="002B0207"/>
    <w:rsid w:val="002B527F"/>
    <w:rsid w:val="002B60A9"/>
    <w:rsid w:val="002B6993"/>
    <w:rsid w:val="002B78CB"/>
    <w:rsid w:val="002C1BD9"/>
    <w:rsid w:val="002C3C22"/>
    <w:rsid w:val="002C491A"/>
    <w:rsid w:val="002C4F7B"/>
    <w:rsid w:val="002C681D"/>
    <w:rsid w:val="002D1DF7"/>
    <w:rsid w:val="002D3335"/>
    <w:rsid w:val="002D5571"/>
    <w:rsid w:val="002D6B6A"/>
    <w:rsid w:val="002E0A91"/>
    <w:rsid w:val="002E13BF"/>
    <w:rsid w:val="002E1E64"/>
    <w:rsid w:val="002E1FD0"/>
    <w:rsid w:val="002E2AC9"/>
    <w:rsid w:val="002E36B9"/>
    <w:rsid w:val="002E5FD7"/>
    <w:rsid w:val="002E67AF"/>
    <w:rsid w:val="002E6D0E"/>
    <w:rsid w:val="002F0283"/>
    <w:rsid w:val="002F02B5"/>
    <w:rsid w:val="002F107B"/>
    <w:rsid w:val="002F23D6"/>
    <w:rsid w:val="002F24C7"/>
    <w:rsid w:val="002F3F38"/>
    <w:rsid w:val="002F42CF"/>
    <w:rsid w:val="002F66DE"/>
    <w:rsid w:val="002F6AD2"/>
    <w:rsid w:val="00300283"/>
    <w:rsid w:val="00301B5E"/>
    <w:rsid w:val="003020C9"/>
    <w:rsid w:val="00303108"/>
    <w:rsid w:val="00307109"/>
    <w:rsid w:val="003077EE"/>
    <w:rsid w:val="003102CD"/>
    <w:rsid w:val="0031089A"/>
    <w:rsid w:val="00310B2F"/>
    <w:rsid w:val="00313A8D"/>
    <w:rsid w:val="003151C7"/>
    <w:rsid w:val="003166BB"/>
    <w:rsid w:val="00317B82"/>
    <w:rsid w:val="00317E04"/>
    <w:rsid w:val="00322352"/>
    <w:rsid w:val="003264C0"/>
    <w:rsid w:val="0032661F"/>
    <w:rsid w:val="0032724F"/>
    <w:rsid w:val="00330F97"/>
    <w:rsid w:val="00331313"/>
    <w:rsid w:val="00332D77"/>
    <w:rsid w:val="00332E0A"/>
    <w:rsid w:val="003361A2"/>
    <w:rsid w:val="00337B26"/>
    <w:rsid w:val="003410CF"/>
    <w:rsid w:val="00342089"/>
    <w:rsid w:val="00343112"/>
    <w:rsid w:val="0034347A"/>
    <w:rsid w:val="003479AB"/>
    <w:rsid w:val="00350BE6"/>
    <w:rsid w:val="00352481"/>
    <w:rsid w:val="003524C6"/>
    <w:rsid w:val="003527B2"/>
    <w:rsid w:val="00352B6E"/>
    <w:rsid w:val="00352E25"/>
    <w:rsid w:val="00353F37"/>
    <w:rsid w:val="003545BD"/>
    <w:rsid w:val="00355AB3"/>
    <w:rsid w:val="00356BBE"/>
    <w:rsid w:val="00356D08"/>
    <w:rsid w:val="00362428"/>
    <w:rsid w:val="00362699"/>
    <w:rsid w:val="003641BB"/>
    <w:rsid w:val="00365F65"/>
    <w:rsid w:val="0036636F"/>
    <w:rsid w:val="00373A9B"/>
    <w:rsid w:val="00374427"/>
    <w:rsid w:val="00375E40"/>
    <w:rsid w:val="00376C5B"/>
    <w:rsid w:val="00376E63"/>
    <w:rsid w:val="00380786"/>
    <w:rsid w:val="00382822"/>
    <w:rsid w:val="00382BFE"/>
    <w:rsid w:val="00382DA9"/>
    <w:rsid w:val="00382E20"/>
    <w:rsid w:val="00383894"/>
    <w:rsid w:val="003849B5"/>
    <w:rsid w:val="00385448"/>
    <w:rsid w:val="003859A0"/>
    <w:rsid w:val="003904C1"/>
    <w:rsid w:val="00391A17"/>
    <w:rsid w:val="003925D2"/>
    <w:rsid w:val="0039310C"/>
    <w:rsid w:val="00394778"/>
    <w:rsid w:val="003A2AD1"/>
    <w:rsid w:val="003A4F3D"/>
    <w:rsid w:val="003A69BF"/>
    <w:rsid w:val="003A6DDF"/>
    <w:rsid w:val="003B2853"/>
    <w:rsid w:val="003B323D"/>
    <w:rsid w:val="003B3727"/>
    <w:rsid w:val="003B430A"/>
    <w:rsid w:val="003B439C"/>
    <w:rsid w:val="003B5E8C"/>
    <w:rsid w:val="003B63D7"/>
    <w:rsid w:val="003B7693"/>
    <w:rsid w:val="003C000F"/>
    <w:rsid w:val="003C36BF"/>
    <w:rsid w:val="003C3D45"/>
    <w:rsid w:val="003C43BA"/>
    <w:rsid w:val="003C4D16"/>
    <w:rsid w:val="003C4F40"/>
    <w:rsid w:val="003D19B9"/>
    <w:rsid w:val="003D29D1"/>
    <w:rsid w:val="003D45FB"/>
    <w:rsid w:val="003D4969"/>
    <w:rsid w:val="003D6DC4"/>
    <w:rsid w:val="003E07A7"/>
    <w:rsid w:val="003E0885"/>
    <w:rsid w:val="003E0B7A"/>
    <w:rsid w:val="003E3040"/>
    <w:rsid w:val="003E32D9"/>
    <w:rsid w:val="003E40A6"/>
    <w:rsid w:val="003E4525"/>
    <w:rsid w:val="003E6281"/>
    <w:rsid w:val="003E7CE8"/>
    <w:rsid w:val="003F3A1F"/>
    <w:rsid w:val="003F48DD"/>
    <w:rsid w:val="003F6920"/>
    <w:rsid w:val="003F75E9"/>
    <w:rsid w:val="00400208"/>
    <w:rsid w:val="004002F5"/>
    <w:rsid w:val="00400424"/>
    <w:rsid w:val="00403CA2"/>
    <w:rsid w:val="00403DBF"/>
    <w:rsid w:val="00404506"/>
    <w:rsid w:val="00404B92"/>
    <w:rsid w:val="00405ED1"/>
    <w:rsid w:val="004060C0"/>
    <w:rsid w:val="004064C4"/>
    <w:rsid w:val="004068B2"/>
    <w:rsid w:val="0040722C"/>
    <w:rsid w:val="0041033A"/>
    <w:rsid w:val="004146A5"/>
    <w:rsid w:val="004152B1"/>
    <w:rsid w:val="0041538B"/>
    <w:rsid w:val="00416F39"/>
    <w:rsid w:val="0042099A"/>
    <w:rsid w:val="004277FB"/>
    <w:rsid w:val="00431507"/>
    <w:rsid w:val="004318D4"/>
    <w:rsid w:val="00435B19"/>
    <w:rsid w:val="004361CE"/>
    <w:rsid w:val="004410BF"/>
    <w:rsid w:val="00441322"/>
    <w:rsid w:val="0044411A"/>
    <w:rsid w:val="00445BD4"/>
    <w:rsid w:val="00447709"/>
    <w:rsid w:val="00447F4E"/>
    <w:rsid w:val="004503DD"/>
    <w:rsid w:val="00452FA0"/>
    <w:rsid w:val="004534A8"/>
    <w:rsid w:val="0045609E"/>
    <w:rsid w:val="004573AB"/>
    <w:rsid w:val="00460F47"/>
    <w:rsid w:val="00467325"/>
    <w:rsid w:val="00475AE5"/>
    <w:rsid w:val="00477FCB"/>
    <w:rsid w:val="00481430"/>
    <w:rsid w:val="00481EC1"/>
    <w:rsid w:val="004851E2"/>
    <w:rsid w:val="00486B44"/>
    <w:rsid w:val="00487145"/>
    <w:rsid w:val="00494140"/>
    <w:rsid w:val="0049418B"/>
    <w:rsid w:val="00494370"/>
    <w:rsid w:val="0049477A"/>
    <w:rsid w:val="00494E1E"/>
    <w:rsid w:val="00495B1C"/>
    <w:rsid w:val="004973B1"/>
    <w:rsid w:val="004A0499"/>
    <w:rsid w:val="004A09A0"/>
    <w:rsid w:val="004A1863"/>
    <w:rsid w:val="004A3566"/>
    <w:rsid w:val="004A3636"/>
    <w:rsid w:val="004A428B"/>
    <w:rsid w:val="004A4C4D"/>
    <w:rsid w:val="004A548F"/>
    <w:rsid w:val="004A58BA"/>
    <w:rsid w:val="004A5C48"/>
    <w:rsid w:val="004A7821"/>
    <w:rsid w:val="004B146B"/>
    <w:rsid w:val="004B3AB4"/>
    <w:rsid w:val="004C32B1"/>
    <w:rsid w:val="004C5658"/>
    <w:rsid w:val="004C7A62"/>
    <w:rsid w:val="004D0C63"/>
    <w:rsid w:val="004D1D5E"/>
    <w:rsid w:val="004D1FC2"/>
    <w:rsid w:val="004D3BAF"/>
    <w:rsid w:val="004D538D"/>
    <w:rsid w:val="004E0458"/>
    <w:rsid w:val="004E1DE3"/>
    <w:rsid w:val="004E4C0D"/>
    <w:rsid w:val="004E66B7"/>
    <w:rsid w:val="004E7A0B"/>
    <w:rsid w:val="004F02AB"/>
    <w:rsid w:val="004F03CD"/>
    <w:rsid w:val="004F0A83"/>
    <w:rsid w:val="004F1204"/>
    <w:rsid w:val="004F2D00"/>
    <w:rsid w:val="004F45F2"/>
    <w:rsid w:val="00500399"/>
    <w:rsid w:val="00500925"/>
    <w:rsid w:val="00501060"/>
    <w:rsid w:val="005055FD"/>
    <w:rsid w:val="00506573"/>
    <w:rsid w:val="00506636"/>
    <w:rsid w:val="00511306"/>
    <w:rsid w:val="00512B33"/>
    <w:rsid w:val="00512E0F"/>
    <w:rsid w:val="00517FC3"/>
    <w:rsid w:val="00523450"/>
    <w:rsid w:val="005265AC"/>
    <w:rsid w:val="0052733F"/>
    <w:rsid w:val="00527546"/>
    <w:rsid w:val="00531D04"/>
    <w:rsid w:val="00532253"/>
    <w:rsid w:val="00535C60"/>
    <w:rsid w:val="00537DC2"/>
    <w:rsid w:val="00540CDA"/>
    <w:rsid w:val="005417DB"/>
    <w:rsid w:val="005437C9"/>
    <w:rsid w:val="00546036"/>
    <w:rsid w:val="00546D93"/>
    <w:rsid w:val="005504F7"/>
    <w:rsid w:val="005510B2"/>
    <w:rsid w:val="0055164D"/>
    <w:rsid w:val="00557EA7"/>
    <w:rsid w:val="005614F6"/>
    <w:rsid w:val="00563369"/>
    <w:rsid w:val="005634C5"/>
    <w:rsid w:val="005635AE"/>
    <w:rsid w:val="00564757"/>
    <w:rsid w:val="005659C6"/>
    <w:rsid w:val="005706D7"/>
    <w:rsid w:val="00573CA9"/>
    <w:rsid w:val="005758A9"/>
    <w:rsid w:val="0057718E"/>
    <w:rsid w:val="0058049E"/>
    <w:rsid w:val="0058117E"/>
    <w:rsid w:val="005814CE"/>
    <w:rsid w:val="005837FE"/>
    <w:rsid w:val="005844B4"/>
    <w:rsid w:val="00584A72"/>
    <w:rsid w:val="005874DC"/>
    <w:rsid w:val="00587A10"/>
    <w:rsid w:val="00592AC5"/>
    <w:rsid w:val="0059619E"/>
    <w:rsid w:val="00597AFB"/>
    <w:rsid w:val="00597D8B"/>
    <w:rsid w:val="005A144F"/>
    <w:rsid w:val="005A263A"/>
    <w:rsid w:val="005A3FAF"/>
    <w:rsid w:val="005A54AC"/>
    <w:rsid w:val="005A5C82"/>
    <w:rsid w:val="005A60FD"/>
    <w:rsid w:val="005A750F"/>
    <w:rsid w:val="005B0F1D"/>
    <w:rsid w:val="005B36B3"/>
    <w:rsid w:val="005B412A"/>
    <w:rsid w:val="005B4494"/>
    <w:rsid w:val="005B517A"/>
    <w:rsid w:val="005B550E"/>
    <w:rsid w:val="005C1634"/>
    <w:rsid w:val="005C42D5"/>
    <w:rsid w:val="005C4531"/>
    <w:rsid w:val="005C6443"/>
    <w:rsid w:val="005D26AA"/>
    <w:rsid w:val="005D47A0"/>
    <w:rsid w:val="005D7820"/>
    <w:rsid w:val="005E206C"/>
    <w:rsid w:val="005E2199"/>
    <w:rsid w:val="005E618A"/>
    <w:rsid w:val="005F18E1"/>
    <w:rsid w:val="005F42A4"/>
    <w:rsid w:val="005F55C2"/>
    <w:rsid w:val="005F5C14"/>
    <w:rsid w:val="0060095F"/>
    <w:rsid w:val="00601FF3"/>
    <w:rsid w:val="00602123"/>
    <w:rsid w:val="00602EAD"/>
    <w:rsid w:val="00606650"/>
    <w:rsid w:val="00607115"/>
    <w:rsid w:val="006074F1"/>
    <w:rsid w:val="006075F5"/>
    <w:rsid w:val="00607A35"/>
    <w:rsid w:val="00611B4C"/>
    <w:rsid w:val="00612943"/>
    <w:rsid w:val="00612E99"/>
    <w:rsid w:val="00621CDD"/>
    <w:rsid w:val="00623309"/>
    <w:rsid w:val="0062382F"/>
    <w:rsid w:val="00623BC3"/>
    <w:rsid w:val="00624762"/>
    <w:rsid w:val="0062497F"/>
    <w:rsid w:val="00625555"/>
    <w:rsid w:val="00626E0C"/>
    <w:rsid w:val="006302DA"/>
    <w:rsid w:val="00630730"/>
    <w:rsid w:val="0063108C"/>
    <w:rsid w:val="00632093"/>
    <w:rsid w:val="00632535"/>
    <w:rsid w:val="0063388E"/>
    <w:rsid w:val="00633B6C"/>
    <w:rsid w:val="00634140"/>
    <w:rsid w:val="006343D0"/>
    <w:rsid w:val="0063611B"/>
    <w:rsid w:val="00636820"/>
    <w:rsid w:val="00640080"/>
    <w:rsid w:val="00640504"/>
    <w:rsid w:val="00640C1F"/>
    <w:rsid w:val="00643A6C"/>
    <w:rsid w:val="00644217"/>
    <w:rsid w:val="00645829"/>
    <w:rsid w:val="006463A4"/>
    <w:rsid w:val="006476EB"/>
    <w:rsid w:val="006508CF"/>
    <w:rsid w:val="00650919"/>
    <w:rsid w:val="006511A6"/>
    <w:rsid w:val="0065170F"/>
    <w:rsid w:val="00651F0B"/>
    <w:rsid w:val="00651F32"/>
    <w:rsid w:val="00652421"/>
    <w:rsid w:val="006534CA"/>
    <w:rsid w:val="006557B9"/>
    <w:rsid w:val="00656A97"/>
    <w:rsid w:val="00660B6D"/>
    <w:rsid w:val="0066117D"/>
    <w:rsid w:val="00661C84"/>
    <w:rsid w:val="00661E7A"/>
    <w:rsid w:val="00662A6A"/>
    <w:rsid w:val="006630F2"/>
    <w:rsid w:val="00663168"/>
    <w:rsid w:val="00665417"/>
    <w:rsid w:val="00667D9C"/>
    <w:rsid w:val="00670771"/>
    <w:rsid w:val="00671028"/>
    <w:rsid w:val="00671C21"/>
    <w:rsid w:val="00673203"/>
    <w:rsid w:val="00674F0E"/>
    <w:rsid w:val="00675BAA"/>
    <w:rsid w:val="0067644E"/>
    <w:rsid w:val="0067652F"/>
    <w:rsid w:val="006766F7"/>
    <w:rsid w:val="00677546"/>
    <w:rsid w:val="00684C29"/>
    <w:rsid w:val="00686152"/>
    <w:rsid w:val="00693CEE"/>
    <w:rsid w:val="0069494B"/>
    <w:rsid w:val="0069547E"/>
    <w:rsid w:val="00696600"/>
    <w:rsid w:val="0069687D"/>
    <w:rsid w:val="006A05A9"/>
    <w:rsid w:val="006A0840"/>
    <w:rsid w:val="006A39A0"/>
    <w:rsid w:val="006A5B5E"/>
    <w:rsid w:val="006A67D3"/>
    <w:rsid w:val="006A6BE1"/>
    <w:rsid w:val="006A7F19"/>
    <w:rsid w:val="006B2DC2"/>
    <w:rsid w:val="006B3D0E"/>
    <w:rsid w:val="006B424F"/>
    <w:rsid w:val="006B52CE"/>
    <w:rsid w:val="006B53FB"/>
    <w:rsid w:val="006B73B5"/>
    <w:rsid w:val="006C1484"/>
    <w:rsid w:val="006C259F"/>
    <w:rsid w:val="006C5BB8"/>
    <w:rsid w:val="006C5EDC"/>
    <w:rsid w:val="006C67B9"/>
    <w:rsid w:val="006C6D0C"/>
    <w:rsid w:val="006C6E85"/>
    <w:rsid w:val="006C71D8"/>
    <w:rsid w:val="006C728F"/>
    <w:rsid w:val="006D0A1E"/>
    <w:rsid w:val="006D0AC2"/>
    <w:rsid w:val="006D0EB3"/>
    <w:rsid w:val="006D1014"/>
    <w:rsid w:val="006D17A8"/>
    <w:rsid w:val="006D1868"/>
    <w:rsid w:val="006D1BCC"/>
    <w:rsid w:val="006D1D6A"/>
    <w:rsid w:val="006D2507"/>
    <w:rsid w:val="006D44A6"/>
    <w:rsid w:val="006D4F4A"/>
    <w:rsid w:val="006D6E4D"/>
    <w:rsid w:val="006E19D0"/>
    <w:rsid w:val="006E388F"/>
    <w:rsid w:val="006E3D8C"/>
    <w:rsid w:val="006E50A0"/>
    <w:rsid w:val="006E66B8"/>
    <w:rsid w:val="006E66CF"/>
    <w:rsid w:val="006E6A80"/>
    <w:rsid w:val="006E6CCC"/>
    <w:rsid w:val="006E7C69"/>
    <w:rsid w:val="006F0FCD"/>
    <w:rsid w:val="006F186E"/>
    <w:rsid w:val="006F1B31"/>
    <w:rsid w:val="006F2145"/>
    <w:rsid w:val="006F2318"/>
    <w:rsid w:val="006F273D"/>
    <w:rsid w:val="006F4999"/>
    <w:rsid w:val="006F567A"/>
    <w:rsid w:val="006F5D11"/>
    <w:rsid w:val="00700240"/>
    <w:rsid w:val="0070141A"/>
    <w:rsid w:val="00701574"/>
    <w:rsid w:val="00703592"/>
    <w:rsid w:val="00707035"/>
    <w:rsid w:val="007136CA"/>
    <w:rsid w:val="00715095"/>
    <w:rsid w:val="007152C7"/>
    <w:rsid w:val="0072092E"/>
    <w:rsid w:val="007221E6"/>
    <w:rsid w:val="007242F8"/>
    <w:rsid w:val="0072489C"/>
    <w:rsid w:val="00724F09"/>
    <w:rsid w:val="00725A30"/>
    <w:rsid w:val="007279DD"/>
    <w:rsid w:val="007308D3"/>
    <w:rsid w:val="00730B48"/>
    <w:rsid w:val="007312E2"/>
    <w:rsid w:val="0073163C"/>
    <w:rsid w:val="00736AE9"/>
    <w:rsid w:val="00737082"/>
    <w:rsid w:val="00737982"/>
    <w:rsid w:val="00740A58"/>
    <w:rsid w:val="0074253C"/>
    <w:rsid w:val="00742F90"/>
    <w:rsid w:val="007440BF"/>
    <w:rsid w:val="0074488A"/>
    <w:rsid w:val="007528F6"/>
    <w:rsid w:val="00753007"/>
    <w:rsid w:val="007547C7"/>
    <w:rsid w:val="00755E81"/>
    <w:rsid w:val="007560C1"/>
    <w:rsid w:val="00757903"/>
    <w:rsid w:val="00757AA1"/>
    <w:rsid w:val="00757C78"/>
    <w:rsid w:val="00757DDC"/>
    <w:rsid w:val="007608DA"/>
    <w:rsid w:val="007614CB"/>
    <w:rsid w:val="007630FE"/>
    <w:rsid w:val="0076565A"/>
    <w:rsid w:val="007659A6"/>
    <w:rsid w:val="00766461"/>
    <w:rsid w:val="007703D3"/>
    <w:rsid w:val="0077349A"/>
    <w:rsid w:val="0077362A"/>
    <w:rsid w:val="00775D89"/>
    <w:rsid w:val="00783FAD"/>
    <w:rsid w:val="00783FB2"/>
    <w:rsid w:val="0078588C"/>
    <w:rsid w:val="00786AF2"/>
    <w:rsid w:val="00791A54"/>
    <w:rsid w:val="00791D94"/>
    <w:rsid w:val="00795E59"/>
    <w:rsid w:val="007A0A6A"/>
    <w:rsid w:val="007A0FFD"/>
    <w:rsid w:val="007A11D1"/>
    <w:rsid w:val="007A2FB9"/>
    <w:rsid w:val="007A3048"/>
    <w:rsid w:val="007A4532"/>
    <w:rsid w:val="007A4B42"/>
    <w:rsid w:val="007A7214"/>
    <w:rsid w:val="007B1BEB"/>
    <w:rsid w:val="007B313B"/>
    <w:rsid w:val="007B5BC5"/>
    <w:rsid w:val="007C10BF"/>
    <w:rsid w:val="007C1346"/>
    <w:rsid w:val="007C2DB6"/>
    <w:rsid w:val="007C2F47"/>
    <w:rsid w:val="007C68A9"/>
    <w:rsid w:val="007D1A3F"/>
    <w:rsid w:val="007D4218"/>
    <w:rsid w:val="007D4273"/>
    <w:rsid w:val="007D677C"/>
    <w:rsid w:val="007D7EEB"/>
    <w:rsid w:val="007E1442"/>
    <w:rsid w:val="007E424C"/>
    <w:rsid w:val="007E528D"/>
    <w:rsid w:val="007E6334"/>
    <w:rsid w:val="007E7277"/>
    <w:rsid w:val="007F12C6"/>
    <w:rsid w:val="007F2926"/>
    <w:rsid w:val="007F3494"/>
    <w:rsid w:val="007F3CB6"/>
    <w:rsid w:val="007F48C9"/>
    <w:rsid w:val="007F6FA9"/>
    <w:rsid w:val="008034D9"/>
    <w:rsid w:val="008067E5"/>
    <w:rsid w:val="008132C7"/>
    <w:rsid w:val="0081336D"/>
    <w:rsid w:val="0081416A"/>
    <w:rsid w:val="00817234"/>
    <w:rsid w:val="00821C0A"/>
    <w:rsid w:val="00824017"/>
    <w:rsid w:val="00824352"/>
    <w:rsid w:val="008245AC"/>
    <w:rsid w:val="00824C03"/>
    <w:rsid w:val="00825F9B"/>
    <w:rsid w:val="008263F1"/>
    <w:rsid w:val="00826C05"/>
    <w:rsid w:val="0082763D"/>
    <w:rsid w:val="00827871"/>
    <w:rsid w:val="00834E6F"/>
    <w:rsid w:val="00836549"/>
    <w:rsid w:val="008369A9"/>
    <w:rsid w:val="00836D3A"/>
    <w:rsid w:val="00847594"/>
    <w:rsid w:val="008478D0"/>
    <w:rsid w:val="0085135E"/>
    <w:rsid w:val="00853EB1"/>
    <w:rsid w:val="0085708D"/>
    <w:rsid w:val="008643EF"/>
    <w:rsid w:val="008702B8"/>
    <w:rsid w:val="008715CF"/>
    <w:rsid w:val="00871AE0"/>
    <w:rsid w:val="008743FC"/>
    <w:rsid w:val="00874AC1"/>
    <w:rsid w:val="0087663E"/>
    <w:rsid w:val="00880481"/>
    <w:rsid w:val="00881638"/>
    <w:rsid w:val="00881FD9"/>
    <w:rsid w:val="008826DC"/>
    <w:rsid w:val="00883907"/>
    <w:rsid w:val="00892C06"/>
    <w:rsid w:val="00894BD9"/>
    <w:rsid w:val="0089789B"/>
    <w:rsid w:val="00897C4A"/>
    <w:rsid w:val="008A1CAF"/>
    <w:rsid w:val="008A307F"/>
    <w:rsid w:val="008A4532"/>
    <w:rsid w:val="008A5D04"/>
    <w:rsid w:val="008A6BB8"/>
    <w:rsid w:val="008A7DCB"/>
    <w:rsid w:val="008B0EB4"/>
    <w:rsid w:val="008B1CC8"/>
    <w:rsid w:val="008B7111"/>
    <w:rsid w:val="008B71B8"/>
    <w:rsid w:val="008B79C8"/>
    <w:rsid w:val="008C1178"/>
    <w:rsid w:val="008C15DD"/>
    <w:rsid w:val="008C1828"/>
    <w:rsid w:val="008C2493"/>
    <w:rsid w:val="008C2A39"/>
    <w:rsid w:val="008C4347"/>
    <w:rsid w:val="008C4FAB"/>
    <w:rsid w:val="008D077B"/>
    <w:rsid w:val="008D1DD8"/>
    <w:rsid w:val="008D2CA9"/>
    <w:rsid w:val="008D2E80"/>
    <w:rsid w:val="008D36BD"/>
    <w:rsid w:val="008D43E0"/>
    <w:rsid w:val="008D4EA1"/>
    <w:rsid w:val="008E29CB"/>
    <w:rsid w:val="008E3995"/>
    <w:rsid w:val="008E3AFE"/>
    <w:rsid w:val="008E3B3C"/>
    <w:rsid w:val="008E4166"/>
    <w:rsid w:val="008E4483"/>
    <w:rsid w:val="008E4EB4"/>
    <w:rsid w:val="008E5115"/>
    <w:rsid w:val="008E5F16"/>
    <w:rsid w:val="008E6A6D"/>
    <w:rsid w:val="008F1071"/>
    <w:rsid w:val="008F1BC1"/>
    <w:rsid w:val="008F50A1"/>
    <w:rsid w:val="008F5351"/>
    <w:rsid w:val="008F6C7B"/>
    <w:rsid w:val="00901095"/>
    <w:rsid w:val="0090227A"/>
    <w:rsid w:val="0090247C"/>
    <w:rsid w:val="009032D3"/>
    <w:rsid w:val="00903815"/>
    <w:rsid w:val="0090599E"/>
    <w:rsid w:val="00906411"/>
    <w:rsid w:val="00910FCB"/>
    <w:rsid w:val="00911A86"/>
    <w:rsid w:val="00912B6D"/>
    <w:rsid w:val="00912E94"/>
    <w:rsid w:val="009134D5"/>
    <w:rsid w:val="0091384E"/>
    <w:rsid w:val="009151D0"/>
    <w:rsid w:val="009151EA"/>
    <w:rsid w:val="009158BC"/>
    <w:rsid w:val="00921945"/>
    <w:rsid w:val="00921B0B"/>
    <w:rsid w:val="00923E9B"/>
    <w:rsid w:val="009249AB"/>
    <w:rsid w:val="009256CE"/>
    <w:rsid w:val="009267B3"/>
    <w:rsid w:val="009267C4"/>
    <w:rsid w:val="00932C0B"/>
    <w:rsid w:val="00932DD4"/>
    <w:rsid w:val="00933419"/>
    <w:rsid w:val="00934107"/>
    <w:rsid w:val="00934DCA"/>
    <w:rsid w:val="0093592B"/>
    <w:rsid w:val="00940571"/>
    <w:rsid w:val="00940EDA"/>
    <w:rsid w:val="00941063"/>
    <w:rsid w:val="00941B65"/>
    <w:rsid w:val="009429F7"/>
    <w:rsid w:val="00943B1C"/>
    <w:rsid w:val="00944F98"/>
    <w:rsid w:val="00951025"/>
    <w:rsid w:val="00951D39"/>
    <w:rsid w:val="0095237D"/>
    <w:rsid w:val="00954759"/>
    <w:rsid w:val="00954F32"/>
    <w:rsid w:val="009553D8"/>
    <w:rsid w:val="00955E39"/>
    <w:rsid w:val="009573CC"/>
    <w:rsid w:val="00962C30"/>
    <w:rsid w:val="009635AE"/>
    <w:rsid w:val="0096444B"/>
    <w:rsid w:val="00964D39"/>
    <w:rsid w:val="00966963"/>
    <w:rsid w:val="00970A4B"/>
    <w:rsid w:val="00971875"/>
    <w:rsid w:val="00971C11"/>
    <w:rsid w:val="00971D3C"/>
    <w:rsid w:val="009769B3"/>
    <w:rsid w:val="009817A6"/>
    <w:rsid w:val="009820BB"/>
    <w:rsid w:val="00983503"/>
    <w:rsid w:val="00983F25"/>
    <w:rsid w:val="0098452C"/>
    <w:rsid w:val="0098556C"/>
    <w:rsid w:val="00985D52"/>
    <w:rsid w:val="00991E89"/>
    <w:rsid w:val="00992D23"/>
    <w:rsid w:val="0099484A"/>
    <w:rsid w:val="00994987"/>
    <w:rsid w:val="009A017B"/>
    <w:rsid w:val="009A07E5"/>
    <w:rsid w:val="009A0C25"/>
    <w:rsid w:val="009A3D9D"/>
    <w:rsid w:val="009A5F19"/>
    <w:rsid w:val="009A72CC"/>
    <w:rsid w:val="009A7BED"/>
    <w:rsid w:val="009B04FC"/>
    <w:rsid w:val="009B1C96"/>
    <w:rsid w:val="009B2CAD"/>
    <w:rsid w:val="009B2F65"/>
    <w:rsid w:val="009B4E88"/>
    <w:rsid w:val="009B56A4"/>
    <w:rsid w:val="009B66DD"/>
    <w:rsid w:val="009B674D"/>
    <w:rsid w:val="009C1663"/>
    <w:rsid w:val="009C2A65"/>
    <w:rsid w:val="009C2DE4"/>
    <w:rsid w:val="009C51DA"/>
    <w:rsid w:val="009C7568"/>
    <w:rsid w:val="009D058E"/>
    <w:rsid w:val="009D1F97"/>
    <w:rsid w:val="009D2470"/>
    <w:rsid w:val="009D28B2"/>
    <w:rsid w:val="009D3842"/>
    <w:rsid w:val="009D4E30"/>
    <w:rsid w:val="009D5221"/>
    <w:rsid w:val="009D6BB2"/>
    <w:rsid w:val="009D6FA0"/>
    <w:rsid w:val="009D75F1"/>
    <w:rsid w:val="009D794B"/>
    <w:rsid w:val="009D7F21"/>
    <w:rsid w:val="009E05EF"/>
    <w:rsid w:val="009E0D58"/>
    <w:rsid w:val="009E14DB"/>
    <w:rsid w:val="009E19D2"/>
    <w:rsid w:val="009E2A18"/>
    <w:rsid w:val="009E3BBC"/>
    <w:rsid w:val="009E407F"/>
    <w:rsid w:val="009E7E11"/>
    <w:rsid w:val="009F120C"/>
    <w:rsid w:val="009F1852"/>
    <w:rsid w:val="009F2139"/>
    <w:rsid w:val="009F612B"/>
    <w:rsid w:val="009F730F"/>
    <w:rsid w:val="009F782D"/>
    <w:rsid w:val="00A036B5"/>
    <w:rsid w:val="00A0798A"/>
    <w:rsid w:val="00A10119"/>
    <w:rsid w:val="00A1040B"/>
    <w:rsid w:val="00A10E73"/>
    <w:rsid w:val="00A111BF"/>
    <w:rsid w:val="00A11F33"/>
    <w:rsid w:val="00A124CE"/>
    <w:rsid w:val="00A13B8B"/>
    <w:rsid w:val="00A13FD1"/>
    <w:rsid w:val="00A1520F"/>
    <w:rsid w:val="00A15976"/>
    <w:rsid w:val="00A1630E"/>
    <w:rsid w:val="00A17EAF"/>
    <w:rsid w:val="00A22301"/>
    <w:rsid w:val="00A242D3"/>
    <w:rsid w:val="00A24BC7"/>
    <w:rsid w:val="00A25747"/>
    <w:rsid w:val="00A267B8"/>
    <w:rsid w:val="00A305DC"/>
    <w:rsid w:val="00A30662"/>
    <w:rsid w:val="00A3075A"/>
    <w:rsid w:val="00A32E09"/>
    <w:rsid w:val="00A32E46"/>
    <w:rsid w:val="00A33849"/>
    <w:rsid w:val="00A33D94"/>
    <w:rsid w:val="00A3455B"/>
    <w:rsid w:val="00A34701"/>
    <w:rsid w:val="00A373FA"/>
    <w:rsid w:val="00A378C5"/>
    <w:rsid w:val="00A4057A"/>
    <w:rsid w:val="00A40644"/>
    <w:rsid w:val="00A41317"/>
    <w:rsid w:val="00A41CEE"/>
    <w:rsid w:val="00A439CF"/>
    <w:rsid w:val="00A45B77"/>
    <w:rsid w:val="00A45C0E"/>
    <w:rsid w:val="00A45D37"/>
    <w:rsid w:val="00A45E90"/>
    <w:rsid w:val="00A461D5"/>
    <w:rsid w:val="00A46C52"/>
    <w:rsid w:val="00A5502A"/>
    <w:rsid w:val="00A55ECE"/>
    <w:rsid w:val="00A56EBF"/>
    <w:rsid w:val="00A60951"/>
    <w:rsid w:val="00A61CD7"/>
    <w:rsid w:val="00A61CE9"/>
    <w:rsid w:val="00A662BD"/>
    <w:rsid w:val="00A7529D"/>
    <w:rsid w:val="00A77D8E"/>
    <w:rsid w:val="00A77DD9"/>
    <w:rsid w:val="00A804A3"/>
    <w:rsid w:val="00A811E5"/>
    <w:rsid w:val="00A81CE6"/>
    <w:rsid w:val="00A85365"/>
    <w:rsid w:val="00A93FA7"/>
    <w:rsid w:val="00A94342"/>
    <w:rsid w:val="00A970D4"/>
    <w:rsid w:val="00AA19F3"/>
    <w:rsid w:val="00AA298B"/>
    <w:rsid w:val="00AA4AAF"/>
    <w:rsid w:val="00AA59F4"/>
    <w:rsid w:val="00AA65FB"/>
    <w:rsid w:val="00AA7FB2"/>
    <w:rsid w:val="00AB10AB"/>
    <w:rsid w:val="00AB19EE"/>
    <w:rsid w:val="00AB3D95"/>
    <w:rsid w:val="00AB5598"/>
    <w:rsid w:val="00AB5EB8"/>
    <w:rsid w:val="00AB5F7B"/>
    <w:rsid w:val="00AB6BFD"/>
    <w:rsid w:val="00AC1AC7"/>
    <w:rsid w:val="00AC2664"/>
    <w:rsid w:val="00AC2E81"/>
    <w:rsid w:val="00AC3CA8"/>
    <w:rsid w:val="00AC41AB"/>
    <w:rsid w:val="00AC4330"/>
    <w:rsid w:val="00AC4647"/>
    <w:rsid w:val="00AC7020"/>
    <w:rsid w:val="00AD0117"/>
    <w:rsid w:val="00AD1404"/>
    <w:rsid w:val="00AD1CD7"/>
    <w:rsid w:val="00AD42E4"/>
    <w:rsid w:val="00AD60E4"/>
    <w:rsid w:val="00AD7505"/>
    <w:rsid w:val="00AE31BC"/>
    <w:rsid w:val="00AE3430"/>
    <w:rsid w:val="00AE37B8"/>
    <w:rsid w:val="00AE5FD9"/>
    <w:rsid w:val="00AE79EC"/>
    <w:rsid w:val="00AF1274"/>
    <w:rsid w:val="00AF1575"/>
    <w:rsid w:val="00AF1630"/>
    <w:rsid w:val="00AF1E05"/>
    <w:rsid w:val="00AF55DB"/>
    <w:rsid w:val="00AF5FD6"/>
    <w:rsid w:val="00AF6A34"/>
    <w:rsid w:val="00B00026"/>
    <w:rsid w:val="00B00AC7"/>
    <w:rsid w:val="00B012D2"/>
    <w:rsid w:val="00B0137B"/>
    <w:rsid w:val="00B03EC9"/>
    <w:rsid w:val="00B04446"/>
    <w:rsid w:val="00B05672"/>
    <w:rsid w:val="00B06250"/>
    <w:rsid w:val="00B06E1F"/>
    <w:rsid w:val="00B07F55"/>
    <w:rsid w:val="00B1120F"/>
    <w:rsid w:val="00B12127"/>
    <w:rsid w:val="00B12A84"/>
    <w:rsid w:val="00B13636"/>
    <w:rsid w:val="00B136B1"/>
    <w:rsid w:val="00B138DD"/>
    <w:rsid w:val="00B13EE3"/>
    <w:rsid w:val="00B13F5A"/>
    <w:rsid w:val="00B179A6"/>
    <w:rsid w:val="00B2016E"/>
    <w:rsid w:val="00B25084"/>
    <w:rsid w:val="00B26E27"/>
    <w:rsid w:val="00B32763"/>
    <w:rsid w:val="00B342A5"/>
    <w:rsid w:val="00B35AA8"/>
    <w:rsid w:val="00B3674F"/>
    <w:rsid w:val="00B36CB7"/>
    <w:rsid w:val="00B37528"/>
    <w:rsid w:val="00B37716"/>
    <w:rsid w:val="00B4135E"/>
    <w:rsid w:val="00B4149B"/>
    <w:rsid w:val="00B421FC"/>
    <w:rsid w:val="00B42B16"/>
    <w:rsid w:val="00B43401"/>
    <w:rsid w:val="00B46984"/>
    <w:rsid w:val="00B5124E"/>
    <w:rsid w:val="00B51675"/>
    <w:rsid w:val="00B5249C"/>
    <w:rsid w:val="00B52E7D"/>
    <w:rsid w:val="00B5424E"/>
    <w:rsid w:val="00B57047"/>
    <w:rsid w:val="00B57E6C"/>
    <w:rsid w:val="00B57F55"/>
    <w:rsid w:val="00B60887"/>
    <w:rsid w:val="00B6228E"/>
    <w:rsid w:val="00B63630"/>
    <w:rsid w:val="00B6374A"/>
    <w:rsid w:val="00B66D8C"/>
    <w:rsid w:val="00B70568"/>
    <w:rsid w:val="00B7095A"/>
    <w:rsid w:val="00B74802"/>
    <w:rsid w:val="00B751C6"/>
    <w:rsid w:val="00B7539C"/>
    <w:rsid w:val="00B75DC5"/>
    <w:rsid w:val="00B8183B"/>
    <w:rsid w:val="00B82B41"/>
    <w:rsid w:val="00B82CB4"/>
    <w:rsid w:val="00B849D4"/>
    <w:rsid w:val="00B84D9C"/>
    <w:rsid w:val="00B87346"/>
    <w:rsid w:val="00B90457"/>
    <w:rsid w:val="00B9112C"/>
    <w:rsid w:val="00B93837"/>
    <w:rsid w:val="00B97759"/>
    <w:rsid w:val="00B97CD1"/>
    <w:rsid w:val="00BA0321"/>
    <w:rsid w:val="00BA153A"/>
    <w:rsid w:val="00BA261B"/>
    <w:rsid w:val="00BB0407"/>
    <w:rsid w:val="00BB35D3"/>
    <w:rsid w:val="00BB45C4"/>
    <w:rsid w:val="00BB51EE"/>
    <w:rsid w:val="00BB5819"/>
    <w:rsid w:val="00BB7794"/>
    <w:rsid w:val="00BB7902"/>
    <w:rsid w:val="00BC2D99"/>
    <w:rsid w:val="00BC3664"/>
    <w:rsid w:val="00BC3EE2"/>
    <w:rsid w:val="00BC6121"/>
    <w:rsid w:val="00BC65A6"/>
    <w:rsid w:val="00BC6EB5"/>
    <w:rsid w:val="00BC7B6D"/>
    <w:rsid w:val="00BD01E0"/>
    <w:rsid w:val="00BD11F7"/>
    <w:rsid w:val="00BD4E21"/>
    <w:rsid w:val="00BD51DF"/>
    <w:rsid w:val="00BE0656"/>
    <w:rsid w:val="00BE2146"/>
    <w:rsid w:val="00BE57AD"/>
    <w:rsid w:val="00BE58B5"/>
    <w:rsid w:val="00BE7200"/>
    <w:rsid w:val="00BE7690"/>
    <w:rsid w:val="00BE7E9A"/>
    <w:rsid w:val="00BF058B"/>
    <w:rsid w:val="00BF21DC"/>
    <w:rsid w:val="00BF5B72"/>
    <w:rsid w:val="00BF621B"/>
    <w:rsid w:val="00BF63F3"/>
    <w:rsid w:val="00C008E2"/>
    <w:rsid w:val="00C011BC"/>
    <w:rsid w:val="00C01E4A"/>
    <w:rsid w:val="00C025FC"/>
    <w:rsid w:val="00C03F49"/>
    <w:rsid w:val="00C04627"/>
    <w:rsid w:val="00C0467D"/>
    <w:rsid w:val="00C0580B"/>
    <w:rsid w:val="00C05F26"/>
    <w:rsid w:val="00C05FBA"/>
    <w:rsid w:val="00C0726A"/>
    <w:rsid w:val="00C10F93"/>
    <w:rsid w:val="00C121B1"/>
    <w:rsid w:val="00C15410"/>
    <w:rsid w:val="00C21D29"/>
    <w:rsid w:val="00C227EA"/>
    <w:rsid w:val="00C239EA"/>
    <w:rsid w:val="00C2414F"/>
    <w:rsid w:val="00C25982"/>
    <w:rsid w:val="00C25BD7"/>
    <w:rsid w:val="00C277B5"/>
    <w:rsid w:val="00C310D5"/>
    <w:rsid w:val="00C33E24"/>
    <w:rsid w:val="00C34FAB"/>
    <w:rsid w:val="00C3586B"/>
    <w:rsid w:val="00C418A5"/>
    <w:rsid w:val="00C470FE"/>
    <w:rsid w:val="00C512BD"/>
    <w:rsid w:val="00C533E1"/>
    <w:rsid w:val="00C61CB0"/>
    <w:rsid w:val="00C61F01"/>
    <w:rsid w:val="00C63ADD"/>
    <w:rsid w:val="00C640FA"/>
    <w:rsid w:val="00C66162"/>
    <w:rsid w:val="00C67785"/>
    <w:rsid w:val="00C709A8"/>
    <w:rsid w:val="00C70A24"/>
    <w:rsid w:val="00C72F1A"/>
    <w:rsid w:val="00C7530D"/>
    <w:rsid w:val="00C75565"/>
    <w:rsid w:val="00C77BB3"/>
    <w:rsid w:val="00C81CF8"/>
    <w:rsid w:val="00C82E2E"/>
    <w:rsid w:val="00C85AF8"/>
    <w:rsid w:val="00C8691A"/>
    <w:rsid w:val="00C86CB9"/>
    <w:rsid w:val="00C875DB"/>
    <w:rsid w:val="00C87C93"/>
    <w:rsid w:val="00C91F58"/>
    <w:rsid w:val="00C9258B"/>
    <w:rsid w:val="00C93781"/>
    <w:rsid w:val="00C93F34"/>
    <w:rsid w:val="00C948DE"/>
    <w:rsid w:val="00C95485"/>
    <w:rsid w:val="00C9591C"/>
    <w:rsid w:val="00C97FE7"/>
    <w:rsid w:val="00CA06B1"/>
    <w:rsid w:val="00CA1025"/>
    <w:rsid w:val="00CA1833"/>
    <w:rsid w:val="00CA2509"/>
    <w:rsid w:val="00CA4226"/>
    <w:rsid w:val="00CA5D9A"/>
    <w:rsid w:val="00CA7025"/>
    <w:rsid w:val="00CA7A89"/>
    <w:rsid w:val="00CB0B5C"/>
    <w:rsid w:val="00CB1005"/>
    <w:rsid w:val="00CB2A5E"/>
    <w:rsid w:val="00CB2DD3"/>
    <w:rsid w:val="00CB3589"/>
    <w:rsid w:val="00CB369E"/>
    <w:rsid w:val="00CB71AF"/>
    <w:rsid w:val="00CC0617"/>
    <w:rsid w:val="00CC093C"/>
    <w:rsid w:val="00CC23AA"/>
    <w:rsid w:val="00CC2857"/>
    <w:rsid w:val="00CC4485"/>
    <w:rsid w:val="00CC4EF5"/>
    <w:rsid w:val="00CC53AD"/>
    <w:rsid w:val="00CC661E"/>
    <w:rsid w:val="00CC77AD"/>
    <w:rsid w:val="00CC7ADB"/>
    <w:rsid w:val="00CD3D14"/>
    <w:rsid w:val="00CD3E0B"/>
    <w:rsid w:val="00CD5671"/>
    <w:rsid w:val="00CE087D"/>
    <w:rsid w:val="00CE1373"/>
    <w:rsid w:val="00CE15C7"/>
    <w:rsid w:val="00CE1C2E"/>
    <w:rsid w:val="00CE1CAF"/>
    <w:rsid w:val="00CE281E"/>
    <w:rsid w:val="00CE2A8E"/>
    <w:rsid w:val="00CE3397"/>
    <w:rsid w:val="00CE33AD"/>
    <w:rsid w:val="00CE42E7"/>
    <w:rsid w:val="00CE49C0"/>
    <w:rsid w:val="00CE4B63"/>
    <w:rsid w:val="00CE5A4C"/>
    <w:rsid w:val="00CF18FD"/>
    <w:rsid w:val="00CF1B60"/>
    <w:rsid w:val="00CF2F6A"/>
    <w:rsid w:val="00CF2FEF"/>
    <w:rsid w:val="00CF303F"/>
    <w:rsid w:val="00CF357A"/>
    <w:rsid w:val="00CF3963"/>
    <w:rsid w:val="00CF48CF"/>
    <w:rsid w:val="00CF51ED"/>
    <w:rsid w:val="00CF5417"/>
    <w:rsid w:val="00CF6FD8"/>
    <w:rsid w:val="00D00486"/>
    <w:rsid w:val="00D02AD1"/>
    <w:rsid w:val="00D03343"/>
    <w:rsid w:val="00D042B1"/>
    <w:rsid w:val="00D04435"/>
    <w:rsid w:val="00D04A7B"/>
    <w:rsid w:val="00D06F36"/>
    <w:rsid w:val="00D076AD"/>
    <w:rsid w:val="00D07CD3"/>
    <w:rsid w:val="00D108FC"/>
    <w:rsid w:val="00D1298F"/>
    <w:rsid w:val="00D12D92"/>
    <w:rsid w:val="00D13677"/>
    <w:rsid w:val="00D13AB8"/>
    <w:rsid w:val="00D140D5"/>
    <w:rsid w:val="00D14871"/>
    <w:rsid w:val="00D1622D"/>
    <w:rsid w:val="00D203B7"/>
    <w:rsid w:val="00D22C74"/>
    <w:rsid w:val="00D23A2D"/>
    <w:rsid w:val="00D23C62"/>
    <w:rsid w:val="00D258A2"/>
    <w:rsid w:val="00D26929"/>
    <w:rsid w:val="00D315B1"/>
    <w:rsid w:val="00D3206F"/>
    <w:rsid w:val="00D323AE"/>
    <w:rsid w:val="00D34BF2"/>
    <w:rsid w:val="00D35EED"/>
    <w:rsid w:val="00D369EA"/>
    <w:rsid w:val="00D4010F"/>
    <w:rsid w:val="00D42DDE"/>
    <w:rsid w:val="00D44754"/>
    <w:rsid w:val="00D451A4"/>
    <w:rsid w:val="00D51A11"/>
    <w:rsid w:val="00D51B43"/>
    <w:rsid w:val="00D52BED"/>
    <w:rsid w:val="00D53FF1"/>
    <w:rsid w:val="00D55AAA"/>
    <w:rsid w:val="00D56B95"/>
    <w:rsid w:val="00D57E86"/>
    <w:rsid w:val="00D62FE6"/>
    <w:rsid w:val="00D62FFC"/>
    <w:rsid w:val="00D63B19"/>
    <w:rsid w:val="00D63C26"/>
    <w:rsid w:val="00D641BC"/>
    <w:rsid w:val="00D644A8"/>
    <w:rsid w:val="00D66B1A"/>
    <w:rsid w:val="00D66ED5"/>
    <w:rsid w:val="00D71603"/>
    <w:rsid w:val="00D718F1"/>
    <w:rsid w:val="00D72A17"/>
    <w:rsid w:val="00D730C9"/>
    <w:rsid w:val="00D73451"/>
    <w:rsid w:val="00D75C49"/>
    <w:rsid w:val="00D80D16"/>
    <w:rsid w:val="00D826DB"/>
    <w:rsid w:val="00D82DEF"/>
    <w:rsid w:val="00D83545"/>
    <w:rsid w:val="00D83828"/>
    <w:rsid w:val="00D841BF"/>
    <w:rsid w:val="00D855C0"/>
    <w:rsid w:val="00D85D54"/>
    <w:rsid w:val="00D85E48"/>
    <w:rsid w:val="00D91343"/>
    <w:rsid w:val="00D916AF"/>
    <w:rsid w:val="00D91BFA"/>
    <w:rsid w:val="00D931D8"/>
    <w:rsid w:val="00D93925"/>
    <w:rsid w:val="00D9788F"/>
    <w:rsid w:val="00D97E61"/>
    <w:rsid w:val="00DA38F5"/>
    <w:rsid w:val="00DA40BD"/>
    <w:rsid w:val="00DA4AA5"/>
    <w:rsid w:val="00DA5C76"/>
    <w:rsid w:val="00DA679A"/>
    <w:rsid w:val="00DB09CC"/>
    <w:rsid w:val="00DB15EE"/>
    <w:rsid w:val="00DB662C"/>
    <w:rsid w:val="00DB713B"/>
    <w:rsid w:val="00DC1A3A"/>
    <w:rsid w:val="00DC3313"/>
    <w:rsid w:val="00DC4EF7"/>
    <w:rsid w:val="00DC657D"/>
    <w:rsid w:val="00DC706E"/>
    <w:rsid w:val="00DD1650"/>
    <w:rsid w:val="00DD25FD"/>
    <w:rsid w:val="00DD2A44"/>
    <w:rsid w:val="00DD3D73"/>
    <w:rsid w:val="00DD3DEB"/>
    <w:rsid w:val="00DD7498"/>
    <w:rsid w:val="00DD7671"/>
    <w:rsid w:val="00DD7C21"/>
    <w:rsid w:val="00DE1574"/>
    <w:rsid w:val="00DE1648"/>
    <w:rsid w:val="00DE368C"/>
    <w:rsid w:val="00DE429C"/>
    <w:rsid w:val="00DE4371"/>
    <w:rsid w:val="00DE44A1"/>
    <w:rsid w:val="00DE460A"/>
    <w:rsid w:val="00DF04C8"/>
    <w:rsid w:val="00DF3451"/>
    <w:rsid w:val="00DF7EFC"/>
    <w:rsid w:val="00E0176D"/>
    <w:rsid w:val="00E018A5"/>
    <w:rsid w:val="00E01B67"/>
    <w:rsid w:val="00E01C54"/>
    <w:rsid w:val="00E027FB"/>
    <w:rsid w:val="00E04A95"/>
    <w:rsid w:val="00E062F7"/>
    <w:rsid w:val="00E064A1"/>
    <w:rsid w:val="00E11EC0"/>
    <w:rsid w:val="00E1267A"/>
    <w:rsid w:val="00E13EDA"/>
    <w:rsid w:val="00E14239"/>
    <w:rsid w:val="00E14C69"/>
    <w:rsid w:val="00E14D9E"/>
    <w:rsid w:val="00E1584E"/>
    <w:rsid w:val="00E24C22"/>
    <w:rsid w:val="00E255DD"/>
    <w:rsid w:val="00E256AD"/>
    <w:rsid w:val="00E31C63"/>
    <w:rsid w:val="00E33C46"/>
    <w:rsid w:val="00E359AF"/>
    <w:rsid w:val="00E36FE6"/>
    <w:rsid w:val="00E40EED"/>
    <w:rsid w:val="00E4133C"/>
    <w:rsid w:val="00E42DC6"/>
    <w:rsid w:val="00E43470"/>
    <w:rsid w:val="00E445B2"/>
    <w:rsid w:val="00E45E00"/>
    <w:rsid w:val="00E46BC6"/>
    <w:rsid w:val="00E50F83"/>
    <w:rsid w:val="00E52101"/>
    <w:rsid w:val="00E527C7"/>
    <w:rsid w:val="00E55A7E"/>
    <w:rsid w:val="00E560CB"/>
    <w:rsid w:val="00E5674A"/>
    <w:rsid w:val="00E57158"/>
    <w:rsid w:val="00E621CE"/>
    <w:rsid w:val="00E62E14"/>
    <w:rsid w:val="00E7172B"/>
    <w:rsid w:val="00E72187"/>
    <w:rsid w:val="00E725AA"/>
    <w:rsid w:val="00E7401C"/>
    <w:rsid w:val="00E82135"/>
    <w:rsid w:val="00E829E9"/>
    <w:rsid w:val="00E82CFD"/>
    <w:rsid w:val="00E83386"/>
    <w:rsid w:val="00E839B8"/>
    <w:rsid w:val="00E84944"/>
    <w:rsid w:val="00E84EEF"/>
    <w:rsid w:val="00E85BC7"/>
    <w:rsid w:val="00E877E0"/>
    <w:rsid w:val="00E9091F"/>
    <w:rsid w:val="00E90D4A"/>
    <w:rsid w:val="00E91209"/>
    <w:rsid w:val="00E91B54"/>
    <w:rsid w:val="00E94598"/>
    <w:rsid w:val="00E950C5"/>
    <w:rsid w:val="00E9617E"/>
    <w:rsid w:val="00EA0A77"/>
    <w:rsid w:val="00EA159A"/>
    <w:rsid w:val="00EA4A07"/>
    <w:rsid w:val="00EA7805"/>
    <w:rsid w:val="00EA78ED"/>
    <w:rsid w:val="00EB1B87"/>
    <w:rsid w:val="00EB22A7"/>
    <w:rsid w:val="00EB2CFB"/>
    <w:rsid w:val="00EB3C6E"/>
    <w:rsid w:val="00EB4186"/>
    <w:rsid w:val="00EC0028"/>
    <w:rsid w:val="00EC4868"/>
    <w:rsid w:val="00EC4D3D"/>
    <w:rsid w:val="00EC590D"/>
    <w:rsid w:val="00EC650A"/>
    <w:rsid w:val="00EC68E9"/>
    <w:rsid w:val="00EC705F"/>
    <w:rsid w:val="00EC7515"/>
    <w:rsid w:val="00EC7F0F"/>
    <w:rsid w:val="00ED0686"/>
    <w:rsid w:val="00ED242A"/>
    <w:rsid w:val="00ED246C"/>
    <w:rsid w:val="00ED5391"/>
    <w:rsid w:val="00ED5D5D"/>
    <w:rsid w:val="00ED64FD"/>
    <w:rsid w:val="00EE036E"/>
    <w:rsid w:val="00EE2BEC"/>
    <w:rsid w:val="00EE4539"/>
    <w:rsid w:val="00EE562F"/>
    <w:rsid w:val="00EE69E6"/>
    <w:rsid w:val="00EF170F"/>
    <w:rsid w:val="00EF4CDC"/>
    <w:rsid w:val="00EF6A72"/>
    <w:rsid w:val="00EF7014"/>
    <w:rsid w:val="00EF7407"/>
    <w:rsid w:val="00EF7BF2"/>
    <w:rsid w:val="00F0009D"/>
    <w:rsid w:val="00F00D25"/>
    <w:rsid w:val="00F0186B"/>
    <w:rsid w:val="00F01B06"/>
    <w:rsid w:val="00F030F6"/>
    <w:rsid w:val="00F03D6A"/>
    <w:rsid w:val="00F045D3"/>
    <w:rsid w:val="00F052B5"/>
    <w:rsid w:val="00F05EDB"/>
    <w:rsid w:val="00F0615D"/>
    <w:rsid w:val="00F064E7"/>
    <w:rsid w:val="00F06955"/>
    <w:rsid w:val="00F06CD7"/>
    <w:rsid w:val="00F1055D"/>
    <w:rsid w:val="00F11FDB"/>
    <w:rsid w:val="00F12FBD"/>
    <w:rsid w:val="00F1608A"/>
    <w:rsid w:val="00F172E1"/>
    <w:rsid w:val="00F21EE1"/>
    <w:rsid w:val="00F22191"/>
    <w:rsid w:val="00F24107"/>
    <w:rsid w:val="00F250DB"/>
    <w:rsid w:val="00F269BD"/>
    <w:rsid w:val="00F305C8"/>
    <w:rsid w:val="00F33653"/>
    <w:rsid w:val="00F3554C"/>
    <w:rsid w:val="00F35553"/>
    <w:rsid w:val="00F3632F"/>
    <w:rsid w:val="00F370C8"/>
    <w:rsid w:val="00F375C2"/>
    <w:rsid w:val="00F379DC"/>
    <w:rsid w:val="00F40C66"/>
    <w:rsid w:val="00F40CD2"/>
    <w:rsid w:val="00F43225"/>
    <w:rsid w:val="00F44AC2"/>
    <w:rsid w:val="00F4770B"/>
    <w:rsid w:val="00F5148D"/>
    <w:rsid w:val="00F51CEE"/>
    <w:rsid w:val="00F52D49"/>
    <w:rsid w:val="00F535AF"/>
    <w:rsid w:val="00F55B7A"/>
    <w:rsid w:val="00F56196"/>
    <w:rsid w:val="00F56D22"/>
    <w:rsid w:val="00F56DB6"/>
    <w:rsid w:val="00F57DBB"/>
    <w:rsid w:val="00F606EF"/>
    <w:rsid w:val="00F628B5"/>
    <w:rsid w:val="00F63265"/>
    <w:rsid w:val="00F636F2"/>
    <w:rsid w:val="00F6507F"/>
    <w:rsid w:val="00F6574A"/>
    <w:rsid w:val="00F70404"/>
    <w:rsid w:val="00F72384"/>
    <w:rsid w:val="00F757A3"/>
    <w:rsid w:val="00F76311"/>
    <w:rsid w:val="00F7672F"/>
    <w:rsid w:val="00F76EB1"/>
    <w:rsid w:val="00F806E4"/>
    <w:rsid w:val="00F82C63"/>
    <w:rsid w:val="00F82F1A"/>
    <w:rsid w:val="00F83A7E"/>
    <w:rsid w:val="00F84506"/>
    <w:rsid w:val="00F8656F"/>
    <w:rsid w:val="00F86EC9"/>
    <w:rsid w:val="00F9125C"/>
    <w:rsid w:val="00F913B3"/>
    <w:rsid w:val="00F92E6F"/>
    <w:rsid w:val="00F939D4"/>
    <w:rsid w:val="00F93D39"/>
    <w:rsid w:val="00F96D40"/>
    <w:rsid w:val="00F97582"/>
    <w:rsid w:val="00FA11CA"/>
    <w:rsid w:val="00FA11D2"/>
    <w:rsid w:val="00FA2643"/>
    <w:rsid w:val="00FA6BE3"/>
    <w:rsid w:val="00FA7198"/>
    <w:rsid w:val="00FA72AA"/>
    <w:rsid w:val="00FA7925"/>
    <w:rsid w:val="00FA7AFB"/>
    <w:rsid w:val="00FB054D"/>
    <w:rsid w:val="00FB1398"/>
    <w:rsid w:val="00FB16A5"/>
    <w:rsid w:val="00FB1D2E"/>
    <w:rsid w:val="00FB253F"/>
    <w:rsid w:val="00FB465A"/>
    <w:rsid w:val="00FB4AA8"/>
    <w:rsid w:val="00FB4F0E"/>
    <w:rsid w:val="00FB6089"/>
    <w:rsid w:val="00FC2838"/>
    <w:rsid w:val="00FC3745"/>
    <w:rsid w:val="00FC3CF9"/>
    <w:rsid w:val="00FC5970"/>
    <w:rsid w:val="00FC634D"/>
    <w:rsid w:val="00FD0C16"/>
    <w:rsid w:val="00FD3427"/>
    <w:rsid w:val="00FD741F"/>
    <w:rsid w:val="00FD7503"/>
    <w:rsid w:val="00FE1643"/>
    <w:rsid w:val="00FE1E9B"/>
    <w:rsid w:val="00FE31E7"/>
    <w:rsid w:val="00FE34B9"/>
    <w:rsid w:val="00FE43A3"/>
    <w:rsid w:val="00FE49D7"/>
    <w:rsid w:val="00FE5591"/>
    <w:rsid w:val="00FE70A4"/>
    <w:rsid w:val="00FF1BC8"/>
    <w:rsid w:val="00FF77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57E527AE"/>
  <w15:chartTrackingRefBased/>
  <w15:docId w15:val="{3D73267F-D5D8-415A-B547-A07F40C7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fr-FR"/>
    </w:rPr>
  </w:style>
  <w:style w:type="paragraph" w:styleId="Titre1">
    <w:name w:val="heading 1"/>
    <w:basedOn w:val="Paragrdouble"/>
    <w:next w:val="Paragrdouble"/>
    <w:qFormat/>
    <w:rsid w:val="005659C6"/>
    <w:pPr>
      <w:numPr>
        <w:numId w:val="44"/>
      </w:numPr>
      <w:tabs>
        <w:tab w:val="clear" w:pos="4755"/>
      </w:tabs>
      <w:spacing w:line="240" w:lineRule="auto"/>
      <w:outlineLvl w:val="0"/>
    </w:pPr>
    <w:rPr>
      <w:b/>
      <w:bCs/>
    </w:rPr>
  </w:style>
  <w:style w:type="paragraph" w:styleId="Titre2">
    <w:name w:val="heading 2"/>
    <w:basedOn w:val="Paragrdouble"/>
    <w:next w:val="Paragrdouble"/>
    <w:qFormat/>
    <w:rsid w:val="002A47F5"/>
    <w:pPr>
      <w:numPr>
        <w:numId w:val="12"/>
      </w:numPr>
      <w:tabs>
        <w:tab w:val="clear" w:pos="4755"/>
      </w:tabs>
      <w:spacing w:line="240" w:lineRule="auto"/>
      <w:outlineLvl w:val="1"/>
    </w:pPr>
    <w:rPr>
      <w:b/>
      <w:bCs/>
    </w:rPr>
  </w:style>
  <w:style w:type="paragraph" w:styleId="Titre3">
    <w:name w:val="heading 3"/>
    <w:basedOn w:val="Paragrdouble"/>
    <w:next w:val="Paragrdouble"/>
    <w:qFormat/>
    <w:rsid w:val="002A47F5"/>
    <w:pPr>
      <w:numPr>
        <w:numId w:val="14"/>
      </w:numPr>
      <w:tabs>
        <w:tab w:val="clear" w:pos="4755"/>
      </w:tabs>
      <w:spacing w:line="240" w:lineRule="auto"/>
      <w:ind w:left="2073"/>
      <w:outlineLvl w:val="2"/>
    </w:pPr>
    <w:rPr>
      <w:u w:val="single"/>
    </w:rPr>
  </w:style>
  <w:style w:type="paragraph" w:styleId="Titre4">
    <w:name w:val="heading 4"/>
    <w:basedOn w:val="Paragrdouble"/>
    <w:next w:val="Paragrdouble"/>
    <w:qFormat/>
    <w:rsid w:val="00B5249C"/>
    <w:pPr>
      <w:numPr>
        <w:numId w:val="0"/>
      </w:numPr>
      <w:tabs>
        <w:tab w:val="clear" w:pos="4755"/>
      </w:tabs>
      <w:spacing w:line="240" w:lineRule="auto"/>
      <w:ind w:left="2073"/>
      <w:outlineLvl w:val="3"/>
    </w:pPr>
    <w:rPr>
      <w:i/>
      <w:iCs/>
    </w:rPr>
  </w:style>
  <w:style w:type="paragraph" w:styleId="Titre5">
    <w:name w:val="heading 5"/>
    <w:basedOn w:val="Titre4"/>
    <w:next w:val="Paragrdouble"/>
    <w:qFormat/>
    <w:rsid w:val="001B0DA6"/>
    <w:pPr>
      <w:numPr>
        <w:ilvl w:val="3"/>
      </w:numPr>
      <w:ind w:left="2495" w:hanging="1077"/>
      <w:outlineLvl w:val="4"/>
    </w:pPr>
  </w:style>
  <w:style w:type="paragraph" w:styleId="Titre6">
    <w:name w:val="heading 6"/>
    <w:basedOn w:val="Titre5"/>
    <w:next w:val="Paragrdouble"/>
    <w:qFormat/>
    <w:rsid w:val="00C025FC"/>
    <w:pPr>
      <w:numPr>
        <w:ilvl w:val="4"/>
      </w:numPr>
      <w:ind w:left="3657" w:hanging="1247"/>
      <w:outlineLvl w:val="5"/>
    </w:pPr>
  </w:style>
  <w:style w:type="paragraph" w:styleId="Titre7">
    <w:name w:val="heading 7"/>
    <w:basedOn w:val="Normal"/>
    <w:next w:val="Normal"/>
    <w:qFormat/>
    <w:pPr>
      <w:numPr>
        <w:ilvl w:val="6"/>
        <w:numId w:val="3"/>
      </w:numPr>
      <w:spacing w:before="240" w:after="60"/>
      <w:outlineLvl w:val="6"/>
    </w:pPr>
    <w:rPr>
      <w:sz w:val="20"/>
    </w:rPr>
  </w:style>
  <w:style w:type="paragraph" w:styleId="Titre8">
    <w:name w:val="heading 8"/>
    <w:basedOn w:val="Normal"/>
    <w:next w:val="Normal"/>
    <w:qFormat/>
    <w:pPr>
      <w:numPr>
        <w:ilvl w:val="7"/>
        <w:numId w:val="3"/>
      </w:numPr>
      <w:spacing w:before="240" w:after="60"/>
      <w:outlineLvl w:val="7"/>
    </w:pPr>
    <w:rPr>
      <w:i/>
      <w:sz w:val="20"/>
    </w:rPr>
  </w:style>
  <w:style w:type="paragraph" w:styleId="Titre9">
    <w:name w:val="heading 9"/>
    <w:basedOn w:val="Normal"/>
    <w:next w:val="Normal"/>
    <w:qFormat/>
    <w:pPr>
      <w:numPr>
        <w:ilvl w:val="8"/>
        <w:numId w:val="3"/>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double">
    <w:name w:val="Paragr. double"/>
    <w:basedOn w:val="Normal"/>
    <w:rsid w:val="00AF1575"/>
    <w:pPr>
      <w:numPr>
        <w:numId w:val="1"/>
      </w:numPr>
      <w:tabs>
        <w:tab w:val="clear" w:pos="4188"/>
        <w:tab w:val="num" w:pos="2062"/>
        <w:tab w:val="num" w:pos="4755"/>
      </w:tabs>
      <w:spacing w:before="120" w:after="120" w:line="500" w:lineRule="exact"/>
      <w:ind w:left="1702"/>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semiHidden/>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rsid w:val="00C025FC"/>
    <w:rPr>
      <w:caps/>
    </w:rPr>
  </w:style>
  <w:style w:type="paragraph" w:customStyle="1" w:styleId="zSoquijlblProvince">
    <w:name w:val="zSoquij_lblProvince"/>
    <w:basedOn w:val="Normal"/>
    <w:rsid w:val="00C025FC"/>
    <w:rPr>
      <w:caps/>
    </w:rPr>
  </w:style>
  <w:style w:type="paragraph" w:customStyle="1" w:styleId="zSoquijlblGreffe">
    <w:name w:val="zSoquij_lblGreffe"/>
    <w:basedOn w:val="Normal"/>
    <w:rsid w:val="00C025FC"/>
    <w:pPr>
      <w:ind w:left="70"/>
    </w:pPr>
    <w:rPr>
      <w:caps/>
    </w:rPr>
  </w:style>
  <w:style w:type="paragraph" w:customStyle="1" w:styleId="zSoquijdatGreffe">
    <w:name w:val="zSoquij_datGreffe"/>
    <w:basedOn w:val="Normal"/>
    <w:rsid w:val="00C025FC"/>
    <w:pPr>
      <w:ind w:left="29"/>
    </w:pPr>
    <w:rPr>
      <w:caps/>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sid w:val="00C025FC"/>
    <w:pPr>
      <w:ind w:left="70"/>
    </w:pPr>
    <w:rPr>
      <w:b/>
      <w:caps/>
    </w:rPr>
  </w:style>
  <w:style w:type="paragraph" w:customStyle="1" w:styleId="zSoquijdatQteJuge">
    <w:name w:val="zSoquij_datQteJuge"/>
    <w:basedOn w:val="Normal"/>
    <w:rsid w:val="00C025FC"/>
    <w:pPr>
      <w:ind w:left="29"/>
    </w:pPr>
    <w:rPr>
      <w:b/>
      <w:caps/>
    </w:rPr>
  </w:style>
  <w:style w:type="paragraph" w:customStyle="1" w:styleId="zSoquijdatJuge">
    <w:name w:val="zSoquij_datJuge"/>
    <w:basedOn w:val="Normal"/>
    <w:rsid w:val="00BA153A"/>
    <w:pPr>
      <w:ind w:left="52"/>
    </w:pPr>
    <w:rPr>
      <w:b/>
      <w:caps/>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C025FC"/>
    <w:pPr>
      <w:jc w:val="center"/>
    </w:pPr>
    <w:rPr>
      <w: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doubl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rsid w:val="00CF51ED"/>
    <w:pPr>
      <w:widowControl w:val="0"/>
      <w:numPr>
        <w:ilvl w:val="1"/>
        <w:numId w:val="2"/>
      </w:numPr>
      <w:spacing w:before="120" w:after="120"/>
      <w:ind w:left="1462" w:hanging="731"/>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double"/>
    <w:rsid w:val="00CF51ED"/>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numbering" w:customStyle="1" w:styleId="Style1">
    <w:name w:val="Style1"/>
    <w:uiPriority w:val="99"/>
    <w:rsid w:val="00CE1CAF"/>
    <w:pPr>
      <w:numPr>
        <w:numId w:val="4"/>
      </w:numPr>
    </w:pPr>
  </w:style>
  <w:style w:type="paragraph" w:customStyle="1" w:styleId="Paragrsimple">
    <w:name w:val="Paragr. simple"/>
    <w:basedOn w:val="Paragrdouble"/>
    <w:next w:val="Paragrdouble"/>
    <w:qFormat/>
    <w:rsid w:val="00BA153A"/>
    <w:pPr>
      <w:spacing w:line="240" w:lineRule="auto"/>
    </w:pPr>
  </w:style>
  <w:style w:type="paragraph" w:styleId="En-ttedetabledesmatires">
    <w:name w:val="TOC Heading"/>
    <w:basedOn w:val="Titre1"/>
    <w:next w:val="Normal"/>
    <w:uiPriority w:val="39"/>
    <w:qFormat/>
    <w:rsid w:val="00BA153A"/>
    <w:pPr>
      <w:keepLines/>
      <w:spacing w:before="480" w:after="0" w:line="276" w:lineRule="auto"/>
      <w:ind w:left="0" w:firstLine="0"/>
      <w:outlineLvl w:val="9"/>
    </w:pPr>
    <w:rPr>
      <w:rFonts w:ascii="Cambria" w:hAnsi="Cambria"/>
      <w:bCs w:val="0"/>
      <w:color w:val="365F91"/>
      <w:kern w:val="0"/>
      <w:sz w:val="28"/>
      <w:szCs w:val="28"/>
      <w:lang w:eastAsia="fr-CA"/>
    </w:rPr>
  </w:style>
  <w:style w:type="paragraph" w:styleId="TM1">
    <w:name w:val="toc 1"/>
    <w:basedOn w:val="Normal"/>
    <w:next w:val="Normal"/>
    <w:autoRedefine/>
    <w:uiPriority w:val="39"/>
    <w:unhideWhenUsed/>
    <w:rsid w:val="00DE4371"/>
    <w:pPr>
      <w:tabs>
        <w:tab w:val="left" w:pos="480"/>
        <w:tab w:val="right" w:leader="dot" w:pos="9317"/>
      </w:tabs>
      <w:spacing w:after="120"/>
      <w:jc w:val="both"/>
    </w:pPr>
  </w:style>
  <w:style w:type="paragraph" w:styleId="TM2">
    <w:name w:val="toc 2"/>
    <w:basedOn w:val="Normal"/>
    <w:next w:val="Normal"/>
    <w:autoRedefine/>
    <w:uiPriority w:val="39"/>
    <w:unhideWhenUsed/>
    <w:rsid w:val="00DE4371"/>
    <w:pPr>
      <w:tabs>
        <w:tab w:val="left" w:pos="805"/>
        <w:tab w:val="right" w:leader="dot" w:pos="9217"/>
      </w:tabs>
      <w:spacing w:after="120"/>
      <w:ind w:left="805" w:hanging="567"/>
    </w:pPr>
  </w:style>
  <w:style w:type="paragraph" w:styleId="TM3">
    <w:name w:val="toc 3"/>
    <w:basedOn w:val="Normal"/>
    <w:next w:val="Normal"/>
    <w:autoRedefine/>
    <w:uiPriority w:val="39"/>
    <w:unhideWhenUsed/>
    <w:rsid w:val="00DE4371"/>
    <w:pPr>
      <w:tabs>
        <w:tab w:val="left" w:pos="1134"/>
        <w:tab w:val="right" w:leader="dot" w:pos="9317"/>
      </w:tabs>
      <w:spacing w:after="120"/>
      <w:ind w:left="1134" w:hanging="329"/>
    </w:pPr>
  </w:style>
  <w:style w:type="character" w:styleId="Hyperlien">
    <w:name w:val="Hyperlink"/>
    <w:uiPriority w:val="99"/>
    <w:unhideWhenUsed/>
    <w:rsid w:val="00BA153A"/>
    <w:rPr>
      <w:color w:val="0000FF"/>
      <w:u w:val="single"/>
      <w:lang w:val="fr-CA"/>
    </w:rPr>
  </w:style>
  <w:style w:type="paragraph" w:styleId="Explorateurdedocuments">
    <w:name w:val="Document Map"/>
    <w:basedOn w:val="Normal"/>
    <w:semiHidden/>
    <w:rsid w:val="00007687"/>
    <w:pPr>
      <w:shd w:val="clear" w:color="auto" w:fill="000080"/>
    </w:pPr>
    <w:rPr>
      <w:rFonts w:ascii="Tahoma" w:hAnsi="Tahoma" w:cs="Tahoma"/>
      <w:sz w:val="20"/>
    </w:rPr>
  </w:style>
  <w:style w:type="paragraph" w:styleId="Titre">
    <w:name w:val="Title"/>
    <w:basedOn w:val="Normal"/>
    <w:qFormat/>
    <w:rsid w:val="008A4532"/>
    <w:pPr>
      <w:spacing w:before="240" w:after="60"/>
      <w:jc w:val="center"/>
      <w:outlineLvl w:val="0"/>
    </w:pPr>
    <w:rPr>
      <w:rFonts w:cs="Arial"/>
      <w:b/>
      <w:bCs/>
      <w:kern w:val="28"/>
      <w:sz w:val="32"/>
      <w:szCs w:val="32"/>
    </w:rPr>
  </w:style>
  <w:style w:type="paragraph" w:styleId="En-tte">
    <w:name w:val="header"/>
    <w:basedOn w:val="Normal"/>
    <w:link w:val="En-tteCar"/>
    <w:uiPriority w:val="99"/>
    <w:unhideWhenUsed/>
    <w:rsid w:val="0073163C"/>
    <w:pPr>
      <w:tabs>
        <w:tab w:val="center" w:pos="4320"/>
        <w:tab w:val="right" w:pos="8640"/>
      </w:tabs>
    </w:pPr>
  </w:style>
  <w:style w:type="character" w:customStyle="1" w:styleId="En-tteCar">
    <w:name w:val="En-tête Car"/>
    <w:link w:val="En-tte"/>
    <w:uiPriority w:val="99"/>
    <w:rsid w:val="0073163C"/>
    <w:rPr>
      <w:rFonts w:ascii="Arial" w:hAnsi="Arial"/>
      <w:sz w:val="24"/>
      <w:lang w:eastAsia="fr-FR"/>
    </w:rPr>
  </w:style>
  <w:style w:type="paragraph" w:styleId="Pieddepage">
    <w:name w:val="footer"/>
    <w:basedOn w:val="Normal"/>
    <w:link w:val="PieddepageCar"/>
    <w:uiPriority w:val="99"/>
    <w:unhideWhenUsed/>
    <w:rsid w:val="0073163C"/>
    <w:pPr>
      <w:tabs>
        <w:tab w:val="center" w:pos="4320"/>
        <w:tab w:val="right" w:pos="8640"/>
      </w:tabs>
    </w:pPr>
  </w:style>
  <w:style w:type="character" w:customStyle="1" w:styleId="PieddepageCar">
    <w:name w:val="Pied de page Car"/>
    <w:link w:val="Pieddepage"/>
    <w:uiPriority w:val="99"/>
    <w:rsid w:val="0073163C"/>
    <w:rPr>
      <w:rFonts w:ascii="Arial" w:hAnsi="Arial"/>
      <w:sz w:val="24"/>
      <w:lang w:eastAsia="fr-FR"/>
    </w:rPr>
  </w:style>
  <w:style w:type="character" w:styleId="Appelnotedebasdep">
    <w:name w:val="footnote reference"/>
    <w:uiPriority w:val="99"/>
    <w:semiHidden/>
    <w:unhideWhenUsed/>
    <w:rsid w:val="002D1DF7"/>
    <w:rPr>
      <w:vertAlign w:val="superscript"/>
    </w:rPr>
  </w:style>
  <w:style w:type="character" w:customStyle="1" w:styleId="texte-courant1">
    <w:name w:val="texte-courant1"/>
    <w:rsid w:val="007242F8"/>
  </w:style>
  <w:style w:type="paragraph" w:styleId="Normalcentr">
    <w:name w:val="Block Text"/>
    <w:basedOn w:val="Normal"/>
    <w:rsid w:val="0096444B"/>
    <w:pPr>
      <w:widowControl w:val="0"/>
      <w:ind w:left="-21" w:right="-22" w:firstLine="720"/>
      <w:jc w:val="both"/>
    </w:pPr>
    <w:rPr>
      <w:snapToGrid w:val="0"/>
      <w:sz w:val="26"/>
    </w:rPr>
  </w:style>
  <w:style w:type="paragraph" w:customStyle="1" w:styleId="Paragraphe">
    <w:name w:val="Paragraphe"/>
    <w:basedOn w:val="Normal"/>
    <w:rsid w:val="0096444B"/>
    <w:pPr>
      <w:spacing w:before="120" w:after="120" w:line="500" w:lineRule="exact"/>
      <w:jc w:val="both"/>
    </w:pPr>
    <w:rPr>
      <w:kern w:val="28"/>
    </w:rPr>
  </w:style>
  <w:style w:type="paragraph" w:styleId="Paragraphedeliste">
    <w:name w:val="List Paragraph"/>
    <w:basedOn w:val="Normal"/>
    <w:uiPriority w:val="34"/>
    <w:qFormat/>
    <w:rsid w:val="0096444B"/>
    <w:pPr>
      <w:ind w:left="708"/>
    </w:pPr>
    <w:rPr>
      <w:sz w:val="26"/>
      <w:szCs w:val="24"/>
    </w:rPr>
  </w:style>
  <w:style w:type="character" w:styleId="lev">
    <w:name w:val="Strong"/>
    <w:uiPriority w:val="22"/>
    <w:qFormat/>
    <w:rsid w:val="0096444B"/>
    <w:rPr>
      <w:b/>
      <w:bCs/>
    </w:rPr>
  </w:style>
  <w:style w:type="character" w:customStyle="1" w:styleId="ng-binding">
    <w:name w:val="ng-binding"/>
    <w:rsid w:val="0096444B"/>
  </w:style>
  <w:style w:type="paragraph" w:styleId="Textedebulles">
    <w:name w:val="Balloon Text"/>
    <w:basedOn w:val="Normal"/>
    <w:link w:val="TextedebullesCar"/>
    <w:uiPriority w:val="99"/>
    <w:semiHidden/>
    <w:unhideWhenUsed/>
    <w:rsid w:val="00636820"/>
    <w:rPr>
      <w:rFonts w:ascii="Segoe UI" w:hAnsi="Segoe UI" w:cs="Segoe UI"/>
      <w:sz w:val="18"/>
      <w:szCs w:val="18"/>
    </w:rPr>
  </w:style>
  <w:style w:type="character" w:customStyle="1" w:styleId="TextedebullesCar">
    <w:name w:val="Texte de bulles Car"/>
    <w:link w:val="Textedebulles"/>
    <w:uiPriority w:val="99"/>
    <w:semiHidden/>
    <w:rsid w:val="00636820"/>
    <w:rPr>
      <w:rFonts w:ascii="Segoe UI" w:hAnsi="Segoe UI" w:cs="Segoe UI"/>
      <w:sz w:val="18"/>
      <w:szCs w:val="18"/>
      <w:lang w:eastAsia="fr-FR"/>
    </w:rPr>
  </w:style>
  <w:style w:type="character" w:customStyle="1" w:styleId="NotedebasdepageCar">
    <w:name w:val="Note de bas de page Car"/>
    <w:link w:val="Notedebasdepage"/>
    <w:semiHidden/>
    <w:rsid w:val="00CF357A"/>
    <w:rPr>
      <w:rFonts w:ascii="Arial" w:hAnsi="Arial"/>
      <w:lang w:eastAsia="fr-FR"/>
    </w:rPr>
  </w:style>
  <w:style w:type="character" w:customStyle="1" w:styleId="label-section">
    <w:name w:val="label-section"/>
    <w:basedOn w:val="Policepardfaut"/>
    <w:rsid w:val="00C418A5"/>
  </w:style>
  <w:style w:type="character" w:customStyle="1" w:styleId="subsection">
    <w:name w:val="subsection"/>
    <w:basedOn w:val="Policepardfaut"/>
    <w:rsid w:val="00C418A5"/>
  </w:style>
  <w:style w:type="character" w:customStyle="1" w:styleId="sectionlabel">
    <w:name w:val="sectionlabel"/>
    <w:basedOn w:val="Policepardfaut"/>
    <w:rsid w:val="007614CB"/>
  </w:style>
  <w:style w:type="character" w:customStyle="1" w:styleId="lawlabel">
    <w:name w:val="lawlabel"/>
    <w:basedOn w:val="Policepardfaut"/>
    <w:rsid w:val="007614CB"/>
  </w:style>
  <w:style w:type="character" w:styleId="CitationHTML">
    <w:name w:val="HTML Cite"/>
    <w:uiPriority w:val="99"/>
    <w:semiHidden/>
    <w:unhideWhenUsed/>
    <w:rsid w:val="007614CB"/>
    <w:rPr>
      <w:i/>
      <w:iCs/>
    </w:rPr>
  </w:style>
  <w:style w:type="paragraph" w:customStyle="1" w:styleId="paragrsimple0">
    <w:name w:val="paragrsimple"/>
    <w:basedOn w:val="Normal"/>
    <w:rsid w:val="00C03F49"/>
    <w:pPr>
      <w:spacing w:before="100" w:beforeAutospacing="1" w:after="100" w:afterAutospacing="1"/>
    </w:pPr>
    <w:rPr>
      <w:rFonts w:ascii="Times New Roman" w:hAnsi="Times New Roman"/>
      <w:szCs w:val="24"/>
      <w:lang w:eastAsia="fr-CA"/>
    </w:rPr>
  </w:style>
  <w:style w:type="character" w:customStyle="1" w:styleId="label-z">
    <w:name w:val="label-z"/>
    <w:basedOn w:val="Policepardfaut"/>
    <w:rsid w:val="00E1267A"/>
  </w:style>
  <w:style w:type="character" w:customStyle="1" w:styleId="widthfixforlabel">
    <w:name w:val="widthfixforlabel"/>
    <w:basedOn w:val="Policepardfaut"/>
    <w:rsid w:val="00E1267A"/>
  </w:style>
  <w:style w:type="character" w:customStyle="1" w:styleId="paragraph">
    <w:name w:val="paragraph"/>
    <w:basedOn w:val="Policepardfaut"/>
    <w:rsid w:val="00E1267A"/>
  </w:style>
  <w:style w:type="paragraph" w:customStyle="1" w:styleId="Default">
    <w:name w:val="Default"/>
    <w:rsid w:val="00EB1B8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330F97"/>
    <w:pPr>
      <w:spacing w:before="100" w:beforeAutospacing="1" w:after="100" w:afterAutospacing="1"/>
    </w:pPr>
    <w:rPr>
      <w:rFonts w:ascii="Times New Roman" w:hAnsi="Times New Roman"/>
      <w:szCs w:val="24"/>
      <w:lang w:eastAsia="fr-CA"/>
    </w:rPr>
  </w:style>
  <w:style w:type="character" w:customStyle="1" w:styleId="label-group5">
    <w:name w:val="label-group5"/>
    <w:basedOn w:val="Policepardfaut"/>
    <w:rsid w:val="00791A54"/>
  </w:style>
  <w:style w:type="paragraph" w:customStyle="1" w:styleId="section">
    <w:name w:val="section"/>
    <w:basedOn w:val="Normal"/>
    <w:rsid w:val="00A17EAF"/>
    <w:pPr>
      <w:spacing w:before="100" w:beforeAutospacing="1" w:after="100" w:afterAutospacing="1"/>
    </w:pPr>
    <w:rPr>
      <w:rFonts w:ascii="Times New Roman" w:hAnsi="Times New Roman"/>
      <w:szCs w:val="24"/>
      <w:lang w:eastAsia="fr-CA"/>
    </w:rPr>
  </w:style>
  <w:style w:type="character" w:customStyle="1" w:styleId="htitletext2">
    <w:name w:val="htitletext2"/>
    <w:basedOn w:val="Policepardfaut"/>
    <w:rsid w:val="00A17EAF"/>
  </w:style>
  <w:style w:type="paragraph" w:customStyle="1" w:styleId="marginalnote">
    <w:name w:val="marginalnote"/>
    <w:basedOn w:val="Normal"/>
    <w:rsid w:val="00A17EAF"/>
    <w:pPr>
      <w:spacing w:before="100" w:beforeAutospacing="1" w:after="100" w:afterAutospacing="1"/>
    </w:pPr>
    <w:rPr>
      <w:rFonts w:ascii="Times New Roman" w:hAnsi="Times New Roman"/>
      <w:szCs w:val="24"/>
      <w:lang w:eastAsia="fr-CA"/>
    </w:rPr>
  </w:style>
  <w:style w:type="character" w:customStyle="1" w:styleId="wb-invisible">
    <w:name w:val="wb-invisible"/>
    <w:basedOn w:val="Policepardfaut"/>
    <w:rsid w:val="00A17EAF"/>
  </w:style>
  <w:style w:type="paragraph" w:customStyle="1" w:styleId="msonormal0">
    <w:name w:val="msonormal"/>
    <w:basedOn w:val="Normal"/>
    <w:rsid w:val="001010ED"/>
    <w:pPr>
      <w:spacing w:before="100" w:beforeAutospacing="1" w:after="100" w:afterAutospacing="1"/>
    </w:pPr>
    <w:rPr>
      <w:rFonts w:ascii="Times New Roman" w:hAnsi="Times New Roman"/>
      <w:szCs w:val="24"/>
      <w:lang w:eastAsia="fr-CA"/>
    </w:rPr>
  </w:style>
  <w:style w:type="character" w:styleId="Lienvisit">
    <w:name w:val="FollowedHyperlink"/>
    <w:uiPriority w:val="99"/>
    <w:semiHidden/>
    <w:unhideWhenUsed/>
    <w:rsid w:val="001010ED"/>
    <w:rPr>
      <w:color w:val="800080"/>
      <w:u w:val="single"/>
    </w:rPr>
  </w:style>
  <w:style w:type="character" w:customStyle="1" w:styleId="label-l">
    <w:name w:val="label-l"/>
    <w:basedOn w:val="Policepardfaut"/>
    <w:rsid w:val="001010ED"/>
  </w:style>
  <w:style w:type="character" w:customStyle="1" w:styleId="Normal1">
    <w:name w:val="Normal1"/>
    <w:basedOn w:val="Policepardfaut"/>
    <w:rsid w:val="001010ED"/>
  </w:style>
  <w:style w:type="character" w:customStyle="1" w:styleId="italic">
    <w:name w:val="italic"/>
    <w:basedOn w:val="Policepardfaut"/>
    <w:rsid w:val="001010ED"/>
  </w:style>
  <w:style w:type="character" w:customStyle="1" w:styleId="definition">
    <w:name w:val="definition"/>
    <w:basedOn w:val="Policepardfaut"/>
    <w:rsid w:val="001010ED"/>
  </w:style>
  <w:style w:type="character" w:customStyle="1" w:styleId="texte-courant">
    <w:name w:val="texte-courant"/>
    <w:basedOn w:val="Policepardfaut"/>
    <w:rsid w:val="001010ED"/>
  </w:style>
  <w:style w:type="character" w:customStyle="1" w:styleId="label-r">
    <w:name w:val="label-r"/>
    <w:basedOn w:val="Policepardfaut"/>
    <w:rsid w:val="001010ED"/>
  </w:style>
  <w:style w:type="character" w:customStyle="1" w:styleId="subparagraph">
    <w:name w:val="subparagraph"/>
    <w:basedOn w:val="Policepardfaut"/>
    <w:rsid w:val="001010ED"/>
  </w:style>
  <w:style w:type="paragraph" w:customStyle="1" w:styleId="zsoquijdatrepertorie0">
    <w:name w:val="zsoquijdatrepertorie"/>
    <w:basedOn w:val="Normal"/>
    <w:rsid w:val="00C25BD7"/>
    <w:pPr>
      <w:spacing w:before="100" w:beforeAutospacing="1" w:after="100" w:afterAutospacing="1"/>
    </w:pPr>
    <w:rPr>
      <w:rFonts w:ascii="Times New Roman" w:hAnsi="Times New Roman"/>
      <w:szCs w:val="24"/>
      <w:lang w:eastAsia="fr-CA"/>
    </w:rPr>
  </w:style>
  <w:style w:type="paragraph" w:customStyle="1" w:styleId="zsoquijdatrefneutre0">
    <w:name w:val="zsoquijdatrefneutre"/>
    <w:basedOn w:val="Normal"/>
    <w:rsid w:val="00C25BD7"/>
    <w:pPr>
      <w:spacing w:before="100" w:beforeAutospacing="1" w:after="100" w:afterAutospacing="1"/>
    </w:pPr>
    <w:rPr>
      <w:rFonts w:ascii="Times New Roman" w:hAnsi="Times New Roman"/>
      <w:szCs w:val="24"/>
      <w:lang w:eastAsia="fr-CA"/>
    </w:rPr>
  </w:style>
  <w:style w:type="character" w:customStyle="1" w:styleId="Mentionnonrsolue1">
    <w:name w:val="Mention non résolue1"/>
    <w:uiPriority w:val="99"/>
    <w:semiHidden/>
    <w:unhideWhenUsed/>
    <w:rsid w:val="00AC2664"/>
    <w:rPr>
      <w:color w:val="605E5C"/>
      <w:shd w:val="clear" w:color="auto" w:fill="E1DFDD"/>
    </w:rPr>
  </w:style>
  <w:style w:type="paragraph" w:customStyle="1" w:styleId="paragraphe0">
    <w:name w:val="paragraphe"/>
    <w:basedOn w:val="Normal"/>
    <w:rsid w:val="008478D0"/>
    <w:pPr>
      <w:spacing w:before="100" w:beforeAutospacing="1" w:after="100" w:afterAutospacing="1"/>
    </w:pPr>
    <w:rPr>
      <w:rFonts w:ascii="Times New Roman" w:hAnsi="Times New Roman"/>
      <w:szCs w:val="24"/>
      <w:lang w:eastAsia="fr-CA"/>
    </w:rPr>
  </w:style>
  <w:style w:type="paragraph" w:customStyle="1" w:styleId="paragrdouble0">
    <w:name w:val="paragrdouble"/>
    <w:basedOn w:val="Normal"/>
    <w:rsid w:val="00821C0A"/>
    <w:pPr>
      <w:spacing w:before="100" w:beforeAutospacing="1" w:after="100" w:afterAutospacing="1"/>
    </w:pPr>
    <w:rPr>
      <w:rFonts w:ascii="Times New Roman" w:hAnsi="Times New Roman"/>
      <w:szCs w:val="24"/>
      <w:lang w:eastAsia="fr-CA"/>
    </w:rPr>
  </w:style>
  <w:style w:type="paragraph" w:styleId="Rvision">
    <w:name w:val="Revision"/>
    <w:hidden/>
    <w:uiPriority w:val="99"/>
    <w:semiHidden/>
    <w:rsid w:val="00D369EA"/>
    <w:rPr>
      <w:rFonts w:ascii="Arial" w:hAnsi="Arial"/>
      <w:sz w:val="24"/>
      <w:lang w:eastAsia="fr-FR"/>
    </w:rPr>
  </w:style>
  <w:style w:type="character" w:styleId="Marquedecommentaire">
    <w:name w:val="annotation reference"/>
    <w:uiPriority w:val="99"/>
    <w:semiHidden/>
    <w:unhideWhenUsed/>
    <w:rsid w:val="0090599E"/>
    <w:rPr>
      <w:sz w:val="16"/>
      <w:szCs w:val="16"/>
    </w:rPr>
  </w:style>
  <w:style w:type="paragraph" w:styleId="Commentaire">
    <w:name w:val="annotation text"/>
    <w:basedOn w:val="Normal"/>
    <w:link w:val="CommentaireCar"/>
    <w:uiPriority w:val="99"/>
    <w:unhideWhenUsed/>
    <w:rsid w:val="0090599E"/>
    <w:rPr>
      <w:sz w:val="20"/>
    </w:rPr>
  </w:style>
  <w:style w:type="character" w:customStyle="1" w:styleId="CommentaireCar">
    <w:name w:val="Commentaire Car"/>
    <w:link w:val="Commentaire"/>
    <w:uiPriority w:val="99"/>
    <w:rsid w:val="0090599E"/>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90599E"/>
    <w:rPr>
      <w:b/>
      <w:bCs/>
    </w:rPr>
  </w:style>
  <w:style w:type="character" w:customStyle="1" w:styleId="ObjetducommentaireCar">
    <w:name w:val="Objet du commentaire Car"/>
    <w:link w:val="Objetducommentaire"/>
    <w:uiPriority w:val="99"/>
    <w:semiHidden/>
    <w:rsid w:val="0090599E"/>
    <w:rPr>
      <w:rFonts w:ascii="Arial" w:hAnsi="Arial"/>
      <w:b/>
      <w:bCs/>
      <w:lang w:eastAsia="fr-FR"/>
    </w:rPr>
  </w:style>
  <w:style w:type="paragraph" w:customStyle="1" w:styleId="1">
    <w:name w:val="1"/>
    <w:basedOn w:val="Normal"/>
    <w:rsid w:val="00BE7E9A"/>
    <w:pPr>
      <w:spacing w:before="100" w:beforeAutospacing="1" w:after="100" w:afterAutospacing="1"/>
    </w:pPr>
    <w:rPr>
      <w:rFonts w:ascii="Times New Roman" w:hAnsi="Times New Roman"/>
      <w:szCs w:val="24"/>
      <w:lang w:eastAsia="fr-CA"/>
    </w:rPr>
  </w:style>
  <w:style w:type="character" w:customStyle="1" w:styleId="reflex3-missing">
    <w:name w:val="reflex3-missing"/>
    <w:basedOn w:val="Policepardfaut"/>
    <w:rsid w:val="00BE7E9A"/>
  </w:style>
  <w:style w:type="paragraph" w:styleId="TM4">
    <w:name w:val="toc 4"/>
    <w:basedOn w:val="Normal"/>
    <w:next w:val="Normal"/>
    <w:autoRedefine/>
    <w:uiPriority w:val="39"/>
    <w:unhideWhenUsed/>
    <w:rsid w:val="00DE4371"/>
    <w:pPr>
      <w:spacing w:after="100"/>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318432890B74C8D8BC34B5353B372" ma:contentTypeVersion="2" ma:contentTypeDescription="Crée un document." ma:contentTypeScope="" ma:versionID="6e0052a9091211f73c24cc39bc861b60">
  <xsd:schema xmlns:xsd="http://www.w3.org/2001/XMLSchema" xmlns:xs="http://www.w3.org/2001/XMLSchema" xmlns:p="http://schemas.microsoft.com/office/2006/metadata/properties" xmlns:ns1="http://schemas.microsoft.com/sharepoint/v3" xmlns:ns2="ddd9db8a-241d-4149-a0d3-7618663a9260" targetNamespace="http://schemas.microsoft.com/office/2006/metadata/properties" ma:root="true" ma:fieldsID="52b8b4e4f19fd2fbc811c37b64dbca3c" ns1:_="" ns2:_="">
    <xsd:import namespace="http://schemas.microsoft.com/sharepoint/v3"/>
    <xsd:import namespace="ddd9db8a-241d-4149-a0d3-7618663a9260"/>
    <xsd:element name="properties">
      <xsd:complexType>
        <xsd:sequence>
          <xsd:element name="documentManagement">
            <xsd:complexType>
              <xsd:all>
                <xsd:element ref="ns1:PublishingStartDate" minOccurs="0"/>
                <xsd:element ref="ns1:PublishingExpirationDate" minOccurs="0"/>
                <xsd:element ref="ns2:Auteur_x0020_du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internalName="PublishingStartDate">
      <xsd:simpleType>
        <xsd:restriction base="dms:Unknown"/>
      </xsd:simpleType>
    </xsd:element>
    <xsd:element name="PublishingExpirationDate" ma:index="9" nillable="true" ma:displayName="Date de fin de planifica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9db8a-241d-4149-a0d3-7618663a9260" elementFormDefault="qualified">
    <xsd:import namespace="http://schemas.microsoft.com/office/2006/documentManagement/types"/>
    <xsd:import namespace="http://schemas.microsoft.com/office/infopath/2007/PartnerControls"/>
    <xsd:element name="Auteur_x0020_du_x0020_document" ma:index="10" nillable="true" ma:displayName="Auteur du document" ma:description="Auteur principal" ma:internalName="Auteur_x0020_du_x0020_docu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teur_x0020_du_x0020_document xmlns="ddd9db8a-241d-4149-a0d3-7618663a9260"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02BE72-5CAA-4D62-A721-D6FB07247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9db8a-241d-4149-a0d3-7618663a9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5A108-F86E-4C5B-9AC1-33FBDA2F18D2}">
  <ds:schemaRefs>
    <ds:schemaRef ds:uri="http://schemas.openxmlformats.org/officeDocument/2006/bibliography"/>
  </ds:schemaRefs>
</ds:datastoreItem>
</file>

<file path=customXml/itemProps3.xml><?xml version="1.0" encoding="utf-8"?>
<ds:datastoreItem xmlns:ds="http://schemas.openxmlformats.org/officeDocument/2006/customXml" ds:itemID="{C36D3F2B-15EA-492A-8B48-2CF10FE3B1AB}">
  <ds:schemaRefs>
    <ds:schemaRef ds:uri="http://schemas.microsoft.com/sharepoint/v3/contenttype/forms"/>
  </ds:schemaRefs>
</ds:datastoreItem>
</file>

<file path=customXml/itemProps4.xml><?xml version="1.0" encoding="utf-8"?>
<ds:datastoreItem xmlns:ds="http://schemas.openxmlformats.org/officeDocument/2006/customXml" ds:itemID="{6B42FFE6-5105-4711-AEEB-5676C1944076}">
  <ds:schemaRefs>
    <ds:schemaRef ds:uri="http://schemas.microsoft.com/office/2006/metadata/properties"/>
    <ds:schemaRef ds:uri="http://schemas.microsoft.com/office/infopath/2007/PartnerControls"/>
    <ds:schemaRef ds:uri="ddd9db8a-241d-4149-a0d3-7618663a926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18038</Words>
  <Characters>99210</Characters>
  <Application>Microsoft Office Word</Application>
  <DocSecurity>0</DocSecurity>
  <Lines>826</Lines>
  <Paragraphs>234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François</dc:creator>
  <cp:keywords/>
  <cp:lastModifiedBy>Gauthier, François</cp:lastModifiedBy>
  <cp:revision>2</cp:revision>
  <dcterms:created xsi:type="dcterms:W3CDTF">2023-11-09T19:52:00Z</dcterms:created>
  <dcterms:modified xsi:type="dcterms:W3CDTF">2023-11-09T19:52:00Z</dcterms:modified>
</cp:coreProperties>
</file>