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Layout w:type="fixed"/>
        <w:tblCellMar>
          <w:left w:w="70" w:type="dxa"/>
          <w:right w:w="70" w:type="dxa"/>
        </w:tblCellMar>
        <w:tblLook w:val="0000" w:firstRow="0" w:lastRow="0" w:firstColumn="0" w:lastColumn="0" w:noHBand="0" w:noVBand="0"/>
      </w:tblPr>
      <w:tblGrid>
        <w:gridCol w:w="1913"/>
        <w:gridCol w:w="2739"/>
        <w:gridCol w:w="238"/>
        <w:gridCol w:w="4608"/>
        <w:gridCol w:w="70"/>
      </w:tblGrid>
      <w:tr w:rsidR="00CF7890" w:rsidRPr="00505647" w14:paraId="2CFED0AE" w14:textId="77777777" w:rsidTr="00FA71CA">
        <w:trPr>
          <w:gridAfter w:val="1"/>
          <w:wAfter w:w="70" w:type="dxa"/>
          <w:trHeight w:val="360"/>
        </w:trPr>
        <w:tc>
          <w:tcPr>
            <w:tcW w:w="4652" w:type="dxa"/>
            <w:gridSpan w:val="2"/>
          </w:tcPr>
          <w:p w14:paraId="57F697B4" w14:textId="598FB51D" w:rsidR="00B4030F" w:rsidRPr="00505647" w:rsidRDefault="00974246">
            <w:pPr>
              <w:pStyle w:val="zSoquijdatRepertorie"/>
              <w:rPr>
                <w:rFonts w:cs="Arial"/>
                <w:noProof w:val="0"/>
              </w:rPr>
            </w:pPr>
            <w:r w:rsidRPr="001F55EF">
              <w:rPr>
                <w:b w:val="0"/>
                <w:i/>
              </w:rPr>
              <w:t>Unofficial English Translation</w:t>
            </w:r>
          </w:p>
        </w:tc>
        <w:tc>
          <w:tcPr>
            <w:tcW w:w="4846" w:type="dxa"/>
            <w:gridSpan w:val="2"/>
          </w:tcPr>
          <w:p w14:paraId="2A26C921" w14:textId="77777777" w:rsidR="00B4030F" w:rsidRPr="00505647" w:rsidRDefault="00B4030F">
            <w:pPr>
              <w:pStyle w:val="zSoquijdatRefNeutre"/>
              <w:rPr>
                <w:rFonts w:cs="Arial"/>
                <w:noProof w:val="0"/>
              </w:rPr>
            </w:pPr>
          </w:p>
        </w:tc>
      </w:tr>
      <w:tr w:rsidR="003E3F69" w:rsidRPr="00505647" w14:paraId="561B2481" w14:textId="77777777" w:rsidTr="00FA71CA">
        <w:trPr>
          <w:gridAfter w:val="1"/>
          <w:wAfter w:w="70" w:type="dxa"/>
          <w:trHeight w:val="360"/>
        </w:trPr>
        <w:tc>
          <w:tcPr>
            <w:tcW w:w="4652" w:type="dxa"/>
            <w:gridSpan w:val="2"/>
          </w:tcPr>
          <w:p w14:paraId="4938BE95" w14:textId="1DD82493" w:rsidR="003E3F69" w:rsidRPr="003E3F69" w:rsidRDefault="003E3F69" w:rsidP="003E3F69">
            <w:pPr>
              <w:pStyle w:val="zSoquijdatRepertorie"/>
              <w:rPr>
                <w:b w:val="0"/>
                <w:i/>
                <w:lang w:val="fr-CA"/>
              </w:rPr>
            </w:pPr>
            <w:r w:rsidRPr="003E3F69">
              <w:rPr>
                <w:rFonts w:cs="Arial"/>
                <w:lang w:val="fr-CA"/>
              </w:rPr>
              <w:t>Autorité des marchés financiers c. XT.com Exchange (XT Exchange et XT.com)</w:t>
            </w:r>
          </w:p>
        </w:tc>
        <w:tc>
          <w:tcPr>
            <w:tcW w:w="4846" w:type="dxa"/>
            <w:gridSpan w:val="2"/>
          </w:tcPr>
          <w:p w14:paraId="20F44581" w14:textId="07FFD6AD" w:rsidR="003E3F69" w:rsidRPr="00505647" w:rsidRDefault="003E3F69" w:rsidP="003E3F69">
            <w:pPr>
              <w:pStyle w:val="zSoquijdatRefNeutre"/>
              <w:jc w:val="right"/>
              <w:rPr>
                <w:rFonts w:cs="Arial"/>
                <w:noProof w:val="0"/>
              </w:rPr>
            </w:pPr>
            <w:r w:rsidRPr="00250058">
              <w:rPr>
                <w:rFonts w:cs="Arial"/>
              </w:rPr>
              <w:t>2023 QCTMF 62</w:t>
            </w:r>
          </w:p>
        </w:tc>
      </w:tr>
      <w:tr w:rsidR="003E3F69" w:rsidRPr="00505647" w14:paraId="5FB2338B" w14:textId="77777777" w:rsidTr="00FA71CA">
        <w:trPr>
          <w:gridAfter w:val="1"/>
          <w:wAfter w:w="70" w:type="dxa"/>
          <w:trHeight w:val="900"/>
        </w:trPr>
        <w:tc>
          <w:tcPr>
            <w:tcW w:w="9498" w:type="dxa"/>
            <w:gridSpan w:val="4"/>
            <w:vAlign w:val="bottom"/>
          </w:tcPr>
          <w:p w14:paraId="469866F2" w14:textId="77777777" w:rsidR="003E3F69" w:rsidRPr="00505647" w:rsidRDefault="003E3F69" w:rsidP="003E3F69">
            <w:pPr>
              <w:pStyle w:val="zSoquijlblCour"/>
              <w:rPr>
                <w:rFonts w:cs="Arial"/>
              </w:rPr>
            </w:pPr>
            <w:r w:rsidRPr="00505647">
              <w:rPr>
                <w:rFonts w:cs="Arial"/>
                <w:bCs/>
              </w:rPr>
              <w:t>FINANCIAL MARKETS</w:t>
            </w:r>
            <w:r w:rsidRPr="00505647">
              <w:rPr>
                <w:rFonts w:cs="Arial"/>
                <w:b w:val="0"/>
              </w:rPr>
              <w:br/>
            </w:r>
            <w:r w:rsidRPr="00505647">
              <w:rPr>
                <w:rFonts w:cs="Arial"/>
                <w:bCs/>
              </w:rPr>
              <w:t>ADMINISTRATIVE TRIBUNAL</w:t>
            </w:r>
          </w:p>
        </w:tc>
      </w:tr>
      <w:tr w:rsidR="003E3F69" w:rsidRPr="00505647" w14:paraId="39A0690A" w14:textId="77777777" w:rsidTr="00FA71CA">
        <w:trPr>
          <w:gridAfter w:val="1"/>
          <w:wAfter w:w="70" w:type="dxa"/>
          <w:trHeight w:val="540"/>
        </w:trPr>
        <w:tc>
          <w:tcPr>
            <w:tcW w:w="9498" w:type="dxa"/>
            <w:gridSpan w:val="4"/>
          </w:tcPr>
          <w:p w14:paraId="52704F56" w14:textId="77777777" w:rsidR="003E3F69" w:rsidRPr="00505647" w:rsidRDefault="003E3F69" w:rsidP="003E3F69">
            <w:pPr>
              <w:pStyle w:val="zSoquijdatDivision"/>
              <w:rPr>
                <w:rFonts w:cs="Arial"/>
              </w:rPr>
            </w:pPr>
          </w:p>
        </w:tc>
      </w:tr>
      <w:tr w:rsidR="003E3F69" w:rsidRPr="00505647" w14:paraId="125C2CA5" w14:textId="77777777" w:rsidTr="00FA71CA">
        <w:trPr>
          <w:gridAfter w:val="1"/>
          <w:wAfter w:w="70" w:type="dxa"/>
        </w:trPr>
        <w:tc>
          <w:tcPr>
            <w:tcW w:w="9498" w:type="dxa"/>
            <w:gridSpan w:val="4"/>
          </w:tcPr>
          <w:p w14:paraId="59EA7375" w14:textId="77777777" w:rsidR="003E3F69" w:rsidRPr="00505647" w:rsidRDefault="003E3F69" w:rsidP="003E3F69">
            <w:pPr>
              <w:pStyle w:val="zSoquijlblPays"/>
              <w:rPr>
                <w:rFonts w:cs="Arial"/>
              </w:rPr>
            </w:pPr>
            <w:r w:rsidRPr="00505647">
              <w:rPr>
                <w:rFonts w:cs="Arial"/>
              </w:rPr>
              <w:t>CANADA</w:t>
            </w:r>
          </w:p>
        </w:tc>
      </w:tr>
      <w:tr w:rsidR="003E3F69" w:rsidRPr="00505647" w14:paraId="4F792E28" w14:textId="77777777" w:rsidTr="00FA71CA">
        <w:trPr>
          <w:gridAfter w:val="1"/>
          <w:wAfter w:w="70" w:type="dxa"/>
        </w:trPr>
        <w:tc>
          <w:tcPr>
            <w:tcW w:w="9498" w:type="dxa"/>
            <w:gridSpan w:val="4"/>
          </w:tcPr>
          <w:p w14:paraId="752960F3" w14:textId="77777777" w:rsidR="003E3F69" w:rsidRPr="00505647" w:rsidRDefault="003E3F69" w:rsidP="003E3F69">
            <w:pPr>
              <w:pStyle w:val="zSoquijlblProvince"/>
              <w:rPr>
                <w:rFonts w:cs="Arial"/>
              </w:rPr>
            </w:pPr>
            <w:r w:rsidRPr="00505647">
              <w:rPr>
                <w:rFonts w:cs="Arial"/>
              </w:rPr>
              <w:t>PROVINCE OF QUÉBEC</w:t>
            </w:r>
          </w:p>
        </w:tc>
      </w:tr>
      <w:tr w:rsidR="003E3F69" w:rsidRPr="00505647" w14:paraId="6CDC5BA5" w14:textId="77777777" w:rsidTr="00FA71CA">
        <w:trPr>
          <w:gridAfter w:val="1"/>
          <w:wAfter w:w="70" w:type="dxa"/>
        </w:trPr>
        <w:tc>
          <w:tcPr>
            <w:tcW w:w="9498" w:type="dxa"/>
            <w:gridSpan w:val="4"/>
          </w:tcPr>
          <w:p w14:paraId="76EC9350" w14:textId="77777777" w:rsidR="003E3F69" w:rsidRPr="00505647" w:rsidRDefault="003E3F69" w:rsidP="003E3F69">
            <w:pPr>
              <w:pStyle w:val="zSoquijdatGreffe"/>
              <w:rPr>
                <w:rFonts w:cs="Arial"/>
              </w:rPr>
            </w:pPr>
            <w:r w:rsidRPr="00505647">
              <w:rPr>
                <w:rFonts w:cs="Arial"/>
              </w:rPr>
              <w:t>MONTRÉAL</w:t>
            </w:r>
          </w:p>
        </w:tc>
      </w:tr>
      <w:tr w:rsidR="003E3F69" w:rsidRPr="00505647" w14:paraId="1DFFE8EA" w14:textId="77777777" w:rsidTr="00FA71CA">
        <w:trPr>
          <w:gridAfter w:val="1"/>
          <w:wAfter w:w="70" w:type="dxa"/>
          <w:trHeight w:val="540"/>
        </w:trPr>
        <w:tc>
          <w:tcPr>
            <w:tcW w:w="9498" w:type="dxa"/>
            <w:gridSpan w:val="4"/>
          </w:tcPr>
          <w:p w14:paraId="5CB4C53F" w14:textId="77777777" w:rsidR="003E3F69" w:rsidRPr="00505647" w:rsidRDefault="003E3F69" w:rsidP="003E3F69">
            <w:pPr>
              <w:pStyle w:val="zSoquijlblNomChambre"/>
              <w:rPr>
                <w:rFonts w:cs="Arial"/>
              </w:rPr>
            </w:pPr>
          </w:p>
        </w:tc>
      </w:tr>
      <w:tr w:rsidR="003E3F69" w:rsidRPr="00505647" w14:paraId="669AF9FE" w14:textId="77777777" w:rsidTr="00FA71CA">
        <w:trPr>
          <w:gridAfter w:val="1"/>
          <w:wAfter w:w="70" w:type="dxa"/>
        </w:trPr>
        <w:tc>
          <w:tcPr>
            <w:tcW w:w="1913" w:type="dxa"/>
          </w:tcPr>
          <w:p w14:paraId="7D97297A" w14:textId="77777777" w:rsidR="003E3F69" w:rsidRPr="00505647" w:rsidRDefault="003E3F69" w:rsidP="003E3F69">
            <w:pPr>
              <w:pStyle w:val="zSoquijlblNoDossier"/>
              <w:rPr>
                <w:rFonts w:cs="Arial"/>
              </w:rPr>
            </w:pPr>
            <w:r w:rsidRPr="00505647">
              <w:rPr>
                <w:rFonts w:cs="Arial"/>
              </w:rPr>
              <w:t>FILE NO.:</w:t>
            </w:r>
          </w:p>
        </w:tc>
        <w:tc>
          <w:tcPr>
            <w:tcW w:w="7585" w:type="dxa"/>
            <w:gridSpan w:val="3"/>
          </w:tcPr>
          <w:p w14:paraId="2B1F30AC" w14:textId="4479FBB1" w:rsidR="003E3F69" w:rsidRPr="00505647" w:rsidRDefault="003E3F69" w:rsidP="003E3F69">
            <w:pPr>
              <w:pStyle w:val="zSoquijdatNoDossier"/>
              <w:rPr>
                <w:rFonts w:cs="Arial"/>
              </w:rPr>
            </w:pPr>
            <w:r w:rsidRPr="00505647">
              <w:rPr>
                <w:rFonts w:cs="Arial"/>
              </w:rPr>
              <w:t>2023-009</w:t>
            </w:r>
          </w:p>
        </w:tc>
      </w:tr>
      <w:tr w:rsidR="003E3F69" w:rsidRPr="00505647" w14:paraId="4F9761A0" w14:textId="77777777" w:rsidTr="00FA71CA">
        <w:trPr>
          <w:gridAfter w:val="1"/>
          <w:wAfter w:w="70" w:type="dxa"/>
        </w:trPr>
        <w:tc>
          <w:tcPr>
            <w:tcW w:w="9498" w:type="dxa"/>
            <w:gridSpan w:val="4"/>
          </w:tcPr>
          <w:p w14:paraId="6275785D" w14:textId="77777777" w:rsidR="003E3F69" w:rsidRPr="00505647" w:rsidRDefault="003E3F69" w:rsidP="003E3F69">
            <w:pPr>
              <w:rPr>
                <w:rFonts w:cs="Arial"/>
              </w:rPr>
            </w:pPr>
          </w:p>
        </w:tc>
      </w:tr>
      <w:tr w:rsidR="003E3F69" w:rsidRPr="00505647" w14:paraId="1F4723CD" w14:textId="77777777" w:rsidTr="00FA71CA">
        <w:trPr>
          <w:gridAfter w:val="1"/>
          <w:wAfter w:w="70" w:type="dxa"/>
        </w:trPr>
        <w:tc>
          <w:tcPr>
            <w:tcW w:w="1913" w:type="dxa"/>
          </w:tcPr>
          <w:p w14:paraId="7D8908CB" w14:textId="77777777" w:rsidR="003E3F69" w:rsidRPr="00505647" w:rsidRDefault="003E3F69" w:rsidP="003E3F69">
            <w:pPr>
              <w:pStyle w:val="zSoquijlblNoDossier"/>
              <w:rPr>
                <w:rFonts w:cs="Arial"/>
              </w:rPr>
            </w:pPr>
            <w:r w:rsidRPr="00505647">
              <w:rPr>
                <w:rFonts w:cs="Arial"/>
              </w:rPr>
              <w:t>DECISION NO.:</w:t>
            </w:r>
          </w:p>
        </w:tc>
        <w:tc>
          <w:tcPr>
            <w:tcW w:w="7585" w:type="dxa"/>
            <w:gridSpan w:val="3"/>
          </w:tcPr>
          <w:p w14:paraId="0D235381" w14:textId="6B8DF97C" w:rsidR="003E3F69" w:rsidRPr="00505647" w:rsidRDefault="003E3F69" w:rsidP="003E3F69">
            <w:pPr>
              <w:pStyle w:val="zSoquijdatNoDossier"/>
              <w:rPr>
                <w:rFonts w:cs="Arial"/>
              </w:rPr>
            </w:pPr>
            <w:r w:rsidRPr="00505647">
              <w:rPr>
                <w:rFonts w:cs="Arial"/>
              </w:rPr>
              <w:t>2023-009-001</w:t>
            </w:r>
          </w:p>
        </w:tc>
      </w:tr>
      <w:tr w:rsidR="003E3F69" w:rsidRPr="00505647" w14:paraId="21394006" w14:textId="77777777" w:rsidTr="00FA71CA">
        <w:trPr>
          <w:gridAfter w:val="1"/>
          <w:wAfter w:w="70" w:type="dxa"/>
          <w:cantSplit/>
          <w:trHeight w:val="235"/>
        </w:trPr>
        <w:tc>
          <w:tcPr>
            <w:tcW w:w="9498" w:type="dxa"/>
            <w:gridSpan w:val="4"/>
          </w:tcPr>
          <w:p w14:paraId="07354233" w14:textId="77777777" w:rsidR="003E3F69" w:rsidRPr="00505647" w:rsidRDefault="003E3F69" w:rsidP="003E3F69">
            <w:pPr>
              <w:rPr>
                <w:rFonts w:cs="Arial"/>
              </w:rPr>
            </w:pPr>
          </w:p>
        </w:tc>
      </w:tr>
      <w:tr w:rsidR="003E3F69" w:rsidRPr="00505647" w14:paraId="4FA46CF5" w14:textId="77777777" w:rsidTr="00FA71CA">
        <w:trPr>
          <w:gridAfter w:val="1"/>
          <w:wAfter w:w="70" w:type="dxa"/>
        </w:trPr>
        <w:tc>
          <w:tcPr>
            <w:tcW w:w="1913" w:type="dxa"/>
          </w:tcPr>
          <w:p w14:paraId="2C59E113" w14:textId="77777777" w:rsidR="003E3F69" w:rsidRPr="00505647" w:rsidRDefault="003E3F69" w:rsidP="003E3F69">
            <w:pPr>
              <w:pStyle w:val="zSoquijlblDateJugement"/>
              <w:rPr>
                <w:rFonts w:cs="Arial"/>
              </w:rPr>
            </w:pPr>
            <w:r w:rsidRPr="00505647">
              <w:rPr>
                <w:rFonts w:cs="Arial"/>
              </w:rPr>
              <w:t>DATE:</w:t>
            </w:r>
          </w:p>
        </w:tc>
        <w:tc>
          <w:tcPr>
            <w:tcW w:w="7585" w:type="dxa"/>
            <w:gridSpan w:val="3"/>
          </w:tcPr>
          <w:p w14:paraId="0F1C66E7" w14:textId="072B69AA" w:rsidR="003E3F69" w:rsidRPr="00505647" w:rsidRDefault="003E3F69" w:rsidP="003E3F69">
            <w:pPr>
              <w:pStyle w:val="zSoquijdatDateJugement"/>
              <w:rPr>
                <w:rFonts w:cs="Arial"/>
              </w:rPr>
            </w:pPr>
            <w:r w:rsidRPr="00505647">
              <w:rPr>
                <w:rFonts w:cs="Arial"/>
              </w:rPr>
              <w:t xml:space="preserve">September 20, </w:t>
            </w:r>
            <w:proofErr w:type="gramStart"/>
            <w:r w:rsidRPr="00505647">
              <w:rPr>
                <w:rFonts w:cs="Arial"/>
              </w:rPr>
              <w:t>2023</w:t>
            </w:r>
            <w:proofErr w:type="gramEnd"/>
            <w:r w:rsidRPr="00505647">
              <w:rPr>
                <w:rFonts w:cs="Arial"/>
              </w:rPr>
              <w:t xml:space="preserve"> </w:t>
            </w:r>
          </w:p>
        </w:tc>
      </w:tr>
      <w:tr w:rsidR="003E3F69" w:rsidRPr="00505647" w14:paraId="5574E262" w14:textId="77777777" w:rsidTr="00FA71CA">
        <w:trPr>
          <w:gridAfter w:val="1"/>
          <w:wAfter w:w="70" w:type="dxa"/>
        </w:trPr>
        <w:tc>
          <w:tcPr>
            <w:tcW w:w="9498" w:type="dxa"/>
            <w:gridSpan w:val="4"/>
          </w:tcPr>
          <w:p w14:paraId="71F4BFF4" w14:textId="77777777" w:rsidR="003E3F69" w:rsidRPr="00505647" w:rsidRDefault="003E3F69" w:rsidP="003E3F69">
            <w:pPr>
              <w:ind w:left="14" w:right="-67"/>
              <w:rPr>
                <w:rFonts w:cs="Arial"/>
              </w:rPr>
            </w:pPr>
            <w:r w:rsidRPr="00505647">
              <w:rPr>
                <w:rFonts w:cs="Arial"/>
              </w:rPr>
              <w:t>______________________________________________________________________</w:t>
            </w:r>
          </w:p>
        </w:tc>
      </w:tr>
      <w:tr w:rsidR="003E3F69" w:rsidRPr="00505647" w14:paraId="0EC5D8B0" w14:textId="77777777" w:rsidTr="00FA71CA">
        <w:trPr>
          <w:gridAfter w:val="1"/>
          <w:wAfter w:w="70" w:type="dxa"/>
        </w:trPr>
        <w:tc>
          <w:tcPr>
            <w:tcW w:w="9498" w:type="dxa"/>
            <w:gridSpan w:val="4"/>
          </w:tcPr>
          <w:p w14:paraId="001DB56D" w14:textId="77777777" w:rsidR="003E3F69" w:rsidRPr="00505647" w:rsidRDefault="003E3F69" w:rsidP="003E3F69">
            <w:pPr>
              <w:rPr>
                <w:rFonts w:cs="Arial"/>
              </w:rPr>
            </w:pPr>
          </w:p>
        </w:tc>
      </w:tr>
      <w:tr w:rsidR="003E3F69" w:rsidRPr="00505647" w14:paraId="1CDA4CBC" w14:textId="77777777" w:rsidTr="00FA71CA">
        <w:tblPrEx>
          <w:tblCellMar>
            <w:left w:w="0" w:type="dxa"/>
            <w:right w:w="0" w:type="dxa"/>
          </w:tblCellMar>
        </w:tblPrEx>
        <w:tc>
          <w:tcPr>
            <w:tcW w:w="4890" w:type="dxa"/>
            <w:gridSpan w:val="3"/>
          </w:tcPr>
          <w:p w14:paraId="5716935B" w14:textId="56D59923" w:rsidR="003E3F69" w:rsidRPr="00505647" w:rsidRDefault="003E3F69" w:rsidP="003E3F69">
            <w:pPr>
              <w:pStyle w:val="zSoquijdatQteJuge"/>
              <w:rPr>
                <w:rFonts w:cs="Arial"/>
              </w:rPr>
            </w:pPr>
            <w:r w:rsidRPr="00505647">
              <w:rPr>
                <w:rFonts w:cs="Arial"/>
                <w:bCs/>
              </w:rPr>
              <w:t>BEFORE THE ADMINISTRATIVE JUDGES:</w:t>
            </w:r>
          </w:p>
        </w:tc>
        <w:tc>
          <w:tcPr>
            <w:tcW w:w="4678" w:type="dxa"/>
            <w:gridSpan w:val="2"/>
          </w:tcPr>
          <w:p w14:paraId="181FF3D7" w14:textId="5E0D7C14" w:rsidR="003E3F69" w:rsidRPr="00505647" w:rsidRDefault="003E3F69" w:rsidP="003E3F69">
            <w:pPr>
              <w:pStyle w:val="zSoquijdatJuge"/>
              <w:rPr>
                <w:rFonts w:cs="Arial"/>
              </w:rPr>
            </w:pPr>
            <w:r w:rsidRPr="00505647">
              <w:rPr>
                <w:rFonts w:cs="Arial"/>
                <w:bCs/>
              </w:rPr>
              <w:t>NICOLE MARTINEAU</w:t>
            </w:r>
          </w:p>
        </w:tc>
      </w:tr>
      <w:tr w:rsidR="003E3F69" w:rsidRPr="00505647" w14:paraId="6C137710" w14:textId="77777777" w:rsidTr="00FA71CA">
        <w:tblPrEx>
          <w:tblCellMar>
            <w:left w:w="0" w:type="dxa"/>
            <w:right w:w="0" w:type="dxa"/>
          </w:tblCellMar>
        </w:tblPrEx>
        <w:tc>
          <w:tcPr>
            <w:tcW w:w="4890" w:type="dxa"/>
            <w:gridSpan w:val="3"/>
          </w:tcPr>
          <w:p w14:paraId="33549255" w14:textId="0598FFC0" w:rsidR="003E3F69" w:rsidRPr="00505647" w:rsidRDefault="003E3F69" w:rsidP="003E3F69">
            <w:pPr>
              <w:pStyle w:val="zSoquijdatQteJuge"/>
              <w:ind w:left="0"/>
              <w:rPr>
                <w:rFonts w:cs="Arial"/>
              </w:rPr>
            </w:pPr>
          </w:p>
        </w:tc>
        <w:tc>
          <w:tcPr>
            <w:tcW w:w="4678" w:type="dxa"/>
            <w:gridSpan w:val="2"/>
          </w:tcPr>
          <w:p w14:paraId="4E7EA883" w14:textId="4634437A" w:rsidR="003E3F69" w:rsidRPr="00505647" w:rsidRDefault="003E3F69" w:rsidP="003E3F69">
            <w:pPr>
              <w:pStyle w:val="zSoquijdatJuge"/>
              <w:rPr>
                <w:rFonts w:cs="Arial"/>
              </w:rPr>
            </w:pPr>
            <w:r w:rsidRPr="00505647">
              <w:rPr>
                <w:rFonts w:cs="Arial"/>
                <w:bCs/>
              </w:rPr>
              <w:t>CHRISTINE DUBÉ</w:t>
            </w:r>
          </w:p>
        </w:tc>
      </w:tr>
      <w:tr w:rsidR="003E3F69" w:rsidRPr="00505647" w14:paraId="10A7A0B5" w14:textId="77777777" w:rsidTr="00FA71CA">
        <w:trPr>
          <w:gridAfter w:val="1"/>
          <w:wAfter w:w="70" w:type="dxa"/>
        </w:trPr>
        <w:tc>
          <w:tcPr>
            <w:tcW w:w="9498" w:type="dxa"/>
            <w:gridSpan w:val="4"/>
          </w:tcPr>
          <w:p w14:paraId="7DBE82AA" w14:textId="77777777" w:rsidR="003E3F69" w:rsidRPr="00505647" w:rsidRDefault="003E3F69" w:rsidP="003E3F69">
            <w:pPr>
              <w:ind w:left="14" w:right="-67"/>
              <w:rPr>
                <w:rFonts w:cs="Arial"/>
              </w:rPr>
            </w:pPr>
            <w:r w:rsidRPr="00505647">
              <w:rPr>
                <w:rFonts w:cs="Arial"/>
              </w:rPr>
              <w:t>______________________________________________________________________</w:t>
            </w:r>
          </w:p>
        </w:tc>
      </w:tr>
      <w:tr w:rsidR="003E3F69" w:rsidRPr="00505647" w14:paraId="173CE8DE" w14:textId="77777777" w:rsidTr="00FA71CA">
        <w:trPr>
          <w:gridAfter w:val="1"/>
          <w:wAfter w:w="70" w:type="dxa"/>
        </w:trPr>
        <w:tc>
          <w:tcPr>
            <w:tcW w:w="9498" w:type="dxa"/>
            <w:gridSpan w:val="4"/>
          </w:tcPr>
          <w:p w14:paraId="09CCF76E" w14:textId="77777777" w:rsidR="003E3F69" w:rsidRPr="00505647" w:rsidRDefault="003E3F69" w:rsidP="003E3F69">
            <w:pPr>
              <w:pStyle w:val="zSoquijlblTitrePartie"/>
              <w:rPr>
                <w:rFonts w:cs="Arial"/>
              </w:rPr>
            </w:pPr>
          </w:p>
        </w:tc>
      </w:tr>
      <w:tr w:rsidR="003E3F69" w:rsidRPr="00505647" w14:paraId="1B869F1C" w14:textId="77777777" w:rsidTr="00FA71CA">
        <w:trPr>
          <w:gridAfter w:val="1"/>
          <w:wAfter w:w="70" w:type="dxa"/>
        </w:trPr>
        <w:tc>
          <w:tcPr>
            <w:tcW w:w="9498" w:type="dxa"/>
            <w:gridSpan w:val="4"/>
          </w:tcPr>
          <w:p w14:paraId="16BE3F14" w14:textId="77777777" w:rsidR="003E3F69" w:rsidRPr="00505647" w:rsidRDefault="003E3F69" w:rsidP="003E3F69">
            <w:pPr>
              <w:rPr>
                <w:rFonts w:cs="Arial"/>
              </w:rPr>
            </w:pPr>
          </w:p>
        </w:tc>
      </w:tr>
      <w:bookmarkStart w:id="0" w:name="_Hlk114644620"/>
      <w:tr w:rsidR="003E3F69" w:rsidRPr="00505647" w14:paraId="16311964" w14:textId="77777777" w:rsidTr="00FA71CA">
        <w:trPr>
          <w:gridAfter w:val="1"/>
          <w:wAfter w:w="70" w:type="dxa"/>
        </w:trPr>
        <w:tc>
          <w:tcPr>
            <w:tcW w:w="9498" w:type="dxa"/>
            <w:gridSpan w:val="4"/>
          </w:tcPr>
          <w:p w14:paraId="1692BB88" w14:textId="77777777" w:rsidR="003E3F69" w:rsidRPr="00505647" w:rsidRDefault="003E3F69" w:rsidP="003E3F69">
            <w:pPr>
              <w:pStyle w:val="zSoquijdatNomPartieDem"/>
              <w:rPr>
                <w:rFonts w:cs="Arial"/>
              </w:rPr>
            </w:pPr>
            <w:sdt>
              <w:sdtPr>
                <w:rPr>
                  <w:rFonts w:cs="Arial"/>
                </w:rPr>
                <w:alias w:val="Partie demanderesse"/>
                <w:tag w:val="bdrqc.partie_demanderesse--v1"/>
                <w:id w:val="-115763507"/>
                <w:placeholder>
                  <w:docPart w:val="CB52BCF0F05846E78CC03B7EDF429595"/>
                </w:placeholder>
                <w:text/>
              </w:sdtPr>
              <w:sdtContent>
                <w:r w:rsidRPr="00505647">
                  <w:rPr>
                    <w:rFonts w:cs="Arial"/>
                  </w:rPr>
                  <w:t>AUTORITÉ DES MARCHÉS FINANCIERS</w:t>
                </w:r>
              </w:sdtContent>
            </w:sdt>
            <w:bookmarkEnd w:id="0"/>
            <w:r w:rsidRPr="00505647">
              <w:rPr>
                <w:rFonts w:cs="Arial"/>
              </w:rPr>
              <w:t xml:space="preserve"> </w:t>
            </w:r>
          </w:p>
        </w:tc>
      </w:tr>
      <w:tr w:rsidR="003E3F69" w:rsidRPr="00505647" w14:paraId="62BD29F0" w14:textId="77777777" w:rsidTr="00FA71CA">
        <w:trPr>
          <w:gridAfter w:val="1"/>
          <w:wAfter w:w="70" w:type="dxa"/>
        </w:trPr>
        <w:tc>
          <w:tcPr>
            <w:tcW w:w="9498" w:type="dxa"/>
            <w:gridSpan w:val="4"/>
          </w:tcPr>
          <w:p w14:paraId="74A7C1A7" w14:textId="77777777" w:rsidR="003E3F69" w:rsidRPr="00505647" w:rsidRDefault="003E3F69" w:rsidP="003E3F69">
            <w:pPr>
              <w:pStyle w:val="zSoquijdatQtePartieDem"/>
              <w:ind w:left="709"/>
              <w:rPr>
                <w:rFonts w:cs="Arial"/>
              </w:rPr>
            </w:pPr>
            <w:r w:rsidRPr="00505647">
              <w:rPr>
                <w:rFonts w:cs="Arial"/>
              </w:rPr>
              <w:t>Applicant</w:t>
            </w:r>
          </w:p>
        </w:tc>
      </w:tr>
      <w:tr w:rsidR="003E3F69" w:rsidRPr="00505647" w14:paraId="0279DB1D" w14:textId="77777777" w:rsidTr="00FA71CA">
        <w:trPr>
          <w:gridAfter w:val="1"/>
          <w:wAfter w:w="70" w:type="dxa"/>
        </w:trPr>
        <w:tc>
          <w:tcPr>
            <w:tcW w:w="9498" w:type="dxa"/>
            <w:gridSpan w:val="4"/>
          </w:tcPr>
          <w:p w14:paraId="0DFEC936" w14:textId="77777777" w:rsidR="003E3F69" w:rsidRPr="00505647" w:rsidRDefault="003E3F69" w:rsidP="003E3F69">
            <w:pPr>
              <w:pStyle w:val="zSoquijlblLienParties"/>
              <w:rPr>
                <w:rFonts w:cs="Arial"/>
              </w:rPr>
            </w:pPr>
            <w:r w:rsidRPr="00505647">
              <w:rPr>
                <w:rFonts w:cs="Arial"/>
              </w:rPr>
              <w:t>v.</w:t>
            </w:r>
          </w:p>
        </w:tc>
      </w:tr>
      <w:tr w:rsidR="003E3F69" w:rsidRPr="00505647" w14:paraId="427175A6" w14:textId="77777777" w:rsidTr="00FA71CA">
        <w:trPr>
          <w:gridAfter w:val="1"/>
          <w:wAfter w:w="70" w:type="dxa"/>
        </w:trPr>
        <w:tc>
          <w:tcPr>
            <w:tcW w:w="9498" w:type="dxa"/>
            <w:gridSpan w:val="4"/>
          </w:tcPr>
          <w:p w14:paraId="17D78762" w14:textId="66E716CD" w:rsidR="003E3F69" w:rsidRPr="00505647" w:rsidRDefault="003E3F69" w:rsidP="003E3F69">
            <w:pPr>
              <w:pStyle w:val="zSoquijdatNomPartieDef"/>
              <w:jc w:val="both"/>
              <w:rPr>
                <w:rFonts w:cs="Arial"/>
              </w:rPr>
            </w:pPr>
            <w:r w:rsidRPr="00505647">
              <w:rPr>
                <w:rFonts w:cs="Arial"/>
              </w:rPr>
              <w:t>XT.COM EXCHANGE</w:t>
            </w:r>
            <w:r w:rsidRPr="00505647">
              <w:rPr>
                <w:rFonts w:cs="Arial"/>
                <w:b w:val="0"/>
                <w:bCs w:val="0"/>
              </w:rPr>
              <w:t xml:space="preserve">, a company or group of companies having an establishment located at the </w:t>
            </w:r>
            <w:proofErr w:type="spellStart"/>
            <w:r w:rsidRPr="00505647">
              <w:rPr>
                <w:rFonts w:cs="Arial"/>
                <w:b w:val="0"/>
                <w:bCs w:val="0"/>
              </w:rPr>
              <w:t>Oltajl</w:t>
            </w:r>
            <w:proofErr w:type="spellEnd"/>
            <w:r w:rsidRPr="00505647">
              <w:rPr>
                <w:rFonts w:cs="Arial"/>
                <w:b w:val="0"/>
                <w:bCs w:val="0"/>
              </w:rPr>
              <w:t xml:space="preserve"> Trade Centre – T* Floor, Victoria Mahe, Republic of the Seychelles, also doing business as</w:t>
            </w:r>
            <w:r w:rsidRPr="00505647">
              <w:rPr>
                <w:rFonts w:cs="Arial"/>
              </w:rPr>
              <w:t xml:space="preserve"> “XT EXCHANGE” </w:t>
            </w:r>
            <w:r w:rsidRPr="00505647">
              <w:rPr>
                <w:rFonts w:cs="Arial"/>
                <w:b w:val="0"/>
                <w:bCs w:val="0"/>
              </w:rPr>
              <w:t>and</w:t>
            </w:r>
            <w:r w:rsidRPr="00505647">
              <w:rPr>
                <w:rFonts w:cs="Arial"/>
              </w:rPr>
              <w:t xml:space="preserve"> “XT.COM”</w:t>
            </w:r>
          </w:p>
        </w:tc>
      </w:tr>
      <w:tr w:rsidR="003E3F69" w:rsidRPr="00505647" w14:paraId="5C5DA122" w14:textId="77777777" w:rsidTr="00FA71CA">
        <w:trPr>
          <w:gridAfter w:val="1"/>
          <w:wAfter w:w="70" w:type="dxa"/>
        </w:trPr>
        <w:tc>
          <w:tcPr>
            <w:tcW w:w="9498" w:type="dxa"/>
            <w:gridSpan w:val="4"/>
          </w:tcPr>
          <w:p w14:paraId="45D375DE" w14:textId="6366289C" w:rsidR="003E3F69" w:rsidRPr="00505647" w:rsidRDefault="003E3F69" w:rsidP="003E3F69">
            <w:pPr>
              <w:pStyle w:val="zSoquijdatNomPartieDef"/>
              <w:jc w:val="both"/>
              <w:rPr>
                <w:rFonts w:cs="Arial"/>
                <w:b w:val="0"/>
                <w:bCs w:val="0"/>
              </w:rPr>
            </w:pPr>
            <w:r w:rsidRPr="00505647">
              <w:rPr>
                <w:rFonts w:cs="Arial"/>
                <w:b w:val="0"/>
                <w:bCs w:val="0"/>
              </w:rPr>
              <w:t>and</w:t>
            </w:r>
          </w:p>
        </w:tc>
      </w:tr>
      <w:tr w:rsidR="003E3F69" w:rsidRPr="00505647" w14:paraId="6C26B72C" w14:textId="77777777" w:rsidTr="00FA71CA">
        <w:trPr>
          <w:gridAfter w:val="1"/>
          <w:wAfter w:w="70" w:type="dxa"/>
        </w:trPr>
        <w:tc>
          <w:tcPr>
            <w:tcW w:w="9498" w:type="dxa"/>
            <w:gridSpan w:val="4"/>
          </w:tcPr>
          <w:p w14:paraId="3DAE8B67" w14:textId="2F4961BA" w:rsidR="003E3F69" w:rsidRPr="00505647" w:rsidRDefault="003E3F69" w:rsidP="003E3F69">
            <w:pPr>
              <w:pStyle w:val="zSoquijdatNomPartieDef"/>
              <w:jc w:val="both"/>
              <w:rPr>
                <w:rFonts w:cs="Arial"/>
                <w:b w:val="0"/>
                <w:bCs w:val="0"/>
              </w:rPr>
            </w:pPr>
            <w:r w:rsidRPr="00505647">
              <w:rPr>
                <w:rFonts w:cs="Arial"/>
              </w:rPr>
              <w:t>BZ LIMITED</w:t>
            </w:r>
            <w:r w:rsidRPr="00505647">
              <w:rPr>
                <w:rFonts w:cs="Arial"/>
                <w:b w:val="0"/>
                <w:bCs w:val="0"/>
              </w:rPr>
              <w:t>, a legal entity incorporated under the laws of the Hong Kong Special Administrative Region of the People’s Republic of China, having its place of business at Easey Commercial Building, suite 803, 8/F., 253-261 Hennessy Street, Wan Chai</w:t>
            </w:r>
          </w:p>
        </w:tc>
      </w:tr>
      <w:tr w:rsidR="003E3F69" w:rsidRPr="00505647" w14:paraId="494EFDD5" w14:textId="77777777" w:rsidTr="00FA71CA">
        <w:trPr>
          <w:gridAfter w:val="1"/>
          <w:wAfter w:w="70" w:type="dxa"/>
        </w:trPr>
        <w:tc>
          <w:tcPr>
            <w:tcW w:w="9498" w:type="dxa"/>
            <w:gridSpan w:val="4"/>
          </w:tcPr>
          <w:p w14:paraId="15BB30E2" w14:textId="5EA833C5" w:rsidR="003E3F69" w:rsidRPr="00505647" w:rsidRDefault="003E3F69" w:rsidP="003E3F69">
            <w:pPr>
              <w:pStyle w:val="zSoquijdatQtePartieDef"/>
              <w:rPr>
                <w:rFonts w:cs="Arial"/>
              </w:rPr>
            </w:pPr>
            <w:r w:rsidRPr="00505647">
              <w:rPr>
                <w:rFonts w:cs="Arial"/>
              </w:rPr>
              <w:t>Respondents</w:t>
            </w:r>
          </w:p>
        </w:tc>
      </w:tr>
      <w:tr w:rsidR="003E3F69" w:rsidRPr="00505647" w14:paraId="40B25F8B" w14:textId="77777777" w:rsidTr="00FA71CA">
        <w:trPr>
          <w:gridAfter w:val="1"/>
          <w:wAfter w:w="70" w:type="dxa"/>
        </w:trPr>
        <w:tc>
          <w:tcPr>
            <w:tcW w:w="9498" w:type="dxa"/>
            <w:gridSpan w:val="4"/>
          </w:tcPr>
          <w:p w14:paraId="766CA2E7" w14:textId="77777777" w:rsidR="003E3F69" w:rsidRPr="00505647" w:rsidRDefault="003E3F69" w:rsidP="003E3F69">
            <w:pPr>
              <w:ind w:left="14" w:right="-95"/>
              <w:rPr>
                <w:rFonts w:cs="Arial"/>
              </w:rPr>
            </w:pPr>
          </w:p>
        </w:tc>
      </w:tr>
      <w:tr w:rsidR="003E3F69" w:rsidRPr="00505647" w14:paraId="548FF3F2" w14:textId="77777777" w:rsidTr="00EF4545">
        <w:trPr>
          <w:gridAfter w:val="1"/>
          <w:wAfter w:w="70" w:type="dxa"/>
        </w:trPr>
        <w:tc>
          <w:tcPr>
            <w:tcW w:w="9498" w:type="dxa"/>
            <w:gridSpan w:val="4"/>
            <w:tcBorders>
              <w:bottom w:val="single" w:sz="4" w:space="0" w:color="auto"/>
            </w:tcBorders>
          </w:tcPr>
          <w:p w14:paraId="1608396E" w14:textId="0469FD0E" w:rsidR="003E3F69" w:rsidRPr="00505647" w:rsidRDefault="003E3F69" w:rsidP="003E3F69">
            <w:pPr>
              <w:ind w:right="-95"/>
              <w:rPr>
                <w:rFonts w:cs="Arial"/>
              </w:rPr>
            </w:pPr>
          </w:p>
        </w:tc>
      </w:tr>
      <w:tr w:rsidR="003E3F69" w:rsidRPr="00505647" w14:paraId="40F5382E" w14:textId="77777777" w:rsidTr="00EF4545">
        <w:trPr>
          <w:gridAfter w:val="1"/>
          <w:wAfter w:w="70" w:type="dxa"/>
        </w:trPr>
        <w:tc>
          <w:tcPr>
            <w:tcW w:w="9498" w:type="dxa"/>
            <w:gridSpan w:val="4"/>
            <w:tcBorders>
              <w:top w:val="single" w:sz="4" w:space="0" w:color="auto"/>
            </w:tcBorders>
          </w:tcPr>
          <w:p w14:paraId="318E7397" w14:textId="77777777" w:rsidR="003E3F69" w:rsidRPr="00505647" w:rsidRDefault="003E3F69" w:rsidP="003E3F69">
            <w:pPr>
              <w:rPr>
                <w:rFonts w:cs="Arial"/>
              </w:rPr>
            </w:pPr>
          </w:p>
        </w:tc>
      </w:tr>
      <w:tr w:rsidR="003E3F69" w:rsidRPr="00505647" w14:paraId="30C50385" w14:textId="77777777" w:rsidTr="00EF4545">
        <w:trPr>
          <w:gridAfter w:val="1"/>
          <w:wAfter w:w="70" w:type="dxa"/>
        </w:trPr>
        <w:tc>
          <w:tcPr>
            <w:tcW w:w="9498" w:type="dxa"/>
            <w:gridSpan w:val="4"/>
          </w:tcPr>
          <w:p w14:paraId="71DA6D6D" w14:textId="77777777" w:rsidR="003E3F69" w:rsidRPr="00505647" w:rsidRDefault="003E3F69" w:rsidP="003E3F69">
            <w:pPr>
              <w:pStyle w:val="zSoquijlblTypeDocument"/>
              <w:rPr>
                <w:rFonts w:cs="Arial"/>
              </w:rPr>
            </w:pPr>
            <w:r w:rsidRPr="00505647">
              <w:rPr>
                <w:rFonts w:cs="Arial"/>
                <w:bCs/>
              </w:rPr>
              <w:t>DECISION</w:t>
            </w:r>
          </w:p>
          <w:p w14:paraId="1A790BC3" w14:textId="77777777" w:rsidR="003E3F69" w:rsidRPr="00505647" w:rsidRDefault="003E3F69" w:rsidP="003E3F69">
            <w:pPr>
              <w:pStyle w:val="zSoquijlblTypeDocument"/>
              <w:rPr>
                <w:rFonts w:cs="Arial"/>
              </w:rPr>
            </w:pPr>
          </w:p>
        </w:tc>
      </w:tr>
      <w:tr w:rsidR="003E3F69" w:rsidRPr="00505647" w14:paraId="3355BF03" w14:textId="77777777" w:rsidTr="00EF4545">
        <w:trPr>
          <w:gridAfter w:val="1"/>
          <w:wAfter w:w="70" w:type="dxa"/>
        </w:trPr>
        <w:tc>
          <w:tcPr>
            <w:tcW w:w="9498" w:type="dxa"/>
            <w:gridSpan w:val="4"/>
            <w:tcBorders>
              <w:top w:val="single" w:sz="4" w:space="0" w:color="auto"/>
            </w:tcBorders>
          </w:tcPr>
          <w:p w14:paraId="0AE94DAE" w14:textId="77777777" w:rsidR="003E3F69" w:rsidRPr="00505647" w:rsidRDefault="003E3F69" w:rsidP="003E3F69">
            <w:pPr>
              <w:rPr>
                <w:rFonts w:cs="Arial"/>
              </w:rPr>
            </w:pPr>
          </w:p>
        </w:tc>
      </w:tr>
    </w:tbl>
    <w:p w14:paraId="05162B9A" w14:textId="77777777" w:rsidR="00EF4545" w:rsidRPr="00505647" w:rsidRDefault="00EF4545" w:rsidP="009D2548">
      <w:pPr>
        <w:pStyle w:val="Titre1"/>
        <w:rPr>
          <w:rFonts w:cs="Arial"/>
        </w:rPr>
      </w:pPr>
      <w:bookmarkStart w:id="1" w:name="_Ref456356564"/>
    </w:p>
    <w:p w14:paraId="38E3E25D" w14:textId="77777777" w:rsidR="00EF4545" w:rsidRPr="00505647" w:rsidRDefault="0046182F">
      <w:pPr>
        <w:rPr>
          <w:rFonts w:cs="Arial"/>
          <w:b/>
          <w:kern w:val="28"/>
        </w:rPr>
      </w:pPr>
      <w:r w:rsidRPr="00505647">
        <w:rPr>
          <w:rFonts w:cs="Arial"/>
        </w:rPr>
        <w:br w:type="page"/>
      </w:r>
    </w:p>
    <w:bookmarkEnd w:id="1"/>
    <w:p w14:paraId="7FFD5F88" w14:textId="77777777" w:rsidR="00040F4A" w:rsidRPr="00505647" w:rsidRDefault="0046182F" w:rsidP="009D2548">
      <w:pPr>
        <w:pStyle w:val="Titre1"/>
        <w:rPr>
          <w:rFonts w:cs="Arial"/>
        </w:rPr>
      </w:pPr>
      <w:r w:rsidRPr="00505647">
        <w:rPr>
          <w:rFonts w:cs="Arial"/>
          <w:bCs/>
        </w:rPr>
        <w:lastRenderedPageBreak/>
        <w:t>OVERVIEW</w:t>
      </w:r>
    </w:p>
    <w:p w14:paraId="3646F279" w14:textId="5878128D" w:rsidR="00040F4A" w:rsidRPr="00505647" w:rsidRDefault="0046182F" w:rsidP="00040F4A">
      <w:pPr>
        <w:pStyle w:val="Paragraphe"/>
        <w:rPr>
          <w:rFonts w:cs="Arial"/>
        </w:rPr>
      </w:pPr>
      <w:r w:rsidRPr="00505647">
        <w:rPr>
          <w:rFonts w:cs="Arial"/>
        </w:rPr>
        <w:t>The Financial Markets Administrative Tribunal (“Tribunal”) is of the opinion that a clear message should be sent to the owners and operators of crypto asset trading platforms</w:t>
      </w:r>
      <w:r w:rsidRPr="00505647">
        <w:rPr>
          <w:rFonts w:cs="Arial"/>
          <w:kern w:val="0"/>
          <w:szCs w:val="24"/>
          <w:vertAlign w:val="superscript"/>
        </w:rPr>
        <w:footnoteReference w:id="2"/>
      </w:r>
      <w:r w:rsidRPr="00505647">
        <w:rPr>
          <w:rFonts w:cs="Arial"/>
        </w:rPr>
        <w:t xml:space="preserve"> acting in contravention of securities legislation</w:t>
      </w:r>
      <w:r w:rsidRPr="00505647">
        <w:rPr>
          <w:rStyle w:val="Appelnotedebasdep"/>
          <w:rFonts w:cs="Arial"/>
        </w:rPr>
        <w:footnoteReference w:id="3"/>
      </w:r>
      <w:r w:rsidRPr="00505647">
        <w:rPr>
          <w:rFonts w:cs="Arial"/>
        </w:rPr>
        <w:t xml:space="preserve"> that such a situation cannot be tolerated because it exposes the public to significant risks. Measures to protect the public and significant administrative penalties must be imposed for such breaches. Public confidence in the integrity and proper functioning of financial markets is at stake. </w:t>
      </w:r>
    </w:p>
    <w:p w14:paraId="5AD0CE6B" w14:textId="737B367C" w:rsidR="00040F4A" w:rsidRPr="00147211" w:rsidRDefault="0046182F" w:rsidP="00040F4A">
      <w:pPr>
        <w:pStyle w:val="Paragraphe"/>
        <w:rPr>
          <w:rFonts w:cs="Arial"/>
        </w:rPr>
      </w:pPr>
      <w:r w:rsidRPr="00505647">
        <w:rPr>
          <w:rFonts w:cs="Arial"/>
        </w:rPr>
        <w:t xml:space="preserve">In this case, a foreign crypto asset trading platform, accessible from Québec, on the XT.com website, is offering products and services without complying with securities </w:t>
      </w:r>
      <w:r w:rsidRPr="00147211">
        <w:rPr>
          <w:rFonts w:cs="Arial"/>
        </w:rPr>
        <w:t xml:space="preserve">legislation. </w:t>
      </w:r>
    </w:p>
    <w:p w14:paraId="178BBD22" w14:textId="1B882800" w:rsidR="00040F4A" w:rsidRPr="00147211" w:rsidRDefault="0046182F" w:rsidP="009954F1">
      <w:pPr>
        <w:pStyle w:val="Paragraphe"/>
      </w:pPr>
      <w:r w:rsidRPr="00147211">
        <w:t xml:space="preserve">The </w:t>
      </w:r>
      <w:proofErr w:type="spellStart"/>
      <w:r w:rsidRPr="00147211">
        <w:t>Autorité</w:t>
      </w:r>
      <w:proofErr w:type="spellEnd"/>
      <w:r w:rsidRPr="00147211">
        <w:t xml:space="preserve"> des </w:t>
      </w:r>
      <w:proofErr w:type="spellStart"/>
      <w:r w:rsidRPr="00147211">
        <w:t>marchés</w:t>
      </w:r>
      <w:proofErr w:type="spellEnd"/>
      <w:r w:rsidRPr="00147211">
        <w:t xml:space="preserve"> financiers (“Authority”) is the entity responsible for enforcing the </w:t>
      </w:r>
      <w:r w:rsidRPr="00147211">
        <w:rPr>
          <w:i/>
          <w:iCs/>
        </w:rPr>
        <w:t>Securities Act</w:t>
      </w:r>
      <w:r w:rsidRPr="00147211">
        <w:rPr>
          <w:rStyle w:val="Appelnotedebasdep"/>
          <w:rFonts w:cs="Arial"/>
        </w:rPr>
        <w:footnoteReference w:id="4"/>
      </w:r>
      <w:r w:rsidRPr="00147211">
        <w:t xml:space="preserve"> and the </w:t>
      </w:r>
      <w:r w:rsidRPr="00147211">
        <w:rPr>
          <w:i/>
          <w:iCs/>
        </w:rPr>
        <w:t>Derivatives Act.</w:t>
      </w:r>
      <w:r w:rsidRPr="00147211">
        <w:rPr>
          <w:rStyle w:val="Appelnotedebasdep"/>
          <w:rFonts w:cs="Arial"/>
        </w:rPr>
        <w:footnoteReference w:id="5"/>
      </w:r>
      <w:r w:rsidR="00E53CF1" w:rsidRPr="00147211">
        <w:rPr>
          <w:i/>
          <w:iCs/>
        </w:rPr>
        <w:t xml:space="preserve"> </w:t>
      </w:r>
      <w:r w:rsidRPr="00147211">
        <w:t xml:space="preserve">The Authority exercises the functions set out in this legislation in the manner provided in section 7 of the </w:t>
      </w:r>
      <w:r w:rsidRPr="00147211">
        <w:rPr>
          <w:i/>
          <w:iCs/>
        </w:rPr>
        <w:t>Act respecting the regulation of the financial sector.</w:t>
      </w:r>
      <w:r w:rsidRPr="00147211">
        <w:rPr>
          <w:rStyle w:val="Appelnotedebasdep"/>
          <w:rFonts w:cs="Arial"/>
        </w:rPr>
        <w:footnoteReference w:id="6"/>
      </w:r>
    </w:p>
    <w:p w14:paraId="66E38828" w14:textId="59417D85" w:rsidR="00040F4A" w:rsidRPr="00505647" w:rsidRDefault="0046182F" w:rsidP="00040F4A">
      <w:pPr>
        <w:pStyle w:val="Paragraphe"/>
        <w:rPr>
          <w:rFonts w:cs="Arial"/>
        </w:rPr>
      </w:pPr>
      <w:r w:rsidRPr="00505647">
        <w:rPr>
          <w:rFonts w:cs="Arial"/>
        </w:rPr>
        <w:t>XT.com Exchange (“XT Exchange”) is a company or group of companies that presents itself as a “global ecosystem”</w:t>
      </w:r>
      <w:r w:rsidRPr="00505647">
        <w:rPr>
          <w:rStyle w:val="Appelnotedebasdep"/>
          <w:rFonts w:cs="Arial"/>
        </w:rPr>
        <w:footnoteReference w:id="7"/>
      </w:r>
      <w:r w:rsidRPr="00505647">
        <w:rPr>
          <w:rFonts w:cs="Arial"/>
        </w:rPr>
        <w:t xml:space="preserve"> and “</w:t>
      </w:r>
      <w:r w:rsidRPr="00505647">
        <w:rPr>
          <w:rFonts w:cs="Arial"/>
          <w:i/>
          <w:iCs/>
        </w:rPr>
        <w:t>the leading crypto trading exchange infused with social trading capabilities</w:t>
      </w:r>
      <w:r w:rsidRPr="00505647">
        <w:rPr>
          <w:rFonts w:cs="Arial"/>
        </w:rPr>
        <w:t>”.</w:t>
      </w:r>
      <w:r w:rsidRPr="00505647">
        <w:rPr>
          <w:rStyle w:val="Appelnotedebasdep"/>
          <w:rFonts w:cs="Arial"/>
        </w:rPr>
        <w:footnoteReference w:id="8"/>
      </w:r>
    </w:p>
    <w:p w14:paraId="41EB5952" w14:textId="592534B9" w:rsidR="00040F4A" w:rsidRPr="00505647" w:rsidRDefault="0046182F" w:rsidP="00040F4A">
      <w:pPr>
        <w:pStyle w:val="Paragraphe"/>
        <w:rPr>
          <w:rFonts w:cs="Arial"/>
        </w:rPr>
      </w:pPr>
      <w:r w:rsidRPr="00505647">
        <w:rPr>
          <w:rFonts w:cs="Arial"/>
        </w:rPr>
        <w:t xml:space="preserve">According to a webpage on XT.com, XT Exchange </w:t>
      </w:r>
      <w:bookmarkStart w:id="2" w:name="_Hlk130220334"/>
      <w:r w:rsidRPr="00505647">
        <w:rPr>
          <w:rFonts w:cs="Arial"/>
        </w:rPr>
        <w:t>offers its users professional crypto asset investment services, which are promoted as being the safest and most efficient.</w:t>
      </w:r>
      <w:r w:rsidRPr="00505647">
        <w:rPr>
          <w:rStyle w:val="Appelnotedebasdep"/>
          <w:rFonts w:cs="Arial"/>
        </w:rPr>
        <w:footnoteReference w:id="9"/>
      </w:r>
    </w:p>
    <w:bookmarkEnd w:id="2"/>
    <w:p w14:paraId="7CCE831D" w14:textId="1F92688A" w:rsidR="00040F4A" w:rsidRPr="00505647" w:rsidRDefault="0046182F" w:rsidP="00040F4A">
      <w:pPr>
        <w:pStyle w:val="Paragraphe"/>
        <w:rPr>
          <w:rFonts w:cs="Arial"/>
        </w:rPr>
      </w:pPr>
      <w:r w:rsidRPr="00505647">
        <w:rPr>
          <w:rFonts w:cs="Arial"/>
        </w:rPr>
        <w:t>XT Exchange claims it was founded in 2018.</w:t>
      </w:r>
      <w:r w:rsidRPr="00505647">
        <w:rPr>
          <w:rStyle w:val="Appelnotedebasdep"/>
          <w:rFonts w:cs="Arial"/>
        </w:rPr>
        <w:footnoteReference w:id="10"/>
      </w:r>
      <w:r w:rsidR="001D1FCA" w:rsidRPr="00505647">
        <w:rPr>
          <w:rFonts w:cs="Arial"/>
        </w:rPr>
        <w:t xml:space="preserve"> </w:t>
      </w:r>
      <w:r w:rsidRPr="00505647">
        <w:rPr>
          <w:rFonts w:cs="Arial"/>
        </w:rPr>
        <w:t>It adds that it has an establishment in the Republic of the Seychelles</w:t>
      </w:r>
      <w:r w:rsidRPr="00505647">
        <w:rPr>
          <w:rStyle w:val="Appelnotedebasdep"/>
          <w:rFonts w:cs="Arial"/>
        </w:rPr>
        <w:footnoteReference w:id="11"/>
      </w:r>
      <w:r w:rsidRPr="00505647">
        <w:rPr>
          <w:rFonts w:cs="Arial"/>
        </w:rPr>
        <w:t xml:space="preserve"> and its headquarters in Dubai, in the United Arab </w:t>
      </w:r>
      <w:r w:rsidRPr="00505647">
        <w:rPr>
          <w:rFonts w:cs="Arial"/>
        </w:rPr>
        <w:lastRenderedPageBreak/>
        <w:t>Emirates.</w:t>
      </w:r>
      <w:r w:rsidRPr="00505647">
        <w:rPr>
          <w:rStyle w:val="Appelnotedebasdep"/>
          <w:rFonts w:cs="Arial"/>
        </w:rPr>
        <w:footnoteReference w:id="12"/>
      </w:r>
      <w:r w:rsidR="008F1FB8" w:rsidRPr="00505647">
        <w:rPr>
          <w:rFonts w:cs="Arial"/>
        </w:rPr>
        <w:t xml:space="preserve"> </w:t>
      </w:r>
      <w:r w:rsidRPr="00505647">
        <w:rPr>
          <w:rFonts w:cs="Arial"/>
        </w:rPr>
        <w:t xml:space="preserve">It also mentions that it has operations centres in Singapore, Europe and other countries and regions. It claims that “[…] </w:t>
      </w:r>
      <w:r w:rsidRPr="00505647">
        <w:rPr>
          <w:rFonts w:cs="Arial"/>
          <w:i/>
          <w:iCs/>
        </w:rPr>
        <w:t>its business covers the world</w:t>
      </w:r>
      <w:r w:rsidRPr="00505647">
        <w:rPr>
          <w:rFonts w:cs="Arial"/>
        </w:rPr>
        <w:t>”.</w:t>
      </w:r>
      <w:r w:rsidRPr="00505647">
        <w:rPr>
          <w:rStyle w:val="Appelnotedebasdep"/>
          <w:rFonts w:cs="Arial"/>
        </w:rPr>
        <w:footnoteReference w:id="13"/>
      </w:r>
    </w:p>
    <w:p w14:paraId="1988F80F" w14:textId="77777777" w:rsidR="00040F4A" w:rsidRPr="00505647" w:rsidRDefault="0046182F" w:rsidP="00040F4A">
      <w:pPr>
        <w:pStyle w:val="Paragraphe"/>
        <w:rPr>
          <w:rFonts w:cs="Arial"/>
        </w:rPr>
      </w:pPr>
      <w:r w:rsidRPr="00505647">
        <w:rPr>
          <w:rFonts w:cs="Arial"/>
        </w:rPr>
        <w:t>As stated on the home page of the XT.com website, XT Exchange is owned and operated by BZ Limited.</w:t>
      </w:r>
      <w:r w:rsidRPr="00505647">
        <w:rPr>
          <w:rStyle w:val="Appelnotedebasdep"/>
          <w:rFonts w:cs="Arial"/>
        </w:rPr>
        <w:footnoteReference w:id="14"/>
      </w:r>
    </w:p>
    <w:p w14:paraId="36A10921" w14:textId="77777777" w:rsidR="00040F4A" w:rsidRPr="00505647" w:rsidRDefault="0046182F" w:rsidP="00040F4A">
      <w:pPr>
        <w:pStyle w:val="Paragraphe"/>
        <w:rPr>
          <w:rFonts w:cs="Arial"/>
        </w:rPr>
      </w:pPr>
      <w:r w:rsidRPr="00505647">
        <w:rPr>
          <w:rFonts w:cs="Arial"/>
        </w:rPr>
        <w:t>BZ Limited is a company incorporated under the laws of the Hong Kong Special Administrative Region of the People’s Republic of China in 2021.</w:t>
      </w:r>
      <w:r w:rsidRPr="00505647">
        <w:rPr>
          <w:rStyle w:val="Appelnotedebasdep"/>
          <w:rFonts w:cs="Arial"/>
        </w:rPr>
        <w:footnoteReference w:id="15"/>
      </w:r>
    </w:p>
    <w:p w14:paraId="5AE7FADF" w14:textId="178FC7C8" w:rsidR="00040F4A" w:rsidRPr="00505647" w:rsidRDefault="0046182F" w:rsidP="00040F4A">
      <w:pPr>
        <w:pStyle w:val="Paragraphe"/>
        <w:rPr>
          <w:rFonts w:cs="Arial"/>
        </w:rPr>
      </w:pPr>
      <w:r w:rsidRPr="00505647">
        <w:rPr>
          <w:rFonts w:cs="Arial"/>
        </w:rPr>
        <w:t>In fact, XT Exchange and BZ Limited (the “respondents”) act as one and the same person.</w:t>
      </w:r>
      <w:r w:rsidRPr="00505647">
        <w:rPr>
          <w:rStyle w:val="Appelnotedebasdep"/>
          <w:rFonts w:cs="Arial"/>
        </w:rPr>
        <w:footnoteReference w:id="16"/>
      </w:r>
      <w:r w:rsidRPr="00505647">
        <w:rPr>
          <w:rFonts w:cs="Arial"/>
        </w:rPr>
        <w:t xml:space="preserve"> </w:t>
      </w:r>
    </w:p>
    <w:p w14:paraId="10902C95" w14:textId="752EC839" w:rsidR="00040F4A" w:rsidRPr="00C2790B" w:rsidRDefault="0046182F" w:rsidP="00040F4A">
      <w:pPr>
        <w:pStyle w:val="Paragraphe"/>
        <w:rPr>
          <w:rFonts w:cs="Arial"/>
        </w:rPr>
      </w:pPr>
      <w:r w:rsidRPr="00505647">
        <w:rPr>
          <w:rFonts w:cs="Arial"/>
        </w:rPr>
        <w:t>For example, in an agreement with a third party, XT Exchange uses the name XT.COM or BZ Limited interchangeably.</w:t>
      </w:r>
      <w:r w:rsidRPr="00505647">
        <w:rPr>
          <w:rStyle w:val="Appelnotedebasdep"/>
          <w:rFonts w:cs="Arial"/>
        </w:rPr>
        <w:footnoteReference w:id="17"/>
      </w:r>
      <w:r w:rsidR="00555B18" w:rsidRPr="00505647">
        <w:rPr>
          <w:rFonts w:cs="Arial"/>
        </w:rPr>
        <w:t xml:space="preserve"> </w:t>
      </w:r>
      <w:r w:rsidRPr="00505647">
        <w:rPr>
          <w:rFonts w:cs="Arial"/>
        </w:rPr>
        <w:t xml:space="preserve">Indeed, the preamble to the agreement refers to BZ Limited, whereas the signature </w:t>
      </w:r>
      <w:r w:rsidRPr="00C2790B">
        <w:rPr>
          <w:rFonts w:cs="Arial"/>
        </w:rPr>
        <w:t xml:space="preserve">page refers to XT.COM to describe the same entity. </w:t>
      </w:r>
    </w:p>
    <w:p w14:paraId="060B155E" w14:textId="46009DBD" w:rsidR="00040F4A" w:rsidRPr="00505647" w:rsidRDefault="0046182F" w:rsidP="00040F4A">
      <w:pPr>
        <w:pStyle w:val="Paragraphe"/>
        <w:rPr>
          <w:rFonts w:cs="Arial"/>
        </w:rPr>
      </w:pPr>
      <w:r w:rsidRPr="00C2790B">
        <w:rPr>
          <w:rFonts w:cs="Arial"/>
        </w:rPr>
        <w:t xml:space="preserve">The Authority asks the Tribunal to issue </w:t>
      </w:r>
      <w:proofErr w:type="gramStart"/>
      <w:r w:rsidRPr="00C2790B">
        <w:rPr>
          <w:rFonts w:cs="Arial"/>
        </w:rPr>
        <w:t>a number of</w:t>
      </w:r>
      <w:proofErr w:type="gramEnd"/>
      <w:r w:rsidRPr="00C2790B">
        <w:rPr>
          <w:rFonts w:cs="Arial"/>
        </w:rPr>
        <w:t xml:space="preserve"> orders against the respondents, including </w:t>
      </w:r>
      <w:r w:rsidR="00AC2CDA" w:rsidRPr="00C2790B">
        <w:rPr>
          <w:rFonts w:cs="Arial"/>
        </w:rPr>
        <w:t>cease trade orders</w:t>
      </w:r>
      <w:r w:rsidR="00AC2CDA" w:rsidRPr="00C2790B" w:rsidDel="00AC2CDA">
        <w:rPr>
          <w:rFonts w:cs="Arial"/>
        </w:rPr>
        <w:t xml:space="preserve"> </w:t>
      </w:r>
      <w:r w:rsidRPr="00C2790B">
        <w:rPr>
          <w:rFonts w:cs="Arial"/>
        </w:rPr>
        <w:t>in securities and derivatives,</w:t>
      </w:r>
      <w:r w:rsidR="00AC2CDA" w:rsidRPr="00C2790B">
        <w:rPr>
          <w:rFonts w:cs="Arial"/>
        </w:rPr>
        <w:t xml:space="preserve"> orders</w:t>
      </w:r>
      <w:r w:rsidRPr="00C2790B">
        <w:rPr>
          <w:rFonts w:cs="Arial"/>
        </w:rPr>
        <w:t xml:space="preserve"> prohibiting engaging in the business</w:t>
      </w:r>
      <w:r w:rsidRPr="00505647">
        <w:rPr>
          <w:rFonts w:cs="Arial"/>
        </w:rPr>
        <w:t xml:space="preserve"> of securities adviser or acting as investment fund manager, </w:t>
      </w:r>
      <w:r w:rsidR="00AC2CDA">
        <w:rPr>
          <w:rFonts w:cs="Arial"/>
        </w:rPr>
        <w:t xml:space="preserve">orders </w:t>
      </w:r>
      <w:r w:rsidRPr="00505647">
        <w:rPr>
          <w:rFonts w:cs="Arial"/>
        </w:rPr>
        <w:t xml:space="preserve">prohibiting any activity related to the offering or trading of a derivative, and </w:t>
      </w:r>
      <w:r w:rsidR="00AC2CDA">
        <w:rPr>
          <w:rFonts w:cs="Arial"/>
        </w:rPr>
        <w:t xml:space="preserve">orders </w:t>
      </w:r>
      <w:r w:rsidRPr="00505647">
        <w:rPr>
          <w:rFonts w:cs="Arial"/>
        </w:rPr>
        <w:t xml:space="preserve">prohibiting </w:t>
      </w:r>
      <w:r w:rsidR="00B97661">
        <w:rPr>
          <w:rFonts w:cs="Arial"/>
        </w:rPr>
        <w:t xml:space="preserve">engaging in the business </w:t>
      </w:r>
      <w:r w:rsidRPr="00505647">
        <w:rPr>
          <w:rFonts w:cs="Arial"/>
        </w:rPr>
        <w:t>of derivatives adviser, and measures to ensure compliance with the law.</w:t>
      </w:r>
    </w:p>
    <w:p w14:paraId="723F6454" w14:textId="204615A4" w:rsidR="00040F4A" w:rsidRPr="00505647" w:rsidRDefault="0046182F" w:rsidP="00040F4A">
      <w:pPr>
        <w:pStyle w:val="Paragraphe"/>
        <w:rPr>
          <w:rFonts w:cs="Arial"/>
        </w:rPr>
      </w:pPr>
      <w:r w:rsidRPr="00505647">
        <w:rPr>
          <w:rFonts w:cs="Arial"/>
        </w:rPr>
        <w:t>It also asks the Tribunal to impose an administrative penalty of two million dollars ($2,000,000) on the respondents jointly and severally.</w:t>
      </w:r>
    </w:p>
    <w:p w14:paraId="04F8D8AA" w14:textId="1B2E2E62" w:rsidR="00040F4A" w:rsidRPr="00505647" w:rsidRDefault="0046182F" w:rsidP="00040F4A">
      <w:pPr>
        <w:pStyle w:val="Paragraphe"/>
        <w:rPr>
          <w:rFonts w:cs="Arial"/>
        </w:rPr>
      </w:pPr>
      <w:r w:rsidRPr="00505647">
        <w:rPr>
          <w:rFonts w:cs="Arial"/>
          <w:kern w:val="0"/>
          <w:szCs w:val="24"/>
        </w:rPr>
        <w:t>The Authority alleges that the respondents are entities that facilitate crypto asset transactions through the XT.com website</w:t>
      </w:r>
      <w:r w:rsidRPr="00505647">
        <w:rPr>
          <w:rFonts w:cs="Arial"/>
          <w:kern w:val="0"/>
          <w:sz w:val="22"/>
          <w:szCs w:val="24"/>
        </w:rPr>
        <w:t xml:space="preserve">, </w:t>
      </w:r>
      <w:r w:rsidRPr="00505647">
        <w:rPr>
          <w:rFonts w:cs="Arial"/>
          <w:kern w:val="0"/>
          <w:szCs w:val="24"/>
        </w:rPr>
        <w:t>which is accessible from Québec and the rest of Canada.</w:t>
      </w:r>
      <w:r w:rsidRPr="00505647">
        <w:rPr>
          <w:rStyle w:val="Appelnotedebasdep"/>
          <w:rFonts w:cs="Arial"/>
          <w:kern w:val="0"/>
          <w:szCs w:val="24"/>
        </w:rPr>
        <w:footnoteReference w:id="18"/>
      </w:r>
    </w:p>
    <w:p w14:paraId="599CA5D5" w14:textId="77777777" w:rsidR="00040F4A" w:rsidRPr="00505647" w:rsidRDefault="0046182F" w:rsidP="00040F4A">
      <w:pPr>
        <w:pStyle w:val="Paragraphe"/>
        <w:rPr>
          <w:rFonts w:cs="Arial"/>
        </w:rPr>
      </w:pPr>
      <w:r w:rsidRPr="00505647">
        <w:rPr>
          <w:rFonts w:cs="Arial"/>
        </w:rPr>
        <w:t>According to the Authority, the following products and services are offered to the public by the respondents through the XT.com website:</w:t>
      </w:r>
    </w:p>
    <w:p w14:paraId="6992BF6F" w14:textId="77777777" w:rsidR="00040F4A" w:rsidRPr="00505647" w:rsidRDefault="0046182F" w:rsidP="00040F4A">
      <w:pPr>
        <w:pStyle w:val="Paragraphe"/>
        <w:numPr>
          <w:ilvl w:val="0"/>
          <w:numId w:val="24"/>
        </w:numPr>
        <w:rPr>
          <w:rFonts w:cs="Arial"/>
        </w:rPr>
      </w:pPr>
      <w:r w:rsidRPr="00505647">
        <w:rPr>
          <w:rFonts w:cs="Arial"/>
        </w:rPr>
        <w:t xml:space="preserve">crypto asset </w:t>
      </w:r>
      <w:proofErr w:type="gramStart"/>
      <w:r w:rsidRPr="00505647">
        <w:rPr>
          <w:rFonts w:cs="Arial"/>
        </w:rPr>
        <w:t>contracts;</w:t>
      </w:r>
      <w:proofErr w:type="gramEnd"/>
    </w:p>
    <w:p w14:paraId="3DC6E41C" w14:textId="77777777" w:rsidR="00040F4A" w:rsidRPr="00505647" w:rsidRDefault="0046182F" w:rsidP="00040F4A">
      <w:pPr>
        <w:pStyle w:val="Paragraphe"/>
        <w:numPr>
          <w:ilvl w:val="0"/>
          <w:numId w:val="24"/>
        </w:numPr>
        <w:rPr>
          <w:rFonts w:cs="Arial"/>
        </w:rPr>
      </w:pPr>
      <w:r w:rsidRPr="00505647">
        <w:rPr>
          <w:rFonts w:cs="Arial"/>
        </w:rPr>
        <w:t xml:space="preserve">non-fungible token (or “NFT”) </w:t>
      </w:r>
      <w:proofErr w:type="gramStart"/>
      <w:r w:rsidRPr="00505647">
        <w:rPr>
          <w:rFonts w:cs="Arial"/>
        </w:rPr>
        <w:t>contracts;</w:t>
      </w:r>
      <w:proofErr w:type="gramEnd"/>
    </w:p>
    <w:p w14:paraId="1229D766" w14:textId="372EB752" w:rsidR="00040F4A" w:rsidRPr="00505647" w:rsidRDefault="0046182F" w:rsidP="00040F4A">
      <w:pPr>
        <w:pStyle w:val="Paragraphe"/>
        <w:numPr>
          <w:ilvl w:val="0"/>
          <w:numId w:val="24"/>
        </w:numPr>
        <w:rPr>
          <w:rFonts w:cs="Arial"/>
        </w:rPr>
      </w:pPr>
      <w:r w:rsidRPr="00505647">
        <w:rPr>
          <w:rFonts w:cs="Arial"/>
        </w:rPr>
        <w:t>products presented as “Futures Contracts”: “USDT-M Futures” and “Coin-M Futures</w:t>
      </w:r>
      <w:proofErr w:type="gramStart"/>
      <w:r w:rsidRPr="00505647">
        <w:rPr>
          <w:rFonts w:cs="Arial"/>
        </w:rPr>
        <w:t>”;</w:t>
      </w:r>
      <w:proofErr w:type="gramEnd"/>
      <w:r w:rsidRPr="00505647">
        <w:rPr>
          <w:rFonts w:cs="Arial"/>
        </w:rPr>
        <w:t xml:space="preserve"> </w:t>
      </w:r>
    </w:p>
    <w:p w14:paraId="6A3913A2" w14:textId="77777777" w:rsidR="00040F4A" w:rsidRPr="00505647" w:rsidRDefault="0046182F" w:rsidP="00040F4A">
      <w:pPr>
        <w:pStyle w:val="Paragraphe"/>
        <w:numPr>
          <w:ilvl w:val="0"/>
          <w:numId w:val="24"/>
        </w:numPr>
        <w:rPr>
          <w:rFonts w:cs="Arial"/>
        </w:rPr>
      </w:pPr>
      <w:r w:rsidRPr="00505647">
        <w:rPr>
          <w:rFonts w:cs="Arial"/>
        </w:rPr>
        <w:t>performance programs (or “Savings”); and</w:t>
      </w:r>
    </w:p>
    <w:p w14:paraId="2AB314CE" w14:textId="3FEBEDFF" w:rsidR="00040F4A" w:rsidRPr="00505647" w:rsidRDefault="0046182F" w:rsidP="00040F4A">
      <w:pPr>
        <w:pStyle w:val="Paragraphe"/>
        <w:numPr>
          <w:ilvl w:val="0"/>
          <w:numId w:val="24"/>
        </w:numPr>
        <w:rPr>
          <w:rFonts w:cs="Arial"/>
        </w:rPr>
      </w:pPr>
      <w:r w:rsidRPr="00505647">
        <w:rPr>
          <w:rFonts w:cs="Arial"/>
        </w:rPr>
        <w:t xml:space="preserve">investment programs linked to proof-of-stake (or “Staking”) mechanisms. </w:t>
      </w:r>
    </w:p>
    <w:p w14:paraId="3331EC57" w14:textId="46D8D0D1" w:rsidR="00040F4A" w:rsidRPr="00505647" w:rsidRDefault="0046182F" w:rsidP="00040F4A">
      <w:pPr>
        <w:pStyle w:val="Paragraphe"/>
        <w:rPr>
          <w:rFonts w:cs="Arial"/>
        </w:rPr>
      </w:pPr>
      <w:r w:rsidRPr="00505647">
        <w:rPr>
          <w:rFonts w:cs="Arial"/>
        </w:rPr>
        <w:lastRenderedPageBreak/>
        <w:t>Crypto asset contracts represent contractual rights attached to a crypto asset or a</w:t>
      </w:r>
      <w:r w:rsidR="00D82972">
        <w:rPr>
          <w:rFonts w:cs="Arial"/>
        </w:rPr>
        <w:t xml:space="preserve"> </w:t>
      </w:r>
      <w:r w:rsidR="00585358">
        <w:rPr>
          <w:rFonts w:cs="Arial"/>
        </w:rPr>
        <w:t>value-referenced crypto asset.</w:t>
      </w:r>
      <w:r w:rsidRPr="00505647">
        <w:rPr>
          <w:rFonts w:cs="Arial"/>
        </w:rPr>
        <w:t xml:space="preserve"> </w:t>
      </w:r>
    </w:p>
    <w:p w14:paraId="1D44A6B7" w14:textId="61F36ACC" w:rsidR="00040F4A" w:rsidRPr="00505647" w:rsidRDefault="0046182F" w:rsidP="00040F4A">
      <w:pPr>
        <w:pStyle w:val="Paragraphe"/>
        <w:rPr>
          <w:rFonts w:cs="Arial"/>
        </w:rPr>
      </w:pPr>
      <w:r w:rsidRPr="00505647">
        <w:rPr>
          <w:rFonts w:cs="Arial"/>
        </w:rPr>
        <w:t>Non-fungible token contracts allow investors to acquire contractual rights to multiple non-fungible tokens, such as virtual artworks.</w:t>
      </w:r>
    </w:p>
    <w:p w14:paraId="6DBC7D8A" w14:textId="7F773899" w:rsidR="00040F4A" w:rsidRPr="00505647" w:rsidRDefault="0046182F" w:rsidP="00116208">
      <w:pPr>
        <w:pStyle w:val="Paragraphe"/>
      </w:pPr>
      <w:r w:rsidRPr="00505647">
        <w:t xml:space="preserve">Futures Contracts are contracts or instruments whose market price, value, or delivery or payment obligations are </w:t>
      </w:r>
      <w:r w:rsidRPr="009D68E0">
        <w:t xml:space="preserve">derived from </w:t>
      </w:r>
      <w:r w:rsidRPr="00AC2CDA">
        <w:t>an underlying interest</w:t>
      </w:r>
      <w:r w:rsidRPr="00505647">
        <w:t>.</w:t>
      </w:r>
    </w:p>
    <w:p w14:paraId="732906C6" w14:textId="77777777" w:rsidR="00040F4A" w:rsidRPr="00505647" w:rsidRDefault="0046182F" w:rsidP="00040F4A">
      <w:pPr>
        <w:pStyle w:val="Paragraphe"/>
        <w:rPr>
          <w:rFonts w:cs="Arial"/>
        </w:rPr>
      </w:pPr>
      <w:r w:rsidRPr="00505647">
        <w:rPr>
          <w:rFonts w:cs="Arial"/>
        </w:rPr>
        <w:t>Performance programs allow investors to deposit crypto assets into an account accessible through the XT.com website to generate returns.</w:t>
      </w:r>
    </w:p>
    <w:p w14:paraId="07F5CCA6" w14:textId="50081CBA" w:rsidR="00040F4A" w:rsidRPr="00505647" w:rsidRDefault="0046182F" w:rsidP="00040F4A">
      <w:pPr>
        <w:pStyle w:val="Paragraphe"/>
        <w:rPr>
          <w:rFonts w:cs="Arial"/>
        </w:rPr>
      </w:pPr>
      <w:r w:rsidRPr="00505647">
        <w:rPr>
          <w:rFonts w:cs="Arial"/>
        </w:rPr>
        <w:t xml:space="preserve">Investors also </w:t>
      </w:r>
      <w:proofErr w:type="gramStart"/>
      <w:r w:rsidRPr="00505647">
        <w:rPr>
          <w:rFonts w:cs="Arial"/>
        </w:rPr>
        <w:t>have the opportunity to</w:t>
      </w:r>
      <w:proofErr w:type="gramEnd"/>
      <w:r w:rsidRPr="00505647">
        <w:rPr>
          <w:rFonts w:cs="Arial"/>
        </w:rPr>
        <w:t xml:space="preserve"> participate in investment programs linked to blockchain validation mechanisms</w:t>
      </w:r>
      <w:r w:rsidRPr="00505647">
        <w:rPr>
          <w:rStyle w:val="Appelnotedebasdep"/>
          <w:rFonts w:cs="Arial"/>
        </w:rPr>
        <w:footnoteReference w:id="19"/>
      </w:r>
      <w:r w:rsidRPr="00505647">
        <w:rPr>
          <w:rFonts w:cs="Arial"/>
        </w:rPr>
        <w:t xml:space="preserve"> through proof-of-stake.</w:t>
      </w:r>
      <w:r w:rsidRPr="00505647">
        <w:rPr>
          <w:rStyle w:val="Appelnotedebasdep"/>
          <w:rFonts w:cs="Arial"/>
        </w:rPr>
        <w:footnoteReference w:id="20"/>
      </w:r>
      <w:r w:rsidR="00653210" w:rsidRPr="00505647">
        <w:rPr>
          <w:rFonts w:cs="Arial"/>
        </w:rPr>
        <w:t xml:space="preserve"> </w:t>
      </w:r>
      <w:r w:rsidRPr="00505647">
        <w:rPr>
          <w:rFonts w:cs="Arial"/>
        </w:rPr>
        <w:t>The differences between these programs and performance programs concern the type of crypto assets available and the lockout period during which crypto assets cannot be removed.</w:t>
      </w:r>
    </w:p>
    <w:p w14:paraId="7BB8B360" w14:textId="470027C2" w:rsidR="00040F4A" w:rsidRPr="00505647" w:rsidRDefault="0046182F" w:rsidP="00040F4A">
      <w:pPr>
        <w:pStyle w:val="Paragraphe"/>
        <w:rPr>
          <w:rFonts w:cs="Arial"/>
        </w:rPr>
      </w:pPr>
      <w:r w:rsidRPr="00505647">
        <w:rPr>
          <w:rFonts w:cs="Arial"/>
          <w:kern w:val="0"/>
          <w:szCs w:val="24"/>
        </w:rPr>
        <w:t xml:space="preserve">According to the Authority, the </w:t>
      </w:r>
      <w:r w:rsidRPr="00505647">
        <w:rPr>
          <w:rFonts w:cs="Arial"/>
        </w:rPr>
        <w:t xml:space="preserve">products and services offered by the respondents to the public on the XT.com website are securities within the meaning of the </w:t>
      </w:r>
      <w:r w:rsidRPr="00505647">
        <w:rPr>
          <w:rFonts w:cs="Arial"/>
          <w:i/>
          <w:iCs/>
        </w:rPr>
        <w:t>Securities Act</w:t>
      </w:r>
      <w:r w:rsidRPr="00505647">
        <w:rPr>
          <w:rFonts w:cs="Arial"/>
        </w:rPr>
        <w:t xml:space="preserve"> or derivatives within the meaning of the </w:t>
      </w:r>
      <w:r w:rsidRPr="00505647">
        <w:rPr>
          <w:rFonts w:cs="Arial"/>
          <w:i/>
          <w:iCs/>
        </w:rPr>
        <w:t>Derivatives Act</w:t>
      </w:r>
      <w:r w:rsidRPr="00505647">
        <w:rPr>
          <w:rFonts w:cs="Arial"/>
        </w:rPr>
        <w:t xml:space="preserve">. </w:t>
      </w:r>
    </w:p>
    <w:p w14:paraId="77C6571E" w14:textId="77777777" w:rsidR="00040F4A" w:rsidRPr="00505647" w:rsidRDefault="0046182F" w:rsidP="00040F4A">
      <w:pPr>
        <w:pStyle w:val="Paragraphe"/>
        <w:rPr>
          <w:rFonts w:cs="Arial"/>
        </w:rPr>
      </w:pPr>
      <w:r w:rsidRPr="00505647">
        <w:rPr>
          <w:rFonts w:cs="Arial"/>
        </w:rPr>
        <w:t xml:space="preserve">The Authority maintains that the </w:t>
      </w:r>
      <w:r w:rsidRPr="009F34B7">
        <w:rPr>
          <w:rFonts w:cs="Arial"/>
        </w:rPr>
        <w:t>respondents distributed securities to</w:t>
      </w:r>
      <w:r w:rsidRPr="00505647">
        <w:rPr>
          <w:rFonts w:cs="Arial"/>
        </w:rPr>
        <w:t xml:space="preserve"> the public without a prospectus and that they create or market derivatives for the public without being approved for this purpose by the Authority. The Authority also maintains that the respondents carry on the activity of securities and derivatives dealer without being registered as such with the Authority.</w:t>
      </w:r>
    </w:p>
    <w:p w14:paraId="0F0913CF" w14:textId="77777777" w:rsidR="00040F4A" w:rsidRPr="00505647" w:rsidRDefault="0046182F" w:rsidP="00040F4A">
      <w:pPr>
        <w:pStyle w:val="Paragraphe"/>
        <w:rPr>
          <w:rFonts w:cs="Arial"/>
        </w:rPr>
      </w:pPr>
      <w:r w:rsidRPr="00505647">
        <w:rPr>
          <w:rFonts w:cs="Arial"/>
        </w:rPr>
        <w:t xml:space="preserve">Consequently, the Authority submits that the respondents’ activities are in contravention of sections 11 and 148 of the </w:t>
      </w:r>
      <w:r w:rsidRPr="00505647">
        <w:rPr>
          <w:rFonts w:cs="Arial"/>
          <w:i/>
          <w:iCs/>
        </w:rPr>
        <w:t>Securities Act</w:t>
      </w:r>
      <w:r w:rsidRPr="00505647">
        <w:rPr>
          <w:rFonts w:cs="Arial"/>
        </w:rPr>
        <w:t xml:space="preserve"> and sections 54 and 82 of the </w:t>
      </w:r>
      <w:r w:rsidRPr="00505647">
        <w:rPr>
          <w:rFonts w:cs="Arial"/>
          <w:i/>
          <w:iCs/>
        </w:rPr>
        <w:t>Derivatives Act</w:t>
      </w:r>
      <w:r w:rsidRPr="00505647">
        <w:rPr>
          <w:rFonts w:cs="Arial"/>
        </w:rPr>
        <w:t>.</w:t>
      </w:r>
    </w:p>
    <w:p w14:paraId="6A49B40E" w14:textId="77777777" w:rsidR="00040F4A" w:rsidRPr="00505647" w:rsidRDefault="0046182F" w:rsidP="00040F4A">
      <w:pPr>
        <w:pStyle w:val="Paragraphe"/>
        <w:rPr>
          <w:rFonts w:cs="Arial"/>
        </w:rPr>
      </w:pPr>
      <w:r w:rsidRPr="00505647">
        <w:rPr>
          <w:rFonts w:cs="Arial"/>
        </w:rPr>
        <w:t>The Authority’s application was submitted at the virtual hearings held on July 24, 25 and 28, 2023.</w:t>
      </w:r>
    </w:p>
    <w:p w14:paraId="288D5E58" w14:textId="77777777" w:rsidR="00040F4A" w:rsidRPr="00505647" w:rsidRDefault="0046182F" w:rsidP="00040F4A">
      <w:pPr>
        <w:pStyle w:val="Paragraphe"/>
        <w:rPr>
          <w:rFonts w:cs="Arial"/>
        </w:rPr>
      </w:pPr>
      <w:r w:rsidRPr="00505647">
        <w:rPr>
          <w:rFonts w:cs="Arial"/>
        </w:rPr>
        <w:t xml:space="preserve">At the hearing on July 24, 2023, Hongyu Liu, acting as translator for Tim Ma, mentions that he represents XT Exchange. He informs the Tribunal that they are present at the hearing as observers. With respect to BZ Limited, it is not represented by an officer or lawyer and does not provide a valid reason for its absence. </w:t>
      </w:r>
    </w:p>
    <w:p w14:paraId="526926F7" w14:textId="77777777" w:rsidR="00040F4A" w:rsidRPr="00505647" w:rsidRDefault="0046182F" w:rsidP="00040F4A">
      <w:pPr>
        <w:pStyle w:val="Paragraphe"/>
        <w:rPr>
          <w:rFonts w:cs="Arial"/>
        </w:rPr>
      </w:pPr>
      <w:r w:rsidRPr="00505647">
        <w:rPr>
          <w:rFonts w:cs="Arial"/>
        </w:rPr>
        <w:t xml:space="preserve">The Authority’s application is therefore not contested by the respondents. </w:t>
      </w:r>
    </w:p>
    <w:p w14:paraId="2708B922" w14:textId="745C81C0" w:rsidR="00040F4A" w:rsidRPr="00505647" w:rsidRDefault="0046182F" w:rsidP="00040F4A">
      <w:pPr>
        <w:pStyle w:val="Paragraphe"/>
        <w:rPr>
          <w:rFonts w:cs="Arial"/>
        </w:rPr>
      </w:pPr>
      <w:r w:rsidRPr="00505647">
        <w:rPr>
          <w:rFonts w:cs="Arial"/>
        </w:rPr>
        <w:lastRenderedPageBreak/>
        <w:t xml:space="preserve">Based on the evidence </w:t>
      </w:r>
      <w:r w:rsidRPr="004B7F5D">
        <w:rPr>
          <w:rFonts w:cs="Arial"/>
        </w:rPr>
        <w:t>adduced</w:t>
      </w:r>
      <w:r w:rsidRPr="00505647">
        <w:rPr>
          <w:rFonts w:cs="Arial"/>
        </w:rPr>
        <w:t xml:space="preserve"> by the Authority, the Tribunal finds that the respondents were duly notified of the </w:t>
      </w:r>
      <w:r w:rsidRPr="00A63E25">
        <w:rPr>
          <w:rFonts w:cs="Arial"/>
        </w:rPr>
        <w:t xml:space="preserve">originating </w:t>
      </w:r>
      <w:r w:rsidR="00AC2CDA">
        <w:rPr>
          <w:rFonts w:cs="Arial"/>
        </w:rPr>
        <w:t>pleading</w:t>
      </w:r>
      <w:r w:rsidRPr="00505647">
        <w:rPr>
          <w:rFonts w:cs="Arial"/>
        </w:rPr>
        <w:t xml:space="preserve">, in accordance with the special notification methods authorized by the Tribunal. The respondents were duly notified of the hearing dates. Pursuant to section 115.4 of the </w:t>
      </w:r>
      <w:r w:rsidRPr="00505647">
        <w:rPr>
          <w:rFonts w:cs="Arial"/>
          <w:i/>
          <w:iCs/>
        </w:rPr>
        <w:t>Act respecting the regulation of the financial sector</w:t>
      </w:r>
      <w:r w:rsidRPr="00505647">
        <w:rPr>
          <w:rFonts w:cs="Arial"/>
        </w:rPr>
        <w:t>,</w:t>
      </w:r>
      <w:r w:rsidRPr="00505647">
        <w:rPr>
          <w:rStyle w:val="Appelnotedebasdep"/>
          <w:rFonts w:cs="Arial"/>
        </w:rPr>
        <w:footnoteReference w:id="21"/>
      </w:r>
      <w:r w:rsidRPr="00505647">
        <w:rPr>
          <w:rFonts w:cs="Arial"/>
        </w:rPr>
        <w:t xml:space="preserve"> the Tribunal makes an oral decision on July 24, </w:t>
      </w:r>
      <w:proofErr w:type="gramStart"/>
      <w:r w:rsidRPr="00505647">
        <w:rPr>
          <w:rFonts w:cs="Arial"/>
        </w:rPr>
        <w:t>2023</w:t>
      </w:r>
      <w:proofErr w:type="gramEnd"/>
      <w:r w:rsidRPr="00505647">
        <w:rPr>
          <w:rFonts w:cs="Arial"/>
        </w:rPr>
        <w:t xml:space="preserve"> to proceed with this matter by default. </w:t>
      </w:r>
    </w:p>
    <w:p w14:paraId="14B31A4E" w14:textId="77777777" w:rsidR="00040F4A" w:rsidRPr="00505647" w:rsidRDefault="0046182F" w:rsidP="00040F4A">
      <w:pPr>
        <w:pStyle w:val="Paragraphe"/>
        <w:rPr>
          <w:rFonts w:cs="Arial"/>
        </w:rPr>
      </w:pPr>
      <w:r w:rsidRPr="00505647">
        <w:rPr>
          <w:rFonts w:cs="Arial"/>
        </w:rPr>
        <w:t>The Tribunal notes that Hongyu Liu and Tim Ma are not present at the hearings held on July 25 and 28, 2023.</w:t>
      </w:r>
    </w:p>
    <w:p w14:paraId="3604EAB8" w14:textId="1BEA8D60" w:rsidR="00040F4A" w:rsidRPr="00505647" w:rsidRDefault="0046182F" w:rsidP="00040F4A">
      <w:pPr>
        <w:pStyle w:val="Paragraphe"/>
        <w:rPr>
          <w:rFonts w:cs="Arial"/>
        </w:rPr>
      </w:pPr>
      <w:r w:rsidRPr="00505647">
        <w:rPr>
          <w:rFonts w:cs="Arial"/>
        </w:rPr>
        <w:t xml:space="preserve">For the reasons stated below and based on the evidence adduced by the Authority, the Tribunal is of the opinion that the respondents distributed securities subject to the application of the </w:t>
      </w:r>
      <w:r w:rsidRPr="00505647">
        <w:rPr>
          <w:rFonts w:cs="Arial"/>
          <w:i/>
          <w:iCs/>
        </w:rPr>
        <w:t>Securities Act</w:t>
      </w:r>
      <w:r w:rsidRPr="00505647">
        <w:rPr>
          <w:rFonts w:cs="Arial"/>
        </w:rPr>
        <w:t xml:space="preserve">. This distribution was made in contravention of section 11 of the </w:t>
      </w:r>
      <w:r w:rsidRPr="00505647">
        <w:rPr>
          <w:rFonts w:cs="Arial"/>
          <w:i/>
          <w:iCs/>
        </w:rPr>
        <w:t>Securities Act</w:t>
      </w:r>
      <w:r w:rsidRPr="00505647">
        <w:rPr>
          <w:rFonts w:cs="Arial"/>
        </w:rPr>
        <w:t xml:space="preserve">, </w:t>
      </w:r>
      <w:proofErr w:type="gramStart"/>
      <w:r w:rsidRPr="00505647">
        <w:rPr>
          <w:rFonts w:cs="Arial"/>
        </w:rPr>
        <w:t>i.e.</w:t>
      </w:r>
      <w:proofErr w:type="gramEnd"/>
      <w:r w:rsidRPr="00505647">
        <w:rPr>
          <w:rFonts w:cs="Arial"/>
        </w:rPr>
        <w:t xml:space="preserve"> without having prepared a prospectus subject to a receipt by the Authority. The respondents also created and marketed derivatives, without </w:t>
      </w:r>
      <w:r w:rsidR="00AC2CDA">
        <w:rPr>
          <w:rFonts w:cs="Arial"/>
        </w:rPr>
        <w:t>being qualified by</w:t>
      </w:r>
      <w:r w:rsidRPr="00505647">
        <w:rPr>
          <w:rFonts w:cs="Arial"/>
        </w:rPr>
        <w:t xml:space="preserve"> the Authority, in contravention of section 82 of the </w:t>
      </w:r>
      <w:r w:rsidRPr="00505647">
        <w:rPr>
          <w:rFonts w:cs="Arial"/>
          <w:i/>
          <w:iCs/>
        </w:rPr>
        <w:t>Derivatives Act</w:t>
      </w:r>
      <w:r w:rsidRPr="00505647">
        <w:rPr>
          <w:rFonts w:cs="Arial"/>
        </w:rPr>
        <w:t xml:space="preserve">. In carrying on their activities, the respondents acted as securities and derivatives dealers, without being registered in any capacity with the Authority, in contravention of section 148 of the </w:t>
      </w:r>
      <w:r w:rsidRPr="00505647">
        <w:rPr>
          <w:rFonts w:cs="Arial"/>
          <w:i/>
          <w:iCs/>
        </w:rPr>
        <w:t>Securities Act</w:t>
      </w:r>
      <w:r w:rsidRPr="00505647">
        <w:rPr>
          <w:rFonts w:cs="Arial"/>
        </w:rPr>
        <w:t xml:space="preserve"> and section 54 of the </w:t>
      </w:r>
      <w:r w:rsidRPr="00505647">
        <w:rPr>
          <w:rFonts w:cs="Arial"/>
          <w:i/>
          <w:iCs/>
        </w:rPr>
        <w:t>Derivatives Act</w:t>
      </w:r>
      <w:r w:rsidRPr="00505647">
        <w:rPr>
          <w:rFonts w:cs="Arial"/>
        </w:rPr>
        <w:t>.</w:t>
      </w:r>
    </w:p>
    <w:p w14:paraId="75AD5A26" w14:textId="77777777" w:rsidR="00040F4A" w:rsidRPr="00505647" w:rsidRDefault="0046182F" w:rsidP="00040F4A">
      <w:pPr>
        <w:pStyle w:val="Paragraphe"/>
        <w:rPr>
          <w:rFonts w:cs="Arial"/>
        </w:rPr>
      </w:pPr>
      <w:r w:rsidRPr="00505647">
        <w:rPr>
          <w:rFonts w:cs="Arial"/>
        </w:rPr>
        <w:t>Accordingly, the Tribunal allows, in the public interest, the Authority’s application and decides to implement all the orders it seeks.</w:t>
      </w:r>
    </w:p>
    <w:p w14:paraId="166864AF" w14:textId="2AB0A3B8" w:rsidR="00040F4A" w:rsidRPr="00505647" w:rsidRDefault="0046182F" w:rsidP="009D2548">
      <w:pPr>
        <w:pStyle w:val="Titre1"/>
        <w:rPr>
          <w:rFonts w:cs="Arial"/>
        </w:rPr>
      </w:pPr>
      <w:r w:rsidRPr="00505647">
        <w:rPr>
          <w:rFonts w:cs="Arial"/>
          <w:bCs/>
        </w:rPr>
        <w:t>REGULATION OF CRYPTO ASSET TRADING PLATFORMS</w:t>
      </w:r>
    </w:p>
    <w:p w14:paraId="3DEB513C" w14:textId="79565E62" w:rsidR="00040F4A" w:rsidRPr="00505647" w:rsidRDefault="0046182F" w:rsidP="00040F4A">
      <w:pPr>
        <w:pStyle w:val="Paragraphe"/>
        <w:rPr>
          <w:rFonts w:cs="Arial"/>
        </w:rPr>
      </w:pPr>
      <w:r w:rsidRPr="00505647">
        <w:rPr>
          <w:rFonts w:cs="Arial"/>
        </w:rPr>
        <w:t xml:space="preserve">The popularity of crypto assets is generating numerous offers to the public of financial products and services in Québec, elsewhere in Canada and internationally. </w:t>
      </w:r>
    </w:p>
    <w:p w14:paraId="07984577" w14:textId="103E61A3" w:rsidR="00040F4A" w:rsidRPr="00505647" w:rsidRDefault="0046182F" w:rsidP="00040F4A">
      <w:pPr>
        <w:pStyle w:val="Paragraphe"/>
        <w:rPr>
          <w:rFonts w:cs="Arial"/>
        </w:rPr>
      </w:pPr>
      <w:r w:rsidRPr="00505647">
        <w:rPr>
          <w:rFonts w:cs="Arial"/>
        </w:rPr>
        <w:t xml:space="preserve">In 2018, the Authority published a notice to remind any person intending to create or market a derivative linked to cryptocurrencies or other innovative assets that they are subject to the </w:t>
      </w:r>
      <w:r w:rsidRPr="00505647">
        <w:rPr>
          <w:rFonts w:cs="Arial"/>
          <w:i/>
          <w:iCs/>
        </w:rPr>
        <w:t xml:space="preserve">Derivatives Act </w:t>
      </w:r>
      <w:r w:rsidRPr="00505647">
        <w:rPr>
          <w:rFonts w:cs="Arial"/>
        </w:rPr>
        <w:t xml:space="preserve">and obligated to </w:t>
      </w:r>
      <w:r w:rsidR="00BD4779">
        <w:rPr>
          <w:rFonts w:cs="Arial"/>
        </w:rPr>
        <w:t>qualify</w:t>
      </w:r>
      <w:r w:rsidRPr="00505647">
        <w:rPr>
          <w:rFonts w:cs="Arial"/>
        </w:rPr>
        <w:t xml:space="preserve">, </w:t>
      </w:r>
      <w:proofErr w:type="gramStart"/>
      <w:r w:rsidRPr="00505647">
        <w:rPr>
          <w:rFonts w:cs="Arial"/>
        </w:rPr>
        <w:t>register</w:t>
      </w:r>
      <w:proofErr w:type="gramEnd"/>
      <w:r w:rsidRPr="00505647">
        <w:rPr>
          <w:rFonts w:cs="Arial"/>
        </w:rPr>
        <w:t xml:space="preserve"> and report transactions. In addition, the Authority invited investors to verify the registration of persons with whom they do business as a dealer and to act cautiously when trading cryptocurrency-related derivatives.</w:t>
      </w:r>
      <w:r w:rsidRPr="00505647">
        <w:rPr>
          <w:rStyle w:val="Appelnotedebasdep"/>
          <w:rFonts w:cs="Arial"/>
        </w:rPr>
        <w:footnoteReference w:id="22"/>
      </w:r>
    </w:p>
    <w:p w14:paraId="77AD9176" w14:textId="255D30D1" w:rsidR="00040F4A" w:rsidRPr="00505647" w:rsidRDefault="0046182F" w:rsidP="00040F4A">
      <w:pPr>
        <w:pStyle w:val="Paragraphe"/>
        <w:rPr>
          <w:rFonts w:cs="Arial"/>
        </w:rPr>
      </w:pPr>
      <w:r w:rsidRPr="00505647">
        <w:rPr>
          <w:rFonts w:cs="Arial"/>
        </w:rPr>
        <w:t>Concurrently, the Canadian Securities Administrators (“CSA”),</w:t>
      </w:r>
      <w:r w:rsidRPr="00505647">
        <w:rPr>
          <w:rStyle w:val="Appelnotedebasdep"/>
          <w:rFonts w:cs="Arial"/>
        </w:rPr>
        <w:footnoteReference w:id="23"/>
      </w:r>
      <w:r w:rsidRPr="00505647">
        <w:rPr>
          <w:rFonts w:cs="Arial"/>
        </w:rPr>
        <w:t xml:space="preserve"> like many regulators around the world, are working to put in place a regulatory framework adapted to crypto asset trading platforms. The CSA publishes several notices on the application of securities legislation to those platforms. Although the CSA’s notices are not legally </w:t>
      </w:r>
      <w:r w:rsidRPr="00505647">
        <w:rPr>
          <w:rFonts w:cs="Arial"/>
        </w:rPr>
        <w:lastRenderedPageBreak/>
        <w:t>binding, they are the result of a concerted analytical effort by CSA staff and provide guidance on the interpretation and application of securities legislation.</w:t>
      </w:r>
    </w:p>
    <w:p w14:paraId="58B254A7" w14:textId="1873D1D0" w:rsidR="00040F4A" w:rsidRPr="00505647" w:rsidRDefault="0046182F" w:rsidP="00040F4A">
      <w:pPr>
        <w:pStyle w:val="Paragraphe"/>
        <w:rPr>
          <w:rFonts w:cs="Arial"/>
        </w:rPr>
      </w:pPr>
      <w:r w:rsidRPr="00505647">
        <w:rPr>
          <w:rFonts w:cs="Arial"/>
        </w:rPr>
        <w:t xml:space="preserve">On January 16, 2020, the CSA provided guidance on certain factors considered in determining whether securities legislation applies to any entity facilitating transactions related to crypto assets, including their purchase and sale, through </w:t>
      </w:r>
      <w:r w:rsidRPr="00505647">
        <w:rPr>
          <w:rFonts w:cs="Arial"/>
          <w:i/>
          <w:iCs/>
        </w:rPr>
        <w:t>CSA Staff Notice 21-327 - Guidance on the Application of Securities Legislation to Entities Facilitating the Trading of Crypto Assets</w:t>
      </w:r>
      <w:r w:rsidRPr="00505647">
        <w:rPr>
          <w:rFonts w:cs="Arial"/>
        </w:rPr>
        <w:t xml:space="preserve"> (</w:t>
      </w:r>
      <w:r w:rsidR="00EB65C3" w:rsidRPr="00505647">
        <w:rPr>
          <w:rFonts w:cs="Arial"/>
        </w:rPr>
        <w:t>“</w:t>
      </w:r>
      <w:r w:rsidRPr="00505647">
        <w:rPr>
          <w:rFonts w:cs="Arial"/>
        </w:rPr>
        <w:t>CSA Staff Notice 21-327</w:t>
      </w:r>
      <w:r w:rsidR="00EB65C3" w:rsidRPr="00505647">
        <w:rPr>
          <w:rFonts w:cs="Arial"/>
        </w:rPr>
        <w:t>”</w:t>
      </w:r>
      <w:r w:rsidRPr="00505647">
        <w:rPr>
          <w:rFonts w:cs="Arial"/>
        </w:rPr>
        <w:t>).</w:t>
      </w:r>
      <w:r w:rsidRPr="00505647">
        <w:rPr>
          <w:rStyle w:val="Appelnotedebasdep"/>
          <w:rFonts w:cs="Arial"/>
        </w:rPr>
        <w:footnoteReference w:id="24"/>
      </w:r>
    </w:p>
    <w:p w14:paraId="4C665D04" w14:textId="77777777" w:rsidR="00040F4A" w:rsidRPr="00D82972" w:rsidRDefault="0046182F" w:rsidP="00040F4A">
      <w:pPr>
        <w:pStyle w:val="Paragraphe"/>
        <w:rPr>
          <w:rFonts w:cs="Arial"/>
        </w:rPr>
      </w:pPr>
      <w:r w:rsidRPr="00505647">
        <w:rPr>
          <w:rFonts w:cs="Arial"/>
        </w:rPr>
        <w:t xml:space="preserve">CSA Staff Notice 21-327 specifies that a transaction on a crypto asset may be subject to securities legislation if it does not result in the obligation to deliver the relevant crypto </w:t>
      </w:r>
      <w:r w:rsidRPr="00D82972">
        <w:rPr>
          <w:rFonts w:cs="Arial"/>
        </w:rPr>
        <w:t>asset and take delivery immediately.</w:t>
      </w:r>
    </w:p>
    <w:p w14:paraId="0E0B2DD6" w14:textId="2585EB2C" w:rsidR="00040F4A" w:rsidRPr="00505647" w:rsidRDefault="0046182F" w:rsidP="00040F4A">
      <w:pPr>
        <w:pStyle w:val="Paragraphe"/>
        <w:rPr>
          <w:rFonts w:cs="Arial"/>
        </w:rPr>
      </w:pPr>
      <w:r w:rsidRPr="00D82972">
        <w:rPr>
          <w:rFonts w:cs="Arial"/>
        </w:rPr>
        <w:t xml:space="preserve">The CSA notes that crypto asset platforms operating from abroad </w:t>
      </w:r>
      <w:r w:rsidR="008177D3" w:rsidRPr="00D82972">
        <w:rPr>
          <w:rFonts w:cs="Arial"/>
        </w:rPr>
        <w:t xml:space="preserve">who have </w:t>
      </w:r>
      <w:r w:rsidRPr="00D82972">
        <w:rPr>
          <w:rFonts w:cs="Arial"/>
        </w:rPr>
        <w:t>Canadian users must review obligations under securities legislation in Canada. The CSA warns that it ultimately</w:t>
      </w:r>
      <w:r w:rsidRPr="00505647">
        <w:rPr>
          <w:rFonts w:cs="Arial"/>
        </w:rPr>
        <w:t xml:space="preserve"> intends to take or pursue enforcement action against entities facilitating crypto asset transactions that do not comply with securities legislation.</w:t>
      </w:r>
    </w:p>
    <w:p w14:paraId="5DEA13E0" w14:textId="1870CCF8" w:rsidR="00040F4A" w:rsidRPr="00505647" w:rsidRDefault="0046182F" w:rsidP="00040F4A">
      <w:pPr>
        <w:pStyle w:val="Paragraphe"/>
        <w:rPr>
          <w:rFonts w:cs="Arial"/>
        </w:rPr>
      </w:pPr>
      <w:r w:rsidRPr="00505647">
        <w:rPr>
          <w:rFonts w:cs="Arial"/>
        </w:rPr>
        <w:t>Since CSA Staff Notice 21-327 was issued, the CSA has issued additional Notices providing additional guidance on how securities legislation applies to crypto asset trading platforms.</w:t>
      </w:r>
      <w:r w:rsidRPr="00505647">
        <w:rPr>
          <w:rStyle w:val="Appelnotedebasdep"/>
          <w:rFonts w:cs="Arial"/>
        </w:rPr>
        <w:footnoteReference w:id="25"/>
      </w:r>
      <w:r w:rsidRPr="00505647">
        <w:rPr>
          <w:rFonts w:cs="Arial"/>
        </w:rPr>
        <w:t xml:space="preserve"> Among other things, the CSA sets out dealer registration requirements specific to crypto asset platforms and specifies their expectations for compliance with regulatory obligations, particularly with respect to advertising and the use of social media.</w:t>
      </w:r>
      <w:r w:rsidRPr="00505647">
        <w:rPr>
          <w:rStyle w:val="Appelnotedebasdep"/>
          <w:rFonts w:cs="Arial"/>
        </w:rPr>
        <w:footnoteReference w:id="26"/>
      </w:r>
      <w:r w:rsidRPr="00505647">
        <w:rPr>
          <w:rFonts w:cs="Arial"/>
        </w:rPr>
        <w:t xml:space="preserve"> </w:t>
      </w:r>
    </w:p>
    <w:p w14:paraId="78096DDC" w14:textId="5FFF9D18" w:rsidR="00040F4A" w:rsidRPr="00505647" w:rsidRDefault="0046182F" w:rsidP="00040F4A">
      <w:pPr>
        <w:pStyle w:val="Paragraphe"/>
        <w:rPr>
          <w:rFonts w:cs="Arial"/>
        </w:rPr>
      </w:pPr>
      <w:r w:rsidRPr="00505647">
        <w:rPr>
          <w:rFonts w:cs="Arial"/>
        </w:rPr>
        <w:t xml:space="preserve">The CSA recognizes the specific significant risks posed by unregistered foreign crypto asset trading platforms to the protection of Canadian investors. </w:t>
      </w:r>
      <w:r w:rsidRPr="009D68E0">
        <w:rPr>
          <w:rFonts w:cs="Arial"/>
        </w:rPr>
        <w:t>For example,</w:t>
      </w:r>
      <w:r w:rsidRPr="00505647">
        <w:rPr>
          <w:rFonts w:cs="Arial"/>
        </w:rPr>
        <w:t xml:space="preserve"> </w:t>
      </w:r>
      <w:proofErr w:type="gramStart"/>
      <w:r w:rsidRPr="00505647">
        <w:rPr>
          <w:rFonts w:cs="Arial"/>
        </w:rPr>
        <w:t>in light of</w:t>
      </w:r>
      <w:proofErr w:type="gramEnd"/>
      <w:r w:rsidRPr="00505647">
        <w:rPr>
          <w:rFonts w:cs="Arial"/>
        </w:rPr>
        <w:t xml:space="preserve"> recent insolvencies of foreign platforms, on February 22, 2023, the CSA issued a notice to enhance the protection of Canadian investors by requiring crypto asset trading platforms that continue to operate in Canada during their registration process to issue enhanced pre-registration commitments.</w:t>
      </w:r>
      <w:r w:rsidRPr="00505647">
        <w:rPr>
          <w:rStyle w:val="Appelnotedebasdep"/>
          <w:rFonts w:cs="Arial"/>
        </w:rPr>
        <w:footnoteReference w:id="27"/>
      </w:r>
    </w:p>
    <w:p w14:paraId="1CC889EF" w14:textId="77777777" w:rsidR="00040F4A" w:rsidRPr="00505647" w:rsidRDefault="0046182F" w:rsidP="00040F4A">
      <w:pPr>
        <w:pStyle w:val="Paragraphe"/>
        <w:rPr>
          <w:rFonts w:cs="Arial"/>
        </w:rPr>
      </w:pPr>
      <w:r w:rsidRPr="00505647">
        <w:rPr>
          <w:rFonts w:cs="Arial"/>
        </w:rPr>
        <w:lastRenderedPageBreak/>
        <w:t>At this point, several crypto asset trading platforms are registered in Canada</w:t>
      </w:r>
      <w:r w:rsidRPr="00505647">
        <w:rPr>
          <w:rStyle w:val="Appelnotedebasdep"/>
          <w:rFonts w:cs="Arial"/>
        </w:rPr>
        <w:footnoteReference w:id="28"/>
      </w:r>
      <w:r w:rsidRPr="00505647">
        <w:rPr>
          <w:rFonts w:cs="Arial"/>
        </w:rPr>
        <w:t xml:space="preserve"> and several platforms have </w:t>
      </w:r>
      <w:proofErr w:type="gramStart"/>
      <w:r w:rsidRPr="00505647">
        <w:rPr>
          <w:rFonts w:cs="Arial"/>
        </w:rPr>
        <w:t>entered into</w:t>
      </w:r>
      <w:proofErr w:type="gramEnd"/>
      <w:r w:rsidRPr="00505647">
        <w:rPr>
          <w:rFonts w:cs="Arial"/>
        </w:rPr>
        <w:t xml:space="preserve"> a pre-registration commitment.</w:t>
      </w:r>
      <w:r w:rsidRPr="00505647">
        <w:rPr>
          <w:rStyle w:val="Appelnotedebasdep"/>
          <w:rFonts w:cs="Arial"/>
        </w:rPr>
        <w:footnoteReference w:id="29"/>
      </w:r>
    </w:p>
    <w:p w14:paraId="546056C9" w14:textId="77777777" w:rsidR="00040F4A" w:rsidRPr="00505647" w:rsidRDefault="0046182F" w:rsidP="009D2548">
      <w:pPr>
        <w:pStyle w:val="Titre1"/>
        <w:rPr>
          <w:rFonts w:cs="Arial"/>
        </w:rPr>
      </w:pPr>
      <w:r w:rsidRPr="00505647">
        <w:rPr>
          <w:rFonts w:cs="Arial"/>
          <w:bCs/>
        </w:rPr>
        <w:t>QUESTIONS</w:t>
      </w:r>
    </w:p>
    <w:p w14:paraId="0EEE495F" w14:textId="77777777" w:rsidR="00040F4A" w:rsidRPr="00505647" w:rsidRDefault="0046182F" w:rsidP="00040F4A">
      <w:pPr>
        <w:pStyle w:val="Paragraphe"/>
        <w:autoSpaceDE w:val="0"/>
        <w:autoSpaceDN w:val="0"/>
        <w:adjustRightInd w:val="0"/>
        <w:spacing w:after="0"/>
        <w:rPr>
          <w:rFonts w:cs="Arial"/>
          <w:szCs w:val="24"/>
        </w:rPr>
      </w:pPr>
      <w:r w:rsidRPr="00505647">
        <w:rPr>
          <w:rFonts w:cs="Arial"/>
          <w:szCs w:val="24"/>
        </w:rPr>
        <w:t>As part of its analysis, the Tribunal must answer the following questions:</w:t>
      </w:r>
    </w:p>
    <w:p w14:paraId="1D81087D" w14:textId="77777777" w:rsidR="00DE056C" w:rsidRPr="00505647" w:rsidRDefault="0046182F" w:rsidP="00040F4A">
      <w:pPr>
        <w:pStyle w:val="Paragraphe"/>
        <w:numPr>
          <w:ilvl w:val="0"/>
          <w:numId w:val="23"/>
        </w:numPr>
        <w:autoSpaceDE w:val="0"/>
        <w:autoSpaceDN w:val="0"/>
        <w:adjustRightInd w:val="0"/>
        <w:spacing w:after="0"/>
        <w:rPr>
          <w:rFonts w:cs="Arial"/>
          <w:szCs w:val="24"/>
        </w:rPr>
      </w:pPr>
      <w:r w:rsidRPr="00505647">
        <w:rPr>
          <w:rFonts w:cs="Arial"/>
          <w:szCs w:val="24"/>
        </w:rPr>
        <w:t xml:space="preserve">Are the products and services offered to the public by the respondents through the XT.com website investment contracts subject to the </w:t>
      </w:r>
      <w:r w:rsidRPr="002F67A3">
        <w:rPr>
          <w:rFonts w:cs="Arial"/>
          <w:szCs w:val="24"/>
        </w:rPr>
        <w:t>scheme</w:t>
      </w:r>
      <w:r w:rsidRPr="00505647">
        <w:rPr>
          <w:rFonts w:cs="Arial"/>
          <w:szCs w:val="24"/>
        </w:rPr>
        <w:t xml:space="preserve"> of securities regulation set out in the </w:t>
      </w:r>
      <w:r w:rsidRPr="00505647">
        <w:rPr>
          <w:rFonts w:cs="Arial"/>
          <w:i/>
          <w:iCs/>
          <w:szCs w:val="24"/>
        </w:rPr>
        <w:t>Securities Act</w:t>
      </w:r>
      <w:r w:rsidRPr="00505647">
        <w:rPr>
          <w:rFonts w:cs="Arial"/>
          <w:szCs w:val="24"/>
        </w:rPr>
        <w:t>?</w:t>
      </w:r>
    </w:p>
    <w:p w14:paraId="0D72369B" w14:textId="5F7EC60F" w:rsidR="00040F4A" w:rsidRPr="00505647" w:rsidRDefault="0046182F" w:rsidP="00040F4A">
      <w:pPr>
        <w:pStyle w:val="Paragraphe"/>
        <w:numPr>
          <w:ilvl w:val="0"/>
          <w:numId w:val="23"/>
        </w:numPr>
        <w:autoSpaceDE w:val="0"/>
        <w:autoSpaceDN w:val="0"/>
        <w:adjustRightInd w:val="0"/>
        <w:spacing w:after="0"/>
        <w:rPr>
          <w:rFonts w:cs="Arial"/>
          <w:szCs w:val="24"/>
        </w:rPr>
      </w:pPr>
      <w:r w:rsidRPr="00505647">
        <w:rPr>
          <w:rFonts w:cs="Arial"/>
        </w:rPr>
        <w:t xml:space="preserve">Did the respondents distribute securities in contravention of section 11 of the </w:t>
      </w:r>
      <w:r w:rsidRPr="00505647">
        <w:rPr>
          <w:rFonts w:cs="Arial"/>
          <w:i/>
          <w:iCs/>
        </w:rPr>
        <w:t>Securities Act</w:t>
      </w:r>
      <w:r w:rsidRPr="00505647">
        <w:rPr>
          <w:rFonts w:cs="Arial"/>
        </w:rPr>
        <w:t xml:space="preserve"> by not having prepared a prospectus subject to a receipt issued by the Authority?</w:t>
      </w:r>
    </w:p>
    <w:p w14:paraId="71A58FFA" w14:textId="77777777" w:rsidR="00040F4A" w:rsidRPr="00505647" w:rsidRDefault="0046182F" w:rsidP="00040F4A">
      <w:pPr>
        <w:pStyle w:val="Paragraphe"/>
        <w:numPr>
          <w:ilvl w:val="0"/>
          <w:numId w:val="23"/>
        </w:numPr>
        <w:autoSpaceDE w:val="0"/>
        <w:autoSpaceDN w:val="0"/>
        <w:adjustRightInd w:val="0"/>
        <w:spacing w:after="0"/>
        <w:rPr>
          <w:rFonts w:cs="Arial"/>
          <w:szCs w:val="24"/>
        </w:rPr>
      </w:pPr>
      <w:r w:rsidRPr="00505647">
        <w:rPr>
          <w:rFonts w:cs="Arial"/>
          <w:szCs w:val="24"/>
        </w:rPr>
        <w:t xml:space="preserve">Are the products and services offered to the public by the respondents on the XT.com website derivatives within the meaning of the </w:t>
      </w:r>
      <w:r w:rsidRPr="00505647">
        <w:rPr>
          <w:rFonts w:cs="Arial"/>
          <w:i/>
          <w:iCs/>
          <w:szCs w:val="24"/>
        </w:rPr>
        <w:t>Derivatives Act</w:t>
      </w:r>
      <w:r w:rsidRPr="00505647">
        <w:rPr>
          <w:rFonts w:cs="Arial"/>
          <w:szCs w:val="24"/>
        </w:rPr>
        <w:t>?</w:t>
      </w:r>
    </w:p>
    <w:p w14:paraId="77916872" w14:textId="564404D9" w:rsidR="00040F4A" w:rsidRPr="00505647" w:rsidRDefault="0046182F" w:rsidP="00040F4A">
      <w:pPr>
        <w:pStyle w:val="Paragraphe"/>
        <w:numPr>
          <w:ilvl w:val="0"/>
          <w:numId w:val="23"/>
        </w:numPr>
        <w:autoSpaceDE w:val="0"/>
        <w:autoSpaceDN w:val="0"/>
        <w:adjustRightInd w:val="0"/>
        <w:spacing w:after="0"/>
        <w:rPr>
          <w:rFonts w:cs="Arial"/>
          <w:szCs w:val="24"/>
        </w:rPr>
      </w:pPr>
      <w:r w:rsidRPr="00505647">
        <w:rPr>
          <w:rFonts w:cs="Arial"/>
        </w:rPr>
        <w:t xml:space="preserve">Did the respondents create or market derivatives without </w:t>
      </w:r>
      <w:r w:rsidR="008A5710">
        <w:rPr>
          <w:rFonts w:cs="Arial"/>
        </w:rPr>
        <w:t>being qualified by</w:t>
      </w:r>
      <w:r w:rsidRPr="00505647">
        <w:rPr>
          <w:rFonts w:cs="Arial"/>
        </w:rPr>
        <w:t xml:space="preserve"> the Authority in contravention of section 82 of the </w:t>
      </w:r>
      <w:r w:rsidRPr="00505647">
        <w:rPr>
          <w:rFonts w:cs="Arial"/>
          <w:i/>
          <w:iCs/>
        </w:rPr>
        <w:t>Derivatives Act</w:t>
      </w:r>
      <w:r w:rsidRPr="00505647">
        <w:rPr>
          <w:rFonts w:cs="Arial"/>
        </w:rPr>
        <w:t>?</w:t>
      </w:r>
    </w:p>
    <w:p w14:paraId="2060DCB8" w14:textId="77777777" w:rsidR="00040F4A" w:rsidRPr="00505647" w:rsidRDefault="0046182F" w:rsidP="00040F4A">
      <w:pPr>
        <w:pStyle w:val="Paragraphe"/>
        <w:numPr>
          <w:ilvl w:val="0"/>
          <w:numId w:val="23"/>
        </w:numPr>
        <w:autoSpaceDE w:val="0"/>
        <w:autoSpaceDN w:val="0"/>
        <w:adjustRightInd w:val="0"/>
        <w:spacing w:after="0"/>
        <w:rPr>
          <w:rFonts w:cs="Arial"/>
          <w:szCs w:val="24"/>
        </w:rPr>
      </w:pPr>
      <w:r w:rsidRPr="00505647">
        <w:rPr>
          <w:rFonts w:cs="Arial"/>
        </w:rPr>
        <w:t xml:space="preserve">Did the respondents act as a securities and derivatives dealer in contravention of section 148 of the </w:t>
      </w:r>
      <w:r w:rsidRPr="00505647">
        <w:rPr>
          <w:rFonts w:cs="Arial"/>
          <w:i/>
          <w:iCs/>
        </w:rPr>
        <w:t>Securities Act</w:t>
      </w:r>
      <w:r w:rsidRPr="00505647">
        <w:rPr>
          <w:rFonts w:cs="Arial"/>
        </w:rPr>
        <w:t xml:space="preserve"> and section 54 of the </w:t>
      </w:r>
      <w:r w:rsidRPr="00505647">
        <w:rPr>
          <w:rFonts w:cs="Arial"/>
          <w:i/>
          <w:iCs/>
        </w:rPr>
        <w:t xml:space="preserve">Derivatives Act </w:t>
      </w:r>
      <w:r w:rsidRPr="00505647">
        <w:rPr>
          <w:rFonts w:cs="Arial"/>
        </w:rPr>
        <w:t>by not being registered with the Authority?</w:t>
      </w:r>
    </w:p>
    <w:p w14:paraId="3F0049B3" w14:textId="77777777" w:rsidR="00040F4A" w:rsidRPr="00505647" w:rsidRDefault="0046182F" w:rsidP="00040F4A">
      <w:pPr>
        <w:pStyle w:val="Paragraphe"/>
        <w:numPr>
          <w:ilvl w:val="0"/>
          <w:numId w:val="23"/>
        </w:numPr>
        <w:autoSpaceDE w:val="0"/>
        <w:autoSpaceDN w:val="0"/>
        <w:adjustRightInd w:val="0"/>
        <w:spacing w:after="0"/>
        <w:rPr>
          <w:rFonts w:cs="Arial"/>
          <w:szCs w:val="24"/>
        </w:rPr>
      </w:pPr>
      <w:bookmarkStart w:id="4" w:name="_Hlk141854463"/>
      <w:r w:rsidRPr="00505647">
        <w:rPr>
          <w:rFonts w:cs="Arial"/>
        </w:rPr>
        <w:t>If applicable, what administrative measures and administrative penalty must the Tribunal impose on the respondents?</w:t>
      </w:r>
    </w:p>
    <w:bookmarkEnd w:id="4"/>
    <w:p w14:paraId="09181D1D" w14:textId="44584E0B" w:rsidR="00040F4A" w:rsidRPr="00505647" w:rsidRDefault="0046182F" w:rsidP="00040F4A">
      <w:pPr>
        <w:pStyle w:val="Paragraphe"/>
        <w:autoSpaceDE w:val="0"/>
        <w:autoSpaceDN w:val="0"/>
        <w:adjustRightInd w:val="0"/>
        <w:spacing w:after="0"/>
        <w:rPr>
          <w:rFonts w:cs="Arial"/>
          <w:szCs w:val="24"/>
        </w:rPr>
      </w:pPr>
      <w:r w:rsidRPr="00505647">
        <w:rPr>
          <w:rFonts w:cs="Arial"/>
          <w:szCs w:val="24"/>
        </w:rPr>
        <w:t>Upon completing its analysis, the Tribunal replies in the affirmative to the first five (5) questions and decides, in the public interest, to make the orders sought by the Authority in its amended application.</w:t>
      </w:r>
    </w:p>
    <w:p w14:paraId="7D21A724" w14:textId="77777777" w:rsidR="00040F4A" w:rsidRPr="00505647" w:rsidRDefault="0046182F" w:rsidP="009D2548">
      <w:pPr>
        <w:pStyle w:val="Titre1"/>
        <w:rPr>
          <w:rFonts w:cs="Arial"/>
        </w:rPr>
      </w:pPr>
      <w:r w:rsidRPr="00505647">
        <w:rPr>
          <w:rFonts w:cs="Arial"/>
          <w:bCs/>
        </w:rPr>
        <w:t>ANALYSIS</w:t>
      </w:r>
    </w:p>
    <w:p w14:paraId="0F160678" w14:textId="1CF0C3D5" w:rsidR="00040F4A" w:rsidRPr="00505647" w:rsidRDefault="0046182F" w:rsidP="00665BB8">
      <w:pPr>
        <w:pStyle w:val="Titre2"/>
        <w:rPr>
          <w:rFonts w:cs="Arial"/>
        </w:rPr>
      </w:pPr>
      <w:r w:rsidRPr="00505647">
        <w:rPr>
          <w:rFonts w:cs="Arial"/>
          <w:bCs/>
        </w:rPr>
        <w:t xml:space="preserve">Question 1: Are the products and services offered to the public by the respondents through the XT.com website investment contracts subject to the </w:t>
      </w:r>
      <w:r w:rsidRPr="007F1EBF">
        <w:rPr>
          <w:rFonts w:cs="Arial"/>
          <w:bCs/>
        </w:rPr>
        <w:t>scheme</w:t>
      </w:r>
      <w:r w:rsidRPr="00505647">
        <w:rPr>
          <w:rFonts w:cs="Arial"/>
          <w:bCs/>
        </w:rPr>
        <w:t xml:space="preserve"> of securities regulation set out in the </w:t>
      </w:r>
      <w:r w:rsidRPr="00505647">
        <w:rPr>
          <w:rFonts w:cs="Arial"/>
          <w:bCs/>
          <w:i/>
          <w:iCs/>
        </w:rPr>
        <w:t>Securities Act</w:t>
      </w:r>
      <w:r w:rsidRPr="00505647">
        <w:rPr>
          <w:rFonts w:cs="Arial"/>
          <w:bCs/>
        </w:rPr>
        <w:t>?</w:t>
      </w:r>
    </w:p>
    <w:p w14:paraId="5B02DCC5" w14:textId="1848930B" w:rsidR="00040F4A" w:rsidRPr="00505647" w:rsidRDefault="0046182F" w:rsidP="00040F4A">
      <w:pPr>
        <w:pStyle w:val="Paragraphe"/>
        <w:rPr>
          <w:rFonts w:cs="Arial"/>
        </w:rPr>
      </w:pPr>
      <w:r w:rsidRPr="00505647">
        <w:rPr>
          <w:rFonts w:cs="Arial"/>
        </w:rPr>
        <w:t xml:space="preserve">The Tribunal replies in the affirmative to this question. It considers that it has been shown by a preponderance of evidence that some of the products and services offered to the public by the respondents through the XT.com website constitute investment contracts subject to the </w:t>
      </w:r>
      <w:r w:rsidRPr="007F1EBF">
        <w:rPr>
          <w:rFonts w:cs="Arial"/>
        </w:rPr>
        <w:t>scheme</w:t>
      </w:r>
      <w:r w:rsidRPr="00505647">
        <w:rPr>
          <w:rFonts w:cs="Arial"/>
        </w:rPr>
        <w:t xml:space="preserve"> of securities regulation set out in the </w:t>
      </w:r>
      <w:r w:rsidRPr="00505647">
        <w:rPr>
          <w:rFonts w:cs="Arial"/>
          <w:i/>
          <w:iCs/>
        </w:rPr>
        <w:t>Securities Act</w:t>
      </w:r>
      <w:r w:rsidRPr="00505647">
        <w:rPr>
          <w:rFonts w:cs="Arial"/>
        </w:rPr>
        <w:t>.</w:t>
      </w:r>
    </w:p>
    <w:p w14:paraId="17DC4DBB" w14:textId="784784A1" w:rsidR="00040F4A" w:rsidRPr="00505647" w:rsidRDefault="0046182F" w:rsidP="00040F4A">
      <w:pPr>
        <w:pStyle w:val="Paragraphe"/>
        <w:rPr>
          <w:rFonts w:cs="Arial"/>
        </w:rPr>
      </w:pPr>
      <w:r w:rsidRPr="00505647">
        <w:rPr>
          <w:rFonts w:cs="Arial"/>
          <w:color w:val="000000"/>
        </w:rPr>
        <w:lastRenderedPageBreak/>
        <w:t xml:space="preserve">The </w:t>
      </w:r>
      <w:r w:rsidRPr="00505647">
        <w:rPr>
          <w:rFonts w:cs="Arial"/>
          <w:i/>
          <w:iCs/>
          <w:color w:val="000000"/>
        </w:rPr>
        <w:t>Securities Act</w:t>
      </w:r>
      <w:r w:rsidRPr="00505647">
        <w:rPr>
          <w:rFonts w:cs="Arial"/>
          <w:color w:val="000000"/>
        </w:rPr>
        <w:t xml:space="preserve"> is a law of public order whose objective is to protect the public.</w:t>
      </w:r>
      <w:r w:rsidRPr="00505647">
        <w:rPr>
          <w:rStyle w:val="Appelnotedebasdep"/>
          <w:rFonts w:cs="Arial"/>
          <w:color w:val="000000"/>
        </w:rPr>
        <w:footnoteReference w:id="30"/>
      </w:r>
    </w:p>
    <w:p w14:paraId="799EC271" w14:textId="77777777" w:rsidR="00040F4A" w:rsidRPr="00505647" w:rsidRDefault="0046182F" w:rsidP="00040F4A">
      <w:pPr>
        <w:pStyle w:val="Paragraphe"/>
        <w:rPr>
          <w:rFonts w:cs="Arial"/>
        </w:rPr>
      </w:pPr>
      <w:r w:rsidRPr="00505647">
        <w:rPr>
          <w:rFonts w:cs="Arial"/>
          <w:color w:val="000000"/>
        </w:rPr>
        <w:t xml:space="preserve">To ensure this protection, case law has established that the </w:t>
      </w:r>
      <w:r w:rsidRPr="00505647">
        <w:rPr>
          <w:rFonts w:cs="Arial"/>
          <w:i/>
          <w:iCs/>
          <w:color w:val="000000"/>
        </w:rPr>
        <w:t>Securities Act</w:t>
      </w:r>
      <w:r w:rsidRPr="00505647">
        <w:rPr>
          <w:rFonts w:cs="Arial"/>
          <w:color w:val="000000"/>
        </w:rPr>
        <w:t xml:space="preserve"> must be given a broad interpretation.</w:t>
      </w:r>
      <w:r w:rsidRPr="00505647">
        <w:rPr>
          <w:rStyle w:val="Appelnotedebasdep"/>
          <w:rFonts w:cs="Arial"/>
          <w:color w:val="000000"/>
        </w:rPr>
        <w:footnoteReference w:id="31"/>
      </w:r>
    </w:p>
    <w:p w14:paraId="5A965C24" w14:textId="74DF774B" w:rsidR="00040F4A" w:rsidRPr="00505647" w:rsidRDefault="0046182F" w:rsidP="00040F4A">
      <w:pPr>
        <w:pStyle w:val="Paragraphe"/>
        <w:rPr>
          <w:rFonts w:cs="Arial"/>
        </w:rPr>
      </w:pPr>
      <w:r w:rsidRPr="00505647">
        <w:rPr>
          <w:rFonts w:cs="Arial"/>
        </w:rPr>
        <w:t xml:space="preserve">The </w:t>
      </w:r>
      <w:r w:rsidRPr="00505647">
        <w:rPr>
          <w:rFonts w:cs="Arial"/>
          <w:i/>
          <w:iCs/>
        </w:rPr>
        <w:t>Securities Act</w:t>
      </w:r>
      <w:r w:rsidRPr="00505647">
        <w:rPr>
          <w:rFonts w:cs="Arial"/>
        </w:rPr>
        <w:t xml:space="preserve"> applies to every form of investment described in its section 1, including the investment contract provided for in paragraph 7 of that section, defined as follows:</w:t>
      </w:r>
    </w:p>
    <w:p w14:paraId="5559AAEB" w14:textId="77777777" w:rsidR="00040F4A" w:rsidRPr="00505647" w:rsidRDefault="0046182F" w:rsidP="00040F4A">
      <w:pPr>
        <w:pStyle w:val="Citationendoubleretrait"/>
        <w:rPr>
          <w:rFonts w:cs="Arial"/>
        </w:rPr>
      </w:pPr>
      <w:r w:rsidRPr="00505647">
        <w:rPr>
          <w:rFonts w:cs="Arial"/>
        </w:rPr>
        <w:t>“An investment contract is a contract whereby a person, having been led to expect profits, undertakes to participate in the risk of a venture by a contribution of capital or loan, without having the required knowledge to carry on the venture or without obtaining the right to participate directly in decisions concerning the carrying on of the venture.”</w:t>
      </w:r>
    </w:p>
    <w:p w14:paraId="6BFECB0A" w14:textId="77777777" w:rsidR="00040F4A" w:rsidRPr="00505647" w:rsidRDefault="0046182F" w:rsidP="00040F4A">
      <w:pPr>
        <w:pStyle w:val="Paragraphe"/>
        <w:rPr>
          <w:rFonts w:cs="Arial"/>
        </w:rPr>
      </w:pPr>
      <w:r w:rsidRPr="00505647">
        <w:rPr>
          <w:rFonts w:cs="Arial"/>
        </w:rPr>
        <w:t xml:space="preserve">According to section 2 of the </w:t>
      </w:r>
      <w:r w:rsidRPr="00505647">
        <w:rPr>
          <w:rFonts w:cs="Arial"/>
          <w:i/>
          <w:iCs/>
        </w:rPr>
        <w:t>Securities Act</w:t>
      </w:r>
      <w:r w:rsidRPr="00505647">
        <w:rPr>
          <w:rFonts w:cs="Arial"/>
        </w:rPr>
        <w:t>,</w:t>
      </w:r>
      <w:r w:rsidRPr="00505647">
        <w:rPr>
          <w:rStyle w:val="Appelnotedebasdep"/>
          <w:rFonts w:cs="Arial"/>
        </w:rPr>
        <w:footnoteReference w:id="32"/>
      </w:r>
      <w:r w:rsidRPr="00505647">
        <w:rPr>
          <w:rFonts w:cs="Arial"/>
        </w:rPr>
        <w:t xml:space="preserve"> the scheme of securities regulation applies to the other forms of investment listed in section 1, including the investment contract. This section provides that everything must be done with the necessary modifications. </w:t>
      </w:r>
    </w:p>
    <w:p w14:paraId="28C03E63" w14:textId="12061910" w:rsidR="00040F4A" w:rsidRPr="00505647" w:rsidRDefault="0046182F" w:rsidP="00040F4A">
      <w:pPr>
        <w:pStyle w:val="Paragraphe"/>
        <w:rPr>
          <w:rFonts w:cs="Arial"/>
        </w:rPr>
      </w:pPr>
      <w:r w:rsidRPr="00505647">
        <w:rPr>
          <w:rFonts w:cs="Arial"/>
        </w:rPr>
        <w:t xml:space="preserve">Therefore, the term “securities” must include investment contracts for the purposes of the </w:t>
      </w:r>
      <w:r w:rsidRPr="00505647">
        <w:rPr>
          <w:rFonts w:cs="Arial"/>
          <w:i/>
          <w:iCs/>
        </w:rPr>
        <w:t>Securities Act</w:t>
      </w:r>
      <w:r w:rsidRPr="00505647">
        <w:rPr>
          <w:rFonts w:cs="Arial"/>
        </w:rPr>
        <w:t xml:space="preserve">. </w:t>
      </w:r>
    </w:p>
    <w:p w14:paraId="72262A43" w14:textId="77777777" w:rsidR="00040F4A" w:rsidRPr="00505647" w:rsidRDefault="0046182F" w:rsidP="00040F4A">
      <w:pPr>
        <w:pStyle w:val="Paragraphe"/>
        <w:rPr>
          <w:rFonts w:cs="Arial"/>
        </w:rPr>
      </w:pPr>
      <w:r w:rsidRPr="00505647">
        <w:rPr>
          <w:rFonts w:cs="Arial"/>
        </w:rPr>
        <w:t>The</w:t>
      </w:r>
      <w:r w:rsidRPr="00505647">
        <w:rPr>
          <w:rFonts w:cs="Arial"/>
          <w:color w:val="000000"/>
          <w:szCs w:val="24"/>
        </w:rPr>
        <w:t xml:space="preserve"> definition of an investment contract was incorporated into the </w:t>
      </w:r>
      <w:r w:rsidRPr="00505647">
        <w:rPr>
          <w:rFonts w:cs="Arial"/>
          <w:i/>
          <w:iCs/>
          <w:color w:val="000000"/>
          <w:szCs w:val="24"/>
        </w:rPr>
        <w:t>Securities Act</w:t>
      </w:r>
      <w:r w:rsidRPr="00505647">
        <w:rPr>
          <w:rFonts w:cs="Arial"/>
          <w:color w:val="000000"/>
          <w:szCs w:val="24"/>
        </w:rPr>
        <w:t xml:space="preserve"> in 1982 and has remained unchanged since.</w:t>
      </w:r>
    </w:p>
    <w:p w14:paraId="3D30456D" w14:textId="77777777" w:rsidR="00040F4A" w:rsidRPr="00505647" w:rsidRDefault="0046182F" w:rsidP="00040F4A">
      <w:pPr>
        <w:pStyle w:val="Paragraphe"/>
        <w:rPr>
          <w:rFonts w:cs="Arial"/>
        </w:rPr>
      </w:pPr>
      <w:r w:rsidRPr="00505647">
        <w:rPr>
          <w:rFonts w:cs="Arial"/>
          <w:color w:val="000000"/>
          <w:szCs w:val="24"/>
        </w:rPr>
        <w:t xml:space="preserve">In </w:t>
      </w:r>
      <w:r w:rsidRPr="00505647">
        <w:rPr>
          <w:rFonts w:cs="Arial"/>
          <w:i/>
          <w:iCs/>
          <w:color w:val="000000"/>
          <w:szCs w:val="24"/>
        </w:rPr>
        <w:t>Pacific Coast</w:t>
      </w:r>
      <w:r w:rsidRPr="00505647">
        <w:rPr>
          <w:rFonts w:cs="Arial"/>
          <w:color w:val="000000"/>
          <w:szCs w:val="24"/>
        </w:rPr>
        <w:t>,</w:t>
      </w:r>
      <w:r w:rsidRPr="00505647">
        <w:rPr>
          <w:rStyle w:val="Appelnotedebasdep"/>
          <w:rFonts w:cs="Arial"/>
          <w:color w:val="000000"/>
          <w:szCs w:val="24"/>
        </w:rPr>
        <w:footnoteReference w:id="33"/>
      </w:r>
      <w:r w:rsidRPr="00505647">
        <w:rPr>
          <w:rFonts w:cs="Arial"/>
          <w:color w:val="000000"/>
          <w:szCs w:val="24"/>
        </w:rPr>
        <w:t xml:space="preserve"> the Supreme Court of Canada sets out criteria for determining whether something is an investment contract. It is based on the test set out by the United States Supreme Court in </w:t>
      </w:r>
      <w:r w:rsidRPr="00505647">
        <w:rPr>
          <w:rFonts w:cs="Arial"/>
          <w:i/>
          <w:iCs/>
          <w:color w:val="000000"/>
          <w:szCs w:val="24"/>
        </w:rPr>
        <w:t>Howey</w:t>
      </w:r>
      <w:r w:rsidRPr="00505647">
        <w:rPr>
          <w:rFonts w:cs="Arial"/>
          <w:color w:val="000000"/>
          <w:szCs w:val="24"/>
        </w:rPr>
        <w:t>:</w:t>
      </w:r>
      <w:r w:rsidRPr="00505647">
        <w:rPr>
          <w:rStyle w:val="Appelnotedebasdep"/>
          <w:rFonts w:cs="Arial"/>
          <w:color w:val="000000"/>
          <w:szCs w:val="24"/>
        </w:rPr>
        <w:footnoteReference w:id="34"/>
      </w:r>
    </w:p>
    <w:p w14:paraId="7FE42E73" w14:textId="77777777" w:rsidR="00040F4A" w:rsidRPr="00505647" w:rsidRDefault="0046182F" w:rsidP="00040F4A">
      <w:pPr>
        <w:spacing w:before="120" w:after="120"/>
        <w:ind w:left="992" w:right="992"/>
        <w:jc w:val="both"/>
        <w:rPr>
          <w:rFonts w:cs="Arial"/>
          <w:color w:val="000000"/>
          <w:sz w:val="22"/>
          <w:szCs w:val="22"/>
        </w:rPr>
      </w:pPr>
      <w:r w:rsidRPr="00505647">
        <w:rPr>
          <w:rFonts w:cs="Arial"/>
          <w:color w:val="000000"/>
          <w:sz w:val="22"/>
          <w:szCs w:val="22"/>
        </w:rPr>
        <w:t>“The Supreme Court of the United States in SEC v. W.J. Howey Co., 328 U.S. 293 (1946), with the foregoing in mind laid down the test:</w:t>
      </w:r>
    </w:p>
    <w:p w14:paraId="6FD6F965" w14:textId="77777777" w:rsidR="00040F4A" w:rsidRPr="00505647" w:rsidRDefault="0046182F" w:rsidP="00040F4A">
      <w:pPr>
        <w:spacing w:before="120" w:after="120"/>
        <w:ind w:left="992" w:right="992"/>
        <w:jc w:val="both"/>
        <w:rPr>
          <w:rFonts w:cs="Arial"/>
          <w:color w:val="000000"/>
          <w:sz w:val="22"/>
          <w:szCs w:val="22"/>
        </w:rPr>
      </w:pPr>
      <w:r w:rsidRPr="00505647">
        <w:rPr>
          <w:rFonts w:cs="Arial"/>
          <w:color w:val="000000"/>
          <w:sz w:val="22"/>
          <w:szCs w:val="22"/>
        </w:rPr>
        <w:t>“Does the scheme involve ‘an investment of money in a common enterprise, with profits to come solely from the efforts of others?”</w:t>
      </w:r>
    </w:p>
    <w:p w14:paraId="252A8F34" w14:textId="77777777" w:rsidR="00040F4A" w:rsidRPr="00505647" w:rsidRDefault="0046182F" w:rsidP="00040F4A">
      <w:pPr>
        <w:spacing w:before="120" w:after="120"/>
        <w:ind w:left="992" w:right="992"/>
        <w:jc w:val="both"/>
        <w:rPr>
          <w:rFonts w:cs="Arial"/>
          <w:color w:val="000000"/>
          <w:sz w:val="22"/>
          <w:szCs w:val="22"/>
        </w:rPr>
      </w:pPr>
      <w:r w:rsidRPr="00505647">
        <w:rPr>
          <w:rFonts w:cs="Arial"/>
          <w:color w:val="000000"/>
          <w:sz w:val="23"/>
          <w:szCs w:val="23"/>
        </w:rPr>
        <w:t>. . .</w:t>
      </w:r>
    </w:p>
    <w:p w14:paraId="6CC48CF0" w14:textId="5EC73B83" w:rsidR="00040F4A" w:rsidRPr="00505647" w:rsidRDefault="0046182F" w:rsidP="00040F4A">
      <w:pPr>
        <w:spacing w:before="120" w:after="120"/>
        <w:ind w:left="992" w:right="992"/>
        <w:jc w:val="both"/>
        <w:rPr>
          <w:rFonts w:cs="Arial"/>
          <w:color w:val="000000"/>
          <w:sz w:val="22"/>
          <w:szCs w:val="22"/>
        </w:rPr>
      </w:pPr>
      <w:r w:rsidRPr="00505647">
        <w:rPr>
          <w:rFonts w:cs="Arial"/>
          <w:color w:val="000000"/>
          <w:sz w:val="22"/>
          <w:szCs w:val="22"/>
        </w:rPr>
        <w:t xml:space="preserve">“The word ‘solely’ in that test has been criticized and toned down by many jurisdictions in the United States. It is sufficient to refer to </w:t>
      </w:r>
      <w:r w:rsidRPr="00505647">
        <w:rPr>
          <w:rFonts w:cs="Arial"/>
          <w:i/>
          <w:iCs/>
          <w:color w:val="000000"/>
          <w:sz w:val="22"/>
          <w:szCs w:val="22"/>
        </w:rPr>
        <w:t>SEC v. Koscot Interplanetary, Inc.</w:t>
      </w:r>
      <w:r w:rsidRPr="00505647">
        <w:rPr>
          <w:rFonts w:cs="Arial"/>
          <w:color w:val="000000"/>
          <w:sz w:val="22"/>
          <w:szCs w:val="22"/>
        </w:rPr>
        <w:t xml:space="preserve">, and to </w:t>
      </w:r>
      <w:r w:rsidRPr="00505647">
        <w:rPr>
          <w:rFonts w:cs="Arial"/>
          <w:i/>
          <w:iCs/>
          <w:color w:val="000000"/>
          <w:sz w:val="22"/>
          <w:szCs w:val="22"/>
        </w:rPr>
        <w:t>SEC v. Glen W. Turner Enterprises, Inc</w:t>
      </w:r>
      <w:r w:rsidRPr="00505647">
        <w:rPr>
          <w:rFonts w:cs="Arial"/>
          <w:color w:val="000000"/>
          <w:sz w:val="22"/>
          <w:szCs w:val="22"/>
        </w:rPr>
        <w:t xml:space="preserve">. As mentioned in the </w:t>
      </w:r>
      <w:r w:rsidRPr="00505647">
        <w:rPr>
          <w:rFonts w:cs="Arial"/>
          <w:i/>
          <w:iCs/>
          <w:color w:val="000000"/>
          <w:sz w:val="22"/>
          <w:szCs w:val="22"/>
        </w:rPr>
        <w:t xml:space="preserve">Turner </w:t>
      </w:r>
      <w:r w:rsidRPr="00505647">
        <w:rPr>
          <w:rFonts w:cs="Arial"/>
          <w:color w:val="000000"/>
          <w:sz w:val="22"/>
          <w:szCs w:val="22"/>
        </w:rPr>
        <w:t>case, to give a strict interpretation to the word “solely</w:t>
      </w:r>
      <w:r w:rsidR="00B11BF6" w:rsidRPr="00505647">
        <w:rPr>
          <w:rFonts w:cs="Arial"/>
          <w:color w:val="000000"/>
          <w:sz w:val="22"/>
          <w:szCs w:val="22"/>
        </w:rPr>
        <w:t>”</w:t>
      </w:r>
      <w:r w:rsidRPr="00505647">
        <w:rPr>
          <w:rFonts w:cs="Arial"/>
          <w:color w:val="000000"/>
          <w:sz w:val="22"/>
          <w:szCs w:val="22"/>
        </w:rPr>
        <w:t xml:space="preserve"> (at p. 482) “would not serve the purpose of the legislation. Rather we adopt a more realistic test, whether the efforts made by those other than the </w:t>
      </w:r>
      <w:r w:rsidRPr="00505647">
        <w:rPr>
          <w:rFonts w:cs="Arial"/>
          <w:color w:val="000000"/>
          <w:sz w:val="22"/>
          <w:szCs w:val="22"/>
        </w:rPr>
        <w:lastRenderedPageBreak/>
        <w:t xml:space="preserve">investor are the undeniably significant ones, those essential managerial efforts which affect the failure or success of the enterprise”. In the same case of </w:t>
      </w:r>
      <w:r w:rsidRPr="00505647">
        <w:rPr>
          <w:rFonts w:cs="Arial"/>
          <w:i/>
          <w:iCs/>
          <w:color w:val="000000"/>
          <w:sz w:val="22"/>
          <w:szCs w:val="22"/>
        </w:rPr>
        <w:t>Turner</w:t>
      </w:r>
      <w:r w:rsidRPr="00505647">
        <w:rPr>
          <w:rFonts w:cs="Arial"/>
          <w:color w:val="000000"/>
          <w:sz w:val="22"/>
          <w:szCs w:val="22"/>
        </w:rPr>
        <w:t>, the expression “common enterprise</w:t>
      </w:r>
      <w:r w:rsidR="00C07E41" w:rsidRPr="00505647">
        <w:rPr>
          <w:rFonts w:cs="Arial"/>
          <w:color w:val="000000"/>
          <w:sz w:val="22"/>
          <w:szCs w:val="22"/>
        </w:rPr>
        <w:t>”</w:t>
      </w:r>
      <w:r w:rsidRPr="00505647">
        <w:rPr>
          <w:rFonts w:cs="Arial"/>
          <w:color w:val="000000"/>
          <w:sz w:val="22"/>
          <w:szCs w:val="22"/>
        </w:rPr>
        <w:t xml:space="preserve"> has been defined to mean (p. 482) “one in which the fortunes of the investor are interwoven with and dependent upon the efforts and success of those seeking the investment or of third parties.</w:t>
      </w:r>
      <w:r w:rsidR="00B11BF6" w:rsidRPr="00505647">
        <w:rPr>
          <w:rFonts w:cs="Arial"/>
          <w:color w:val="000000"/>
          <w:sz w:val="22"/>
          <w:szCs w:val="22"/>
        </w:rPr>
        <w:t>”</w:t>
      </w:r>
      <w:r w:rsidRPr="00505647">
        <w:rPr>
          <w:rFonts w:cs="Arial"/>
          <w:color w:val="000000"/>
          <w:sz w:val="22"/>
          <w:szCs w:val="22"/>
        </w:rPr>
        <w:t xml:space="preserve"> These refinements of the test, I accept.”</w:t>
      </w:r>
    </w:p>
    <w:p w14:paraId="4B5FC53A" w14:textId="77777777" w:rsidR="00040F4A" w:rsidRPr="00505647" w:rsidRDefault="0046182F" w:rsidP="00040F4A">
      <w:pPr>
        <w:pStyle w:val="Paragraphe"/>
        <w:rPr>
          <w:rFonts w:cs="Arial"/>
        </w:rPr>
      </w:pPr>
      <w:r w:rsidRPr="00505647">
        <w:rPr>
          <w:rFonts w:cs="Arial"/>
        </w:rPr>
        <w:t xml:space="preserve">The concept of an investment contract must be interpreted according to these criteria established by the Supreme Court of Canada. </w:t>
      </w:r>
    </w:p>
    <w:p w14:paraId="341E2D98" w14:textId="1FEC42E3" w:rsidR="00040F4A" w:rsidRPr="00505647" w:rsidRDefault="0046182F" w:rsidP="00040F4A">
      <w:pPr>
        <w:pStyle w:val="Paragraphe"/>
        <w:rPr>
          <w:rFonts w:cs="Arial"/>
        </w:rPr>
      </w:pPr>
      <w:r w:rsidRPr="00505647">
        <w:rPr>
          <w:rFonts w:cs="Arial"/>
        </w:rPr>
        <w:t>In this case, the Authority conducted cyber investigations and conducted undercover operations on the XT.com website using Québec IP addresses.</w:t>
      </w:r>
    </w:p>
    <w:p w14:paraId="04C7ECCD" w14:textId="76521047" w:rsidR="00040F4A" w:rsidRPr="00505647" w:rsidRDefault="0046182F" w:rsidP="00040F4A">
      <w:pPr>
        <w:pStyle w:val="Paragraphe"/>
        <w:rPr>
          <w:rFonts w:cs="Arial"/>
        </w:rPr>
      </w:pPr>
      <w:r w:rsidRPr="00505647">
        <w:rPr>
          <w:rFonts w:cs="Arial"/>
        </w:rPr>
        <w:t>According to the results of the Authority’s investigations, the respondents offer products and services to the public through the XT.com website, including the following:</w:t>
      </w:r>
    </w:p>
    <w:p w14:paraId="04D41A04" w14:textId="77777777" w:rsidR="00040F4A" w:rsidRPr="00505647" w:rsidRDefault="0046182F" w:rsidP="00040F4A">
      <w:pPr>
        <w:pStyle w:val="Paragraphe"/>
        <w:numPr>
          <w:ilvl w:val="0"/>
          <w:numId w:val="24"/>
        </w:numPr>
        <w:rPr>
          <w:rFonts w:cs="Arial"/>
        </w:rPr>
      </w:pPr>
      <w:r w:rsidRPr="00505647">
        <w:rPr>
          <w:rFonts w:cs="Arial"/>
        </w:rPr>
        <w:t xml:space="preserve">crypto asset </w:t>
      </w:r>
      <w:proofErr w:type="gramStart"/>
      <w:r w:rsidRPr="00505647">
        <w:rPr>
          <w:rFonts w:cs="Arial"/>
        </w:rPr>
        <w:t>contracts;</w:t>
      </w:r>
      <w:proofErr w:type="gramEnd"/>
    </w:p>
    <w:p w14:paraId="57F6BF01" w14:textId="77777777" w:rsidR="00040F4A" w:rsidRPr="00505647" w:rsidRDefault="0046182F" w:rsidP="00040F4A">
      <w:pPr>
        <w:pStyle w:val="Paragraphe"/>
        <w:numPr>
          <w:ilvl w:val="0"/>
          <w:numId w:val="24"/>
        </w:numPr>
        <w:rPr>
          <w:rFonts w:cs="Arial"/>
        </w:rPr>
      </w:pPr>
      <w:r w:rsidRPr="00505647">
        <w:rPr>
          <w:rFonts w:cs="Arial"/>
        </w:rPr>
        <w:t xml:space="preserve">non-fungible token (or “NFT”) </w:t>
      </w:r>
      <w:proofErr w:type="gramStart"/>
      <w:r w:rsidRPr="00505647">
        <w:rPr>
          <w:rFonts w:cs="Arial"/>
        </w:rPr>
        <w:t>contracts;</w:t>
      </w:r>
      <w:proofErr w:type="gramEnd"/>
    </w:p>
    <w:p w14:paraId="300A6201" w14:textId="77777777" w:rsidR="00040F4A" w:rsidRPr="00505647" w:rsidRDefault="0046182F" w:rsidP="00040F4A">
      <w:pPr>
        <w:pStyle w:val="Paragraphe"/>
        <w:numPr>
          <w:ilvl w:val="0"/>
          <w:numId w:val="24"/>
        </w:numPr>
        <w:rPr>
          <w:rFonts w:cs="Arial"/>
        </w:rPr>
      </w:pPr>
      <w:r w:rsidRPr="00505647">
        <w:rPr>
          <w:rFonts w:cs="Arial"/>
        </w:rPr>
        <w:t>performance programs (or “Savings”); and</w:t>
      </w:r>
    </w:p>
    <w:p w14:paraId="195E95A2" w14:textId="77777777" w:rsidR="00040F4A" w:rsidRPr="00505647" w:rsidRDefault="0046182F" w:rsidP="00040F4A">
      <w:pPr>
        <w:pStyle w:val="Paragraphe"/>
        <w:numPr>
          <w:ilvl w:val="0"/>
          <w:numId w:val="24"/>
        </w:numPr>
        <w:rPr>
          <w:rFonts w:cs="Arial"/>
        </w:rPr>
      </w:pPr>
      <w:r w:rsidRPr="00505647">
        <w:rPr>
          <w:rFonts w:cs="Arial"/>
        </w:rPr>
        <w:t>investment programs linked to proof-of-stake (or “Staking”) mechanisms.</w:t>
      </w:r>
    </w:p>
    <w:p w14:paraId="5C9F3673" w14:textId="3FB1EB18" w:rsidR="00040F4A" w:rsidRPr="00505647" w:rsidRDefault="0046182F" w:rsidP="00040F4A">
      <w:pPr>
        <w:pStyle w:val="Paragraphe"/>
        <w:rPr>
          <w:rFonts w:cs="Arial"/>
        </w:rPr>
      </w:pPr>
      <w:proofErr w:type="gramStart"/>
      <w:r w:rsidRPr="00505647">
        <w:rPr>
          <w:rFonts w:cs="Arial"/>
        </w:rPr>
        <w:t>In order to</w:t>
      </w:r>
      <w:proofErr w:type="gramEnd"/>
      <w:r w:rsidRPr="00505647">
        <w:rPr>
          <w:rFonts w:cs="Arial"/>
        </w:rPr>
        <w:t xml:space="preserve"> determine whether these products and services constitute investment contracts, the Tribunal will consider each of the criteria in the definition of an investment contract based on the evidence presented by the Authority.</w:t>
      </w:r>
    </w:p>
    <w:p w14:paraId="62F8C85F" w14:textId="2794C4E6" w:rsidR="00040F4A" w:rsidRPr="00505647" w:rsidRDefault="0046182F" w:rsidP="004A1B9B">
      <w:pPr>
        <w:pStyle w:val="Titre3"/>
        <w:rPr>
          <w:rFonts w:cs="Arial"/>
        </w:rPr>
      </w:pPr>
      <w:r w:rsidRPr="00505647">
        <w:rPr>
          <w:rFonts w:cs="Arial"/>
          <w:b w:val="0"/>
          <w:bCs w:val="0"/>
          <w:iCs w:val="0"/>
        </w:rPr>
        <w:tab/>
      </w:r>
      <w:r w:rsidRPr="00505647">
        <w:rPr>
          <w:rFonts w:cs="Arial"/>
          <w:iCs w:val="0"/>
        </w:rPr>
        <w:t>Analysis of the criteria for defining an investment contract</w:t>
      </w:r>
    </w:p>
    <w:p w14:paraId="7D2BC23E" w14:textId="77777777" w:rsidR="00040F4A" w:rsidRPr="00505647" w:rsidRDefault="0046182F" w:rsidP="00661358">
      <w:pPr>
        <w:pStyle w:val="Titre4"/>
        <w:rPr>
          <w:rFonts w:cs="Arial"/>
        </w:rPr>
      </w:pPr>
      <w:r w:rsidRPr="00505647">
        <w:rPr>
          <w:rFonts w:cs="Arial"/>
        </w:rPr>
        <w:t xml:space="preserve">“a contract whereby a person </w:t>
      </w:r>
      <w:proofErr w:type="gramStart"/>
      <w:r w:rsidRPr="00505647">
        <w:rPr>
          <w:rFonts w:cs="Arial"/>
        </w:rPr>
        <w:t>undertakes</w:t>
      </w:r>
      <w:proofErr w:type="gramEnd"/>
      <w:r w:rsidRPr="00505647">
        <w:rPr>
          <w:rFonts w:cs="Arial"/>
        </w:rPr>
        <w:t>”</w:t>
      </w:r>
    </w:p>
    <w:p w14:paraId="12C7CDA5" w14:textId="77777777" w:rsidR="00040F4A" w:rsidRPr="00505647" w:rsidRDefault="0046182F" w:rsidP="00040F4A">
      <w:pPr>
        <w:pStyle w:val="Paragraphe"/>
        <w:rPr>
          <w:rFonts w:cs="Arial"/>
        </w:rPr>
      </w:pPr>
      <w:r w:rsidRPr="00505647">
        <w:rPr>
          <w:rFonts w:cs="Arial"/>
        </w:rPr>
        <w:t xml:space="preserve">The first criterion of an investment contract requires a contractual commitment between an investor and the respondents, which can take various forms. </w:t>
      </w:r>
    </w:p>
    <w:p w14:paraId="1628F601" w14:textId="3ECE87C5" w:rsidR="00040F4A" w:rsidRPr="00505647" w:rsidRDefault="0046182F" w:rsidP="00040F4A">
      <w:pPr>
        <w:pStyle w:val="Paragraphe"/>
        <w:rPr>
          <w:rFonts w:cs="Arial"/>
        </w:rPr>
      </w:pPr>
      <w:r w:rsidRPr="00505647">
        <w:rPr>
          <w:rFonts w:cs="Arial"/>
        </w:rPr>
        <w:t>The respondents offer the public, through the XT.com website, the products and services listed above.</w:t>
      </w:r>
      <w:r w:rsidRPr="00505647">
        <w:rPr>
          <w:rStyle w:val="Appelnotedebasdep"/>
          <w:rFonts w:cs="Arial"/>
        </w:rPr>
        <w:footnoteReference w:id="35"/>
      </w:r>
    </w:p>
    <w:p w14:paraId="3C724DA5" w14:textId="77777777" w:rsidR="00040F4A" w:rsidRPr="00505647" w:rsidRDefault="0046182F" w:rsidP="00040F4A">
      <w:pPr>
        <w:pStyle w:val="Paragraphe"/>
        <w:rPr>
          <w:rFonts w:cs="Arial"/>
        </w:rPr>
      </w:pPr>
      <w:r w:rsidRPr="00505647">
        <w:rPr>
          <w:rFonts w:cs="Arial"/>
        </w:rPr>
        <w:t>In this case, the undertaking is:</w:t>
      </w:r>
    </w:p>
    <w:p w14:paraId="08197F26" w14:textId="1152627B" w:rsidR="00040F4A" w:rsidRPr="00505647" w:rsidRDefault="0046182F" w:rsidP="00040F4A">
      <w:pPr>
        <w:pStyle w:val="Paragraphe"/>
        <w:numPr>
          <w:ilvl w:val="0"/>
          <w:numId w:val="25"/>
        </w:numPr>
        <w:rPr>
          <w:rFonts w:cs="Arial"/>
        </w:rPr>
      </w:pPr>
      <w:r w:rsidRPr="00505647">
        <w:rPr>
          <w:rFonts w:cs="Arial"/>
        </w:rPr>
        <w:t xml:space="preserve">the creation of an account by the investor on the XT.com </w:t>
      </w:r>
      <w:proofErr w:type="gramStart"/>
      <w:r w:rsidRPr="00505647">
        <w:rPr>
          <w:rFonts w:cs="Arial"/>
        </w:rPr>
        <w:t>website;</w:t>
      </w:r>
      <w:proofErr w:type="gramEnd"/>
      <w:r w:rsidRPr="00505647">
        <w:rPr>
          <w:rFonts w:cs="Arial"/>
        </w:rPr>
        <w:t xml:space="preserve"> </w:t>
      </w:r>
    </w:p>
    <w:p w14:paraId="552F7DDD" w14:textId="66442E37" w:rsidR="00040F4A" w:rsidRPr="00505647" w:rsidRDefault="0046182F" w:rsidP="00040F4A">
      <w:pPr>
        <w:pStyle w:val="Paragraphe"/>
        <w:numPr>
          <w:ilvl w:val="0"/>
          <w:numId w:val="25"/>
        </w:numPr>
        <w:rPr>
          <w:rFonts w:cs="Arial"/>
        </w:rPr>
      </w:pPr>
      <w:r w:rsidRPr="00505647">
        <w:rPr>
          <w:rFonts w:cs="Arial"/>
        </w:rPr>
        <w:t>its acceptance (</w:t>
      </w:r>
      <w:proofErr w:type="spellStart"/>
      <w:r w:rsidRPr="00505647">
        <w:rPr>
          <w:rFonts w:cs="Arial"/>
        </w:rPr>
        <w:t>i</w:t>
      </w:r>
      <w:proofErr w:type="spellEnd"/>
      <w:r w:rsidRPr="00505647">
        <w:rPr>
          <w:rFonts w:cs="Arial"/>
        </w:rPr>
        <w:t>) of the terms contained and developed by the respondents in the document entitled “</w:t>
      </w:r>
      <w:bookmarkStart w:id="5" w:name="_Hlk143761826"/>
      <w:r w:rsidRPr="00505647">
        <w:rPr>
          <w:rFonts w:cs="Arial"/>
        </w:rPr>
        <w:t>User Agreement</w:t>
      </w:r>
      <w:bookmarkEnd w:id="5"/>
      <w:r w:rsidRPr="00505647">
        <w:rPr>
          <w:rFonts w:cs="Arial"/>
        </w:rPr>
        <w:t>”,</w:t>
      </w:r>
      <w:r w:rsidRPr="00505647">
        <w:rPr>
          <w:rStyle w:val="Appelnotedebasdep"/>
          <w:rFonts w:cs="Arial"/>
        </w:rPr>
        <w:footnoteReference w:id="36"/>
      </w:r>
      <w:r w:rsidRPr="00505647">
        <w:rPr>
          <w:rFonts w:cs="Arial"/>
        </w:rPr>
        <w:t xml:space="preserve"> (ii) of a privacy policy</w:t>
      </w:r>
      <w:r w:rsidRPr="00505647">
        <w:rPr>
          <w:rStyle w:val="Appelnotedebasdep"/>
          <w:rFonts w:cs="Arial"/>
        </w:rPr>
        <w:footnoteReference w:id="37"/>
      </w:r>
      <w:r w:rsidRPr="00505647">
        <w:rPr>
          <w:rFonts w:cs="Arial"/>
        </w:rPr>
        <w:t xml:space="preserve"> and (iii) of the terms contained in the document entitled “XT Investment Activities Service Agreement”</w:t>
      </w:r>
      <w:r w:rsidRPr="00505647">
        <w:rPr>
          <w:rStyle w:val="Appelnotedebasdep"/>
          <w:rFonts w:cs="Arial"/>
        </w:rPr>
        <w:footnoteReference w:id="38"/>
      </w:r>
      <w:r w:rsidRPr="00505647">
        <w:rPr>
          <w:rFonts w:cs="Arial"/>
        </w:rPr>
        <w:t xml:space="preserve"> when </w:t>
      </w:r>
      <w:r w:rsidR="00F677D1">
        <w:rPr>
          <w:rFonts w:cs="Arial"/>
        </w:rPr>
        <w:t>he</w:t>
      </w:r>
      <w:r w:rsidR="00F677D1" w:rsidRPr="00505647">
        <w:rPr>
          <w:rFonts w:cs="Arial"/>
        </w:rPr>
        <w:t xml:space="preserve"> </w:t>
      </w:r>
      <w:r w:rsidRPr="00505647">
        <w:rPr>
          <w:rFonts w:cs="Arial"/>
        </w:rPr>
        <w:t>wishes to commit to performance programs (or “Savings”) as well as investment programs related to proof-of-stake (or “Staking”) mechanisms; and</w:t>
      </w:r>
    </w:p>
    <w:p w14:paraId="19FC75CF" w14:textId="6B359A56" w:rsidR="00040F4A" w:rsidRPr="00505647" w:rsidRDefault="0046182F" w:rsidP="00040F4A">
      <w:pPr>
        <w:pStyle w:val="Paragraphe"/>
        <w:numPr>
          <w:ilvl w:val="0"/>
          <w:numId w:val="25"/>
        </w:numPr>
        <w:rPr>
          <w:rFonts w:cs="Arial"/>
        </w:rPr>
      </w:pPr>
      <w:r w:rsidRPr="00505647">
        <w:rPr>
          <w:rFonts w:cs="Arial"/>
        </w:rPr>
        <w:lastRenderedPageBreak/>
        <w:t xml:space="preserve">the acquisition by the investor of one of the four (4) products and services described above. </w:t>
      </w:r>
    </w:p>
    <w:p w14:paraId="0540369B" w14:textId="77777777" w:rsidR="00040F4A" w:rsidRPr="00505647" w:rsidRDefault="0046182F" w:rsidP="00040F4A">
      <w:pPr>
        <w:pStyle w:val="Paragraphe"/>
        <w:rPr>
          <w:rFonts w:cs="Arial"/>
        </w:rPr>
      </w:pPr>
      <w:r w:rsidRPr="00505647">
        <w:rPr>
          <w:rFonts w:cs="Arial"/>
        </w:rPr>
        <w:t xml:space="preserve">The Tribunal considers that the first criterion of the definition of an investment contract provided for in the </w:t>
      </w:r>
      <w:r w:rsidRPr="00505647">
        <w:rPr>
          <w:rFonts w:cs="Arial"/>
          <w:i/>
          <w:iCs/>
        </w:rPr>
        <w:t>Securities Act</w:t>
      </w:r>
      <w:r w:rsidRPr="00505647">
        <w:rPr>
          <w:rFonts w:cs="Arial"/>
        </w:rPr>
        <w:t xml:space="preserve"> is met for each of the four (4) products and services described above. </w:t>
      </w:r>
    </w:p>
    <w:p w14:paraId="0B7B98D3" w14:textId="77777777" w:rsidR="00040F4A" w:rsidRPr="00505647" w:rsidRDefault="0046182F" w:rsidP="00661358">
      <w:pPr>
        <w:pStyle w:val="Titre4"/>
        <w:rPr>
          <w:rFonts w:cs="Arial"/>
        </w:rPr>
      </w:pPr>
      <w:r w:rsidRPr="00505647">
        <w:rPr>
          <w:rFonts w:cs="Arial"/>
        </w:rPr>
        <w:t>“</w:t>
      </w:r>
      <w:proofErr w:type="gramStart"/>
      <w:r w:rsidRPr="00505647">
        <w:rPr>
          <w:rFonts w:cs="Arial"/>
        </w:rPr>
        <w:t>having</w:t>
      </w:r>
      <w:proofErr w:type="gramEnd"/>
      <w:r w:rsidRPr="00505647">
        <w:rPr>
          <w:rFonts w:cs="Arial"/>
        </w:rPr>
        <w:t xml:space="preserve"> been led to expect profits”</w:t>
      </w:r>
    </w:p>
    <w:p w14:paraId="1FA29931" w14:textId="08D76B68" w:rsidR="00040F4A" w:rsidRPr="00505647" w:rsidRDefault="0046182F" w:rsidP="00040F4A">
      <w:pPr>
        <w:pStyle w:val="Paragraphe"/>
        <w:rPr>
          <w:rFonts w:cs="Arial"/>
        </w:rPr>
      </w:pPr>
      <w:r w:rsidRPr="00505647">
        <w:rPr>
          <w:rFonts w:cs="Arial"/>
        </w:rPr>
        <w:t>For the products and services offered by the respondents to constitute an investment contract, profits must be expected by investors.</w:t>
      </w:r>
    </w:p>
    <w:p w14:paraId="3BDBABAB" w14:textId="77777777" w:rsidR="00040F4A" w:rsidRPr="00505647" w:rsidRDefault="0046182F" w:rsidP="00040F4A">
      <w:pPr>
        <w:pStyle w:val="Paragraphe"/>
        <w:rPr>
          <w:rFonts w:cs="Arial"/>
        </w:rPr>
      </w:pPr>
      <w:r w:rsidRPr="00505647">
        <w:rPr>
          <w:rFonts w:cs="Arial"/>
        </w:rPr>
        <w:t xml:space="preserve">According to case law, profits need not necessarily come from the promoter of the venture for an offer made to the public to be considered an investment contract. </w:t>
      </w:r>
    </w:p>
    <w:p w14:paraId="755581CE" w14:textId="1ABEBD95" w:rsidR="00040F4A" w:rsidRPr="00505647" w:rsidRDefault="0046182F" w:rsidP="00040F4A">
      <w:pPr>
        <w:pStyle w:val="Paragraphe"/>
        <w:rPr>
          <w:rFonts w:cs="Arial"/>
        </w:rPr>
      </w:pPr>
      <w:r w:rsidRPr="00505647">
        <w:rPr>
          <w:rFonts w:cs="Arial"/>
        </w:rPr>
        <w:t xml:space="preserve">In </w:t>
      </w:r>
      <w:r w:rsidRPr="00505647">
        <w:rPr>
          <w:rFonts w:cs="Arial"/>
          <w:i/>
          <w:iCs/>
        </w:rPr>
        <w:t>Battah</w:t>
      </w:r>
      <w:r w:rsidR="008B74AE" w:rsidRPr="00505647">
        <w:rPr>
          <w:rFonts w:cs="Arial"/>
        </w:rPr>
        <w:t>,</w:t>
      </w:r>
      <w:r w:rsidRPr="00505647">
        <w:rPr>
          <w:rStyle w:val="Appelnotedebasdep"/>
          <w:rFonts w:cs="Arial"/>
          <w:color w:val="000000"/>
          <w:kern w:val="0"/>
        </w:rPr>
        <w:footnoteReference w:id="39"/>
      </w:r>
      <w:r w:rsidRPr="00505647">
        <w:rPr>
          <w:rFonts w:cs="Arial"/>
          <w:color w:val="000000"/>
          <w:kern w:val="0"/>
        </w:rPr>
        <w:t xml:space="preserve"> the Tribunal mentioned that the word “</w:t>
      </w:r>
      <w:proofErr w:type="spellStart"/>
      <w:r w:rsidRPr="00505647">
        <w:rPr>
          <w:rFonts w:cs="Arial"/>
          <w:i/>
          <w:iCs/>
          <w:color w:val="000000"/>
          <w:kern w:val="0"/>
        </w:rPr>
        <w:t>bénéfice</w:t>
      </w:r>
      <w:proofErr w:type="spellEnd"/>
      <w:r w:rsidRPr="00505647">
        <w:rPr>
          <w:rFonts w:cs="Arial"/>
          <w:color w:val="000000"/>
          <w:kern w:val="0"/>
        </w:rPr>
        <w:t>” (profit) in the definition of investment contract [TRANSLATION] “must pertain to the advantage or gain that one draws from participating in a venture, but all in relation to the other criteria of the investment contract.</w:t>
      </w:r>
      <w:r w:rsidR="00F677D1">
        <w:rPr>
          <w:rFonts w:cs="Arial"/>
          <w:color w:val="000000"/>
          <w:kern w:val="0"/>
        </w:rPr>
        <w:t xml:space="preserve"> […]</w:t>
      </w:r>
      <w:r w:rsidRPr="00505647">
        <w:rPr>
          <w:rFonts w:cs="Arial"/>
          <w:color w:val="000000"/>
          <w:kern w:val="0"/>
        </w:rPr>
        <w:t>”</w:t>
      </w:r>
    </w:p>
    <w:p w14:paraId="6C61AF00" w14:textId="44D792A2" w:rsidR="00040F4A" w:rsidRPr="00505647" w:rsidRDefault="0046182F" w:rsidP="00040F4A">
      <w:pPr>
        <w:pStyle w:val="Paragraphe"/>
        <w:rPr>
          <w:rFonts w:cs="Arial"/>
        </w:rPr>
      </w:pPr>
      <w:r w:rsidRPr="00505647">
        <w:rPr>
          <w:rFonts w:cs="Arial"/>
        </w:rPr>
        <w:t>In that same decision</w:t>
      </w:r>
      <w:bookmarkStart w:id="6" w:name="_Ref67322074"/>
      <w:bookmarkEnd w:id="6"/>
      <w:r w:rsidR="00255B55" w:rsidRPr="00505647">
        <w:rPr>
          <w:rFonts w:cs="Arial"/>
        </w:rPr>
        <w:t>,</w:t>
      </w:r>
      <w:r w:rsidRPr="00505647">
        <w:rPr>
          <w:rStyle w:val="Appelnotedebasdep"/>
          <w:rFonts w:cs="Arial"/>
          <w:color w:val="000000"/>
          <w:kern w:val="0"/>
          <w:szCs w:val="24"/>
        </w:rPr>
        <w:footnoteReference w:id="40"/>
      </w:r>
      <w:r w:rsidRPr="00505647">
        <w:rPr>
          <w:rFonts w:cs="Arial"/>
          <w:color w:val="000000"/>
          <w:kern w:val="0"/>
          <w:szCs w:val="24"/>
        </w:rPr>
        <w:t xml:space="preserve"> the Tribunal reiterates that a profit may be strictly fiscal in nature and paid directly to investors without direct participation by the promoter</w:t>
      </w:r>
      <w:r w:rsidR="00D82972">
        <w:rPr>
          <w:rFonts w:cs="Arial"/>
          <w:color w:val="000000"/>
          <w:kern w:val="0"/>
          <w:szCs w:val="24"/>
        </w:rPr>
        <w:t xml:space="preserve"> of the venture</w:t>
      </w:r>
      <w:r w:rsidRPr="00505647">
        <w:rPr>
          <w:rFonts w:cs="Arial"/>
          <w:color w:val="000000"/>
          <w:kern w:val="0"/>
          <w:szCs w:val="24"/>
        </w:rPr>
        <w:t>.</w:t>
      </w:r>
    </w:p>
    <w:p w14:paraId="7A8373E1" w14:textId="77777777" w:rsidR="00040F4A" w:rsidRPr="00505647" w:rsidRDefault="0046182F" w:rsidP="00040F4A">
      <w:pPr>
        <w:numPr>
          <w:ilvl w:val="0"/>
          <w:numId w:val="1"/>
        </w:numPr>
        <w:tabs>
          <w:tab w:val="clear" w:pos="360"/>
        </w:tabs>
        <w:spacing w:before="120" w:after="120"/>
        <w:jc w:val="both"/>
        <w:rPr>
          <w:rFonts w:cs="Arial"/>
          <w:color w:val="000000"/>
          <w:szCs w:val="24"/>
        </w:rPr>
      </w:pPr>
      <w:r w:rsidRPr="00505647">
        <w:rPr>
          <w:rFonts w:cs="Arial"/>
          <w:color w:val="000000"/>
          <w:szCs w:val="24"/>
        </w:rPr>
        <w:t xml:space="preserve">In </w:t>
      </w:r>
      <w:proofErr w:type="spellStart"/>
      <w:r w:rsidRPr="00505647">
        <w:rPr>
          <w:rFonts w:cs="Arial"/>
          <w:i/>
          <w:iCs/>
          <w:color w:val="000000"/>
          <w:szCs w:val="24"/>
        </w:rPr>
        <w:t>Infotique</w:t>
      </w:r>
      <w:proofErr w:type="spellEnd"/>
      <w:r w:rsidRPr="00505647">
        <w:rPr>
          <w:rFonts w:cs="Arial"/>
          <w:i/>
          <w:iCs/>
          <w:color w:val="000000"/>
          <w:szCs w:val="24"/>
        </w:rPr>
        <w:t xml:space="preserve"> Tyra</w:t>
      </w:r>
      <w:r w:rsidRPr="00505647">
        <w:rPr>
          <w:rFonts w:cs="Arial"/>
          <w:color w:val="000000"/>
          <w:szCs w:val="24"/>
        </w:rPr>
        <w:t>,</w:t>
      </w:r>
      <w:r w:rsidRPr="00505647">
        <w:rPr>
          <w:rStyle w:val="Appelnotedebasdep"/>
        </w:rPr>
        <w:footnoteReference w:id="41"/>
      </w:r>
      <w:r w:rsidRPr="00505647">
        <w:rPr>
          <w:rFonts w:cs="Arial"/>
          <w:color w:val="000000"/>
          <w:szCs w:val="24"/>
        </w:rPr>
        <w:t xml:space="preserve"> the Court of Appeal of Quebec quotes the trial judge who mentions the following:</w:t>
      </w:r>
    </w:p>
    <w:p w14:paraId="200179B3" w14:textId="77777777" w:rsidR="00040F4A" w:rsidRPr="00505647" w:rsidRDefault="0046182F" w:rsidP="00040F4A">
      <w:pPr>
        <w:pStyle w:val="Citationendoubleretrait"/>
        <w:rPr>
          <w:rFonts w:cs="Arial"/>
        </w:rPr>
      </w:pPr>
      <w:r w:rsidRPr="00505647">
        <w:rPr>
          <w:rFonts w:cs="Arial"/>
        </w:rPr>
        <w:t xml:space="preserve">[TRANSLATION] “The evidence as well as a very limited knowledge of the business world undoubtedly tells us that investors signed this undertaking because of the expected profit. The Act does not provide specific means for obtaining it. It was never stated in this definition that the expected profit must necessarily be linked to the profits made by </w:t>
      </w:r>
      <w:proofErr w:type="spellStart"/>
      <w:r w:rsidRPr="00505647">
        <w:rPr>
          <w:rFonts w:cs="Arial"/>
        </w:rPr>
        <w:t>Infotique</w:t>
      </w:r>
      <w:proofErr w:type="spellEnd"/>
      <w:r w:rsidRPr="00505647">
        <w:rPr>
          <w:rFonts w:cs="Arial"/>
        </w:rPr>
        <w:t xml:space="preserve"> Tyra Inc. Profit may just as well be either a loss of earnings or, as in this case, a substantial reduction in tax payable." </w:t>
      </w:r>
    </w:p>
    <w:p w14:paraId="73A67E59" w14:textId="77777777" w:rsidR="00040F4A" w:rsidRPr="00505647" w:rsidRDefault="0046182F" w:rsidP="00040F4A">
      <w:pPr>
        <w:pStyle w:val="Paragraphe"/>
        <w:rPr>
          <w:rFonts w:cs="Arial"/>
        </w:rPr>
      </w:pPr>
      <w:proofErr w:type="gramStart"/>
      <w:r w:rsidRPr="00505647">
        <w:rPr>
          <w:rFonts w:cs="Arial"/>
        </w:rPr>
        <w:t>In light of</w:t>
      </w:r>
      <w:proofErr w:type="gramEnd"/>
      <w:r w:rsidRPr="00505647">
        <w:rPr>
          <w:rFonts w:cs="Arial"/>
        </w:rPr>
        <w:t xml:space="preserve"> the above, the profit does not necessarily have to be handed over by the promoter of a venture.</w:t>
      </w:r>
    </w:p>
    <w:p w14:paraId="554A109F" w14:textId="77777777" w:rsidR="00040F4A" w:rsidRPr="00505647" w:rsidRDefault="0046182F" w:rsidP="00040F4A">
      <w:pPr>
        <w:pStyle w:val="Paragraphe"/>
        <w:rPr>
          <w:rFonts w:cs="Arial"/>
        </w:rPr>
      </w:pPr>
      <w:r w:rsidRPr="00505647">
        <w:rPr>
          <w:rFonts w:cs="Arial"/>
        </w:rPr>
        <w:t xml:space="preserve">In this case, the respondents, through the XT.com website, suggest to investors that the products and services offered can </w:t>
      </w:r>
      <w:proofErr w:type="gramStart"/>
      <w:r w:rsidRPr="00505647">
        <w:rPr>
          <w:rFonts w:cs="Arial"/>
        </w:rPr>
        <w:t>appreciate in value</w:t>
      </w:r>
      <w:proofErr w:type="gramEnd"/>
      <w:r w:rsidRPr="00505647">
        <w:rPr>
          <w:rFonts w:cs="Arial"/>
        </w:rPr>
        <w:t xml:space="preserve">, that they can earn income from them and thus benefit from future profits. </w:t>
      </w:r>
    </w:p>
    <w:p w14:paraId="156C7A02" w14:textId="77777777" w:rsidR="00040F4A" w:rsidRPr="00505647" w:rsidRDefault="0046182F" w:rsidP="00040F4A">
      <w:pPr>
        <w:pStyle w:val="Paragraphe"/>
        <w:rPr>
          <w:rFonts w:cs="Arial"/>
        </w:rPr>
      </w:pPr>
      <w:r w:rsidRPr="00505647">
        <w:rPr>
          <w:rFonts w:cs="Arial"/>
        </w:rPr>
        <w:t>The respondents state the following on the XT.com website with respect to “Digital assets”: “</w:t>
      </w:r>
      <w:r w:rsidRPr="00505647">
        <w:rPr>
          <w:rFonts w:cs="Arial"/>
          <w:i/>
          <w:iCs/>
        </w:rPr>
        <w:t>The trading is continuous throughout the day without limits on rise and fall and the prices are in large fluctuation.</w:t>
      </w:r>
      <w:r w:rsidRPr="00505647">
        <w:rPr>
          <w:rFonts w:cs="Arial"/>
        </w:rPr>
        <w:t>”</w:t>
      </w:r>
      <w:r w:rsidRPr="00505647">
        <w:rPr>
          <w:rStyle w:val="Appelnotedebasdep"/>
          <w:rFonts w:cs="Arial"/>
        </w:rPr>
        <w:footnoteReference w:id="42"/>
      </w:r>
    </w:p>
    <w:p w14:paraId="7D9154D2" w14:textId="77777777" w:rsidR="00040F4A" w:rsidRPr="00505647" w:rsidRDefault="0046182F" w:rsidP="00040F4A">
      <w:pPr>
        <w:pStyle w:val="Paragraphe"/>
        <w:rPr>
          <w:rFonts w:cs="Arial"/>
        </w:rPr>
      </w:pPr>
      <w:r w:rsidRPr="00505647">
        <w:rPr>
          <w:rFonts w:cs="Arial"/>
        </w:rPr>
        <w:lastRenderedPageBreak/>
        <w:t>Investors can therefore expect a profit by acquiring the products and services offered by the respondents.</w:t>
      </w:r>
    </w:p>
    <w:p w14:paraId="4B700209" w14:textId="0E306A85" w:rsidR="00040F4A" w:rsidRPr="00505647" w:rsidRDefault="0046182F" w:rsidP="00040F4A">
      <w:pPr>
        <w:pStyle w:val="Paragraphe"/>
        <w:rPr>
          <w:rFonts w:cs="Arial"/>
        </w:rPr>
      </w:pPr>
      <w:r w:rsidRPr="00505647">
        <w:rPr>
          <w:rFonts w:cs="Arial"/>
        </w:rPr>
        <w:t>For crypto asset contracts, the XT.com website promotes profit by mentioning that owning crypto assets can lead to profits from the appreciation of their value over time.</w:t>
      </w:r>
      <w:r w:rsidRPr="00505647">
        <w:rPr>
          <w:rStyle w:val="Appelnotedebasdep"/>
          <w:rFonts w:cs="Arial"/>
        </w:rPr>
        <w:footnoteReference w:id="43"/>
      </w:r>
    </w:p>
    <w:p w14:paraId="230AF5F4" w14:textId="443B650D" w:rsidR="00040F4A" w:rsidRPr="00505647" w:rsidRDefault="0046182F" w:rsidP="00040F4A">
      <w:pPr>
        <w:pStyle w:val="Paragraphe"/>
        <w:rPr>
          <w:rFonts w:cs="Arial"/>
        </w:rPr>
      </w:pPr>
      <w:r w:rsidRPr="00505647">
        <w:rPr>
          <w:rFonts w:cs="Arial"/>
        </w:rPr>
        <w:t>When an investor purchases a crypto asset contract, that investor may subsequently obtain other products and services offered by the respondents on the XT.com website, including non-fungible token (or “NFT”) contracts, “Futures Contracts”, “Savings” programs and investment programs related to proof-of-stake (or “Staking”) validation mechanisms.</w:t>
      </w:r>
    </w:p>
    <w:p w14:paraId="768A4D95" w14:textId="69BF2E5B" w:rsidR="00040F4A" w:rsidRPr="00505647" w:rsidRDefault="0046182F" w:rsidP="00040F4A">
      <w:pPr>
        <w:pStyle w:val="Paragraphe"/>
        <w:rPr>
          <w:rFonts w:cs="Arial"/>
        </w:rPr>
      </w:pPr>
      <w:r w:rsidRPr="00505647">
        <w:rPr>
          <w:rFonts w:cs="Arial"/>
        </w:rPr>
        <w:t xml:space="preserve">The investor can then expect to make a profit through the acquisition of crypto asset contracts and other products and services acquired </w:t>
      </w:r>
      <w:proofErr w:type="gramStart"/>
      <w:r w:rsidRPr="00505647">
        <w:rPr>
          <w:rFonts w:cs="Arial"/>
        </w:rPr>
        <w:t>as a result of</w:t>
      </w:r>
      <w:proofErr w:type="gramEnd"/>
      <w:r w:rsidRPr="00505647">
        <w:rPr>
          <w:rFonts w:cs="Arial"/>
        </w:rPr>
        <w:t xml:space="preserve"> the acquisition.</w:t>
      </w:r>
    </w:p>
    <w:p w14:paraId="32CF32F5" w14:textId="77777777" w:rsidR="00040F4A" w:rsidRPr="00505647" w:rsidRDefault="0046182F" w:rsidP="00040F4A">
      <w:pPr>
        <w:pStyle w:val="Paragraphe"/>
        <w:rPr>
          <w:rFonts w:cs="Arial"/>
        </w:rPr>
      </w:pPr>
      <w:r w:rsidRPr="00505647">
        <w:rPr>
          <w:rFonts w:cs="Arial"/>
        </w:rPr>
        <w:t xml:space="preserve">For non-fungible token (NFT) contracts, investors can expect to make a profit </w:t>
      </w:r>
      <w:proofErr w:type="gramStart"/>
      <w:r w:rsidRPr="00505647">
        <w:rPr>
          <w:rFonts w:cs="Arial"/>
        </w:rPr>
        <w:t>through the use of</w:t>
      </w:r>
      <w:proofErr w:type="gramEnd"/>
      <w:r w:rsidRPr="00505647">
        <w:rPr>
          <w:rFonts w:cs="Arial"/>
        </w:rPr>
        <w:t xml:space="preserve"> the “NFT Staking” service, as depicted on the XT.com website,</w:t>
      </w:r>
      <w:r w:rsidRPr="00505647">
        <w:rPr>
          <w:rStyle w:val="Appelnotedebasdep"/>
          <w:rFonts w:cs="Arial"/>
        </w:rPr>
        <w:footnoteReference w:id="44"/>
      </w:r>
      <w:r w:rsidRPr="00505647">
        <w:rPr>
          <w:rFonts w:cs="Arial"/>
        </w:rPr>
        <w:t xml:space="preserve"> which would allow investors to earn rewards and other profits from their non-fungible token (or “NFT”) contracts.</w:t>
      </w:r>
      <w:r w:rsidRPr="00505647">
        <w:rPr>
          <w:rStyle w:val="Appelnotedebasdep"/>
          <w:rFonts w:cs="Arial"/>
        </w:rPr>
        <w:footnoteReference w:id="45"/>
      </w:r>
    </w:p>
    <w:p w14:paraId="51E2B526" w14:textId="77777777" w:rsidR="00040F4A" w:rsidRPr="00505647" w:rsidRDefault="0046182F" w:rsidP="00040F4A">
      <w:pPr>
        <w:pStyle w:val="Paragraphe"/>
        <w:rPr>
          <w:rFonts w:cs="Arial"/>
        </w:rPr>
      </w:pPr>
      <w:r w:rsidRPr="00505647">
        <w:rPr>
          <w:rFonts w:cs="Arial"/>
        </w:rPr>
        <w:t>Investors also have the option of putting their non-fungible token (or “NFT”) contracts up for sale on the XT.com website, including by auctioning them off.</w:t>
      </w:r>
      <w:r w:rsidRPr="00505647">
        <w:rPr>
          <w:rStyle w:val="Appelnotedebasdep"/>
          <w:rFonts w:cs="Arial"/>
        </w:rPr>
        <w:footnoteReference w:id="46"/>
      </w:r>
    </w:p>
    <w:p w14:paraId="014C4BF9" w14:textId="11773CA8" w:rsidR="00040F4A" w:rsidRPr="00505647" w:rsidRDefault="0046182F" w:rsidP="00040F4A">
      <w:pPr>
        <w:pStyle w:val="Paragraphe"/>
        <w:rPr>
          <w:rFonts w:cs="Arial"/>
        </w:rPr>
      </w:pPr>
      <w:r w:rsidRPr="00505647">
        <w:rPr>
          <w:rFonts w:cs="Arial"/>
        </w:rPr>
        <w:t>For performance programs (or “Savings”), the XT.com website promotes expectation of profit for both “XT Flexible Savings” programs and “Fixed Savings” programs.</w:t>
      </w:r>
    </w:p>
    <w:p w14:paraId="670B48C6" w14:textId="3E046D93" w:rsidR="00040F4A" w:rsidRPr="00505647" w:rsidRDefault="0046182F" w:rsidP="00040F4A">
      <w:pPr>
        <w:pStyle w:val="Paragraphe"/>
        <w:rPr>
          <w:rFonts w:cs="Arial"/>
        </w:rPr>
      </w:pPr>
      <w:r w:rsidRPr="00505647">
        <w:rPr>
          <w:rFonts w:cs="Arial"/>
        </w:rPr>
        <w:t>The following representations are made for “XT Flexible Savings” programs: “</w:t>
      </w:r>
      <w:r w:rsidRPr="00505647">
        <w:rPr>
          <w:rFonts w:cs="Arial"/>
          <w:i/>
          <w:iCs/>
        </w:rPr>
        <w:t>Save and earn. Principal guaranteed.</w:t>
      </w:r>
      <w:r w:rsidRPr="00505647">
        <w:rPr>
          <w:rFonts w:cs="Arial"/>
        </w:rPr>
        <w:t xml:space="preserve">” For </w:t>
      </w:r>
      <w:r w:rsidR="00DD510E" w:rsidRPr="00505647">
        <w:rPr>
          <w:rFonts w:cs="Arial"/>
        </w:rPr>
        <w:t>“</w:t>
      </w:r>
      <w:r w:rsidRPr="00505647">
        <w:rPr>
          <w:rFonts w:cs="Arial"/>
        </w:rPr>
        <w:t>Fixed Savings</w:t>
      </w:r>
      <w:r w:rsidR="00DD510E" w:rsidRPr="00505647">
        <w:rPr>
          <w:rFonts w:cs="Arial"/>
        </w:rPr>
        <w:t>”</w:t>
      </w:r>
      <w:r w:rsidRPr="00505647">
        <w:rPr>
          <w:rFonts w:cs="Arial"/>
        </w:rPr>
        <w:t xml:space="preserve"> </w:t>
      </w:r>
      <w:r w:rsidRPr="0015142D">
        <w:rPr>
          <w:rFonts w:cs="Arial"/>
        </w:rPr>
        <w:t>programs</w:t>
      </w:r>
      <w:r w:rsidR="0015142D" w:rsidRPr="0015142D">
        <w:rPr>
          <w:rFonts w:cs="Arial"/>
        </w:rPr>
        <w:t xml:space="preserve"> it is </w:t>
      </w:r>
      <w:r w:rsidR="0015142D">
        <w:rPr>
          <w:rFonts w:cs="Arial"/>
        </w:rPr>
        <w:t>mentioned that</w:t>
      </w:r>
      <w:r w:rsidRPr="0015142D">
        <w:rPr>
          <w:rFonts w:cs="Arial"/>
        </w:rPr>
        <w:t>:</w:t>
      </w:r>
      <w:r w:rsidRPr="00505647">
        <w:rPr>
          <w:rFonts w:cs="Arial"/>
        </w:rPr>
        <w:t xml:space="preserve"> “</w:t>
      </w:r>
      <w:r w:rsidRPr="00505647">
        <w:rPr>
          <w:rFonts w:cs="Arial"/>
          <w:i/>
          <w:iCs/>
        </w:rPr>
        <w:t>The simple way to Save &amp; Earn.</w:t>
      </w:r>
      <w:r w:rsidRPr="00505647">
        <w:rPr>
          <w:rFonts w:cs="Arial"/>
        </w:rPr>
        <w:t>”</w:t>
      </w:r>
      <w:r w:rsidRPr="00505647">
        <w:rPr>
          <w:rStyle w:val="Appelnotedebasdep"/>
          <w:rFonts w:cs="Arial"/>
        </w:rPr>
        <w:footnoteReference w:id="47"/>
      </w:r>
    </w:p>
    <w:p w14:paraId="36F3D269" w14:textId="77777777" w:rsidR="00040F4A" w:rsidRPr="00505647" w:rsidRDefault="0046182F" w:rsidP="00040F4A">
      <w:pPr>
        <w:pStyle w:val="Paragraphe"/>
        <w:rPr>
          <w:rFonts w:cs="Arial"/>
        </w:rPr>
      </w:pPr>
      <w:r w:rsidRPr="00505647">
        <w:rPr>
          <w:rFonts w:cs="Arial"/>
        </w:rPr>
        <w:t>The annual return on “Fixed Savings” programs is up to 180% and the annual return on “XT Flexible Savings” programs is up to 15%.</w:t>
      </w:r>
      <w:r w:rsidRPr="00505647">
        <w:rPr>
          <w:rStyle w:val="Appelnotedebasdep"/>
          <w:rFonts w:cs="Arial"/>
        </w:rPr>
        <w:footnoteReference w:id="48"/>
      </w:r>
    </w:p>
    <w:p w14:paraId="42DBDC76" w14:textId="013C9D70" w:rsidR="00040F4A" w:rsidRPr="00505647" w:rsidRDefault="0046182F" w:rsidP="00040F4A">
      <w:pPr>
        <w:pStyle w:val="Paragraphe"/>
        <w:rPr>
          <w:rFonts w:cs="Arial"/>
        </w:rPr>
      </w:pPr>
      <w:r w:rsidRPr="00505647">
        <w:rPr>
          <w:rFonts w:cs="Arial"/>
        </w:rPr>
        <w:t xml:space="preserve">As part of its undercover operations, the </w:t>
      </w:r>
      <w:r w:rsidR="00DD510E">
        <w:rPr>
          <w:rFonts w:cs="Arial"/>
        </w:rPr>
        <w:t>Authority</w:t>
      </w:r>
      <w:r w:rsidR="00DD510E" w:rsidRPr="00505647">
        <w:rPr>
          <w:rFonts w:cs="Arial"/>
        </w:rPr>
        <w:t xml:space="preserve"> </w:t>
      </w:r>
      <w:r w:rsidRPr="00505647">
        <w:rPr>
          <w:rFonts w:cs="Arial"/>
        </w:rPr>
        <w:t>invested a sum of one (1) USDT</w:t>
      </w:r>
      <w:r w:rsidRPr="00505647">
        <w:rPr>
          <w:rStyle w:val="Appelnotedebasdep"/>
          <w:rFonts w:cs="Arial"/>
        </w:rPr>
        <w:footnoteReference w:id="49"/>
      </w:r>
      <w:r w:rsidRPr="00505647">
        <w:rPr>
          <w:rFonts w:cs="Arial"/>
        </w:rPr>
        <w:t xml:space="preserve"> in a flexible savings return program for a 30-day lock-up period.</w:t>
      </w:r>
      <w:r w:rsidRPr="00505647">
        <w:rPr>
          <w:rStyle w:val="Appelnotedebasdep"/>
          <w:rFonts w:cs="Arial"/>
        </w:rPr>
        <w:footnoteReference w:id="50"/>
      </w:r>
    </w:p>
    <w:p w14:paraId="07A57E4D" w14:textId="77777777" w:rsidR="00040F4A" w:rsidRPr="00505647" w:rsidRDefault="0046182F" w:rsidP="00040F4A">
      <w:pPr>
        <w:pStyle w:val="Paragraphe"/>
        <w:rPr>
          <w:rFonts w:cs="Arial"/>
        </w:rPr>
      </w:pPr>
      <w:r w:rsidRPr="00505647">
        <w:rPr>
          <w:rFonts w:cs="Arial"/>
        </w:rPr>
        <w:t>According to the XT.com website, this investment was expected to yield an annual return of 8%.</w:t>
      </w:r>
      <w:r w:rsidRPr="00505647">
        <w:rPr>
          <w:rStyle w:val="Appelnotedebasdep"/>
          <w:rFonts w:cs="Arial"/>
        </w:rPr>
        <w:footnoteReference w:id="51"/>
      </w:r>
    </w:p>
    <w:p w14:paraId="72EB04DF" w14:textId="7E5D9733" w:rsidR="00040F4A" w:rsidRPr="00505647" w:rsidRDefault="0046182F" w:rsidP="00040F4A">
      <w:pPr>
        <w:pStyle w:val="Paragraphe"/>
        <w:rPr>
          <w:rFonts w:cs="Arial"/>
        </w:rPr>
      </w:pPr>
      <w:r w:rsidRPr="00505647">
        <w:rPr>
          <w:rFonts w:cs="Arial"/>
        </w:rPr>
        <w:lastRenderedPageBreak/>
        <w:t>A few days later, a return lower than that represented appears in the Authority’s account.</w:t>
      </w:r>
      <w:r w:rsidRPr="00505647">
        <w:rPr>
          <w:rStyle w:val="Appelnotedebasdep"/>
          <w:rFonts w:cs="Arial"/>
        </w:rPr>
        <w:footnoteReference w:id="52"/>
      </w:r>
    </w:p>
    <w:p w14:paraId="3D26C1FE" w14:textId="77777777" w:rsidR="00040F4A" w:rsidRPr="00505647" w:rsidRDefault="0046182F" w:rsidP="00040F4A">
      <w:pPr>
        <w:pStyle w:val="Paragraphe"/>
        <w:rPr>
          <w:rFonts w:cs="Arial"/>
        </w:rPr>
      </w:pPr>
      <w:r w:rsidRPr="00505647">
        <w:rPr>
          <w:rFonts w:cs="Arial"/>
        </w:rPr>
        <w:t>For investment programs related to proof-of-stake (or “Staking”) validation mechanisms, the XT.com website promotes an expectation of profit for both “New Coin Staking” and “</w:t>
      </w:r>
      <w:proofErr w:type="spellStart"/>
      <w:r w:rsidRPr="00505647">
        <w:rPr>
          <w:rFonts w:cs="Arial"/>
        </w:rPr>
        <w:t>PoS</w:t>
      </w:r>
      <w:proofErr w:type="spellEnd"/>
      <w:r w:rsidRPr="00505647">
        <w:rPr>
          <w:rFonts w:cs="Arial"/>
        </w:rPr>
        <w:t xml:space="preserve"> Staking”.</w:t>
      </w:r>
    </w:p>
    <w:p w14:paraId="12ED052B" w14:textId="79682470" w:rsidR="00040F4A" w:rsidRPr="00505647" w:rsidRDefault="0046182F" w:rsidP="00040F4A">
      <w:pPr>
        <w:pStyle w:val="Paragraphe"/>
        <w:rPr>
          <w:rFonts w:cs="Arial"/>
        </w:rPr>
      </w:pPr>
      <w:r w:rsidRPr="00505647">
        <w:rPr>
          <w:rFonts w:cs="Arial"/>
        </w:rPr>
        <w:t>The XT.com website mentions: “</w:t>
      </w:r>
      <w:r w:rsidRPr="00505647">
        <w:rPr>
          <w:rFonts w:cs="Arial"/>
          <w:i/>
          <w:iCs/>
        </w:rPr>
        <w:t>Pledge to deposit, easy to earn</w:t>
      </w:r>
      <w:r w:rsidRPr="00505647">
        <w:rPr>
          <w:rFonts w:cs="Arial"/>
        </w:rPr>
        <w:t>” in connection with “New Coin Staking” and “</w:t>
      </w:r>
      <w:r w:rsidRPr="00505647">
        <w:rPr>
          <w:rFonts w:cs="Arial"/>
          <w:i/>
          <w:iCs/>
        </w:rPr>
        <w:t>Save and earn. Principal guaranteed”</w:t>
      </w:r>
      <w:r w:rsidRPr="00505647">
        <w:rPr>
          <w:rFonts w:cs="Arial"/>
        </w:rPr>
        <w:t xml:space="preserve"> in connection with “</w:t>
      </w:r>
      <w:proofErr w:type="spellStart"/>
      <w:r w:rsidRPr="00505647">
        <w:rPr>
          <w:rFonts w:cs="Arial"/>
        </w:rPr>
        <w:t>PoS</w:t>
      </w:r>
      <w:proofErr w:type="spellEnd"/>
      <w:r w:rsidRPr="00505647">
        <w:rPr>
          <w:rFonts w:cs="Arial"/>
        </w:rPr>
        <w:t xml:space="preserve"> Staking”.</w:t>
      </w:r>
      <w:r w:rsidRPr="00505647">
        <w:rPr>
          <w:rStyle w:val="Appelnotedebasdep"/>
          <w:rFonts w:cs="Arial"/>
        </w:rPr>
        <w:footnoteReference w:id="53"/>
      </w:r>
    </w:p>
    <w:p w14:paraId="29EBF892" w14:textId="77777777" w:rsidR="00040F4A" w:rsidRPr="00505647" w:rsidRDefault="0046182F" w:rsidP="00040F4A">
      <w:pPr>
        <w:pStyle w:val="Paragraphe"/>
        <w:rPr>
          <w:rFonts w:cs="Arial"/>
        </w:rPr>
      </w:pPr>
      <w:r w:rsidRPr="00505647">
        <w:rPr>
          <w:rFonts w:cs="Arial"/>
        </w:rPr>
        <w:t>The estimated returns, as presented, are up to 9.144% for “</w:t>
      </w:r>
      <w:proofErr w:type="spellStart"/>
      <w:r w:rsidRPr="00505647">
        <w:rPr>
          <w:rFonts w:cs="Arial"/>
        </w:rPr>
        <w:t>PoS</w:t>
      </w:r>
      <w:proofErr w:type="spellEnd"/>
      <w:r w:rsidRPr="00505647">
        <w:rPr>
          <w:rFonts w:cs="Arial"/>
        </w:rPr>
        <w:t xml:space="preserve"> Staking”</w:t>
      </w:r>
      <w:r w:rsidRPr="00505647">
        <w:rPr>
          <w:rStyle w:val="Appelnotedebasdep"/>
          <w:rFonts w:cs="Arial"/>
        </w:rPr>
        <w:footnoteReference w:id="54"/>
      </w:r>
      <w:r w:rsidRPr="00505647">
        <w:rPr>
          <w:rFonts w:cs="Arial"/>
        </w:rPr>
        <w:t xml:space="preserve"> investments and up to 7,448.97% for “New Coin Staking”</w:t>
      </w:r>
      <w:r w:rsidRPr="00505647">
        <w:rPr>
          <w:rStyle w:val="Appelnotedebasdep"/>
          <w:rFonts w:cs="Arial"/>
        </w:rPr>
        <w:footnoteReference w:id="55"/>
      </w:r>
      <w:r w:rsidRPr="00505647">
        <w:rPr>
          <w:rFonts w:cs="Arial"/>
        </w:rPr>
        <w:t xml:space="preserve"> investments.</w:t>
      </w:r>
    </w:p>
    <w:p w14:paraId="5CABCA7C" w14:textId="0D707C66" w:rsidR="00040F4A" w:rsidRPr="00505647" w:rsidRDefault="0046182F" w:rsidP="00040F4A">
      <w:pPr>
        <w:pStyle w:val="Paragraphe"/>
        <w:rPr>
          <w:rFonts w:cs="Arial"/>
        </w:rPr>
      </w:pPr>
      <w:r w:rsidRPr="00505647">
        <w:rPr>
          <w:rFonts w:cs="Arial"/>
        </w:rPr>
        <w:t xml:space="preserve">As part of its undercover operations, the </w:t>
      </w:r>
      <w:r w:rsidR="00DD510E">
        <w:rPr>
          <w:rFonts w:cs="Arial"/>
        </w:rPr>
        <w:t>Authority</w:t>
      </w:r>
      <w:r w:rsidR="00DD510E" w:rsidRPr="00505647">
        <w:rPr>
          <w:rFonts w:cs="Arial"/>
        </w:rPr>
        <w:t xml:space="preserve"> </w:t>
      </w:r>
      <w:r w:rsidRPr="00505647">
        <w:rPr>
          <w:rFonts w:cs="Arial"/>
        </w:rPr>
        <w:t>invested a sum of one (1) USDT in a “</w:t>
      </w:r>
      <w:proofErr w:type="spellStart"/>
      <w:r w:rsidRPr="00505647">
        <w:rPr>
          <w:rFonts w:cs="Arial"/>
        </w:rPr>
        <w:t>PoS</w:t>
      </w:r>
      <w:proofErr w:type="spellEnd"/>
      <w:r w:rsidRPr="00505647">
        <w:rPr>
          <w:rFonts w:cs="Arial"/>
        </w:rPr>
        <w:t xml:space="preserve"> Staking” type program for a term of 30 days.</w:t>
      </w:r>
      <w:r w:rsidRPr="00505647">
        <w:rPr>
          <w:rStyle w:val="Appelnotedebasdep"/>
          <w:rFonts w:cs="Arial"/>
        </w:rPr>
        <w:footnoteReference w:id="56"/>
      </w:r>
    </w:p>
    <w:p w14:paraId="4583E1E5" w14:textId="77777777" w:rsidR="00040F4A" w:rsidRPr="00505647" w:rsidRDefault="0046182F" w:rsidP="00040F4A">
      <w:pPr>
        <w:pStyle w:val="Paragraphe"/>
        <w:rPr>
          <w:rFonts w:cs="Arial"/>
        </w:rPr>
      </w:pPr>
      <w:r w:rsidRPr="00505647">
        <w:rPr>
          <w:rFonts w:cs="Arial"/>
        </w:rPr>
        <w:t>According to representations made on the XT.com website, this investment was expected to yield an annual return of 2.88%.</w:t>
      </w:r>
      <w:r w:rsidRPr="00505647">
        <w:rPr>
          <w:rStyle w:val="Appelnotedebasdep"/>
          <w:rFonts w:cs="Arial"/>
        </w:rPr>
        <w:footnoteReference w:id="57"/>
      </w:r>
    </w:p>
    <w:p w14:paraId="6F7DE8C7" w14:textId="2340F2EF" w:rsidR="00040F4A" w:rsidRPr="00505647" w:rsidRDefault="0046182F" w:rsidP="00040F4A">
      <w:pPr>
        <w:pStyle w:val="Paragraphe"/>
        <w:rPr>
          <w:rFonts w:cs="Arial"/>
        </w:rPr>
      </w:pPr>
      <w:r w:rsidRPr="00505647">
        <w:rPr>
          <w:rFonts w:cs="Arial"/>
        </w:rPr>
        <w:t>Approximately one month later, the Authority’s return on this investment was lower than expected.</w:t>
      </w:r>
      <w:r w:rsidRPr="00505647">
        <w:rPr>
          <w:rStyle w:val="Appelnotedebasdep"/>
          <w:rFonts w:cs="Arial"/>
        </w:rPr>
        <w:footnoteReference w:id="58"/>
      </w:r>
    </w:p>
    <w:p w14:paraId="4C580B49" w14:textId="7A2D8BA0" w:rsidR="00040F4A" w:rsidRPr="00505647" w:rsidRDefault="0046182F" w:rsidP="00040F4A">
      <w:pPr>
        <w:pStyle w:val="Paragraphe"/>
        <w:rPr>
          <w:rFonts w:cs="Arial"/>
        </w:rPr>
      </w:pPr>
      <w:r w:rsidRPr="00505647">
        <w:rPr>
          <w:rFonts w:cs="Arial"/>
        </w:rPr>
        <w:t xml:space="preserve">In brief, in this case, profits come from the increase in the value of the products and the returns resulting from the use of the services acquired by the investors. Although the respondents do not have control over this value, it is a profit within the meaning of the definition of an investment contract. </w:t>
      </w:r>
    </w:p>
    <w:p w14:paraId="68B5C60F" w14:textId="77777777" w:rsidR="00040F4A" w:rsidRPr="00505647" w:rsidRDefault="0046182F" w:rsidP="00040F4A">
      <w:pPr>
        <w:pStyle w:val="Paragraphe"/>
        <w:rPr>
          <w:rFonts w:cs="Arial"/>
        </w:rPr>
      </w:pPr>
      <w:r w:rsidRPr="00505647">
        <w:rPr>
          <w:rFonts w:cs="Arial"/>
        </w:rPr>
        <w:t xml:space="preserve">As the four (4) products and services described above and offered to the public by the respondents point to a benefit, whether directly from the respondents or not, </w:t>
      </w:r>
      <w:bookmarkStart w:id="7" w:name="_Hlk142129993"/>
      <w:r w:rsidRPr="00505647">
        <w:rPr>
          <w:rFonts w:cs="Arial"/>
        </w:rPr>
        <w:t xml:space="preserve">the Tribunal finds that the second criterion of the definition of an investment contract is </w:t>
      </w:r>
      <w:bookmarkEnd w:id="7"/>
      <w:r w:rsidRPr="00505647">
        <w:rPr>
          <w:rFonts w:cs="Arial"/>
        </w:rPr>
        <w:t>met for each of them.</w:t>
      </w:r>
    </w:p>
    <w:p w14:paraId="207C25C9" w14:textId="77777777" w:rsidR="00040F4A" w:rsidRPr="00505647" w:rsidRDefault="0046182F" w:rsidP="00661358">
      <w:pPr>
        <w:pStyle w:val="Titre4"/>
        <w:rPr>
          <w:rFonts w:cs="Arial"/>
        </w:rPr>
      </w:pPr>
      <w:r w:rsidRPr="00505647">
        <w:rPr>
          <w:rFonts w:cs="Arial"/>
        </w:rPr>
        <w:t>“</w:t>
      </w:r>
      <w:proofErr w:type="gramStart"/>
      <w:r w:rsidRPr="00505647">
        <w:rPr>
          <w:rFonts w:cs="Arial"/>
        </w:rPr>
        <w:t>to</w:t>
      </w:r>
      <w:proofErr w:type="gramEnd"/>
      <w:r w:rsidRPr="00505647">
        <w:rPr>
          <w:rFonts w:cs="Arial"/>
        </w:rPr>
        <w:t xml:space="preserve"> participate in the risk of a venture by a contribution of capital or loan”</w:t>
      </w:r>
    </w:p>
    <w:p w14:paraId="55C25EEB" w14:textId="77777777" w:rsidR="00040F4A" w:rsidRPr="00505647" w:rsidRDefault="0046182F" w:rsidP="00040F4A">
      <w:pPr>
        <w:pStyle w:val="Titre5"/>
        <w:rPr>
          <w:rFonts w:cs="Arial"/>
        </w:rPr>
      </w:pPr>
      <w:r w:rsidRPr="00505647">
        <w:rPr>
          <w:rFonts w:cs="Arial"/>
          <w:bCs w:val="0"/>
        </w:rPr>
        <w:t>“A contribution of capital or loan”</w:t>
      </w:r>
    </w:p>
    <w:p w14:paraId="1CC0417A" w14:textId="2DB3F734" w:rsidR="00040F4A" w:rsidRPr="00505647" w:rsidRDefault="0046182F" w:rsidP="00040F4A">
      <w:pPr>
        <w:pStyle w:val="Paragraphe"/>
        <w:rPr>
          <w:rFonts w:cs="Arial"/>
        </w:rPr>
      </w:pPr>
      <w:r w:rsidRPr="00505647">
        <w:rPr>
          <w:rFonts w:cs="Arial"/>
        </w:rPr>
        <w:t>In this case, the investor’s contribution consists of the deposit of crypto assets or the payment of an amount in fiat currency (or “fiat”).</w:t>
      </w:r>
      <w:r w:rsidRPr="00505647">
        <w:rPr>
          <w:rStyle w:val="Appelnotedebasdep"/>
          <w:rFonts w:cs="Arial"/>
        </w:rPr>
        <w:footnoteReference w:id="59"/>
      </w:r>
    </w:p>
    <w:p w14:paraId="147B6F4C" w14:textId="0E509FA4" w:rsidR="00040F4A" w:rsidRPr="00505647" w:rsidRDefault="0046182F" w:rsidP="00040F4A">
      <w:pPr>
        <w:pStyle w:val="Paragraphe"/>
        <w:rPr>
          <w:rFonts w:cs="Arial"/>
        </w:rPr>
      </w:pPr>
      <w:r w:rsidRPr="00505647">
        <w:rPr>
          <w:rFonts w:cs="Arial"/>
        </w:rPr>
        <w:lastRenderedPageBreak/>
        <w:t xml:space="preserve">For crypto asset contracts, investors can purchase them in at least four ways, using fiat currency or crypto assets: </w:t>
      </w:r>
    </w:p>
    <w:p w14:paraId="5E696B6F" w14:textId="77777777" w:rsidR="00040F4A" w:rsidRPr="00505647" w:rsidRDefault="0046182F" w:rsidP="00040F4A">
      <w:pPr>
        <w:pStyle w:val="Paragraphe"/>
        <w:numPr>
          <w:ilvl w:val="0"/>
          <w:numId w:val="0"/>
        </w:numPr>
        <w:ind w:left="734"/>
        <w:rPr>
          <w:rFonts w:cs="Arial"/>
        </w:rPr>
      </w:pPr>
      <w:proofErr w:type="spellStart"/>
      <w:r w:rsidRPr="00505647">
        <w:rPr>
          <w:rFonts w:cs="Arial"/>
        </w:rPr>
        <w:t>i</w:t>
      </w:r>
      <w:proofErr w:type="spellEnd"/>
      <w:r w:rsidRPr="00505647">
        <w:rPr>
          <w:rFonts w:cs="Arial"/>
        </w:rPr>
        <w:t>) through the deposit of crypto assets;</w:t>
      </w:r>
      <w:r w:rsidRPr="00505647">
        <w:rPr>
          <w:rStyle w:val="Appelnotedebasdep"/>
          <w:rFonts w:cs="Arial"/>
        </w:rPr>
        <w:footnoteReference w:id="60"/>
      </w:r>
    </w:p>
    <w:p w14:paraId="0D4B5D57" w14:textId="2455E797" w:rsidR="00040F4A" w:rsidRPr="00505647" w:rsidRDefault="0046182F" w:rsidP="00040F4A">
      <w:pPr>
        <w:pStyle w:val="Paragraphe"/>
        <w:numPr>
          <w:ilvl w:val="0"/>
          <w:numId w:val="0"/>
        </w:numPr>
        <w:ind w:left="734"/>
        <w:rPr>
          <w:rFonts w:cs="Arial"/>
        </w:rPr>
      </w:pPr>
      <w:r w:rsidRPr="00505647">
        <w:rPr>
          <w:rFonts w:cs="Arial"/>
        </w:rPr>
        <w:t>ii) through “P2P Trading”</w:t>
      </w:r>
      <w:r w:rsidR="003A4F83" w:rsidRPr="00505647">
        <w:rPr>
          <w:rFonts w:cs="Arial"/>
        </w:rPr>
        <w:t>,</w:t>
      </w:r>
      <w:r w:rsidRPr="00505647">
        <w:rPr>
          <w:rStyle w:val="Appelnotedebasdep"/>
          <w:rFonts w:cs="Arial"/>
        </w:rPr>
        <w:footnoteReference w:id="61"/>
      </w:r>
      <w:r w:rsidRPr="00505647">
        <w:rPr>
          <w:rFonts w:cs="Arial"/>
        </w:rPr>
        <w:t xml:space="preserve"> which is a peer-to-peer market that allows investors to trade rights in crypto assets with each other;</w:t>
      </w:r>
      <w:r w:rsidRPr="00505647">
        <w:rPr>
          <w:rStyle w:val="Appelnotedebasdep"/>
          <w:rFonts w:cs="Arial"/>
        </w:rPr>
        <w:footnoteReference w:id="62"/>
      </w:r>
    </w:p>
    <w:p w14:paraId="1F48882E" w14:textId="77777777" w:rsidR="00040F4A" w:rsidRPr="00505647" w:rsidRDefault="0046182F" w:rsidP="00040F4A">
      <w:pPr>
        <w:pStyle w:val="Paragraphe"/>
        <w:numPr>
          <w:ilvl w:val="0"/>
          <w:numId w:val="0"/>
        </w:numPr>
        <w:ind w:left="734"/>
        <w:rPr>
          <w:rFonts w:cs="Arial"/>
        </w:rPr>
      </w:pPr>
      <w:r w:rsidRPr="00505647">
        <w:rPr>
          <w:rFonts w:cs="Arial"/>
        </w:rPr>
        <w:t>iii) through “Third Party Trading”;</w:t>
      </w:r>
      <w:r w:rsidRPr="00505647">
        <w:rPr>
          <w:rStyle w:val="Appelnotedebasdep"/>
          <w:rFonts w:cs="Arial"/>
        </w:rPr>
        <w:footnoteReference w:id="63"/>
      </w:r>
      <w:r w:rsidRPr="00505647">
        <w:rPr>
          <w:rFonts w:cs="Arial"/>
        </w:rPr>
        <w:t xml:space="preserve"> which allows investors to acquire rights to crypto assets by using the services of </w:t>
      </w:r>
      <w:proofErr w:type="gramStart"/>
      <w:r w:rsidRPr="00505647">
        <w:rPr>
          <w:rFonts w:cs="Arial"/>
        </w:rPr>
        <w:t>third party</w:t>
      </w:r>
      <w:proofErr w:type="gramEnd"/>
      <w:r w:rsidRPr="00505647">
        <w:rPr>
          <w:rFonts w:cs="Arial"/>
        </w:rPr>
        <w:t xml:space="preserve"> entities identified on the XT.com website to make the required payments;</w:t>
      </w:r>
      <w:r w:rsidRPr="00505647">
        <w:rPr>
          <w:rStyle w:val="Appelnotedebasdep"/>
          <w:rFonts w:cs="Arial"/>
        </w:rPr>
        <w:footnoteReference w:id="64"/>
      </w:r>
      <w:r w:rsidRPr="00505647">
        <w:rPr>
          <w:rFonts w:cs="Arial"/>
        </w:rPr>
        <w:t xml:space="preserve"> and </w:t>
      </w:r>
    </w:p>
    <w:p w14:paraId="3C9D21AE" w14:textId="77777777" w:rsidR="00040F4A" w:rsidRPr="00505647" w:rsidRDefault="0046182F" w:rsidP="00040F4A">
      <w:pPr>
        <w:pStyle w:val="Paragraphe"/>
        <w:numPr>
          <w:ilvl w:val="0"/>
          <w:numId w:val="0"/>
        </w:numPr>
        <w:ind w:left="734"/>
        <w:rPr>
          <w:rFonts w:cs="Arial"/>
        </w:rPr>
      </w:pPr>
      <w:r w:rsidRPr="00505647">
        <w:rPr>
          <w:rFonts w:cs="Arial"/>
        </w:rPr>
        <w:t xml:space="preserve">iv) through the “Trading” service, which allows the exchange of contractual rights on crypto assets that they have acquired, </w:t>
      </w:r>
      <w:proofErr w:type="gramStart"/>
      <w:r w:rsidRPr="00505647">
        <w:rPr>
          <w:rFonts w:cs="Arial"/>
        </w:rPr>
        <w:t>in order to</w:t>
      </w:r>
      <w:proofErr w:type="gramEnd"/>
      <w:r w:rsidRPr="00505647">
        <w:rPr>
          <w:rFonts w:cs="Arial"/>
        </w:rPr>
        <w:t xml:space="preserve"> acquire contractual rights on other crypto assets.</w:t>
      </w:r>
      <w:r w:rsidRPr="00505647">
        <w:rPr>
          <w:rStyle w:val="Appelnotedebasdep"/>
          <w:rFonts w:cs="Arial"/>
        </w:rPr>
        <w:footnoteReference w:id="65"/>
      </w:r>
    </w:p>
    <w:p w14:paraId="7321E94C" w14:textId="2812F0F1" w:rsidR="00040F4A" w:rsidRPr="00505647" w:rsidRDefault="0046182F" w:rsidP="00040F4A">
      <w:pPr>
        <w:pStyle w:val="Paragraphe"/>
        <w:rPr>
          <w:rFonts w:cs="Arial"/>
        </w:rPr>
      </w:pPr>
      <w:r w:rsidRPr="00505647">
        <w:rPr>
          <w:rFonts w:cs="Arial"/>
        </w:rPr>
        <w:t>The amount investors must spend to exchange their crypto asset contract for another crypto asset contract varies depending on the crypto asset chosen.</w:t>
      </w:r>
      <w:r w:rsidRPr="00505647">
        <w:rPr>
          <w:rStyle w:val="Appelnotedebasdep"/>
          <w:rFonts w:cs="Arial"/>
        </w:rPr>
        <w:footnoteReference w:id="66"/>
      </w:r>
    </w:p>
    <w:p w14:paraId="770007AF" w14:textId="3BA4C325" w:rsidR="00040F4A" w:rsidRPr="00505647" w:rsidRDefault="0046182F" w:rsidP="00040F4A">
      <w:pPr>
        <w:pStyle w:val="Paragraphe"/>
        <w:rPr>
          <w:rFonts w:cs="Arial"/>
        </w:rPr>
      </w:pPr>
      <w:r w:rsidRPr="00505647">
        <w:rPr>
          <w:rFonts w:cs="Arial"/>
        </w:rPr>
        <w:t>When acquiring crypto asset contracts, investors must pay transaction fee</w:t>
      </w:r>
      <w:r w:rsidR="00423641">
        <w:rPr>
          <w:rFonts w:cs="Arial"/>
        </w:rPr>
        <w:t>s</w:t>
      </w:r>
      <w:r w:rsidRPr="00505647">
        <w:rPr>
          <w:rFonts w:cs="Arial"/>
        </w:rPr>
        <w:t xml:space="preserve"> for each cash transaction.</w:t>
      </w:r>
      <w:r w:rsidRPr="00505647">
        <w:rPr>
          <w:rStyle w:val="Appelnotedebasdep"/>
          <w:rFonts w:cs="Arial"/>
        </w:rPr>
        <w:footnoteReference w:id="67"/>
      </w:r>
    </w:p>
    <w:p w14:paraId="13285B04" w14:textId="77777777" w:rsidR="00CF3061" w:rsidRPr="00505647" w:rsidRDefault="0046182F" w:rsidP="00040F4A">
      <w:pPr>
        <w:pStyle w:val="Paragraphe"/>
        <w:rPr>
          <w:rFonts w:cs="Arial"/>
        </w:rPr>
      </w:pPr>
      <w:r w:rsidRPr="00505647">
        <w:rPr>
          <w:rFonts w:cs="Arial"/>
        </w:rPr>
        <w:t>As part of its undercover operations, the Authority was able to obtain a crypto asset contract.</w:t>
      </w:r>
    </w:p>
    <w:p w14:paraId="5733C72C" w14:textId="5F0FAF03" w:rsidR="00040F4A" w:rsidRPr="00505647" w:rsidRDefault="0046182F" w:rsidP="00040F4A">
      <w:pPr>
        <w:pStyle w:val="Paragraphe"/>
        <w:rPr>
          <w:rFonts w:cs="Arial"/>
        </w:rPr>
      </w:pPr>
      <w:r w:rsidRPr="00505647">
        <w:rPr>
          <w:rFonts w:cs="Arial"/>
        </w:rPr>
        <w:t xml:space="preserve">To that end, the Authority made a contribution consisting of the deposit of crypto assets on the XT.com website, </w:t>
      </w:r>
      <w:proofErr w:type="gramStart"/>
      <w:r w:rsidRPr="00505647">
        <w:rPr>
          <w:rFonts w:cs="Arial"/>
        </w:rPr>
        <w:t>i.e.</w:t>
      </w:r>
      <w:proofErr w:type="gramEnd"/>
      <w:r w:rsidRPr="00505647">
        <w:rPr>
          <w:rFonts w:cs="Arial"/>
        </w:rPr>
        <w:t xml:space="preserve"> Bitcoin fractions (or “BTC”).</w:t>
      </w:r>
      <w:r w:rsidRPr="00505647">
        <w:rPr>
          <w:rStyle w:val="Appelnotedebasdep"/>
          <w:rFonts w:cs="Arial"/>
        </w:rPr>
        <w:footnoteReference w:id="68"/>
      </w:r>
      <w:r w:rsidR="00F41A15" w:rsidRPr="00505647">
        <w:rPr>
          <w:rFonts w:cs="Arial"/>
        </w:rPr>
        <w:t xml:space="preserve"> </w:t>
      </w:r>
      <w:r w:rsidRPr="00505647">
        <w:rPr>
          <w:rFonts w:cs="Arial"/>
        </w:rPr>
        <w:t>The Authority received an email confirming the deposit of crypto assets</w:t>
      </w:r>
      <w:r w:rsidR="00F41A15" w:rsidRPr="00505647">
        <w:rPr>
          <w:rFonts w:cs="Arial"/>
        </w:rPr>
        <w:t>.</w:t>
      </w:r>
      <w:r w:rsidRPr="00505647">
        <w:rPr>
          <w:rStyle w:val="Appelnotedebasdep"/>
          <w:rFonts w:cs="Arial"/>
        </w:rPr>
        <w:footnoteReference w:id="69"/>
      </w:r>
    </w:p>
    <w:p w14:paraId="786CD3E6" w14:textId="18EA02EF" w:rsidR="00040F4A" w:rsidRPr="00505647" w:rsidRDefault="0046182F" w:rsidP="00040F4A">
      <w:pPr>
        <w:pStyle w:val="Paragraphe"/>
        <w:rPr>
          <w:rFonts w:cs="Arial"/>
        </w:rPr>
      </w:pPr>
      <w:r w:rsidRPr="00505647">
        <w:rPr>
          <w:rFonts w:cs="Arial"/>
        </w:rPr>
        <w:t>That same day, the Authority obtained contractual rights to</w:t>
      </w:r>
      <w:r w:rsidR="008F52E3">
        <w:rPr>
          <w:rFonts w:cs="Arial"/>
        </w:rPr>
        <w:t>t</w:t>
      </w:r>
      <w:r w:rsidRPr="00505647">
        <w:rPr>
          <w:rFonts w:cs="Arial"/>
        </w:rPr>
        <w:t xml:space="preserve"> Tether (or “USDT”) crypto assets through a contribution made from the contractual rights it held </w:t>
      </w:r>
      <w:proofErr w:type="gramStart"/>
      <w:r w:rsidRPr="00505647">
        <w:rPr>
          <w:rFonts w:cs="Arial"/>
        </w:rPr>
        <w:t>on</w:t>
      </w:r>
      <w:proofErr w:type="gramEnd"/>
      <w:r w:rsidRPr="00505647">
        <w:rPr>
          <w:rFonts w:cs="Arial"/>
        </w:rPr>
        <w:t xml:space="preserve"> fractions of a BTC.</w:t>
      </w:r>
      <w:r w:rsidRPr="00505647">
        <w:rPr>
          <w:rStyle w:val="Appelnotedebasdep"/>
          <w:rFonts w:cs="Arial"/>
        </w:rPr>
        <w:footnoteReference w:id="70"/>
      </w:r>
    </w:p>
    <w:p w14:paraId="020A147F" w14:textId="1F44E8DC" w:rsidR="00040F4A" w:rsidRPr="00505647" w:rsidRDefault="0046182F" w:rsidP="00040F4A">
      <w:pPr>
        <w:pStyle w:val="Paragraphe"/>
        <w:rPr>
          <w:rFonts w:cs="Arial"/>
        </w:rPr>
      </w:pPr>
      <w:r w:rsidRPr="00505647">
        <w:rPr>
          <w:rFonts w:cs="Arial"/>
        </w:rPr>
        <w:t>For the acquisition of contractual rights to non-fungible tokens (or “NFTs”), such as virtual works of art, investors must pay a sum in crypto assets or fiat currency, the value of which varies according to the one they select.</w:t>
      </w:r>
      <w:r w:rsidRPr="00505647">
        <w:rPr>
          <w:rStyle w:val="Appelnotedebasdep"/>
          <w:rFonts w:cs="Arial"/>
        </w:rPr>
        <w:footnoteReference w:id="71"/>
      </w:r>
    </w:p>
    <w:p w14:paraId="57C0FC04" w14:textId="2DEEA983" w:rsidR="00040F4A" w:rsidRPr="00505647" w:rsidRDefault="0046182F" w:rsidP="00040F4A">
      <w:pPr>
        <w:pStyle w:val="Paragraphe"/>
        <w:rPr>
          <w:rFonts w:cs="Arial"/>
        </w:rPr>
      </w:pPr>
      <w:r w:rsidRPr="00505647">
        <w:rPr>
          <w:rFonts w:cs="Arial"/>
        </w:rPr>
        <w:t xml:space="preserve">As part of its undercover operations, the Authority was able to purchase contractual rights to a non-fungible token (or “NFT”) through a contribution of 0.018 Ether </w:t>
      </w:r>
      <w:r w:rsidRPr="00505647">
        <w:rPr>
          <w:rFonts w:cs="Arial"/>
        </w:rPr>
        <w:lastRenderedPageBreak/>
        <w:t>(“ETH”).</w:t>
      </w:r>
      <w:r w:rsidRPr="00505647">
        <w:rPr>
          <w:rStyle w:val="Appelnotedebasdep"/>
          <w:rFonts w:cs="Arial"/>
        </w:rPr>
        <w:footnoteReference w:id="72"/>
      </w:r>
      <w:r w:rsidR="004B2C61" w:rsidRPr="00505647">
        <w:rPr>
          <w:rFonts w:cs="Arial"/>
        </w:rPr>
        <w:t xml:space="preserve"> </w:t>
      </w:r>
      <w:r w:rsidRPr="00505647">
        <w:rPr>
          <w:rFonts w:cs="Arial"/>
        </w:rPr>
        <w:t>This non-fungible token acquired by the Authority was deposited into an Authority account accessible on the XT.com website.</w:t>
      </w:r>
      <w:r w:rsidRPr="00505647">
        <w:rPr>
          <w:rStyle w:val="Appelnotedebasdep"/>
          <w:rFonts w:cs="Arial"/>
        </w:rPr>
        <w:footnoteReference w:id="73"/>
      </w:r>
      <w:r w:rsidRPr="00505647">
        <w:rPr>
          <w:rFonts w:cs="Arial"/>
        </w:rPr>
        <w:t xml:space="preserve"> Despite this purchase, the transfer of ownership is not reflected on the applicable blockchain.</w:t>
      </w:r>
      <w:r w:rsidRPr="00505647">
        <w:rPr>
          <w:rStyle w:val="Appelnotedebasdep"/>
          <w:rFonts w:cs="Arial"/>
        </w:rPr>
        <w:footnoteReference w:id="74"/>
      </w:r>
    </w:p>
    <w:p w14:paraId="219101EB" w14:textId="20BAFC12" w:rsidR="00040F4A" w:rsidRPr="00505647" w:rsidRDefault="008B7860" w:rsidP="00040F4A">
      <w:pPr>
        <w:pStyle w:val="Paragraphe"/>
        <w:rPr>
          <w:rFonts w:cs="Arial"/>
        </w:rPr>
      </w:pPr>
      <w:r>
        <w:rPr>
          <w:rFonts w:cs="Arial"/>
        </w:rPr>
        <w:t>T</w:t>
      </w:r>
      <w:r w:rsidR="0046182F" w:rsidRPr="00505647">
        <w:rPr>
          <w:rFonts w:cs="Arial"/>
        </w:rPr>
        <w:t>ransaction fee</w:t>
      </w:r>
      <w:r>
        <w:rPr>
          <w:rFonts w:cs="Arial"/>
        </w:rPr>
        <w:t>s</w:t>
      </w:r>
      <w:r w:rsidR="0046182F" w:rsidRPr="00505647">
        <w:rPr>
          <w:rFonts w:cs="Arial"/>
        </w:rPr>
        <w:t xml:space="preserve"> </w:t>
      </w:r>
      <w:r>
        <w:rPr>
          <w:rFonts w:cs="Arial"/>
        </w:rPr>
        <w:t>are</w:t>
      </w:r>
      <w:r w:rsidRPr="00505647">
        <w:rPr>
          <w:rFonts w:cs="Arial"/>
        </w:rPr>
        <w:t xml:space="preserve"> </w:t>
      </w:r>
      <w:r w:rsidR="0046182F" w:rsidRPr="00505647">
        <w:rPr>
          <w:rFonts w:cs="Arial"/>
        </w:rPr>
        <w:t>charged when an investor sells a non-fungible token (or “NFT”) contract.</w:t>
      </w:r>
      <w:r w:rsidR="0046182F" w:rsidRPr="00505647">
        <w:rPr>
          <w:rStyle w:val="Appelnotedebasdep"/>
          <w:rFonts w:cs="Arial"/>
        </w:rPr>
        <w:footnoteReference w:id="75"/>
      </w:r>
    </w:p>
    <w:p w14:paraId="53036465" w14:textId="603D4CFF" w:rsidR="00040F4A" w:rsidRPr="00505647" w:rsidRDefault="0046182F" w:rsidP="00040F4A">
      <w:pPr>
        <w:pStyle w:val="Paragraphe"/>
        <w:rPr>
          <w:rFonts w:cs="Arial"/>
        </w:rPr>
      </w:pPr>
      <w:r w:rsidRPr="00505647">
        <w:rPr>
          <w:rFonts w:cs="Arial"/>
        </w:rPr>
        <w:t xml:space="preserve">The contribution in the case of participation in one of the </w:t>
      </w:r>
      <w:proofErr w:type="gramStart"/>
      <w:r w:rsidRPr="00505647">
        <w:rPr>
          <w:rFonts w:cs="Arial"/>
        </w:rPr>
        <w:t>performance</w:t>
      </w:r>
      <w:proofErr w:type="gramEnd"/>
      <w:r w:rsidRPr="00505647">
        <w:rPr>
          <w:rFonts w:cs="Arial"/>
        </w:rPr>
        <w:t xml:space="preserve"> (or “Savings”) programs, whether for the “XT Flexible Savings” programs or the “Fixed Savings” programs, involves the deposit of crypto assets into an account accessible through the XT.com website to generate returns.</w:t>
      </w:r>
      <w:r w:rsidRPr="00505647">
        <w:rPr>
          <w:rStyle w:val="Appelnotedebasdep"/>
          <w:rFonts w:cs="Arial"/>
        </w:rPr>
        <w:footnoteReference w:id="76"/>
      </w:r>
    </w:p>
    <w:p w14:paraId="442F503B" w14:textId="544C6643" w:rsidR="00040F4A" w:rsidRPr="00505647" w:rsidRDefault="0046182F" w:rsidP="00040F4A">
      <w:pPr>
        <w:pStyle w:val="Paragraphe"/>
        <w:rPr>
          <w:rFonts w:cs="Arial"/>
        </w:rPr>
      </w:pPr>
      <w:r w:rsidRPr="00505647">
        <w:rPr>
          <w:rFonts w:cs="Arial"/>
        </w:rPr>
        <w:t>In the case of “XT Flexible Savings” programs, deposited crypto assets could be withdrawn by investors at any time. In the case of “Fixed Savings” programs, crypto assets would be subject to a lock-</w:t>
      </w:r>
      <w:r w:rsidR="009D68E0">
        <w:rPr>
          <w:rFonts w:cs="Arial"/>
        </w:rPr>
        <w:t>up</w:t>
      </w:r>
      <w:r w:rsidRPr="00505647">
        <w:rPr>
          <w:rFonts w:cs="Arial"/>
        </w:rPr>
        <w:t xml:space="preserve"> period during which they cannot be </w:t>
      </w:r>
      <w:proofErr w:type="gramStart"/>
      <w:r w:rsidRPr="00505647">
        <w:rPr>
          <w:rFonts w:cs="Arial"/>
        </w:rPr>
        <w:t>removed</w:t>
      </w:r>
      <w:proofErr w:type="gramEnd"/>
      <w:r w:rsidRPr="00505647">
        <w:rPr>
          <w:rFonts w:cs="Arial"/>
        </w:rPr>
        <w:t xml:space="preserve"> and which may vary depending on the program chosen.</w:t>
      </w:r>
      <w:r w:rsidRPr="00505647">
        <w:rPr>
          <w:rStyle w:val="Appelnotedebasdep"/>
          <w:rFonts w:cs="Arial"/>
        </w:rPr>
        <w:footnoteReference w:id="77"/>
      </w:r>
    </w:p>
    <w:p w14:paraId="6625C398" w14:textId="77777777" w:rsidR="00040F4A" w:rsidRPr="00505647" w:rsidRDefault="0046182F" w:rsidP="00040F4A">
      <w:pPr>
        <w:pStyle w:val="Paragraphe"/>
        <w:rPr>
          <w:rFonts w:cs="Arial"/>
        </w:rPr>
      </w:pPr>
      <w:r w:rsidRPr="00505647">
        <w:rPr>
          <w:rFonts w:cs="Arial"/>
        </w:rPr>
        <w:t>As part of its undercover operations, the Authority was able to make an investment by contributing one (1) USDT to a “Fixed Savings” program for a 30-day lock-up period.</w:t>
      </w:r>
      <w:r w:rsidRPr="00505647">
        <w:rPr>
          <w:rStyle w:val="Appelnotedebasdep"/>
          <w:rFonts w:cs="Arial"/>
        </w:rPr>
        <w:footnoteReference w:id="78"/>
      </w:r>
    </w:p>
    <w:p w14:paraId="51CD8817" w14:textId="18DDB840" w:rsidR="00040F4A" w:rsidRPr="00505647" w:rsidRDefault="0046182F" w:rsidP="00040F4A">
      <w:pPr>
        <w:pStyle w:val="Paragraphe"/>
        <w:rPr>
          <w:rFonts w:cs="Arial"/>
        </w:rPr>
      </w:pPr>
      <w:r w:rsidRPr="00505647">
        <w:rPr>
          <w:rFonts w:cs="Arial"/>
        </w:rPr>
        <w:t>Contributions in the case of participation in one of the investment programs linked to proof-of-stake (or “Staking”) validation mechanisms involve the investor pledging crypto assets for varying durations ranging from a few hours in the context of “New Coin Staking” type programs, to 30 or 90 days in the case of “</w:t>
      </w:r>
      <w:proofErr w:type="spellStart"/>
      <w:r w:rsidRPr="00505647">
        <w:rPr>
          <w:rFonts w:cs="Arial"/>
        </w:rPr>
        <w:t>PoS</w:t>
      </w:r>
      <w:proofErr w:type="spellEnd"/>
      <w:r w:rsidRPr="00505647">
        <w:rPr>
          <w:rFonts w:cs="Arial"/>
        </w:rPr>
        <w:t xml:space="preserve"> Staking” type programs.</w:t>
      </w:r>
      <w:r w:rsidRPr="00505647">
        <w:rPr>
          <w:rStyle w:val="Appelnotedebasdep"/>
          <w:rFonts w:cs="Arial"/>
        </w:rPr>
        <w:footnoteReference w:id="79"/>
      </w:r>
    </w:p>
    <w:p w14:paraId="54EACD72" w14:textId="099D913A" w:rsidR="00040F4A" w:rsidRPr="00505647" w:rsidRDefault="0046182F" w:rsidP="00040F4A">
      <w:pPr>
        <w:pStyle w:val="Paragraphe"/>
        <w:rPr>
          <w:rFonts w:cs="Arial"/>
        </w:rPr>
      </w:pPr>
      <w:r w:rsidRPr="00505647">
        <w:rPr>
          <w:rFonts w:cs="Arial"/>
        </w:rPr>
        <w:t>As part of its undercover operations, the Authority was able to invest in a “</w:t>
      </w:r>
      <w:proofErr w:type="spellStart"/>
      <w:r w:rsidRPr="00505647">
        <w:rPr>
          <w:rFonts w:cs="Arial"/>
        </w:rPr>
        <w:t>PoS</w:t>
      </w:r>
      <w:proofErr w:type="spellEnd"/>
      <w:r w:rsidRPr="00505647">
        <w:rPr>
          <w:rFonts w:cs="Arial"/>
        </w:rPr>
        <w:t xml:space="preserve"> Staking” type program for a term of 30 days through a contribution of one (1) USDT.</w:t>
      </w:r>
      <w:r w:rsidRPr="00505647">
        <w:rPr>
          <w:rStyle w:val="Appelnotedebasdep"/>
          <w:rFonts w:cs="Arial"/>
        </w:rPr>
        <w:footnoteReference w:id="80"/>
      </w:r>
    </w:p>
    <w:p w14:paraId="1D604A09" w14:textId="72EF8304" w:rsidR="00503D36" w:rsidRPr="00505647" w:rsidRDefault="0046182F" w:rsidP="004A2491">
      <w:pPr>
        <w:pStyle w:val="Paragraphe"/>
        <w:rPr>
          <w:rFonts w:cs="Arial"/>
        </w:rPr>
      </w:pPr>
      <w:r w:rsidRPr="00505647">
        <w:rPr>
          <w:rFonts w:cs="Arial"/>
        </w:rPr>
        <w:t xml:space="preserve">Thus, the evidence shows that </w:t>
      </w:r>
      <w:proofErr w:type="gramStart"/>
      <w:r w:rsidRPr="00505647">
        <w:rPr>
          <w:rFonts w:cs="Arial"/>
        </w:rPr>
        <w:t>in order to</w:t>
      </w:r>
      <w:proofErr w:type="gramEnd"/>
      <w:r w:rsidRPr="00505647">
        <w:rPr>
          <w:rFonts w:cs="Arial"/>
        </w:rPr>
        <w:t xml:space="preserve"> obtain the four products and services offered by the respondents through the XT.com website, investors must make a contribution.</w:t>
      </w:r>
    </w:p>
    <w:p w14:paraId="4ED86841" w14:textId="77777777" w:rsidR="00040F4A" w:rsidRPr="00505647" w:rsidRDefault="0046182F" w:rsidP="00040F4A">
      <w:pPr>
        <w:pStyle w:val="Titre5"/>
        <w:rPr>
          <w:rFonts w:cs="Arial"/>
        </w:rPr>
      </w:pPr>
      <w:r w:rsidRPr="00505647">
        <w:rPr>
          <w:rFonts w:cs="Arial"/>
          <w:bCs w:val="0"/>
        </w:rPr>
        <w:t>“</w:t>
      </w:r>
      <w:proofErr w:type="gramStart"/>
      <w:r w:rsidRPr="00505647">
        <w:rPr>
          <w:rFonts w:cs="Arial"/>
          <w:bCs w:val="0"/>
        </w:rPr>
        <w:t>the</w:t>
      </w:r>
      <w:proofErr w:type="gramEnd"/>
      <w:r w:rsidRPr="00505647">
        <w:rPr>
          <w:rFonts w:cs="Arial"/>
          <w:bCs w:val="0"/>
        </w:rPr>
        <w:t xml:space="preserve"> venture”</w:t>
      </w:r>
    </w:p>
    <w:p w14:paraId="5F245749" w14:textId="77777777" w:rsidR="00040F4A" w:rsidRPr="00505647" w:rsidRDefault="0046182F" w:rsidP="00040F4A">
      <w:pPr>
        <w:numPr>
          <w:ilvl w:val="0"/>
          <w:numId w:val="1"/>
        </w:numPr>
        <w:tabs>
          <w:tab w:val="clear" w:pos="360"/>
        </w:tabs>
        <w:spacing w:before="120" w:after="120"/>
        <w:jc w:val="both"/>
        <w:rPr>
          <w:rFonts w:cs="Arial"/>
          <w:color w:val="000000"/>
          <w:szCs w:val="24"/>
        </w:rPr>
      </w:pPr>
      <w:r w:rsidRPr="00505647">
        <w:rPr>
          <w:rFonts w:cs="Arial"/>
          <w:color w:val="000000"/>
          <w:szCs w:val="24"/>
        </w:rPr>
        <w:t xml:space="preserve">In </w:t>
      </w:r>
      <w:proofErr w:type="spellStart"/>
      <w:r w:rsidRPr="00505647">
        <w:rPr>
          <w:rFonts w:cs="Arial"/>
          <w:i/>
          <w:iCs/>
          <w:color w:val="000000"/>
          <w:szCs w:val="24"/>
        </w:rPr>
        <w:t>PlexCoin</w:t>
      </w:r>
      <w:proofErr w:type="spellEnd"/>
      <w:r w:rsidRPr="00505647">
        <w:rPr>
          <w:rFonts w:cs="Arial"/>
          <w:color w:val="000000"/>
          <w:szCs w:val="24"/>
        </w:rPr>
        <w:t>,</w:t>
      </w:r>
      <w:r w:rsidRPr="00505647">
        <w:rPr>
          <w:rStyle w:val="Appelnotedebasdep"/>
          <w:rFonts w:cs="Arial"/>
          <w:color w:val="000000"/>
          <w:szCs w:val="24"/>
        </w:rPr>
        <w:footnoteReference w:id="81"/>
      </w:r>
      <w:r w:rsidRPr="00505647">
        <w:rPr>
          <w:rFonts w:cs="Arial"/>
          <w:color w:val="000000"/>
          <w:szCs w:val="24"/>
        </w:rPr>
        <w:t xml:space="preserve"> which deals with cryptocurrency offered to the public through websites and social media, the Tribunal determines that the venture consists of the following:</w:t>
      </w:r>
    </w:p>
    <w:p w14:paraId="103564EA" w14:textId="442E9633" w:rsidR="00040F4A" w:rsidRPr="00505647" w:rsidRDefault="0046182F" w:rsidP="00040F4A">
      <w:pPr>
        <w:pStyle w:val="Citationendoubleretrait"/>
        <w:rPr>
          <w:rFonts w:cs="Arial"/>
        </w:rPr>
      </w:pPr>
      <w:r w:rsidRPr="00505647">
        <w:rPr>
          <w:rFonts w:cs="Arial"/>
        </w:rPr>
        <w:lastRenderedPageBreak/>
        <w:t xml:space="preserve">[TRANSLATION] “Thus, in what is proposed to the investor, “the venture” is the entire arrangement offered to the investor, including its creation, promotion, the issuing of </w:t>
      </w:r>
      <w:proofErr w:type="spellStart"/>
      <w:r w:rsidRPr="00505647">
        <w:rPr>
          <w:rFonts w:cs="Arial"/>
        </w:rPr>
        <w:t>PlexCoin</w:t>
      </w:r>
      <w:proofErr w:type="spellEnd"/>
      <w:r w:rsidRPr="00505647">
        <w:rPr>
          <w:rFonts w:cs="Arial"/>
        </w:rPr>
        <w:t xml:space="preserve"> to the public, its marketing, the management of the related bonus returns, management of its liquidity, its security and the establishment of a viable market for that cryptocurrency”</w:t>
      </w:r>
      <w:r w:rsidR="005B212F" w:rsidRPr="00505647">
        <w:rPr>
          <w:rFonts w:cs="Arial"/>
        </w:rPr>
        <w:t>.</w:t>
      </w:r>
      <w:r w:rsidRPr="00505647">
        <w:rPr>
          <w:rFonts w:cs="Arial"/>
        </w:rPr>
        <w:t xml:space="preserve"> </w:t>
      </w:r>
    </w:p>
    <w:p w14:paraId="6B6D0CDE" w14:textId="3A7CA5D7" w:rsidR="00040F4A" w:rsidRPr="00505647" w:rsidRDefault="0046182F" w:rsidP="00040F4A">
      <w:pPr>
        <w:pStyle w:val="Paragraphe"/>
        <w:rPr>
          <w:rFonts w:cs="Arial"/>
          <w:color w:val="000000"/>
          <w:szCs w:val="24"/>
        </w:rPr>
      </w:pPr>
      <w:r w:rsidRPr="00FF3412">
        <w:rPr>
          <w:rFonts w:cs="Arial"/>
          <w:color w:val="000000"/>
          <w:szCs w:val="24"/>
        </w:rPr>
        <w:t>Counsel</w:t>
      </w:r>
      <w:r w:rsidRPr="00505647">
        <w:rPr>
          <w:rFonts w:cs="Arial"/>
          <w:color w:val="000000"/>
          <w:szCs w:val="24"/>
        </w:rPr>
        <w:t xml:space="preserve"> for the Authority summed up the venture in this matter very well in mentioning that it consists [TRANSLATION] “of a </w:t>
      </w:r>
      <w:r w:rsidRPr="00505647">
        <w:rPr>
          <w:rFonts w:cs="Arial"/>
        </w:rPr>
        <w:t>turnkey solution that allows investors to hope to earn passive profits by assessing the value of the crypto assets over which they hold rights as well as by the efficient use of crypto assets by the respondents in order to generate the returns represented, while dependent on the work of the latter to ensure their custody, said efficient use, and ultimately the success of said venture”.</w:t>
      </w:r>
    </w:p>
    <w:p w14:paraId="519392C3" w14:textId="77777777" w:rsidR="00040F4A" w:rsidRPr="00505647" w:rsidRDefault="0046182F" w:rsidP="00040F4A">
      <w:pPr>
        <w:pStyle w:val="Paragraphe"/>
        <w:rPr>
          <w:rFonts w:cs="Arial"/>
          <w:color w:val="000000"/>
          <w:sz w:val="27"/>
          <w:szCs w:val="27"/>
        </w:rPr>
      </w:pPr>
      <w:r w:rsidRPr="00505647">
        <w:rPr>
          <w:rFonts w:cs="Arial"/>
          <w:color w:val="000000"/>
          <w:szCs w:val="24"/>
        </w:rPr>
        <w:t>According to the Tribunal, the venture proposed to the investors by the respondents is broken down as follows:</w:t>
      </w:r>
    </w:p>
    <w:p w14:paraId="25723542"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creation and management of products and services offered on the XT.com </w:t>
      </w:r>
      <w:proofErr w:type="gramStart"/>
      <w:r w:rsidRPr="00505647">
        <w:rPr>
          <w:rFonts w:cs="Arial"/>
          <w:color w:val="000000"/>
          <w:szCs w:val="24"/>
        </w:rPr>
        <w:t>website;</w:t>
      </w:r>
      <w:proofErr w:type="gramEnd"/>
    </w:p>
    <w:p w14:paraId="2971E677" w14:textId="030A257E"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creation, development and establishment of a web-based platform where investors can obtain the products and services offered by the </w:t>
      </w:r>
      <w:proofErr w:type="gramStart"/>
      <w:r w:rsidRPr="00505647">
        <w:rPr>
          <w:rFonts w:cs="Arial"/>
          <w:color w:val="000000"/>
          <w:szCs w:val="24"/>
        </w:rPr>
        <w:t>respondents;</w:t>
      </w:r>
      <w:proofErr w:type="gramEnd"/>
    </w:p>
    <w:p w14:paraId="11A333A2"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design, management and updating of the XT.com </w:t>
      </w:r>
      <w:proofErr w:type="gramStart"/>
      <w:r w:rsidRPr="00505647">
        <w:rPr>
          <w:rFonts w:cs="Arial"/>
          <w:color w:val="000000"/>
          <w:szCs w:val="24"/>
        </w:rPr>
        <w:t>website;</w:t>
      </w:r>
      <w:proofErr w:type="gramEnd"/>
    </w:p>
    <w:p w14:paraId="1003FB2A" w14:textId="77777777" w:rsidR="004E79D2" w:rsidRPr="00505647" w:rsidRDefault="0046182F" w:rsidP="004E79D2">
      <w:pPr>
        <w:pStyle w:val="Paragraphe"/>
        <w:numPr>
          <w:ilvl w:val="0"/>
          <w:numId w:val="18"/>
        </w:numPr>
        <w:rPr>
          <w:rFonts w:cs="Arial"/>
          <w:color w:val="000000"/>
          <w:szCs w:val="24"/>
        </w:rPr>
      </w:pPr>
      <w:r w:rsidRPr="00505647">
        <w:rPr>
          <w:rFonts w:cs="Arial"/>
          <w:color w:val="000000"/>
          <w:szCs w:val="24"/>
        </w:rPr>
        <w:t xml:space="preserve">the offer to generate passive profits </w:t>
      </w:r>
      <w:proofErr w:type="gramStart"/>
      <w:r w:rsidRPr="00505647">
        <w:rPr>
          <w:rFonts w:cs="Arial"/>
          <w:color w:val="000000"/>
          <w:szCs w:val="24"/>
        </w:rPr>
        <w:t>online;</w:t>
      </w:r>
      <w:proofErr w:type="gramEnd"/>
    </w:p>
    <w:p w14:paraId="5708D6FB" w14:textId="42A4067F" w:rsidR="004E79D2" w:rsidRPr="00505647" w:rsidRDefault="0046182F" w:rsidP="004E79D2">
      <w:pPr>
        <w:pStyle w:val="Paragraphe"/>
        <w:numPr>
          <w:ilvl w:val="0"/>
          <w:numId w:val="18"/>
        </w:numPr>
        <w:rPr>
          <w:rFonts w:cs="Arial"/>
          <w:color w:val="000000"/>
          <w:szCs w:val="24"/>
        </w:rPr>
      </w:pPr>
      <w:r w:rsidRPr="00505647">
        <w:rPr>
          <w:rFonts w:cs="Arial"/>
          <w:color w:val="000000"/>
          <w:szCs w:val="24"/>
        </w:rPr>
        <w:t xml:space="preserve">the promotion of the products and services offered by the </w:t>
      </w:r>
      <w:proofErr w:type="gramStart"/>
      <w:r w:rsidRPr="00505647">
        <w:rPr>
          <w:rFonts w:cs="Arial"/>
          <w:color w:val="000000"/>
          <w:szCs w:val="24"/>
        </w:rPr>
        <w:t>respondents;</w:t>
      </w:r>
      <w:proofErr w:type="gramEnd"/>
    </w:p>
    <w:p w14:paraId="3D007D82" w14:textId="3A73E5A8"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acceptance and execution of transactions through the XT.com </w:t>
      </w:r>
      <w:proofErr w:type="gramStart"/>
      <w:r w:rsidRPr="00505647">
        <w:rPr>
          <w:rFonts w:cs="Arial"/>
          <w:color w:val="000000"/>
          <w:szCs w:val="24"/>
        </w:rPr>
        <w:t>website;</w:t>
      </w:r>
      <w:proofErr w:type="gramEnd"/>
    </w:p>
    <w:p w14:paraId="56DBABC8" w14:textId="55131B2C"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custody of crypto assets over which investors hold contractual </w:t>
      </w:r>
      <w:proofErr w:type="gramStart"/>
      <w:r w:rsidRPr="00505647">
        <w:rPr>
          <w:rFonts w:cs="Arial"/>
          <w:color w:val="000000"/>
          <w:szCs w:val="24"/>
        </w:rPr>
        <w:t>rights;</w:t>
      </w:r>
      <w:proofErr w:type="gramEnd"/>
    </w:p>
    <w:p w14:paraId="445A0367"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use of crypto assets over which investors have contractual rights to generate the represented </w:t>
      </w:r>
      <w:proofErr w:type="gramStart"/>
      <w:r w:rsidRPr="00505647">
        <w:rPr>
          <w:rFonts w:cs="Arial"/>
          <w:color w:val="000000"/>
          <w:szCs w:val="24"/>
        </w:rPr>
        <w:t>returns;</w:t>
      </w:r>
      <w:proofErr w:type="gramEnd"/>
    </w:p>
    <w:p w14:paraId="04860B8C" w14:textId="09C5DD8B"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the selection of suppliers of services and equipment; and</w:t>
      </w:r>
    </w:p>
    <w:p w14:paraId="2575A193"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the management of the respondents’ human resources.</w:t>
      </w:r>
    </w:p>
    <w:p w14:paraId="2CC44238" w14:textId="77777777" w:rsidR="00040F4A" w:rsidRPr="00505647" w:rsidRDefault="0046182F" w:rsidP="00040F4A">
      <w:pPr>
        <w:pStyle w:val="Paragraphe"/>
        <w:rPr>
          <w:rFonts w:cs="Arial"/>
        </w:rPr>
      </w:pPr>
      <w:r w:rsidRPr="00505647">
        <w:rPr>
          <w:rFonts w:cs="Arial"/>
        </w:rPr>
        <w:t xml:space="preserve">The Tribunal notes that, according to </w:t>
      </w:r>
      <w:r w:rsidRPr="00505647">
        <w:rPr>
          <w:rFonts w:cs="Arial"/>
          <w:i/>
          <w:iCs/>
        </w:rPr>
        <w:t>Pacific Coast</w:t>
      </w:r>
      <w:r w:rsidRPr="00505647">
        <w:rPr>
          <w:rFonts w:cs="Arial"/>
        </w:rPr>
        <w:t>,</w:t>
      </w:r>
      <w:r w:rsidRPr="00505647">
        <w:rPr>
          <w:rStyle w:val="Appelnotedebasdep"/>
          <w:rFonts w:cs="Arial"/>
          <w:szCs w:val="24"/>
        </w:rPr>
        <w:footnoteReference w:id="82"/>
      </w:r>
      <w:r w:rsidRPr="00505647">
        <w:rPr>
          <w:rFonts w:cs="Arial"/>
        </w:rPr>
        <w:t xml:space="preserve"> which refers to </w:t>
      </w:r>
      <w:r w:rsidRPr="00505647">
        <w:rPr>
          <w:rFonts w:cs="Arial"/>
          <w:i/>
          <w:iCs/>
        </w:rPr>
        <w:t>Howey</w:t>
      </w:r>
      <w:r w:rsidRPr="00505647">
        <w:rPr>
          <w:rFonts w:cs="Arial"/>
        </w:rPr>
        <w:t>,</w:t>
      </w:r>
      <w:r w:rsidRPr="00505647">
        <w:rPr>
          <w:rStyle w:val="Appelnotedebasdep"/>
          <w:rFonts w:cs="Arial"/>
          <w:szCs w:val="24"/>
        </w:rPr>
        <w:footnoteReference w:id="83"/>
      </w:r>
      <w:r w:rsidRPr="00505647">
        <w:rPr>
          <w:rFonts w:cs="Arial"/>
        </w:rPr>
        <w:t xml:space="preserve"> it is necessary to determine whether the scheme offered to investors involves “an investment of money in a common enterprise, with profits to come solely from the efforts of others.” </w:t>
      </w:r>
    </w:p>
    <w:p w14:paraId="002D3291" w14:textId="77777777" w:rsidR="00040F4A" w:rsidRPr="00505647" w:rsidRDefault="0046182F" w:rsidP="00040F4A">
      <w:pPr>
        <w:pStyle w:val="Paragraphe"/>
        <w:rPr>
          <w:rFonts w:cs="Arial"/>
          <w:color w:val="000000"/>
          <w:szCs w:val="24"/>
        </w:rPr>
      </w:pPr>
      <w:r w:rsidRPr="00505647">
        <w:rPr>
          <w:rFonts w:cs="Arial"/>
        </w:rPr>
        <w:t xml:space="preserve">Also in </w:t>
      </w:r>
      <w:r w:rsidRPr="00505647">
        <w:rPr>
          <w:rFonts w:cs="Arial"/>
          <w:i/>
          <w:iCs/>
        </w:rPr>
        <w:t>Pacific Coast</w:t>
      </w:r>
      <w:r w:rsidRPr="00505647">
        <w:rPr>
          <w:rFonts w:cs="Arial"/>
        </w:rPr>
        <w:t>,</w:t>
      </w:r>
      <w:r w:rsidRPr="00505647">
        <w:rPr>
          <w:rStyle w:val="Appelnotedebasdep"/>
          <w:rFonts w:cs="Arial"/>
        </w:rPr>
        <w:footnoteReference w:id="84"/>
      </w:r>
      <w:r w:rsidRPr="00505647">
        <w:rPr>
          <w:rFonts w:cs="Arial"/>
        </w:rPr>
        <w:t xml:space="preserve"> the Supreme Court of Canada states the following about the common enterprise: </w:t>
      </w:r>
    </w:p>
    <w:p w14:paraId="60F99E72" w14:textId="3A1E5BE0" w:rsidR="00040F4A" w:rsidRPr="00505647" w:rsidRDefault="0046182F" w:rsidP="00040F4A">
      <w:pPr>
        <w:pStyle w:val="Citationendoubleretrait"/>
        <w:rPr>
          <w:rFonts w:cs="Arial"/>
        </w:rPr>
      </w:pPr>
      <w:r w:rsidRPr="00505647">
        <w:rPr>
          <w:rFonts w:cs="Arial"/>
        </w:rPr>
        <w:lastRenderedPageBreak/>
        <w:t>“In my view, the test of common enterprise is met in the case at bar. I accept respondent’s submission that such an enterprise exists when it is undertaken for the benefit of the supplier of capital (the investor) and of those who solicit the capital (the promoter).  In this relationship, the investor’s role is limited to the advancement of money, the managerial control over the success of the enterprise being that of the promoter; therein lies the community. In other words, the “commonality” necessary for an investment contract is that between the investor and the promoter. There is no need for the enterprise to be common to the investors between themselves.”</w:t>
      </w:r>
    </w:p>
    <w:p w14:paraId="634056FA" w14:textId="77777777" w:rsidR="00040F4A" w:rsidRPr="00505647" w:rsidRDefault="0046182F" w:rsidP="00040F4A">
      <w:pPr>
        <w:pStyle w:val="Paragraphe"/>
        <w:rPr>
          <w:rFonts w:cs="Arial"/>
          <w:color w:val="000000"/>
          <w:szCs w:val="24"/>
        </w:rPr>
      </w:pPr>
      <w:r w:rsidRPr="00505647">
        <w:rPr>
          <w:rFonts w:cs="Arial"/>
          <w:color w:val="000000"/>
        </w:rPr>
        <w:t>In the case at hand, the Tribunal is of the opinion that such a commonality of interest exists. The sole role of the investors is to advance funds, while the respondents alone assume managerial control over the venture.</w:t>
      </w:r>
    </w:p>
    <w:p w14:paraId="36559BB3" w14:textId="59889063" w:rsidR="00040F4A" w:rsidRPr="00505647" w:rsidRDefault="0046182F" w:rsidP="00040F4A">
      <w:pPr>
        <w:pStyle w:val="Paragraphe"/>
        <w:rPr>
          <w:rFonts w:cs="Arial"/>
          <w:color w:val="000000"/>
          <w:szCs w:val="24"/>
        </w:rPr>
      </w:pPr>
      <w:r w:rsidRPr="00505647">
        <w:rPr>
          <w:rFonts w:cs="Arial"/>
        </w:rPr>
        <w:t xml:space="preserve">The Tribunal is of the opinion that the offer made to the public by the respondents is </w:t>
      </w:r>
      <w:r w:rsidR="009D68E0">
        <w:rPr>
          <w:rFonts w:cs="Arial"/>
        </w:rPr>
        <w:t xml:space="preserve">a </w:t>
      </w:r>
      <w:proofErr w:type="gramStart"/>
      <w:r w:rsidR="009D68E0">
        <w:rPr>
          <w:rFonts w:cs="Arial"/>
        </w:rPr>
        <w:t xml:space="preserve">participation </w:t>
      </w:r>
      <w:r w:rsidRPr="00505647">
        <w:rPr>
          <w:rFonts w:cs="Arial"/>
        </w:rPr>
        <w:t xml:space="preserve"> in</w:t>
      </w:r>
      <w:proofErr w:type="gramEnd"/>
      <w:r w:rsidRPr="00505647">
        <w:rPr>
          <w:rFonts w:cs="Arial"/>
        </w:rPr>
        <w:t xml:space="preserve"> a common </w:t>
      </w:r>
      <w:r w:rsidR="00EB6BE3">
        <w:rPr>
          <w:rFonts w:cs="Arial"/>
        </w:rPr>
        <w:t xml:space="preserve">enterprise </w:t>
      </w:r>
      <w:r w:rsidRPr="00505647">
        <w:rPr>
          <w:rFonts w:cs="Arial"/>
        </w:rPr>
        <w:t xml:space="preserve"> that is a “venture” within the meaning of the definition of an investment contract.</w:t>
      </w:r>
    </w:p>
    <w:p w14:paraId="0D42E491" w14:textId="77777777" w:rsidR="00040F4A" w:rsidRPr="00505647" w:rsidRDefault="0046182F" w:rsidP="001E38E2">
      <w:pPr>
        <w:pStyle w:val="Titre4"/>
        <w:rPr>
          <w:rFonts w:cs="Arial"/>
        </w:rPr>
      </w:pPr>
      <w:r w:rsidRPr="00505647">
        <w:rPr>
          <w:rFonts w:cs="Arial"/>
        </w:rPr>
        <w:t>“</w:t>
      </w:r>
      <w:proofErr w:type="gramStart"/>
      <w:r w:rsidRPr="00505647">
        <w:rPr>
          <w:rFonts w:cs="Arial"/>
        </w:rPr>
        <w:t>the</w:t>
      </w:r>
      <w:proofErr w:type="gramEnd"/>
      <w:r w:rsidRPr="00505647">
        <w:rPr>
          <w:rFonts w:cs="Arial"/>
        </w:rPr>
        <w:t xml:space="preserve"> risk”</w:t>
      </w:r>
    </w:p>
    <w:p w14:paraId="5A474D8A" w14:textId="77777777" w:rsidR="00040F4A" w:rsidRPr="00505647" w:rsidRDefault="0046182F" w:rsidP="00040F4A">
      <w:pPr>
        <w:pStyle w:val="Paragraphe"/>
        <w:rPr>
          <w:rFonts w:cs="Arial"/>
        </w:rPr>
      </w:pPr>
      <w:bookmarkStart w:id="8" w:name="_Hlk142118879"/>
      <w:r w:rsidRPr="00505647">
        <w:rPr>
          <w:rFonts w:cs="Arial"/>
        </w:rPr>
        <w:t>The Tribunal is of the opinion that the following risks, developed in the Tribunal’s case law,</w:t>
      </w:r>
      <w:r w:rsidRPr="00505647">
        <w:rPr>
          <w:rStyle w:val="Appelnotedebasdep"/>
          <w:rFonts w:cs="Arial"/>
        </w:rPr>
        <w:footnoteReference w:id="85"/>
      </w:r>
      <w:r w:rsidRPr="00505647">
        <w:rPr>
          <w:rFonts w:cs="Arial"/>
        </w:rPr>
        <w:t xml:space="preserve"> are present in this case:</w:t>
      </w:r>
    </w:p>
    <w:p w14:paraId="7C76902E"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choice to invest in one business over </w:t>
      </w:r>
      <w:proofErr w:type="gramStart"/>
      <w:r w:rsidRPr="00505647">
        <w:rPr>
          <w:rFonts w:cs="Arial"/>
          <w:color w:val="000000"/>
          <w:szCs w:val="24"/>
        </w:rPr>
        <w:t>another;</w:t>
      </w:r>
      <w:proofErr w:type="gramEnd"/>
    </w:p>
    <w:p w14:paraId="6B8627E0" w14:textId="0AF5B662"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the lack of investor knowledge and control over “the carrying on of the venture</w:t>
      </w:r>
      <w:proofErr w:type="gramStart"/>
      <w:r w:rsidRPr="00505647">
        <w:rPr>
          <w:rFonts w:cs="Arial"/>
          <w:color w:val="000000"/>
          <w:szCs w:val="24"/>
        </w:rPr>
        <w:t>”;</w:t>
      </w:r>
      <w:proofErr w:type="gramEnd"/>
    </w:p>
    <w:p w14:paraId="14B49D43"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risk that every investor will be totally dependent on the respondents' efforts to make </w:t>
      </w:r>
      <w:proofErr w:type="gramStart"/>
      <w:r w:rsidRPr="00505647">
        <w:rPr>
          <w:rFonts w:cs="Arial"/>
          <w:color w:val="000000"/>
          <w:szCs w:val="24"/>
        </w:rPr>
        <w:t>profits;</w:t>
      </w:r>
      <w:proofErr w:type="gramEnd"/>
    </w:p>
    <w:p w14:paraId="7001C191"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risk that investors will not receive the expected </w:t>
      </w:r>
      <w:proofErr w:type="gramStart"/>
      <w:r w:rsidRPr="00505647">
        <w:rPr>
          <w:rFonts w:cs="Arial"/>
          <w:color w:val="000000"/>
          <w:szCs w:val="24"/>
        </w:rPr>
        <w:t>profits;</w:t>
      </w:r>
      <w:proofErr w:type="gramEnd"/>
    </w:p>
    <w:p w14:paraId="0E6BDAA7"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risk of losing an investment if the respondents cease their activities for any </w:t>
      </w:r>
      <w:proofErr w:type="gramStart"/>
      <w:r w:rsidRPr="00505647">
        <w:rPr>
          <w:rFonts w:cs="Arial"/>
          <w:color w:val="000000"/>
          <w:szCs w:val="24"/>
        </w:rPr>
        <w:t>reason;</w:t>
      </w:r>
      <w:proofErr w:type="gramEnd"/>
    </w:p>
    <w:p w14:paraId="5AAFFFA0"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 xml:space="preserve">the risk of inability to access the </w:t>
      </w:r>
      <w:proofErr w:type="gramStart"/>
      <w:r w:rsidRPr="00505647">
        <w:rPr>
          <w:rFonts w:cs="Arial"/>
          <w:color w:val="000000"/>
          <w:szCs w:val="24"/>
        </w:rPr>
        <w:t>platform;</w:t>
      </w:r>
      <w:proofErr w:type="gramEnd"/>
    </w:p>
    <w:p w14:paraId="2CEE777D"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the risk of platform intrusion as well as the risk of technological obsolescence; and</w:t>
      </w:r>
    </w:p>
    <w:p w14:paraId="536AD27F" w14:textId="77777777" w:rsidR="00040F4A" w:rsidRPr="00505647" w:rsidRDefault="0046182F" w:rsidP="00040F4A">
      <w:pPr>
        <w:pStyle w:val="Paragraphe"/>
        <w:numPr>
          <w:ilvl w:val="0"/>
          <w:numId w:val="18"/>
        </w:numPr>
        <w:rPr>
          <w:rFonts w:cs="Arial"/>
          <w:color w:val="000000"/>
          <w:szCs w:val="24"/>
        </w:rPr>
      </w:pPr>
      <w:r w:rsidRPr="00505647">
        <w:rPr>
          <w:rFonts w:cs="Arial"/>
          <w:color w:val="000000"/>
          <w:szCs w:val="24"/>
        </w:rPr>
        <w:t>the risk to the privacy of investors’ personal information.</w:t>
      </w:r>
    </w:p>
    <w:p w14:paraId="441A350B" w14:textId="77777777" w:rsidR="00040F4A" w:rsidRPr="00505647" w:rsidRDefault="0046182F" w:rsidP="00040F4A">
      <w:pPr>
        <w:pStyle w:val="Paragraphe"/>
        <w:rPr>
          <w:rFonts w:cs="Arial"/>
        </w:rPr>
      </w:pPr>
      <w:r w:rsidRPr="00505647">
        <w:rPr>
          <w:rFonts w:cs="Arial"/>
        </w:rPr>
        <w:lastRenderedPageBreak/>
        <w:t>CSA Staff Notice 21-327</w:t>
      </w:r>
      <w:r w:rsidRPr="00505647">
        <w:rPr>
          <w:rStyle w:val="Appelnotedebasdep"/>
          <w:rFonts w:cs="Arial"/>
        </w:rPr>
        <w:footnoteReference w:id="86"/>
      </w:r>
      <w:r w:rsidRPr="00505647">
        <w:rPr>
          <w:rFonts w:cs="Arial"/>
        </w:rPr>
        <w:t xml:space="preserve"> outlines the risks faced by users of certain crypto asset trading platforms. It mentions that immediate delivery of crypto assets may not be mandatory:  </w:t>
      </w:r>
      <w:bookmarkEnd w:id="8"/>
    </w:p>
    <w:p w14:paraId="3C71B7D8" w14:textId="77777777" w:rsidR="00040F4A" w:rsidRPr="00505647" w:rsidRDefault="0046182F" w:rsidP="00040F4A">
      <w:pPr>
        <w:pStyle w:val="Citationendoubleretrait"/>
        <w:rPr>
          <w:rFonts w:cs="Arial"/>
        </w:rPr>
      </w:pPr>
      <w:r w:rsidRPr="00505647">
        <w:rPr>
          <w:rFonts w:cs="Arial"/>
        </w:rPr>
        <w:t>“Potentially, there will be ongoing reliance</w:t>
      </w:r>
      <w:r w:rsidRPr="00505647">
        <w:rPr>
          <w:rFonts w:cs="Arial"/>
          <w:szCs w:val="22"/>
        </w:rPr>
        <w:t xml:space="preserve"> </w:t>
      </w:r>
      <w:r w:rsidRPr="00505647">
        <w:rPr>
          <w:rFonts w:cs="Arial"/>
        </w:rPr>
        <w:t xml:space="preserve">and dependence of the user on the Platform until the transfer to a user-controlled wallet is made. Until then, the user would not have ownership, </w:t>
      </w:r>
      <w:proofErr w:type="gramStart"/>
      <w:r w:rsidRPr="00505647">
        <w:rPr>
          <w:rFonts w:cs="Arial"/>
        </w:rPr>
        <w:t>possession</w:t>
      </w:r>
      <w:proofErr w:type="gramEnd"/>
      <w:r w:rsidRPr="00505647">
        <w:rPr>
          <w:rFonts w:cs="Arial"/>
        </w:rPr>
        <w:t xml:space="preserve"> and control of the crypto assets without reliance on the Platform. The user would be subject to ongoing exposure to insolvency risk (credit risk), fraud risk, performance risk and proficiency risk on the part of Platform.”</w:t>
      </w:r>
    </w:p>
    <w:p w14:paraId="71A6B2EE" w14:textId="0B3E3F4B" w:rsidR="00040F4A" w:rsidRPr="00505647" w:rsidRDefault="0046182F" w:rsidP="00040F4A">
      <w:pPr>
        <w:pStyle w:val="Paragraphe"/>
        <w:rPr>
          <w:rFonts w:cs="Arial"/>
        </w:rPr>
      </w:pPr>
      <w:r w:rsidRPr="00505647">
        <w:rPr>
          <w:rFonts w:cs="Arial"/>
        </w:rPr>
        <w:t xml:space="preserve">In this case, since the respondents do not immediately deliver the products to the investors, the investors do not obtain possession of them. Consequently, they are exposed to the risks associated with the custody of crypto assets by the respondents or third parties acting for them. </w:t>
      </w:r>
    </w:p>
    <w:p w14:paraId="232B5005" w14:textId="22423E66" w:rsidR="00040F4A" w:rsidRPr="00505647" w:rsidRDefault="0046182F" w:rsidP="00040F4A">
      <w:pPr>
        <w:pStyle w:val="Paragraphe"/>
        <w:rPr>
          <w:rFonts w:cs="Arial"/>
        </w:rPr>
      </w:pPr>
      <w:r w:rsidRPr="00505647">
        <w:rPr>
          <w:rFonts w:cs="Arial"/>
        </w:rPr>
        <w:t>Thus, investors must accept the terms of a user agreement</w:t>
      </w:r>
      <w:r w:rsidRPr="00505647">
        <w:rPr>
          <w:rStyle w:val="Appelnotedebasdep"/>
          <w:rFonts w:cs="Arial"/>
        </w:rPr>
        <w:footnoteReference w:id="87"/>
      </w:r>
      <w:r w:rsidRPr="00505647">
        <w:rPr>
          <w:rFonts w:cs="Arial"/>
        </w:rPr>
        <w:t xml:space="preserve"> that covers several risks. </w:t>
      </w:r>
      <w:proofErr w:type="gramStart"/>
      <w:r w:rsidRPr="00505647">
        <w:rPr>
          <w:rFonts w:cs="Arial"/>
        </w:rPr>
        <w:t>In particular, it</w:t>
      </w:r>
      <w:proofErr w:type="gramEnd"/>
      <w:r w:rsidRPr="00505647">
        <w:rPr>
          <w:rFonts w:cs="Arial"/>
        </w:rPr>
        <w:t xml:space="preserve"> mentions the following: </w:t>
      </w:r>
    </w:p>
    <w:p w14:paraId="4FA99786" w14:textId="299AEC5A" w:rsidR="00040F4A" w:rsidRPr="00505647" w:rsidRDefault="00140944" w:rsidP="00040F4A">
      <w:pPr>
        <w:pStyle w:val="Citationendoubleretrait"/>
        <w:rPr>
          <w:rFonts w:cs="Arial"/>
        </w:rPr>
      </w:pPr>
      <w:r w:rsidRPr="00505647">
        <w:rPr>
          <w:rFonts w:cs="Arial"/>
        </w:rPr>
        <w:t>“Digital asset trading has extremely high risks and is not suitable for most people […]. The company reserves the right to cancel or permanently freeze your account and hold you and your authorized agent accountable. This website reserves the right to modify, suspend or terminate the services of the website at any time. This website does not need to inform you before exercising the right to modify or suspend services […].”</w:t>
      </w:r>
    </w:p>
    <w:p w14:paraId="3826C300" w14:textId="06D0C297" w:rsidR="00040F4A" w:rsidRPr="00505647" w:rsidRDefault="0046182F" w:rsidP="00040F4A">
      <w:pPr>
        <w:pStyle w:val="Paragraphe"/>
        <w:rPr>
          <w:rFonts w:cs="Arial"/>
        </w:rPr>
      </w:pPr>
      <w:r w:rsidRPr="00505647">
        <w:rPr>
          <w:rFonts w:cs="Arial"/>
        </w:rPr>
        <w:t xml:space="preserve"> Investors who engage in performance programs (or “Savings”) or investment programs linked to proof-of-stake (or “Staking”) validation mechanisms must agree to the terms of a document entitled “XT Investment Activities Service Agreement”</w:t>
      </w:r>
      <w:r w:rsidRPr="00505647">
        <w:rPr>
          <w:rStyle w:val="Appelnotedebasdep"/>
          <w:rFonts w:cs="Arial"/>
        </w:rPr>
        <w:footnoteReference w:id="88"/>
      </w:r>
      <w:r w:rsidRPr="00505647">
        <w:rPr>
          <w:rFonts w:cs="Arial"/>
        </w:rPr>
        <w:t xml:space="preserve"> available on the XT.com website. </w:t>
      </w:r>
    </w:p>
    <w:p w14:paraId="4213B03D" w14:textId="77777777" w:rsidR="00040F4A" w:rsidRPr="00505647" w:rsidRDefault="0046182F" w:rsidP="00040F4A">
      <w:pPr>
        <w:pStyle w:val="Paragraphe"/>
        <w:rPr>
          <w:rFonts w:cs="Arial"/>
        </w:rPr>
      </w:pPr>
      <w:r w:rsidRPr="00505647">
        <w:rPr>
          <w:rFonts w:cs="Arial"/>
        </w:rPr>
        <w:t xml:space="preserve">This document lists risks associated with the use of the platform. It mentions that the money invested in these programs will be used for other purposes. It also specifies that investors accept the risks associated with their investment and that XT.com may suspend or terminate investment activities. </w:t>
      </w:r>
    </w:p>
    <w:p w14:paraId="085CFAD1" w14:textId="77777777" w:rsidR="00040F4A" w:rsidRPr="00505647" w:rsidRDefault="0046182F" w:rsidP="00040F4A">
      <w:pPr>
        <w:pStyle w:val="Paragraphe"/>
        <w:rPr>
          <w:rFonts w:cs="Arial"/>
        </w:rPr>
      </w:pPr>
      <w:r w:rsidRPr="00505647">
        <w:rPr>
          <w:rFonts w:cs="Arial"/>
        </w:rPr>
        <w:t>The Tribunal is of the opinion that investors participate in the risks of the venture in which they engage, including crypto asset contracts, non-fungible token (or “NFT”) contracts, performance programs (or “Savings”) and investment programs related to proof-of-stake (or “Staking”) validation mechanisms.</w:t>
      </w:r>
    </w:p>
    <w:p w14:paraId="720ED18E" w14:textId="77777777" w:rsidR="00040F4A" w:rsidRPr="00505647" w:rsidRDefault="0046182F" w:rsidP="00040F4A">
      <w:pPr>
        <w:pStyle w:val="Paragraphe"/>
        <w:rPr>
          <w:rFonts w:cs="Arial"/>
        </w:rPr>
      </w:pPr>
      <w:r w:rsidRPr="00505647">
        <w:rPr>
          <w:rFonts w:cs="Arial"/>
        </w:rPr>
        <w:t>The Tribunal considers that the third criterion of the definition of an investment contract is met.</w:t>
      </w:r>
    </w:p>
    <w:p w14:paraId="3D8A262D" w14:textId="77777777" w:rsidR="00040F4A" w:rsidRPr="00505647" w:rsidRDefault="0046182F" w:rsidP="00661358">
      <w:pPr>
        <w:pStyle w:val="Titre4"/>
        <w:rPr>
          <w:rFonts w:cs="Arial"/>
        </w:rPr>
      </w:pPr>
      <w:r w:rsidRPr="00505647">
        <w:rPr>
          <w:rFonts w:cs="Arial"/>
        </w:rPr>
        <w:lastRenderedPageBreak/>
        <w:t>“</w:t>
      </w:r>
      <w:proofErr w:type="gramStart"/>
      <w:r w:rsidRPr="00505647">
        <w:rPr>
          <w:rFonts w:cs="Arial"/>
        </w:rPr>
        <w:t>without</w:t>
      </w:r>
      <w:proofErr w:type="gramEnd"/>
      <w:r w:rsidRPr="00505647">
        <w:rPr>
          <w:rFonts w:cs="Arial"/>
        </w:rPr>
        <w:t xml:space="preserve"> having the required knowledge to carry on the venture or without obtaining the right to participate directly in decisions concerning the carrying on of the venture”</w:t>
      </w:r>
    </w:p>
    <w:p w14:paraId="16ACCB52" w14:textId="00A30B09" w:rsidR="00CD335A" w:rsidRPr="00505647" w:rsidRDefault="0046182F" w:rsidP="00212712">
      <w:pPr>
        <w:pStyle w:val="Paragraphe"/>
        <w:rPr>
          <w:rFonts w:cs="Arial"/>
        </w:rPr>
      </w:pPr>
      <w:r w:rsidRPr="00505647">
        <w:rPr>
          <w:rFonts w:cs="Arial"/>
        </w:rPr>
        <w:t>While only one of these two criteria is necessary to determine whether the respondents’ offer to investors is an investment contract, the Tribunal finds that both criteria are met.</w:t>
      </w:r>
    </w:p>
    <w:p w14:paraId="056478CD" w14:textId="32DD02F2" w:rsidR="00040F4A" w:rsidRPr="00505647" w:rsidRDefault="0046182F" w:rsidP="003E3522">
      <w:pPr>
        <w:pStyle w:val="Titre5"/>
        <w:ind w:left="734"/>
        <w:rPr>
          <w:rFonts w:cs="Arial"/>
        </w:rPr>
      </w:pPr>
      <w:r w:rsidRPr="00505647">
        <w:rPr>
          <w:rFonts w:cs="Arial"/>
          <w:bCs w:val="0"/>
        </w:rPr>
        <w:t>“</w:t>
      </w:r>
      <w:proofErr w:type="gramStart"/>
      <w:r w:rsidRPr="00505647">
        <w:rPr>
          <w:rFonts w:cs="Arial"/>
          <w:bCs w:val="0"/>
        </w:rPr>
        <w:t>without</w:t>
      </w:r>
      <w:proofErr w:type="gramEnd"/>
      <w:r w:rsidRPr="00505647">
        <w:rPr>
          <w:rFonts w:cs="Arial"/>
          <w:bCs w:val="0"/>
        </w:rPr>
        <w:t xml:space="preserve"> having the required knowledge to carry on the venture”</w:t>
      </w:r>
    </w:p>
    <w:p w14:paraId="7A7AFC27" w14:textId="77777777" w:rsidR="00040F4A" w:rsidRPr="00505647" w:rsidRDefault="0046182F" w:rsidP="00040F4A">
      <w:pPr>
        <w:pStyle w:val="Paragraphe"/>
        <w:rPr>
          <w:rFonts w:cs="Arial"/>
        </w:rPr>
      </w:pPr>
      <w:r w:rsidRPr="00505647">
        <w:rPr>
          <w:rFonts w:cs="Arial"/>
          <w:color w:val="000000"/>
          <w:kern w:val="0"/>
        </w:rPr>
        <w:t>It is recognized in both the Tribunal’s case law</w:t>
      </w:r>
      <w:r w:rsidRPr="00505647">
        <w:rPr>
          <w:rStyle w:val="Appelnotedebasdep"/>
          <w:rFonts w:cs="Arial"/>
          <w:color w:val="000000"/>
          <w:kern w:val="0"/>
        </w:rPr>
        <w:footnoteReference w:id="89"/>
      </w:r>
      <w:r w:rsidRPr="00505647">
        <w:rPr>
          <w:rFonts w:cs="Arial"/>
          <w:color w:val="000000"/>
          <w:kern w:val="0"/>
        </w:rPr>
        <w:t xml:space="preserve"> and that of other Canadian securities commissions</w:t>
      </w:r>
      <w:r w:rsidRPr="00505647">
        <w:rPr>
          <w:rStyle w:val="Appelnotedebasdep"/>
          <w:rFonts w:cs="Arial"/>
          <w:color w:val="000000"/>
          <w:kern w:val="0"/>
        </w:rPr>
        <w:footnoteReference w:id="90"/>
      </w:r>
      <w:r w:rsidRPr="00505647">
        <w:rPr>
          <w:rFonts w:cs="Arial"/>
          <w:color w:val="000000"/>
          <w:kern w:val="0"/>
        </w:rPr>
        <w:t xml:space="preserve"> that solicitation through the Internet is primarily directed at unsophisticated and vulnerable investors.</w:t>
      </w:r>
    </w:p>
    <w:p w14:paraId="5B286066" w14:textId="77777777" w:rsidR="00040F4A" w:rsidRPr="00505647" w:rsidRDefault="0046182F" w:rsidP="00040F4A">
      <w:pPr>
        <w:pStyle w:val="Paragraphe"/>
        <w:rPr>
          <w:rFonts w:cs="Arial"/>
        </w:rPr>
      </w:pPr>
      <w:r w:rsidRPr="00505647">
        <w:rPr>
          <w:rFonts w:cs="Arial"/>
        </w:rPr>
        <w:t xml:space="preserve">The venture currently proposed to investors requires very specialized knowledge and expertise that the </w:t>
      </w:r>
      <w:proofErr w:type="gramStart"/>
      <w:r w:rsidRPr="00505647">
        <w:rPr>
          <w:rFonts w:cs="Arial"/>
        </w:rPr>
        <w:t>general public</w:t>
      </w:r>
      <w:proofErr w:type="gramEnd"/>
      <w:r w:rsidRPr="00505647">
        <w:rPr>
          <w:rFonts w:cs="Arial"/>
        </w:rPr>
        <w:t xml:space="preserve"> solicited through the Internet does not have.</w:t>
      </w:r>
    </w:p>
    <w:p w14:paraId="37070930" w14:textId="62132C67" w:rsidR="00040F4A" w:rsidRPr="00505647" w:rsidRDefault="0046182F" w:rsidP="00040F4A">
      <w:pPr>
        <w:pStyle w:val="Paragraphe"/>
        <w:rPr>
          <w:rFonts w:cs="Arial"/>
        </w:rPr>
      </w:pPr>
      <w:r w:rsidRPr="00505647">
        <w:rPr>
          <w:rFonts w:cs="Arial"/>
        </w:rPr>
        <w:t>The evidence presented by the Authority shows that, when an investor is registered on the XT.com website, no information is requested to determine whether that investor has expertise or knowledge related to the carrying on of the venture. Anyone, except those residing in non-listed countries, may register on this website and make certain transactions there.</w:t>
      </w:r>
    </w:p>
    <w:p w14:paraId="23F85200" w14:textId="77777777" w:rsidR="00040F4A" w:rsidRPr="00505647" w:rsidRDefault="0046182F" w:rsidP="00040F4A">
      <w:pPr>
        <w:pStyle w:val="Paragraphe"/>
        <w:rPr>
          <w:rFonts w:cs="Arial"/>
        </w:rPr>
      </w:pPr>
      <w:r w:rsidRPr="00505647">
        <w:rPr>
          <w:rFonts w:cs="Arial"/>
        </w:rPr>
        <w:t>The Tribunal is of the opinion that investors do not have the knowledge required to carry on the venture. Therefore, the fourth criterion of the investment contract definition is met.</w:t>
      </w:r>
    </w:p>
    <w:p w14:paraId="086EA27E" w14:textId="77777777" w:rsidR="00040F4A" w:rsidRPr="00505647" w:rsidRDefault="0046182F" w:rsidP="001E38E2">
      <w:pPr>
        <w:pStyle w:val="Titre4"/>
        <w:rPr>
          <w:rFonts w:cs="Arial"/>
        </w:rPr>
      </w:pPr>
      <w:r w:rsidRPr="00505647">
        <w:rPr>
          <w:rFonts w:cs="Arial"/>
        </w:rPr>
        <w:t>“</w:t>
      </w:r>
      <w:proofErr w:type="gramStart"/>
      <w:r w:rsidRPr="00505647">
        <w:rPr>
          <w:rFonts w:cs="Arial"/>
        </w:rPr>
        <w:t>or</w:t>
      </w:r>
      <w:proofErr w:type="gramEnd"/>
      <w:r w:rsidRPr="00505647">
        <w:rPr>
          <w:rFonts w:cs="Arial"/>
        </w:rPr>
        <w:t xml:space="preserve"> without obtaining the right to participate directly in decisions concerning the carrying on of the venture”</w:t>
      </w:r>
    </w:p>
    <w:p w14:paraId="175C831C" w14:textId="77777777" w:rsidR="00040F4A" w:rsidRPr="00505647" w:rsidRDefault="0046182F" w:rsidP="00040F4A">
      <w:pPr>
        <w:pStyle w:val="Paragraphe"/>
        <w:rPr>
          <w:rFonts w:cs="Arial"/>
        </w:rPr>
      </w:pPr>
      <w:r w:rsidRPr="00505647">
        <w:rPr>
          <w:rFonts w:cs="Arial"/>
        </w:rPr>
        <w:t>The right to directly participate in decisions regarding the carrying on of the venture assumes</w:t>
      </w:r>
      <w:r w:rsidRPr="00505647">
        <w:rPr>
          <w:rStyle w:val="cf01"/>
          <w:rFonts w:ascii="Arial" w:hAnsi="Arial" w:cs="Arial"/>
        </w:rPr>
        <w:t xml:space="preserve"> </w:t>
      </w:r>
      <w:r w:rsidRPr="00505647">
        <w:rPr>
          <w:rFonts w:cs="Arial"/>
        </w:rPr>
        <w:t>that the investor participates at all stages thereof.</w:t>
      </w:r>
      <w:r w:rsidRPr="00505647">
        <w:rPr>
          <w:rStyle w:val="Appelnotedebasdep"/>
          <w:rFonts w:cs="Arial"/>
        </w:rPr>
        <w:footnoteReference w:id="91"/>
      </w:r>
    </w:p>
    <w:p w14:paraId="531E79A6" w14:textId="77777777" w:rsidR="00040F4A" w:rsidRPr="00505647" w:rsidRDefault="0046182F" w:rsidP="00040F4A">
      <w:pPr>
        <w:pStyle w:val="Paragraphe"/>
        <w:rPr>
          <w:rFonts w:cs="Arial"/>
        </w:rPr>
      </w:pPr>
      <w:r w:rsidRPr="00505647">
        <w:rPr>
          <w:rFonts w:cs="Arial"/>
        </w:rPr>
        <w:t xml:space="preserve">In this case, investors have no right to participate in decisions regarding the carrying on of the venture. </w:t>
      </w:r>
    </w:p>
    <w:p w14:paraId="532DC326" w14:textId="3EDE00F0" w:rsidR="00040F4A" w:rsidRPr="00505647" w:rsidRDefault="0046182F" w:rsidP="00040F4A">
      <w:pPr>
        <w:pStyle w:val="Paragraphe"/>
        <w:rPr>
          <w:rFonts w:cs="Arial"/>
        </w:rPr>
      </w:pPr>
      <w:r w:rsidRPr="00505647">
        <w:rPr>
          <w:rFonts w:cs="Arial"/>
        </w:rPr>
        <w:t>Their role is limited to creating an account on the XT.com website to obtain the products and services offered by the respondents, accepting the terms and conditions developed by the respondents,</w:t>
      </w:r>
      <w:r w:rsidRPr="00505647">
        <w:rPr>
          <w:rStyle w:val="Appelnotedebasdep"/>
          <w:rFonts w:cs="Arial"/>
        </w:rPr>
        <w:footnoteReference w:id="92"/>
      </w:r>
      <w:r w:rsidRPr="00505647">
        <w:rPr>
          <w:rFonts w:cs="Arial"/>
        </w:rPr>
        <w:t xml:space="preserve"> carrying out the transactions they desire and waiting for their expected profits.</w:t>
      </w:r>
    </w:p>
    <w:p w14:paraId="1DA46D96" w14:textId="77777777" w:rsidR="00040F4A" w:rsidRPr="00505647" w:rsidRDefault="0046182F" w:rsidP="00040F4A">
      <w:pPr>
        <w:pStyle w:val="Paragraphe"/>
        <w:rPr>
          <w:rFonts w:cs="Arial"/>
        </w:rPr>
      </w:pPr>
      <w:r w:rsidRPr="00505647">
        <w:rPr>
          <w:rFonts w:cs="Arial"/>
        </w:rPr>
        <w:lastRenderedPageBreak/>
        <w:t xml:space="preserve">Investors must rely entirely on the decisions made by the respondents with respect to the carrying on of the venture described above. </w:t>
      </w:r>
    </w:p>
    <w:p w14:paraId="480CD2BB" w14:textId="7CF2B19A" w:rsidR="00040F4A" w:rsidRPr="00505647" w:rsidRDefault="0046182F" w:rsidP="00040F4A">
      <w:pPr>
        <w:pStyle w:val="Paragraphe"/>
        <w:rPr>
          <w:rFonts w:cs="Arial"/>
        </w:rPr>
      </w:pPr>
      <w:r w:rsidRPr="00505647">
        <w:rPr>
          <w:rFonts w:cs="Arial"/>
        </w:rPr>
        <w:t xml:space="preserve">Moreover, according to the evidence adduced, the respondents reserve the unilateral right to modify, suspend or terminate their services at any time: </w:t>
      </w:r>
    </w:p>
    <w:p w14:paraId="2EFD3576" w14:textId="617AED09" w:rsidR="00040F4A" w:rsidRPr="00505647" w:rsidRDefault="009A6AE1" w:rsidP="001E38E2">
      <w:pPr>
        <w:pStyle w:val="Paragraphe"/>
        <w:numPr>
          <w:ilvl w:val="0"/>
          <w:numId w:val="44"/>
        </w:numPr>
        <w:ind w:left="1071" w:hanging="340"/>
        <w:rPr>
          <w:rFonts w:cs="Arial"/>
        </w:rPr>
      </w:pPr>
      <w:r w:rsidRPr="00505647">
        <w:rPr>
          <w:rFonts w:cs="Arial"/>
        </w:rPr>
        <w:t>“</w:t>
      </w:r>
      <w:r w:rsidRPr="00505647">
        <w:rPr>
          <w:rFonts w:cs="Arial"/>
          <w:i/>
          <w:iCs/>
        </w:rPr>
        <w:t>This website reserves the right to modify, suspend or terminate the services of this website at any time</w:t>
      </w:r>
      <w:r w:rsidRPr="00505647">
        <w:rPr>
          <w:rFonts w:cs="Arial"/>
        </w:rPr>
        <w:t>”;</w:t>
      </w:r>
      <w:r w:rsidRPr="00505647">
        <w:rPr>
          <w:rStyle w:val="Appelnotedebasdep"/>
          <w:rFonts w:cs="Arial"/>
        </w:rPr>
        <w:footnoteReference w:id="93"/>
      </w:r>
    </w:p>
    <w:p w14:paraId="42F8CE6D" w14:textId="03E1A54D" w:rsidR="00040F4A" w:rsidRPr="00505647" w:rsidRDefault="009A6AE1" w:rsidP="001E38E2">
      <w:pPr>
        <w:pStyle w:val="Paragraphe"/>
        <w:numPr>
          <w:ilvl w:val="0"/>
          <w:numId w:val="44"/>
        </w:numPr>
        <w:ind w:left="1071" w:hanging="340"/>
        <w:rPr>
          <w:rFonts w:cs="Arial"/>
        </w:rPr>
      </w:pPr>
      <w:r w:rsidRPr="00505647">
        <w:rPr>
          <w:rFonts w:cs="Arial"/>
        </w:rPr>
        <w:t>“</w:t>
      </w:r>
      <w:r w:rsidRPr="00505647">
        <w:rPr>
          <w:rFonts w:cs="Arial"/>
          <w:i/>
          <w:iCs/>
        </w:rPr>
        <w:t>XT.com reserves the right to suspend or terminate XT Investment Activities services. If necessary, XT.com can suspend and terminate XT Investment Activities services at any time</w:t>
      </w:r>
      <w:r w:rsidRPr="00505647">
        <w:rPr>
          <w:rFonts w:cs="Arial"/>
        </w:rPr>
        <w:t>”.</w:t>
      </w:r>
      <w:r w:rsidRPr="00505647">
        <w:rPr>
          <w:rStyle w:val="Appelnotedebasdep"/>
          <w:rFonts w:cs="Arial"/>
        </w:rPr>
        <w:footnoteReference w:id="94"/>
      </w:r>
      <w:r w:rsidRPr="00505647">
        <w:rPr>
          <w:rFonts w:cs="Arial"/>
        </w:rPr>
        <w:t> </w:t>
      </w:r>
    </w:p>
    <w:p w14:paraId="5E140E47" w14:textId="77777777" w:rsidR="00040F4A" w:rsidRPr="00505647" w:rsidRDefault="0046182F" w:rsidP="00040F4A">
      <w:pPr>
        <w:pStyle w:val="Paragraphe"/>
        <w:rPr>
          <w:rFonts w:cs="Arial"/>
        </w:rPr>
      </w:pPr>
      <w:r w:rsidRPr="00505647">
        <w:rPr>
          <w:rFonts w:cs="Arial"/>
        </w:rPr>
        <w:t>The respondents do not even have to inform the investor before exercising their right to modify, suspend or terminate those services.</w:t>
      </w:r>
      <w:r w:rsidRPr="00505647">
        <w:rPr>
          <w:rStyle w:val="Appelnotedebasdep"/>
          <w:rFonts w:cs="Arial"/>
        </w:rPr>
        <w:footnoteReference w:id="95"/>
      </w:r>
    </w:p>
    <w:p w14:paraId="42749C19" w14:textId="5F14F5D9" w:rsidR="00040F4A" w:rsidRPr="00505647" w:rsidRDefault="0046182F" w:rsidP="00040F4A">
      <w:pPr>
        <w:pStyle w:val="Paragraphe"/>
        <w:rPr>
          <w:rFonts w:cs="Arial"/>
        </w:rPr>
      </w:pPr>
      <w:r w:rsidRPr="00505647">
        <w:rPr>
          <w:rFonts w:cs="Arial"/>
        </w:rPr>
        <w:t>The evidence shows that investors have no control over the carrying on of the venture. Indeed, despite an operation on crypto assets carried out as part of the Authority’s undercover operations, the transfer of ownership is not reflected in the relevant blockchain.</w:t>
      </w:r>
      <w:r w:rsidRPr="00505647">
        <w:rPr>
          <w:rStyle w:val="Appelnotedebasdep"/>
          <w:rFonts w:cs="Arial"/>
        </w:rPr>
        <w:footnoteReference w:id="96"/>
      </w:r>
    </w:p>
    <w:p w14:paraId="0E9550EA" w14:textId="77777777" w:rsidR="00040F4A" w:rsidRPr="00505647" w:rsidRDefault="0046182F" w:rsidP="00040F4A">
      <w:pPr>
        <w:pStyle w:val="Paragraphe"/>
        <w:rPr>
          <w:rFonts w:cs="Arial"/>
        </w:rPr>
      </w:pPr>
      <w:r w:rsidRPr="00505647">
        <w:rPr>
          <w:rFonts w:cs="Arial"/>
        </w:rPr>
        <w:t>Thus, investors must rely entirely on the respondents’ representations and hope that they maintain an up-to-date record of their assets.</w:t>
      </w:r>
    </w:p>
    <w:p w14:paraId="114DCEB8" w14:textId="77777777" w:rsidR="00040F4A" w:rsidRPr="00505647" w:rsidRDefault="0046182F" w:rsidP="00040F4A">
      <w:pPr>
        <w:pStyle w:val="Paragraphe"/>
        <w:rPr>
          <w:rFonts w:cs="Arial"/>
        </w:rPr>
      </w:pPr>
      <w:r w:rsidRPr="00505647">
        <w:rPr>
          <w:rFonts w:cs="Arial"/>
        </w:rPr>
        <w:t xml:space="preserve">Investors depend entirely on the expertise, </w:t>
      </w:r>
      <w:proofErr w:type="gramStart"/>
      <w:r w:rsidRPr="00505647">
        <w:rPr>
          <w:rFonts w:cs="Arial"/>
        </w:rPr>
        <w:t>decisions</w:t>
      </w:r>
      <w:proofErr w:type="gramEnd"/>
      <w:r w:rsidRPr="00505647">
        <w:rPr>
          <w:rFonts w:cs="Arial"/>
        </w:rPr>
        <w:t xml:space="preserve"> and efforts of the respondents to make a return on their investment. </w:t>
      </w:r>
    </w:p>
    <w:p w14:paraId="710014AD" w14:textId="77777777" w:rsidR="00040F4A" w:rsidRPr="00505647" w:rsidRDefault="0046182F" w:rsidP="00040F4A">
      <w:pPr>
        <w:pStyle w:val="Paragraphe"/>
        <w:rPr>
          <w:rFonts w:cs="Arial"/>
        </w:rPr>
      </w:pPr>
      <w:r w:rsidRPr="00505647">
        <w:rPr>
          <w:rFonts w:cs="Arial"/>
        </w:rPr>
        <w:t>The Tribunal finds that investors do not have the right to directly participate in decisions regarding the carrying on of the venture. The fifth criterion of the definition of an investment contract is met.</w:t>
      </w:r>
    </w:p>
    <w:p w14:paraId="2B2614A7" w14:textId="77777777" w:rsidR="00040F4A" w:rsidRPr="00505647" w:rsidRDefault="0046182F" w:rsidP="00661358">
      <w:pPr>
        <w:pStyle w:val="Titre4"/>
        <w:rPr>
          <w:rFonts w:cs="Arial"/>
        </w:rPr>
      </w:pPr>
      <w:r w:rsidRPr="00505647">
        <w:rPr>
          <w:rFonts w:cs="Arial"/>
        </w:rPr>
        <w:t>“The economic reality”</w:t>
      </w:r>
    </w:p>
    <w:p w14:paraId="6EF32268" w14:textId="77777777" w:rsidR="00040F4A" w:rsidRPr="00505647" w:rsidRDefault="0046182F" w:rsidP="00040F4A">
      <w:pPr>
        <w:pStyle w:val="Paragraphe"/>
        <w:rPr>
          <w:rFonts w:cs="Arial"/>
        </w:rPr>
      </w:pPr>
      <w:r w:rsidRPr="00505647">
        <w:rPr>
          <w:rFonts w:cs="Arial"/>
        </w:rPr>
        <w:t>Beyond the criteria of the statutory definition of an investment contract, the Tribunal must examine, according to the teachings of the Supreme Court of Canada, the economic reality behind the investment offer made to the public for which substance prevails over form.</w:t>
      </w:r>
    </w:p>
    <w:p w14:paraId="007BE486" w14:textId="77777777" w:rsidR="00040F4A" w:rsidRPr="00505647" w:rsidRDefault="0046182F" w:rsidP="00040F4A">
      <w:pPr>
        <w:pStyle w:val="Paragraphe"/>
        <w:rPr>
          <w:rFonts w:cs="Arial"/>
        </w:rPr>
      </w:pPr>
      <w:r w:rsidRPr="00505647">
        <w:rPr>
          <w:rFonts w:cs="Arial"/>
        </w:rPr>
        <w:t xml:space="preserve">In </w:t>
      </w:r>
      <w:r w:rsidRPr="00505647">
        <w:rPr>
          <w:rFonts w:cs="Arial"/>
          <w:i/>
          <w:iCs/>
        </w:rPr>
        <w:t>Pacific Coast</w:t>
      </w:r>
      <w:r w:rsidRPr="00505647">
        <w:rPr>
          <w:rFonts w:cs="Arial"/>
        </w:rPr>
        <w:t>,</w:t>
      </w:r>
      <w:r w:rsidRPr="00505647">
        <w:rPr>
          <w:rStyle w:val="Appelnotedebasdep"/>
          <w:rFonts w:cs="Arial"/>
          <w:color w:val="000000"/>
          <w:szCs w:val="24"/>
        </w:rPr>
        <w:footnoteReference w:id="97"/>
      </w:r>
      <w:r w:rsidRPr="00505647">
        <w:rPr>
          <w:rFonts w:cs="Arial"/>
        </w:rPr>
        <w:t xml:space="preserve"> the Supreme Court of Canada states the following:</w:t>
      </w:r>
    </w:p>
    <w:p w14:paraId="2BFA9C28" w14:textId="77777777" w:rsidR="00040F4A" w:rsidRPr="00505647" w:rsidRDefault="0046182F" w:rsidP="00040F4A">
      <w:pPr>
        <w:spacing w:before="120" w:after="120"/>
        <w:ind w:left="992" w:right="992"/>
        <w:jc w:val="both"/>
        <w:rPr>
          <w:rFonts w:cs="Arial"/>
          <w:color w:val="000000"/>
          <w:sz w:val="22"/>
          <w:szCs w:val="22"/>
        </w:rPr>
      </w:pPr>
      <w:r w:rsidRPr="00505647">
        <w:rPr>
          <w:rFonts w:cs="Arial"/>
          <w:color w:val="000000"/>
          <w:sz w:val="22"/>
          <w:szCs w:val="22"/>
        </w:rPr>
        <w:t xml:space="preserve">“Such remedial legislation must be construed broadly, and it must be read in the context of the economic realities to which it is addressed. Substance, not form, is the governing factor. As noted in </w:t>
      </w:r>
      <w:r w:rsidRPr="00505647">
        <w:rPr>
          <w:rFonts w:cs="Arial"/>
          <w:i/>
          <w:iCs/>
          <w:color w:val="000000"/>
          <w:sz w:val="22"/>
          <w:szCs w:val="22"/>
        </w:rPr>
        <w:t>Tcherepnin v. Knight</w:t>
      </w:r>
      <w:r w:rsidRPr="00505647">
        <w:rPr>
          <w:rFonts w:cs="Arial"/>
          <w:color w:val="000000"/>
          <w:sz w:val="22"/>
          <w:szCs w:val="22"/>
        </w:rPr>
        <w:t>, at p. 336:</w:t>
      </w:r>
    </w:p>
    <w:p w14:paraId="48457C34" w14:textId="77777777" w:rsidR="00040F4A" w:rsidRPr="00505647" w:rsidRDefault="0046182F" w:rsidP="00040F4A">
      <w:pPr>
        <w:spacing w:before="120" w:after="120"/>
        <w:ind w:left="1468" w:right="1424"/>
        <w:jc w:val="both"/>
        <w:rPr>
          <w:rFonts w:cs="Arial"/>
          <w:color w:val="000000"/>
          <w:sz w:val="22"/>
          <w:szCs w:val="22"/>
        </w:rPr>
      </w:pPr>
      <w:r w:rsidRPr="00505647">
        <w:rPr>
          <w:rFonts w:cs="Arial"/>
          <w:color w:val="000000"/>
          <w:sz w:val="22"/>
          <w:szCs w:val="22"/>
        </w:rPr>
        <w:lastRenderedPageBreak/>
        <w:t>… in searching for the meaning and scope of the word ‘security’ in the Act, form should be disregarded for substance and the emphasis should be on economic reality.</w:t>
      </w:r>
    </w:p>
    <w:p w14:paraId="2CBABBC8" w14:textId="77777777" w:rsidR="00040F4A" w:rsidRPr="00505647" w:rsidRDefault="0046182F" w:rsidP="00040F4A">
      <w:pPr>
        <w:spacing w:before="120" w:after="120"/>
        <w:ind w:left="992" w:right="992"/>
        <w:jc w:val="both"/>
        <w:rPr>
          <w:rFonts w:cs="Arial"/>
          <w:color w:val="000000"/>
          <w:sz w:val="22"/>
          <w:szCs w:val="22"/>
        </w:rPr>
      </w:pPr>
      <w:r w:rsidRPr="00505647">
        <w:rPr>
          <w:rFonts w:cs="Arial"/>
          <w:color w:val="000000"/>
          <w:sz w:val="22"/>
          <w:szCs w:val="22"/>
        </w:rPr>
        <w:t xml:space="preserve">In the search for the true meaning of the expression “investment contract”, another guideline must also be present in the forefront of our thinking. In the words of the Supreme Court of the United States in </w:t>
      </w:r>
      <w:r w:rsidRPr="00505647">
        <w:rPr>
          <w:rFonts w:cs="Arial"/>
          <w:i/>
          <w:iCs/>
          <w:color w:val="000000"/>
          <w:sz w:val="22"/>
          <w:szCs w:val="22"/>
        </w:rPr>
        <w:t>SEC v. W.J. Howey Co</w:t>
      </w:r>
      <w:r w:rsidRPr="00505647">
        <w:rPr>
          <w:rFonts w:cs="Arial"/>
          <w:color w:val="000000"/>
          <w:sz w:val="22"/>
          <w:szCs w:val="22"/>
        </w:rPr>
        <w:t>., any definition must permit (at p. 299):</w:t>
      </w:r>
    </w:p>
    <w:p w14:paraId="12C2C492" w14:textId="77777777" w:rsidR="00040F4A" w:rsidRPr="00505647" w:rsidRDefault="0046182F" w:rsidP="00040F4A">
      <w:pPr>
        <w:spacing w:before="120" w:after="120"/>
        <w:ind w:left="1468" w:right="1424"/>
        <w:jc w:val="both"/>
        <w:rPr>
          <w:rFonts w:cs="Arial"/>
          <w:color w:val="000000"/>
          <w:sz w:val="22"/>
          <w:szCs w:val="22"/>
        </w:rPr>
      </w:pPr>
      <w:r w:rsidRPr="00505647">
        <w:rPr>
          <w:rFonts w:cs="Arial"/>
          <w:color w:val="000000"/>
          <w:sz w:val="22"/>
          <w:szCs w:val="22"/>
        </w:rPr>
        <w:t>… the fulfillment of the statutory purpose of compelling full and fair disclosure relative to the issuance of ‘the many types of instruments that in our commercial world fall within the ordinary concept of a security.’...It embodies a flexible rather than a static principle, one that is capable of adaptation to meet the countless and variable schemes devised by those who seek the use of the money of others on the promise of profits.”</w:t>
      </w:r>
    </w:p>
    <w:p w14:paraId="54FBD181" w14:textId="77777777" w:rsidR="00040F4A" w:rsidRPr="00505647" w:rsidRDefault="0046182F" w:rsidP="00040F4A">
      <w:pPr>
        <w:spacing w:before="120" w:after="120"/>
        <w:ind w:left="1468" w:right="992"/>
        <w:jc w:val="both"/>
        <w:rPr>
          <w:rFonts w:cs="Arial"/>
          <w:color w:val="000000"/>
          <w:sz w:val="22"/>
          <w:szCs w:val="22"/>
        </w:rPr>
      </w:pPr>
      <w:r w:rsidRPr="00505647">
        <w:rPr>
          <w:rFonts w:cs="Arial"/>
          <w:color w:val="000000"/>
          <w:sz w:val="22"/>
          <w:szCs w:val="22"/>
        </w:rPr>
        <w:t>(References omitted)</w:t>
      </w:r>
    </w:p>
    <w:p w14:paraId="5BA1321B" w14:textId="77777777" w:rsidR="00040F4A" w:rsidRPr="00505647" w:rsidRDefault="0046182F" w:rsidP="00040F4A">
      <w:pPr>
        <w:pStyle w:val="Paragraphe"/>
        <w:rPr>
          <w:rFonts w:cs="Arial"/>
        </w:rPr>
      </w:pPr>
      <w:r w:rsidRPr="00505647">
        <w:rPr>
          <w:rFonts w:cs="Arial"/>
        </w:rPr>
        <w:t xml:space="preserve">According to the Tribunal, the economic reality of this venture is an investment that could yield profits. </w:t>
      </w:r>
    </w:p>
    <w:p w14:paraId="520C1365" w14:textId="6BE2E812" w:rsidR="00040F4A" w:rsidRPr="00505647" w:rsidRDefault="0046182F" w:rsidP="00040F4A">
      <w:pPr>
        <w:pStyle w:val="Paragraphe"/>
        <w:rPr>
          <w:rFonts w:cs="Arial"/>
        </w:rPr>
      </w:pPr>
      <w:r w:rsidRPr="00505647">
        <w:rPr>
          <w:rFonts w:cs="Arial"/>
        </w:rPr>
        <w:t>The evidence presented by the Authority shows that crypto asset contracts and non-fungible token (or “NFT”) contracts over which investors acquire a contractual right are retained by the respondents or third parties acting for them, without an obligation to deliver them immediately to investors and without an obligation to take delivery immediately</w:t>
      </w:r>
      <w:r w:rsidR="00B067CA">
        <w:rPr>
          <w:rFonts w:cs="Arial"/>
        </w:rPr>
        <w:t xml:space="preserve"> by the investors</w:t>
      </w:r>
      <w:r w:rsidRPr="00505647">
        <w:rPr>
          <w:rFonts w:cs="Arial"/>
        </w:rPr>
        <w:t>.</w:t>
      </w:r>
    </w:p>
    <w:p w14:paraId="3450DE83" w14:textId="77777777" w:rsidR="00040F4A" w:rsidRPr="00505647" w:rsidRDefault="0046182F" w:rsidP="00040F4A">
      <w:pPr>
        <w:pStyle w:val="Paragraphe"/>
        <w:rPr>
          <w:rFonts w:cs="Arial"/>
        </w:rPr>
      </w:pPr>
      <w:r w:rsidRPr="00505647">
        <w:rPr>
          <w:rFonts w:cs="Arial"/>
        </w:rPr>
        <w:t>Thus, investors are dependent on the respondents to deliver what they have acquired.</w:t>
      </w:r>
    </w:p>
    <w:p w14:paraId="1D7512BF" w14:textId="77777777" w:rsidR="00040F4A" w:rsidRPr="00505647" w:rsidRDefault="0046182F" w:rsidP="00040F4A">
      <w:pPr>
        <w:pStyle w:val="Paragraphe"/>
        <w:rPr>
          <w:rFonts w:cs="Arial"/>
        </w:rPr>
      </w:pPr>
      <w:r w:rsidRPr="00505647">
        <w:rPr>
          <w:rFonts w:cs="Arial"/>
        </w:rPr>
        <w:t>Investors must also depend on the respondents and rely on them to generate profits.</w:t>
      </w:r>
    </w:p>
    <w:p w14:paraId="13F2C56F" w14:textId="3FCAB93C" w:rsidR="004915B6" w:rsidRPr="00505647" w:rsidRDefault="0046182F" w:rsidP="001A6735">
      <w:pPr>
        <w:keepNext/>
        <w:spacing w:before="120" w:after="120"/>
        <w:ind w:firstLine="734"/>
        <w:jc w:val="both"/>
        <w:outlineLvl w:val="2"/>
        <w:rPr>
          <w:rFonts w:cs="Arial"/>
          <w:b/>
          <w:bCs/>
          <w:iCs/>
        </w:rPr>
      </w:pPr>
      <w:r w:rsidRPr="00505647">
        <w:rPr>
          <w:rFonts w:cs="Arial"/>
          <w:b/>
          <w:bCs/>
        </w:rPr>
        <w:t>General conclusion on the concept of an investment contract</w:t>
      </w:r>
    </w:p>
    <w:p w14:paraId="2F5CE3FB" w14:textId="70ABD4B4" w:rsidR="00040F4A" w:rsidRPr="00505647" w:rsidRDefault="0046182F" w:rsidP="00040F4A">
      <w:pPr>
        <w:pStyle w:val="Paragraphe"/>
        <w:rPr>
          <w:rFonts w:cs="Arial"/>
        </w:rPr>
      </w:pPr>
      <w:proofErr w:type="gramStart"/>
      <w:r w:rsidRPr="00505647">
        <w:rPr>
          <w:rFonts w:cs="Arial"/>
        </w:rPr>
        <w:t>In light of</w:t>
      </w:r>
      <w:proofErr w:type="gramEnd"/>
      <w:r w:rsidRPr="00505647">
        <w:rPr>
          <w:rFonts w:cs="Arial"/>
        </w:rPr>
        <w:t xml:space="preserve"> all of the above, the Tribunal finds that crypto asset contracts, non-fungible token (or “NFT”) contracts, performance programs (or “Savings”) and investment programs related to proof-of-stake (or “Staking”) validation mechanisms offered to the public by the respondents through the XT.com website constitute investment contracts, subject to the securities regime set out in the </w:t>
      </w:r>
      <w:r w:rsidRPr="00505647">
        <w:rPr>
          <w:rFonts w:cs="Arial"/>
          <w:i/>
          <w:iCs/>
        </w:rPr>
        <w:t>Securities Act</w:t>
      </w:r>
      <w:r w:rsidRPr="00505647">
        <w:rPr>
          <w:rFonts w:cs="Arial"/>
        </w:rPr>
        <w:t>.</w:t>
      </w:r>
    </w:p>
    <w:p w14:paraId="19A2EFAC" w14:textId="77777777" w:rsidR="00040F4A" w:rsidRPr="00505647" w:rsidRDefault="0046182F" w:rsidP="004B6DD6">
      <w:pPr>
        <w:pStyle w:val="Titre2"/>
        <w:rPr>
          <w:rFonts w:cs="Arial"/>
        </w:rPr>
      </w:pPr>
      <w:r w:rsidRPr="00505647">
        <w:rPr>
          <w:rFonts w:cs="Arial"/>
          <w:bCs/>
        </w:rPr>
        <w:t xml:space="preserve">Question 2: Did the respondents distribute securities in contravention of section 11 of the </w:t>
      </w:r>
      <w:r w:rsidRPr="00505647">
        <w:rPr>
          <w:rFonts w:cs="Arial"/>
          <w:bCs/>
          <w:i/>
          <w:iCs/>
        </w:rPr>
        <w:t>Securities Act</w:t>
      </w:r>
      <w:r w:rsidRPr="00505647">
        <w:rPr>
          <w:rFonts w:cs="Arial"/>
          <w:bCs/>
        </w:rPr>
        <w:t xml:space="preserve"> by not having prepared a prospectus subject to a receipt issued by the Authority?</w:t>
      </w:r>
    </w:p>
    <w:p w14:paraId="1AD16B02" w14:textId="44AAF59A" w:rsidR="00040F4A" w:rsidRPr="00505647" w:rsidRDefault="0046182F" w:rsidP="00040F4A">
      <w:pPr>
        <w:pStyle w:val="Paragraphe"/>
        <w:rPr>
          <w:rFonts w:cs="Arial"/>
        </w:rPr>
      </w:pPr>
      <w:r w:rsidRPr="00505647">
        <w:rPr>
          <w:rFonts w:cs="Arial"/>
        </w:rPr>
        <w:t xml:space="preserve">The Tribunal answers this question in the affirmative. It considers that it has been shown by a preponderance of evidence that the respondents distributed securities in contravention of section 11 of the </w:t>
      </w:r>
      <w:r w:rsidRPr="00505647">
        <w:rPr>
          <w:rFonts w:cs="Arial"/>
          <w:i/>
          <w:iCs/>
        </w:rPr>
        <w:t>Securities Act</w:t>
      </w:r>
      <w:r w:rsidRPr="00505647">
        <w:rPr>
          <w:rFonts w:cs="Arial"/>
        </w:rPr>
        <w:t xml:space="preserve">, </w:t>
      </w:r>
      <w:proofErr w:type="gramStart"/>
      <w:r w:rsidRPr="00505647">
        <w:rPr>
          <w:rFonts w:cs="Arial"/>
        </w:rPr>
        <w:t>i.e.</w:t>
      </w:r>
      <w:proofErr w:type="gramEnd"/>
      <w:r w:rsidRPr="00505647">
        <w:rPr>
          <w:rFonts w:cs="Arial"/>
        </w:rPr>
        <w:t xml:space="preserve"> without having prepared a prospectus subject to the </w:t>
      </w:r>
      <w:r w:rsidR="004051E9">
        <w:rPr>
          <w:rFonts w:cs="Arial"/>
        </w:rPr>
        <w:t>a receipt by</w:t>
      </w:r>
      <w:r w:rsidRPr="00505647">
        <w:rPr>
          <w:rFonts w:cs="Arial"/>
        </w:rPr>
        <w:t xml:space="preserve"> the Authority.</w:t>
      </w:r>
    </w:p>
    <w:p w14:paraId="6F02F72D" w14:textId="77777777" w:rsidR="00040F4A" w:rsidRPr="00505647" w:rsidRDefault="0046182F" w:rsidP="00040F4A">
      <w:pPr>
        <w:pStyle w:val="Paragraphe"/>
        <w:rPr>
          <w:rFonts w:cs="Arial"/>
        </w:rPr>
      </w:pPr>
      <w:r w:rsidRPr="00505647">
        <w:rPr>
          <w:rFonts w:cs="Arial"/>
        </w:rPr>
        <w:lastRenderedPageBreak/>
        <w:t>Every person intending to distribute securities shall prepare a prospectus that shall be subject to a receipt issued by the Authority.</w:t>
      </w:r>
      <w:r w:rsidRPr="00505647">
        <w:rPr>
          <w:rStyle w:val="Appelnotedebasdep"/>
          <w:rFonts w:cs="Arial"/>
        </w:rPr>
        <w:footnoteReference w:id="98"/>
      </w:r>
    </w:p>
    <w:p w14:paraId="46E2383E" w14:textId="6D9CEC3C" w:rsidR="00040F4A" w:rsidRPr="00505647" w:rsidRDefault="0046182F" w:rsidP="00040F4A">
      <w:pPr>
        <w:pStyle w:val="Paragraphe"/>
        <w:rPr>
          <w:rFonts w:cs="Arial"/>
          <w:szCs w:val="24"/>
        </w:rPr>
      </w:pPr>
      <w:r w:rsidRPr="00505647">
        <w:rPr>
          <w:rFonts w:cs="Arial"/>
        </w:rPr>
        <w:t>The Authority may, on the conditions it determines, exempt a person from the obligation to prepare a prospectus subject to a receipt. Such an exemption is only granted when the Authority considers that it does not undermine the protection of investors.</w:t>
      </w:r>
      <w:r w:rsidRPr="00505647">
        <w:rPr>
          <w:rStyle w:val="Appelnotedebasdep"/>
          <w:rFonts w:cs="Arial"/>
        </w:rPr>
        <w:footnoteReference w:id="99"/>
      </w:r>
      <w:r w:rsidRPr="00505647">
        <w:rPr>
          <w:rFonts w:cs="Arial"/>
        </w:rPr>
        <w:t xml:space="preserve"> The </w:t>
      </w:r>
      <w:r w:rsidR="004051E9">
        <w:rPr>
          <w:rFonts w:cs="Arial"/>
        </w:rPr>
        <w:t>Authority</w:t>
      </w:r>
      <w:r w:rsidR="004051E9" w:rsidRPr="00505647">
        <w:rPr>
          <w:rFonts w:cs="Arial"/>
        </w:rPr>
        <w:t xml:space="preserve"> </w:t>
      </w:r>
      <w:r w:rsidRPr="00505647">
        <w:rPr>
          <w:rFonts w:cs="Arial"/>
        </w:rPr>
        <w:t xml:space="preserve">exercises the discretion conferred on it </w:t>
      </w:r>
      <w:proofErr w:type="gramStart"/>
      <w:r w:rsidRPr="00505647">
        <w:rPr>
          <w:rFonts w:cs="Arial"/>
        </w:rPr>
        <w:t>on the basis of</w:t>
      </w:r>
      <w:proofErr w:type="gramEnd"/>
      <w:r w:rsidRPr="00505647">
        <w:rPr>
          <w:rFonts w:cs="Arial"/>
        </w:rPr>
        <w:t xml:space="preserve"> the public interest.</w:t>
      </w:r>
      <w:r w:rsidRPr="00505647">
        <w:rPr>
          <w:rStyle w:val="Appelnotedebasdep"/>
          <w:rFonts w:cs="Arial"/>
        </w:rPr>
        <w:footnoteReference w:id="100"/>
      </w:r>
    </w:p>
    <w:p w14:paraId="6F947E03" w14:textId="12B20FAB" w:rsidR="00040F4A" w:rsidRPr="00505647" w:rsidRDefault="0046182F" w:rsidP="00040F4A">
      <w:pPr>
        <w:pStyle w:val="Paragraphe"/>
        <w:rPr>
          <w:rFonts w:cs="Arial"/>
          <w:szCs w:val="24"/>
        </w:rPr>
      </w:pPr>
      <w:r w:rsidRPr="00505647">
        <w:rPr>
          <w:rFonts w:cs="Arial"/>
          <w:szCs w:val="24"/>
        </w:rPr>
        <w:t xml:space="preserve">Following the approach detailed in CSA Staff Notices 21-327, 21-329, 21-330 and 21-332, the Authority and the other CSAs have </w:t>
      </w:r>
      <w:r w:rsidRPr="00505647">
        <w:rPr>
          <w:rFonts w:cs="Arial"/>
        </w:rPr>
        <w:t>exempted</w:t>
      </w:r>
      <w:r w:rsidR="002D585E">
        <w:rPr>
          <w:rFonts w:cs="Arial"/>
        </w:rPr>
        <w:t xml:space="preserve"> some</w:t>
      </w:r>
      <w:r w:rsidRPr="00505647">
        <w:rPr>
          <w:rFonts w:cs="Arial"/>
        </w:rPr>
        <w:t xml:space="preserve"> crypto asset trading platforms from the </w:t>
      </w:r>
      <w:r w:rsidR="00E63855">
        <w:rPr>
          <w:rFonts w:cs="Arial"/>
        </w:rPr>
        <w:t xml:space="preserve">prospectus </w:t>
      </w:r>
      <w:r w:rsidRPr="00505647">
        <w:rPr>
          <w:rFonts w:cs="Arial"/>
        </w:rPr>
        <w:t>requirement but imposed a series of conditions to ensure the protection of investors</w:t>
      </w:r>
      <w:r w:rsidR="00F31278" w:rsidRPr="00505647">
        <w:rPr>
          <w:rFonts w:cs="Arial"/>
        </w:rPr>
        <w:t>.</w:t>
      </w:r>
      <w:r w:rsidRPr="00505647">
        <w:rPr>
          <w:rStyle w:val="Appelnotedebasdep"/>
          <w:rFonts w:cs="Arial"/>
        </w:rPr>
        <w:footnoteReference w:id="101"/>
      </w:r>
    </w:p>
    <w:p w14:paraId="2EB3219E" w14:textId="77777777" w:rsidR="00040F4A" w:rsidRPr="00505647" w:rsidRDefault="0046182F" w:rsidP="00040F4A">
      <w:pPr>
        <w:pStyle w:val="Paragraphe"/>
        <w:rPr>
          <w:rFonts w:cs="Arial"/>
        </w:rPr>
      </w:pPr>
      <w:r w:rsidRPr="00505647">
        <w:rPr>
          <w:rFonts w:cs="Arial"/>
        </w:rPr>
        <w:t>The definition of distribution</w:t>
      </w:r>
      <w:r w:rsidRPr="00505647">
        <w:rPr>
          <w:rStyle w:val="Appelnotedebasdep"/>
          <w:rFonts w:cs="Arial"/>
        </w:rPr>
        <w:footnoteReference w:id="102"/>
      </w:r>
      <w:r w:rsidRPr="00505647">
        <w:rPr>
          <w:rFonts w:cs="Arial"/>
        </w:rPr>
        <w:t xml:space="preserve"> includes “the endeavour to obtain, or the obtaining, by an issuer, of subscribers or acquirers of his securities”.</w:t>
      </w:r>
    </w:p>
    <w:p w14:paraId="291D6CDD" w14:textId="77777777" w:rsidR="00040F4A" w:rsidRPr="00505647" w:rsidRDefault="0046182F" w:rsidP="00040F4A">
      <w:pPr>
        <w:numPr>
          <w:ilvl w:val="0"/>
          <w:numId w:val="1"/>
        </w:numPr>
        <w:tabs>
          <w:tab w:val="clear" w:pos="360"/>
        </w:tabs>
        <w:spacing w:before="120" w:after="120"/>
        <w:jc w:val="both"/>
        <w:rPr>
          <w:rFonts w:cs="Arial"/>
          <w:sz w:val="27"/>
          <w:szCs w:val="27"/>
        </w:rPr>
      </w:pPr>
      <w:r w:rsidRPr="00505647">
        <w:rPr>
          <w:rFonts w:cs="Arial"/>
          <w:color w:val="000000"/>
          <w:szCs w:val="24"/>
        </w:rPr>
        <w:t xml:space="preserve">In </w:t>
      </w:r>
      <w:r w:rsidRPr="00505647">
        <w:rPr>
          <w:rFonts w:cs="Arial"/>
          <w:i/>
          <w:iCs/>
          <w:color w:val="000000"/>
          <w:szCs w:val="24"/>
        </w:rPr>
        <w:t>Doyon</w:t>
      </w:r>
      <w:r w:rsidRPr="00505647">
        <w:rPr>
          <w:rFonts w:cs="Arial"/>
          <w:color w:val="000000"/>
          <w:szCs w:val="24"/>
        </w:rPr>
        <w:t>,</w:t>
      </w:r>
      <w:r w:rsidRPr="00505647">
        <w:rPr>
          <w:rStyle w:val="Appelnotedebasdep"/>
          <w:rFonts w:cs="Arial"/>
          <w:color w:val="000000"/>
          <w:szCs w:val="24"/>
        </w:rPr>
        <w:footnoteReference w:id="103"/>
      </w:r>
      <w:r w:rsidRPr="00505647">
        <w:rPr>
          <w:rFonts w:cs="Arial"/>
          <w:color w:val="000000"/>
          <w:szCs w:val="24"/>
        </w:rPr>
        <w:t xml:space="preserve"> the Court of Appeal of Quebec confirmed that the mere fact of searching for or finding subscribers or purchasers of its securities constitutes distribution.</w:t>
      </w:r>
    </w:p>
    <w:p w14:paraId="68E6122E" w14:textId="428F6D08" w:rsidR="00040F4A" w:rsidRPr="00505647" w:rsidRDefault="0046182F" w:rsidP="00040F4A">
      <w:pPr>
        <w:pStyle w:val="Paragraphe"/>
        <w:rPr>
          <w:rFonts w:cs="Arial"/>
        </w:rPr>
      </w:pPr>
      <w:r w:rsidRPr="00505647">
        <w:rPr>
          <w:rFonts w:cs="Arial"/>
        </w:rPr>
        <w:t xml:space="preserve">In this case, the respondents did not file a declaration of exempt distribution or a prospectus and did not receive a prospectus </w:t>
      </w:r>
      <w:r w:rsidR="00D76930" w:rsidRPr="00505647">
        <w:rPr>
          <w:rFonts w:cs="Arial"/>
        </w:rPr>
        <w:t>receipt</w:t>
      </w:r>
      <w:r w:rsidRPr="00505647">
        <w:rPr>
          <w:rFonts w:cs="Arial"/>
        </w:rPr>
        <w:t xml:space="preserve"> or an exemption from making such a deposit.</w:t>
      </w:r>
      <w:r w:rsidRPr="00505647">
        <w:rPr>
          <w:rStyle w:val="Appelnotedebasdep"/>
          <w:rFonts w:cs="Arial"/>
        </w:rPr>
        <w:footnoteReference w:id="104"/>
      </w:r>
    </w:p>
    <w:p w14:paraId="5D545BE1" w14:textId="77777777" w:rsidR="00040F4A" w:rsidRPr="00505647" w:rsidRDefault="0046182F" w:rsidP="00040F4A">
      <w:pPr>
        <w:pStyle w:val="Paragraphe"/>
        <w:rPr>
          <w:rFonts w:cs="Arial"/>
        </w:rPr>
      </w:pPr>
      <w:r w:rsidRPr="00505647">
        <w:rPr>
          <w:rFonts w:cs="Arial"/>
        </w:rPr>
        <w:t xml:space="preserve">The Authority’s evidence shows that the respondents distributed securities, </w:t>
      </w:r>
      <w:proofErr w:type="gramStart"/>
      <w:r w:rsidRPr="00505647">
        <w:rPr>
          <w:rFonts w:cs="Arial"/>
        </w:rPr>
        <w:t>i.e.</w:t>
      </w:r>
      <w:proofErr w:type="gramEnd"/>
      <w:r w:rsidRPr="00505647">
        <w:rPr>
          <w:rFonts w:cs="Arial"/>
        </w:rPr>
        <w:t xml:space="preserve"> investment contracts, when they searched for or found investors through the XT.com website.</w:t>
      </w:r>
    </w:p>
    <w:p w14:paraId="0855B988" w14:textId="77777777" w:rsidR="00040F4A" w:rsidRPr="00505647" w:rsidRDefault="0046182F" w:rsidP="00040F4A">
      <w:pPr>
        <w:pStyle w:val="Paragraphe"/>
        <w:rPr>
          <w:rFonts w:cs="Arial"/>
        </w:rPr>
      </w:pPr>
      <w:r w:rsidRPr="00505647">
        <w:rPr>
          <w:rFonts w:cs="Arial"/>
        </w:rPr>
        <w:t>According to the evidence adduced by the Authority, the products and services offered to the public by the respondents through the XT.com website were all available from Québec.</w:t>
      </w:r>
    </w:p>
    <w:p w14:paraId="5BBB545F" w14:textId="77583478" w:rsidR="00040F4A" w:rsidRPr="00505647" w:rsidRDefault="0046182F" w:rsidP="00040F4A">
      <w:pPr>
        <w:pStyle w:val="Paragraphe"/>
        <w:rPr>
          <w:rFonts w:cs="Arial"/>
        </w:rPr>
      </w:pPr>
      <w:r w:rsidRPr="00505647">
        <w:rPr>
          <w:rFonts w:cs="Arial"/>
        </w:rPr>
        <w:t>The Authority’s undercover operations showed that with a Québec IP address, it is possible to obtain products and services in Québec offered by the respondents.</w:t>
      </w:r>
      <w:r w:rsidRPr="00505647">
        <w:rPr>
          <w:rStyle w:val="Appelnotedebasdep"/>
          <w:rFonts w:cs="Arial"/>
        </w:rPr>
        <w:footnoteReference w:id="105"/>
      </w:r>
      <w:r w:rsidRPr="00505647">
        <w:rPr>
          <w:rFonts w:cs="Arial"/>
        </w:rPr>
        <w:t xml:space="preserve"> </w:t>
      </w:r>
    </w:p>
    <w:p w14:paraId="3CA0A2AB" w14:textId="3A2162D3" w:rsidR="00040F4A" w:rsidRPr="00505647" w:rsidRDefault="0046182F" w:rsidP="00040F4A">
      <w:pPr>
        <w:pStyle w:val="Paragraphe"/>
        <w:rPr>
          <w:rFonts w:cs="Arial"/>
        </w:rPr>
      </w:pPr>
      <w:r w:rsidRPr="00505647">
        <w:rPr>
          <w:rFonts w:cs="Arial"/>
        </w:rPr>
        <w:t>On April 11, 2023, the Authority received an email via the email address “inforequests@xt.com”. It was notified by XT Exchange and/or BZ Limited that the XT.com website would not be available to Canadian users:</w:t>
      </w:r>
    </w:p>
    <w:p w14:paraId="798D5202" w14:textId="56288330" w:rsidR="00040F4A" w:rsidRPr="00505647" w:rsidRDefault="00704392" w:rsidP="00040F4A">
      <w:pPr>
        <w:pStyle w:val="Citationendoubleretrait"/>
        <w:rPr>
          <w:rFonts w:cs="Arial"/>
        </w:rPr>
      </w:pPr>
      <w:r w:rsidRPr="00505647">
        <w:rPr>
          <w:rFonts w:cs="Arial"/>
        </w:rPr>
        <w:lastRenderedPageBreak/>
        <w:t>“[…] it is our company policy not to allow access to Canadian users. We have blocked and implemented restrictions on Canadian IP addresses to prevent them from accessing our platform. Therefore, we deny any allegations of violation of the [LVM] or [LID] in Quebec”.</w:t>
      </w:r>
      <w:r w:rsidRPr="00505647">
        <w:rPr>
          <w:rStyle w:val="Appelnotedebasdep"/>
          <w:rFonts w:cs="Arial"/>
        </w:rPr>
        <w:footnoteReference w:id="106"/>
      </w:r>
    </w:p>
    <w:p w14:paraId="3D901967" w14:textId="6978269C" w:rsidR="00040F4A" w:rsidRPr="00505647" w:rsidRDefault="0046182F" w:rsidP="00040F4A">
      <w:pPr>
        <w:pStyle w:val="Paragraphe"/>
        <w:rPr>
          <w:rFonts w:cs="Arial"/>
        </w:rPr>
      </w:pPr>
      <w:r w:rsidRPr="00505647">
        <w:rPr>
          <w:rFonts w:cs="Arial"/>
        </w:rPr>
        <w:t>To verify the veracity of these representations, the Authority took steps on the same day to open a new account on the XT.com website from a Québec IP address.</w:t>
      </w:r>
      <w:r w:rsidRPr="00505647">
        <w:rPr>
          <w:rStyle w:val="Appelnotedebasdep"/>
          <w:rFonts w:cs="Arial"/>
        </w:rPr>
        <w:footnoteReference w:id="107"/>
      </w:r>
    </w:p>
    <w:p w14:paraId="5C2B55DD" w14:textId="478D019B" w:rsidR="00040F4A" w:rsidRPr="00505647" w:rsidRDefault="0046182F" w:rsidP="00040F4A">
      <w:pPr>
        <w:pStyle w:val="Paragraphe"/>
        <w:rPr>
          <w:rFonts w:cs="Arial"/>
        </w:rPr>
      </w:pPr>
      <w:r w:rsidRPr="00505647">
        <w:rPr>
          <w:rFonts w:cs="Arial"/>
        </w:rPr>
        <w:t>Those attempts by the Authority proved unsuccessful because the respondents XT Exchange and/or BZ Limited by all indications took steps to prevent new customers from accessing their products and services from a Québec IP address.</w:t>
      </w:r>
      <w:r w:rsidRPr="00505647">
        <w:rPr>
          <w:rStyle w:val="Appelnotedebasdep"/>
          <w:rFonts w:cs="Arial"/>
        </w:rPr>
        <w:footnoteReference w:id="108"/>
      </w:r>
    </w:p>
    <w:p w14:paraId="0589EA23" w14:textId="33F55940" w:rsidR="00040F4A" w:rsidRPr="00505647" w:rsidRDefault="0046182F" w:rsidP="00040F4A">
      <w:pPr>
        <w:pStyle w:val="Paragraphe"/>
        <w:rPr>
          <w:rFonts w:cs="Arial"/>
        </w:rPr>
      </w:pPr>
      <w:r w:rsidRPr="00505647">
        <w:rPr>
          <w:rFonts w:cs="Arial"/>
        </w:rPr>
        <w:t>Canada is no longer on the list of countries that can be selected as a country of residence by individuals wishing to open an account on the XT.com website.</w:t>
      </w:r>
      <w:r w:rsidRPr="00505647">
        <w:rPr>
          <w:rStyle w:val="Appelnotedebasdep"/>
          <w:rFonts w:cs="Arial"/>
        </w:rPr>
        <w:footnoteReference w:id="109"/>
      </w:r>
    </w:p>
    <w:p w14:paraId="16E7F4F1" w14:textId="67D7AD07" w:rsidR="00040F4A" w:rsidRPr="00505647" w:rsidRDefault="0046182F" w:rsidP="00040F4A">
      <w:pPr>
        <w:pStyle w:val="Paragraphe"/>
        <w:rPr>
          <w:rFonts w:cs="Arial"/>
        </w:rPr>
      </w:pPr>
      <w:r w:rsidRPr="00505647">
        <w:rPr>
          <w:rFonts w:cs="Arial"/>
        </w:rPr>
        <w:t>A new version of the document entitled “User Agreement” was posted online on May 8, 2023. It states that “</w:t>
      </w:r>
      <w:r w:rsidRPr="00505647">
        <w:rPr>
          <w:rFonts w:cs="Arial"/>
          <w:i/>
          <w:iCs/>
        </w:rPr>
        <w:t>XT prohibits the use of its services by anyone located in the United States, Canada, Hong Kong</w:t>
      </w:r>
      <w:r w:rsidRPr="00505647">
        <w:rPr>
          <w:rFonts w:cs="Arial"/>
        </w:rPr>
        <w:t xml:space="preserve"> […]”.</w:t>
      </w:r>
      <w:r w:rsidRPr="00505647">
        <w:rPr>
          <w:rStyle w:val="Appelnotedebasdep"/>
          <w:rFonts w:cs="Arial"/>
        </w:rPr>
        <w:footnoteReference w:id="110"/>
      </w:r>
      <w:r w:rsidR="001343FD" w:rsidRPr="00505647">
        <w:rPr>
          <w:rFonts w:cs="Arial"/>
        </w:rPr>
        <w:t xml:space="preserve"> </w:t>
      </w:r>
      <w:r w:rsidRPr="00505647">
        <w:rPr>
          <w:rFonts w:cs="Arial"/>
        </w:rPr>
        <w:t>A similar reference was not included in the document entitled “XT Investment Activities Service Agreement” dated July</w:t>
      </w:r>
      <w:r w:rsidR="00C70E3A" w:rsidRPr="00505647">
        <w:rPr>
          <w:rFonts w:cs="Arial"/>
        </w:rPr>
        <w:t xml:space="preserve"> 25,</w:t>
      </w:r>
      <w:r w:rsidRPr="00505647">
        <w:rPr>
          <w:rFonts w:cs="Arial"/>
        </w:rPr>
        <w:t xml:space="preserve"> 2023.</w:t>
      </w:r>
      <w:r w:rsidRPr="00505647">
        <w:rPr>
          <w:rStyle w:val="Appelnotedebasdep"/>
          <w:rFonts w:cs="Arial"/>
        </w:rPr>
        <w:footnoteReference w:id="111"/>
      </w:r>
    </w:p>
    <w:p w14:paraId="5BAC8C2E" w14:textId="0EC7AF0D" w:rsidR="00040F4A" w:rsidRPr="00505647" w:rsidRDefault="0046182F" w:rsidP="00040F4A">
      <w:pPr>
        <w:pStyle w:val="Paragraphe"/>
        <w:rPr>
          <w:rFonts w:cs="Arial"/>
        </w:rPr>
      </w:pPr>
      <w:r w:rsidRPr="00505647">
        <w:rPr>
          <w:rFonts w:cs="Arial"/>
        </w:rPr>
        <w:t xml:space="preserve">Notwithstanding the above, on May 9, 2023, the Authority was still able to log into the account it had previously created on the XT.com website with a Québec IP address. However, the XT.com website identifies that the person logging into the account </w:t>
      </w:r>
      <w:proofErr w:type="gramStart"/>
      <w:r w:rsidRPr="00505647">
        <w:rPr>
          <w:rFonts w:cs="Arial"/>
        </w:rPr>
        <w:t>is located in</w:t>
      </w:r>
      <w:proofErr w:type="gramEnd"/>
      <w:r w:rsidRPr="00505647">
        <w:rPr>
          <w:rFonts w:cs="Arial"/>
        </w:rPr>
        <w:t xml:space="preserve"> “</w:t>
      </w:r>
      <w:r w:rsidRPr="00505647">
        <w:rPr>
          <w:rFonts w:cs="Arial"/>
          <w:i/>
          <w:iCs/>
        </w:rPr>
        <w:t>Montreal-Quebec-Canada</w:t>
      </w:r>
      <w:r w:rsidRPr="00505647">
        <w:rPr>
          <w:rFonts w:cs="Arial"/>
        </w:rPr>
        <w:t>”.</w:t>
      </w:r>
      <w:r w:rsidRPr="00505647">
        <w:rPr>
          <w:rStyle w:val="Appelnotedebasdep"/>
          <w:rFonts w:cs="Arial"/>
        </w:rPr>
        <w:footnoteReference w:id="112"/>
      </w:r>
    </w:p>
    <w:p w14:paraId="058A9742" w14:textId="3FAF7AD9" w:rsidR="00040F4A" w:rsidRPr="00505647" w:rsidRDefault="0046182F" w:rsidP="00040F4A">
      <w:pPr>
        <w:pStyle w:val="Paragraphe"/>
        <w:rPr>
          <w:rFonts w:cs="Arial"/>
        </w:rPr>
      </w:pPr>
      <w:r w:rsidRPr="00505647">
        <w:rPr>
          <w:rFonts w:cs="Arial"/>
        </w:rPr>
        <w:t xml:space="preserve">On May 24, 2023, still under the same fictitious identity, the Authority was again able to log in to the account in question, with an address recognized on the XT.com website as </w:t>
      </w:r>
      <w:proofErr w:type="gramStart"/>
      <w:r w:rsidRPr="00505647">
        <w:rPr>
          <w:rFonts w:cs="Arial"/>
        </w:rPr>
        <w:t>being located in</w:t>
      </w:r>
      <w:proofErr w:type="gramEnd"/>
      <w:r w:rsidRPr="00505647">
        <w:rPr>
          <w:rFonts w:cs="Arial"/>
        </w:rPr>
        <w:t xml:space="preserve"> “</w:t>
      </w:r>
      <w:r w:rsidRPr="00505647">
        <w:rPr>
          <w:rFonts w:cs="Arial"/>
          <w:i/>
          <w:iCs/>
        </w:rPr>
        <w:t>Montreal-Quebec-Canada</w:t>
      </w:r>
      <w:r w:rsidRPr="00505647">
        <w:rPr>
          <w:rFonts w:cs="Arial"/>
        </w:rPr>
        <w:t>” and transact through that account.</w:t>
      </w:r>
      <w:r w:rsidRPr="00505647">
        <w:rPr>
          <w:rStyle w:val="Appelnotedebasdep"/>
          <w:rFonts w:cs="Arial"/>
        </w:rPr>
        <w:footnoteReference w:id="113"/>
      </w:r>
      <w:r w:rsidRPr="00505647">
        <w:rPr>
          <w:rFonts w:cs="Arial"/>
        </w:rPr>
        <w:t xml:space="preserve"> It even manage</w:t>
      </w:r>
      <w:r w:rsidR="00844B25" w:rsidRPr="00505647">
        <w:rPr>
          <w:rFonts w:cs="Arial"/>
        </w:rPr>
        <w:t>d</w:t>
      </w:r>
      <w:r w:rsidRPr="00505647">
        <w:rPr>
          <w:rFonts w:cs="Arial"/>
        </w:rPr>
        <w:t xml:space="preserve"> to conduct two securities transactions there.</w:t>
      </w:r>
      <w:r w:rsidRPr="00505647">
        <w:rPr>
          <w:rStyle w:val="Appelnotedebasdep"/>
          <w:rFonts w:cs="Arial"/>
        </w:rPr>
        <w:footnoteReference w:id="114"/>
      </w:r>
    </w:p>
    <w:p w14:paraId="30D96A96" w14:textId="605346A1" w:rsidR="00040F4A" w:rsidRPr="00505647" w:rsidRDefault="0046182F" w:rsidP="00040F4A">
      <w:pPr>
        <w:pStyle w:val="Paragraphe"/>
        <w:rPr>
          <w:rFonts w:cs="Arial"/>
        </w:rPr>
      </w:pPr>
      <w:r w:rsidRPr="00505647">
        <w:rPr>
          <w:rFonts w:cs="Arial"/>
        </w:rPr>
        <w:t xml:space="preserve">The Tribunal is of the opinion that the respondents proceeded and continue to proceed with the distribution of securities, in contravention of section 11 of the </w:t>
      </w:r>
      <w:r w:rsidRPr="00505647">
        <w:rPr>
          <w:rFonts w:cs="Arial"/>
          <w:i/>
          <w:iCs/>
        </w:rPr>
        <w:t>Securities Act</w:t>
      </w:r>
      <w:r w:rsidRPr="00505647">
        <w:rPr>
          <w:rFonts w:cs="Arial"/>
        </w:rPr>
        <w:t xml:space="preserve">, without having prepared a prospectus </w:t>
      </w:r>
      <w:r w:rsidR="00221620">
        <w:rPr>
          <w:rFonts w:cs="Arial"/>
        </w:rPr>
        <w:t>subject</w:t>
      </w:r>
      <w:r w:rsidR="00221620" w:rsidRPr="00221620">
        <w:rPr>
          <w:rFonts w:cs="Arial"/>
        </w:rPr>
        <w:t xml:space="preserve"> to a receipt issued by</w:t>
      </w:r>
      <w:r w:rsidR="00221620">
        <w:rPr>
          <w:rFonts w:cs="Arial"/>
        </w:rPr>
        <w:t xml:space="preserve"> the Authority</w:t>
      </w:r>
      <w:r w:rsidRPr="00505647">
        <w:rPr>
          <w:rFonts w:cs="Arial"/>
        </w:rPr>
        <w:t>.</w:t>
      </w:r>
    </w:p>
    <w:p w14:paraId="2F815F30" w14:textId="77777777" w:rsidR="00BC2DFA" w:rsidRPr="00505647" w:rsidRDefault="0046182F" w:rsidP="00BC2DFA">
      <w:pPr>
        <w:keepNext/>
        <w:spacing w:before="240" w:after="60"/>
        <w:jc w:val="both"/>
        <w:outlineLvl w:val="1"/>
        <w:rPr>
          <w:rFonts w:cs="Arial"/>
          <w:b/>
        </w:rPr>
      </w:pPr>
      <w:r w:rsidRPr="00505647">
        <w:rPr>
          <w:rFonts w:cs="Arial"/>
          <w:b/>
          <w:bCs/>
        </w:rPr>
        <w:lastRenderedPageBreak/>
        <w:t xml:space="preserve">Question 3: Are the products and services offered to the public by the respondents on the XT.com website derivatives within the meaning of the </w:t>
      </w:r>
      <w:r w:rsidRPr="00505647">
        <w:rPr>
          <w:rFonts w:cs="Arial"/>
          <w:b/>
          <w:bCs/>
          <w:i/>
          <w:iCs/>
        </w:rPr>
        <w:t>Derivatives Act</w:t>
      </w:r>
      <w:r w:rsidRPr="00505647">
        <w:rPr>
          <w:rFonts w:cs="Arial"/>
          <w:b/>
          <w:bCs/>
        </w:rPr>
        <w:t>?</w:t>
      </w:r>
    </w:p>
    <w:p w14:paraId="112D7807" w14:textId="77777777" w:rsidR="00BC2DFA" w:rsidRPr="00505647" w:rsidRDefault="0046182F" w:rsidP="00BC2DFA">
      <w:pPr>
        <w:numPr>
          <w:ilvl w:val="0"/>
          <w:numId w:val="1"/>
        </w:numPr>
        <w:spacing w:before="120" w:after="120" w:line="256" w:lineRule="auto"/>
        <w:jc w:val="both"/>
        <w:rPr>
          <w:rFonts w:eastAsiaTheme="minorHAnsi" w:cs="Arial"/>
          <w:color w:val="000000" w:themeColor="text1"/>
          <w:kern w:val="28"/>
          <w:szCs w:val="24"/>
        </w:rPr>
      </w:pPr>
      <w:r w:rsidRPr="00505647">
        <w:rPr>
          <w:rFonts w:eastAsiaTheme="minorHAnsi" w:cs="Arial"/>
          <w:color w:val="000000" w:themeColor="text1"/>
          <w:kern w:val="28"/>
          <w:szCs w:val="24"/>
        </w:rPr>
        <w:t xml:space="preserve">The Tribunal answers this question in the affirmative. </w:t>
      </w:r>
      <w:r w:rsidRPr="00505647">
        <w:rPr>
          <w:rFonts w:eastAsiaTheme="minorHAnsi" w:cs="Arial"/>
          <w:kern w:val="28"/>
          <w:szCs w:val="24"/>
        </w:rPr>
        <w:t xml:space="preserve">“USDT-M Futures” and “Coin-M Futures” offered to the public by the respondents on the XT.com website constitute derivatives within the meaning of the </w:t>
      </w:r>
      <w:r w:rsidRPr="00505647">
        <w:rPr>
          <w:rFonts w:eastAsiaTheme="minorHAnsi" w:cs="Arial"/>
          <w:i/>
          <w:iCs/>
          <w:kern w:val="28"/>
          <w:szCs w:val="24"/>
        </w:rPr>
        <w:t>Derivatives Act</w:t>
      </w:r>
      <w:r w:rsidRPr="00505647">
        <w:rPr>
          <w:rFonts w:eastAsiaTheme="minorHAnsi" w:cs="Arial"/>
          <w:color w:val="000000" w:themeColor="text1"/>
          <w:kern w:val="28"/>
          <w:szCs w:val="24"/>
        </w:rPr>
        <w:t>.</w:t>
      </w:r>
    </w:p>
    <w:p w14:paraId="186251E1" w14:textId="00A8C96E"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cs="Arial"/>
          <w:color w:val="000000" w:themeColor="text1"/>
          <w:kern w:val="28"/>
          <w:szCs w:val="24"/>
        </w:rPr>
        <w:t xml:space="preserve">Section 1 of the </w:t>
      </w:r>
      <w:r w:rsidRPr="00505647">
        <w:rPr>
          <w:rFonts w:cs="Arial"/>
          <w:i/>
          <w:iCs/>
          <w:color w:val="000000" w:themeColor="text1"/>
          <w:kern w:val="28"/>
          <w:szCs w:val="24"/>
        </w:rPr>
        <w:t>Derivatives Act</w:t>
      </w:r>
      <w:r w:rsidRPr="00505647">
        <w:rPr>
          <w:rFonts w:cs="Arial"/>
          <w:color w:val="000000" w:themeColor="text1"/>
          <w:kern w:val="28"/>
          <w:szCs w:val="24"/>
        </w:rPr>
        <w:t xml:space="preserve"> provides that the Act “</w:t>
      </w:r>
      <w:r w:rsidRPr="00505647">
        <w:rPr>
          <w:rFonts w:cs="Arial"/>
          <w:i/>
          <w:iCs/>
          <w:color w:val="000000" w:themeColor="text1"/>
          <w:kern w:val="28"/>
          <w:szCs w:val="24"/>
        </w:rPr>
        <w:t xml:space="preserve">seeks to foster honest, fair, efficient and transparent derivatives markets and to protect the public from unfair, improper or fraudulent </w:t>
      </w:r>
      <w:proofErr w:type="gramStart"/>
      <w:r w:rsidRPr="00505647">
        <w:rPr>
          <w:rFonts w:cs="Arial"/>
          <w:i/>
          <w:iCs/>
          <w:color w:val="000000" w:themeColor="text1"/>
          <w:kern w:val="28"/>
          <w:szCs w:val="24"/>
        </w:rPr>
        <w:t>practices</w:t>
      </w:r>
      <w:r w:rsidRPr="00505647">
        <w:rPr>
          <w:rFonts w:cs="Arial"/>
          <w:kern w:val="24"/>
          <w:sz w:val="22"/>
        </w:rPr>
        <w:t>[</w:t>
      </w:r>
      <w:proofErr w:type="gramEnd"/>
      <w:r w:rsidRPr="00505647">
        <w:rPr>
          <w:rFonts w:cs="Arial"/>
          <w:kern w:val="24"/>
          <w:sz w:val="22"/>
        </w:rPr>
        <w:t>…]</w:t>
      </w:r>
      <w:r w:rsidRPr="00505647">
        <w:rPr>
          <w:rFonts w:cs="Arial"/>
          <w:color w:val="000000" w:themeColor="text1"/>
          <w:kern w:val="28"/>
          <w:szCs w:val="24"/>
        </w:rPr>
        <w:t>”.</w:t>
      </w:r>
    </w:p>
    <w:p w14:paraId="0EEBD419" w14:textId="77777777" w:rsidR="00BC2DFA" w:rsidRPr="00505647" w:rsidRDefault="0046182F" w:rsidP="00BC2DFA">
      <w:pPr>
        <w:numPr>
          <w:ilvl w:val="0"/>
          <w:numId w:val="1"/>
        </w:numPr>
        <w:spacing w:before="120" w:after="120" w:line="256" w:lineRule="auto"/>
        <w:jc w:val="both"/>
        <w:rPr>
          <w:rFonts w:eastAsiaTheme="minorHAnsi" w:cs="Arial"/>
          <w:color w:val="000000" w:themeColor="text1"/>
          <w:kern w:val="28"/>
          <w:szCs w:val="24"/>
        </w:rPr>
      </w:pPr>
      <w:r w:rsidRPr="00505647">
        <w:rPr>
          <w:rFonts w:eastAsiaTheme="minorHAnsi" w:cs="Arial"/>
          <w:color w:val="000000" w:themeColor="text1"/>
          <w:kern w:val="28"/>
          <w:szCs w:val="24"/>
        </w:rPr>
        <w:t xml:space="preserve">Section 2 of the </w:t>
      </w:r>
      <w:r w:rsidRPr="00505647">
        <w:rPr>
          <w:rFonts w:eastAsiaTheme="minorHAnsi" w:cs="Arial"/>
          <w:i/>
          <w:iCs/>
          <w:color w:val="000000" w:themeColor="text1"/>
          <w:kern w:val="28"/>
          <w:szCs w:val="24"/>
        </w:rPr>
        <w:t>Derivatives Act</w:t>
      </w:r>
      <w:r w:rsidRPr="00505647">
        <w:rPr>
          <w:rFonts w:eastAsiaTheme="minorHAnsi" w:cs="Arial"/>
          <w:color w:val="000000" w:themeColor="text1"/>
          <w:kern w:val="28"/>
          <w:szCs w:val="24"/>
        </w:rPr>
        <w:t xml:space="preserve"> states the purpose of the Act:</w:t>
      </w:r>
    </w:p>
    <w:p w14:paraId="08346EC5"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 xml:space="preserve">“2. The purposes of the Act are, more specifically, </w:t>
      </w:r>
    </w:p>
    <w:p w14:paraId="5E8A2B12"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 xml:space="preserve">1° to govern derivatives offering and trading and related </w:t>
      </w:r>
      <w:proofErr w:type="gramStart"/>
      <w:r w:rsidRPr="00505647">
        <w:rPr>
          <w:rFonts w:cs="Arial"/>
          <w:kern w:val="24"/>
          <w:sz w:val="22"/>
        </w:rPr>
        <w:t>activities;</w:t>
      </w:r>
      <w:proofErr w:type="gramEnd"/>
    </w:p>
    <w:p w14:paraId="75A33185"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 xml:space="preserve">2° to provide for oversight of the activities of derivatives market professionals </w:t>
      </w:r>
      <w:proofErr w:type="gramStart"/>
      <w:r w:rsidRPr="00505647">
        <w:rPr>
          <w:rFonts w:cs="Arial"/>
          <w:kern w:val="24"/>
          <w:sz w:val="22"/>
        </w:rPr>
        <w:t>so as to</w:t>
      </w:r>
      <w:proofErr w:type="gramEnd"/>
      <w:r w:rsidRPr="00505647">
        <w:rPr>
          <w:rFonts w:cs="Arial"/>
          <w:kern w:val="24"/>
          <w:sz w:val="22"/>
        </w:rPr>
        <w:t xml:space="preserve"> ensure that their conduct is honest, fair and responsible; […] </w:t>
      </w:r>
    </w:p>
    <w:p w14:paraId="10AFAF4F"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 xml:space="preserve">4° </w:t>
      </w:r>
      <w:r w:rsidRPr="00505647">
        <w:rPr>
          <w:rFonts w:cs="Arial"/>
          <w:kern w:val="24"/>
          <w:sz w:val="22"/>
          <w:szCs w:val="22"/>
          <w:shd w:val="clear" w:color="auto" w:fill="FFFFFF"/>
        </w:rPr>
        <w:t xml:space="preserve">to regulate market participants and regulated entities </w:t>
      </w:r>
      <w:proofErr w:type="gramStart"/>
      <w:r w:rsidRPr="00505647">
        <w:rPr>
          <w:rFonts w:cs="Arial"/>
          <w:kern w:val="24"/>
          <w:sz w:val="22"/>
          <w:szCs w:val="22"/>
          <w:shd w:val="clear" w:color="auto" w:fill="FFFFFF"/>
        </w:rPr>
        <w:t>so as to</w:t>
      </w:r>
      <w:proofErr w:type="gramEnd"/>
      <w:r w:rsidRPr="00505647">
        <w:rPr>
          <w:rFonts w:cs="Arial"/>
          <w:kern w:val="24"/>
          <w:sz w:val="22"/>
          <w:szCs w:val="22"/>
          <w:shd w:val="clear" w:color="auto" w:fill="FFFFFF"/>
        </w:rPr>
        <w:t xml:space="preserve"> ensure compliance with the principles set out in this Act and with the obligations deriving from those principles; </w:t>
      </w:r>
      <w:r w:rsidRPr="00505647">
        <w:rPr>
          <w:rFonts w:cs="Arial"/>
          <w:kern w:val="24"/>
          <w:sz w:val="22"/>
        </w:rPr>
        <w:t>[…].”</w:t>
      </w:r>
    </w:p>
    <w:p w14:paraId="69BDEBA0" w14:textId="3FCA7B09" w:rsidR="002B5110" w:rsidRPr="00505647" w:rsidRDefault="0046182F" w:rsidP="00BC2DFA">
      <w:pPr>
        <w:numPr>
          <w:ilvl w:val="0"/>
          <w:numId w:val="1"/>
        </w:numPr>
        <w:spacing w:before="120" w:after="120" w:line="256" w:lineRule="auto"/>
        <w:jc w:val="both"/>
        <w:rPr>
          <w:rFonts w:eastAsiaTheme="minorHAnsi" w:cs="Arial"/>
          <w:color w:val="000000" w:themeColor="text1"/>
          <w:kern w:val="28"/>
          <w:szCs w:val="24"/>
        </w:rPr>
      </w:pPr>
      <w:r w:rsidRPr="00505647">
        <w:rPr>
          <w:rFonts w:eastAsiaTheme="minorHAnsi" w:cs="Arial"/>
          <w:color w:val="000000" w:themeColor="text1"/>
          <w:kern w:val="28"/>
          <w:szCs w:val="24"/>
        </w:rPr>
        <w:t xml:space="preserve">The </w:t>
      </w:r>
      <w:r w:rsidRPr="00505647">
        <w:rPr>
          <w:rFonts w:eastAsiaTheme="minorHAnsi" w:cs="Arial"/>
          <w:i/>
          <w:iCs/>
          <w:color w:val="000000" w:themeColor="text1"/>
          <w:kern w:val="28"/>
          <w:szCs w:val="24"/>
        </w:rPr>
        <w:t>Derivatives Act</w:t>
      </w:r>
      <w:r w:rsidRPr="00505647">
        <w:rPr>
          <w:rFonts w:eastAsiaTheme="minorHAnsi" w:cs="Arial"/>
          <w:color w:val="000000" w:themeColor="text1"/>
          <w:kern w:val="28"/>
          <w:szCs w:val="24"/>
        </w:rPr>
        <w:t xml:space="preserve"> provides a framework for deriva</w:t>
      </w:r>
      <w:r w:rsidR="009D596F">
        <w:rPr>
          <w:rFonts w:eastAsiaTheme="minorHAnsi" w:cs="Arial"/>
          <w:color w:val="000000" w:themeColor="text1"/>
          <w:kern w:val="28"/>
          <w:szCs w:val="24"/>
        </w:rPr>
        <w:t xml:space="preserve">tives trading </w:t>
      </w:r>
      <w:proofErr w:type="gramStart"/>
      <w:r w:rsidR="009D596F">
        <w:rPr>
          <w:rFonts w:eastAsiaTheme="minorHAnsi" w:cs="Arial"/>
          <w:color w:val="000000" w:themeColor="text1"/>
          <w:kern w:val="28"/>
          <w:szCs w:val="24"/>
        </w:rPr>
        <w:t>in order to</w:t>
      </w:r>
      <w:proofErr w:type="gramEnd"/>
      <w:r w:rsidR="009D596F">
        <w:rPr>
          <w:rFonts w:eastAsiaTheme="minorHAnsi" w:cs="Arial"/>
          <w:color w:val="000000" w:themeColor="text1"/>
          <w:kern w:val="28"/>
          <w:szCs w:val="24"/>
        </w:rPr>
        <w:t xml:space="preserve"> p</w:t>
      </w:r>
      <w:r w:rsidR="002D585E">
        <w:rPr>
          <w:rFonts w:eastAsiaTheme="minorHAnsi" w:cs="Arial"/>
          <w:color w:val="000000" w:themeColor="text1"/>
          <w:kern w:val="28"/>
          <w:szCs w:val="24"/>
        </w:rPr>
        <w:t>r</w:t>
      </w:r>
      <w:r w:rsidR="009D596F">
        <w:rPr>
          <w:rFonts w:eastAsiaTheme="minorHAnsi" w:cs="Arial"/>
          <w:color w:val="000000" w:themeColor="text1"/>
          <w:kern w:val="28"/>
          <w:szCs w:val="24"/>
        </w:rPr>
        <w:t xml:space="preserve">omote </w:t>
      </w:r>
      <w:r w:rsidR="009E577E">
        <w:rPr>
          <w:rFonts w:cs="Arial"/>
          <w:color w:val="000000"/>
        </w:rPr>
        <w:t>efficiency in the</w:t>
      </w:r>
      <w:r w:rsidR="000E7B98">
        <w:rPr>
          <w:rFonts w:cs="Arial"/>
          <w:color w:val="000000"/>
        </w:rPr>
        <w:t xml:space="preserve"> derivatives market</w:t>
      </w:r>
      <w:r w:rsidR="000E7B98" w:rsidRPr="00505647" w:rsidDel="000E7B98">
        <w:rPr>
          <w:rFonts w:eastAsiaTheme="minorHAnsi" w:cs="Arial"/>
          <w:color w:val="000000" w:themeColor="text1"/>
          <w:kern w:val="28"/>
          <w:szCs w:val="24"/>
        </w:rPr>
        <w:t xml:space="preserve"> </w:t>
      </w:r>
      <w:r w:rsidRPr="00505647">
        <w:rPr>
          <w:rFonts w:eastAsiaTheme="minorHAnsi" w:cs="Arial"/>
          <w:color w:val="000000" w:themeColor="text1"/>
          <w:kern w:val="28"/>
          <w:szCs w:val="24"/>
        </w:rPr>
        <w:t xml:space="preserve">and </w:t>
      </w:r>
      <w:r w:rsidR="000E7B98">
        <w:rPr>
          <w:rFonts w:cs="Arial"/>
          <w:kern w:val="28"/>
        </w:rPr>
        <w:t xml:space="preserve">the </w:t>
      </w:r>
      <w:r w:rsidR="000E7B98" w:rsidRPr="00505647">
        <w:rPr>
          <w:rFonts w:cs="Arial"/>
          <w:kern w:val="28"/>
        </w:rPr>
        <w:t>protection of investors</w:t>
      </w:r>
      <w:r w:rsidRPr="00505647">
        <w:rPr>
          <w:rFonts w:eastAsiaTheme="minorHAnsi" w:cs="Arial"/>
          <w:color w:val="000000" w:themeColor="text1"/>
          <w:kern w:val="28"/>
          <w:szCs w:val="24"/>
        </w:rPr>
        <w:t xml:space="preserve">. </w:t>
      </w:r>
    </w:p>
    <w:p w14:paraId="3EE52412" w14:textId="140A49CD" w:rsidR="00BC2DFA" w:rsidRPr="00505647" w:rsidRDefault="0046182F" w:rsidP="00BC2DFA">
      <w:pPr>
        <w:numPr>
          <w:ilvl w:val="0"/>
          <w:numId w:val="1"/>
        </w:numPr>
        <w:spacing w:before="120" w:after="120" w:line="256" w:lineRule="auto"/>
        <w:jc w:val="both"/>
        <w:rPr>
          <w:rFonts w:eastAsiaTheme="minorHAnsi" w:cs="Arial"/>
          <w:color w:val="000000" w:themeColor="text1"/>
          <w:kern w:val="28"/>
          <w:szCs w:val="24"/>
        </w:rPr>
      </w:pPr>
      <w:r w:rsidRPr="00505647">
        <w:rPr>
          <w:rFonts w:eastAsiaTheme="minorHAnsi" w:cs="Arial"/>
          <w:color w:val="000000" w:themeColor="text1"/>
          <w:kern w:val="28"/>
          <w:szCs w:val="24"/>
        </w:rPr>
        <w:t xml:space="preserve">The </w:t>
      </w:r>
      <w:r w:rsidRPr="00505647">
        <w:rPr>
          <w:rFonts w:eastAsiaTheme="minorHAnsi" w:cs="Arial"/>
          <w:i/>
          <w:iCs/>
          <w:color w:val="000000" w:themeColor="text1"/>
          <w:kern w:val="28"/>
          <w:szCs w:val="24"/>
        </w:rPr>
        <w:t>Derivatives Act</w:t>
      </w:r>
      <w:r w:rsidRPr="00505647">
        <w:rPr>
          <w:rFonts w:eastAsiaTheme="minorHAnsi" w:cs="Arial"/>
          <w:color w:val="000000" w:themeColor="text1"/>
          <w:kern w:val="28"/>
          <w:szCs w:val="24"/>
        </w:rPr>
        <w:t xml:space="preserve"> applies to derivatives or derivative instruments within the meaning of section 3 of the Act, namely: </w:t>
      </w:r>
    </w:p>
    <w:p w14:paraId="77A58D1E" w14:textId="62ECF9D7" w:rsidR="00BC2DFA" w:rsidRPr="00505647" w:rsidRDefault="0046182F" w:rsidP="00BC2DFA">
      <w:pPr>
        <w:spacing w:before="120" w:after="120"/>
        <w:ind w:left="992" w:right="992"/>
        <w:jc w:val="both"/>
        <w:rPr>
          <w:rFonts w:cs="Arial"/>
          <w:kern w:val="24"/>
          <w:sz w:val="22"/>
          <w:shd w:val="clear" w:color="auto" w:fill="FFFFFF"/>
        </w:rPr>
      </w:pPr>
      <w:r w:rsidRPr="00505647">
        <w:rPr>
          <w:rFonts w:cs="Arial"/>
          <w:kern w:val="24"/>
          <w:sz w:val="22"/>
        </w:rPr>
        <w:t>“</w:t>
      </w:r>
      <w:r w:rsidR="009875E9" w:rsidRPr="00505647">
        <w:rPr>
          <w:rFonts w:cs="Arial"/>
          <w:kern w:val="24"/>
          <w:sz w:val="22"/>
          <w:szCs w:val="22"/>
          <w:shd w:val="clear" w:color="auto" w:fill="FFFFFF"/>
        </w:rPr>
        <w:t>‘</w:t>
      </w:r>
      <w:r w:rsidRPr="00505647">
        <w:rPr>
          <w:rFonts w:cs="Arial"/>
          <w:kern w:val="24"/>
          <w:sz w:val="22"/>
          <w:szCs w:val="22"/>
          <w:shd w:val="clear" w:color="auto" w:fill="FFFFFF"/>
        </w:rPr>
        <w:t>derivative</w:t>
      </w:r>
      <w:r w:rsidR="00CC421A" w:rsidRPr="00505647">
        <w:rPr>
          <w:rFonts w:cs="Arial"/>
          <w:kern w:val="24"/>
          <w:sz w:val="22"/>
          <w:szCs w:val="22"/>
          <w:shd w:val="clear" w:color="auto" w:fill="FFFFFF"/>
        </w:rPr>
        <w:t>’</w:t>
      </w:r>
      <w:r w:rsidRPr="00505647">
        <w:rPr>
          <w:rFonts w:cs="Arial"/>
          <w:kern w:val="24"/>
          <w:sz w:val="22"/>
          <w:szCs w:val="22"/>
          <w:shd w:val="clear" w:color="auto" w:fill="FFFFFF"/>
        </w:rPr>
        <w:t xml:space="preserve"> </w:t>
      </w:r>
      <w:r w:rsidRPr="00505647">
        <w:rPr>
          <w:rFonts w:cs="Arial"/>
          <w:kern w:val="24"/>
          <w:sz w:val="22"/>
          <w:shd w:val="clear" w:color="auto" w:fill="FFFFFF"/>
        </w:rPr>
        <w:t xml:space="preserve">means an option, a swap, a futures contract, a contract for difference or any other contract or instrument whose market price, value or delivery or payment obligations are derived from, referenced </w:t>
      </w:r>
      <w:proofErr w:type="gramStart"/>
      <w:r w:rsidRPr="00505647">
        <w:rPr>
          <w:rFonts w:cs="Arial"/>
          <w:kern w:val="24"/>
          <w:sz w:val="22"/>
          <w:shd w:val="clear" w:color="auto" w:fill="FFFFFF"/>
        </w:rPr>
        <w:t>to</w:t>
      </w:r>
      <w:proofErr w:type="gramEnd"/>
      <w:r w:rsidRPr="00505647">
        <w:rPr>
          <w:rFonts w:cs="Arial"/>
          <w:kern w:val="24"/>
          <w:sz w:val="22"/>
          <w:shd w:val="clear" w:color="auto" w:fill="FFFFFF"/>
        </w:rPr>
        <w:t xml:space="preserve"> or based on</w:t>
      </w:r>
      <w:r w:rsidR="009E577E">
        <w:rPr>
          <w:rFonts w:cs="Arial"/>
          <w:kern w:val="24"/>
          <w:sz w:val="22"/>
          <w:shd w:val="clear" w:color="auto" w:fill="FFFFFF"/>
        </w:rPr>
        <w:t xml:space="preserve"> </w:t>
      </w:r>
      <w:r w:rsidRPr="00505647">
        <w:rPr>
          <w:rFonts w:cs="Arial"/>
          <w:kern w:val="24"/>
          <w:sz w:val="22"/>
          <w:shd w:val="clear" w:color="auto" w:fill="FFFFFF"/>
        </w:rPr>
        <w:t>an underlying interest, or any other contract or instrument designated by regulation or considered equivalent to a derivative on the basis of criteria determined by regulation;”.</w:t>
      </w:r>
    </w:p>
    <w:p w14:paraId="2523BC26" w14:textId="0F5CBCC9" w:rsidR="00BC2DFA" w:rsidRPr="00505647" w:rsidRDefault="0046182F" w:rsidP="00BC2DFA">
      <w:pPr>
        <w:numPr>
          <w:ilvl w:val="0"/>
          <w:numId w:val="1"/>
        </w:numPr>
        <w:spacing w:before="120" w:after="120" w:line="256" w:lineRule="auto"/>
        <w:jc w:val="both"/>
        <w:rPr>
          <w:rFonts w:eastAsiaTheme="minorHAnsi" w:cs="Arial"/>
          <w:color w:val="000000" w:themeColor="text1"/>
          <w:kern w:val="28"/>
          <w:szCs w:val="24"/>
        </w:rPr>
      </w:pPr>
      <w:bookmarkStart w:id="9" w:name="_Hlk143704121"/>
      <w:r w:rsidRPr="00505647">
        <w:rPr>
          <w:rFonts w:eastAsiaTheme="minorHAnsi" w:cs="Arial"/>
          <w:kern w:val="28"/>
          <w:szCs w:val="24"/>
        </w:rPr>
        <w:t>This definition of “derivative” is worded in very broad terms.</w:t>
      </w:r>
      <w:bookmarkEnd w:id="9"/>
    </w:p>
    <w:p w14:paraId="66F5C835" w14:textId="2899EA07" w:rsidR="00BC2DFA" w:rsidRPr="00505647" w:rsidRDefault="0046182F" w:rsidP="002B5110">
      <w:pPr>
        <w:pStyle w:val="Paragraphe"/>
        <w:rPr>
          <w:color w:val="000000" w:themeColor="text1"/>
        </w:rPr>
      </w:pPr>
      <w:r w:rsidRPr="00505647">
        <w:t xml:space="preserve">The </w:t>
      </w:r>
      <w:r w:rsidRPr="00505647">
        <w:rPr>
          <w:i/>
          <w:iCs/>
        </w:rPr>
        <w:t>Derivatives Act</w:t>
      </w:r>
      <w:r w:rsidRPr="00505647">
        <w:t xml:space="preserve"> does not specifically define the concept of “futures contract” or the concept of “contract for difference” found in the definition of a derivative. However, the Tribunal uses the following lessons to explain these concepts and determine the nature of the products offered by the respondents on the XT.com website.</w:t>
      </w:r>
    </w:p>
    <w:p w14:paraId="7E0E8140" w14:textId="77777777" w:rsidR="00BC2DFA" w:rsidRPr="00505647" w:rsidRDefault="0046182F" w:rsidP="00BC2DFA">
      <w:pPr>
        <w:keepNext/>
        <w:spacing w:before="120" w:after="120"/>
        <w:ind w:left="734"/>
        <w:jc w:val="both"/>
        <w:outlineLvl w:val="2"/>
        <w:rPr>
          <w:rFonts w:cs="Arial"/>
          <w:b/>
          <w:bCs/>
          <w:iCs/>
          <w:shd w:val="clear" w:color="auto" w:fill="FFFFFF"/>
        </w:rPr>
      </w:pPr>
      <w:r w:rsidRPr="00505647">
        <w:rPr>
          <w:rFonts w:cs="Arial"/>
          <w:b/>
          <w:bCs/>
          <w:shd w:val="clear" w:color="auto" w:fill="FFFFFF"/>
        </w:rPr>
        <w:t xml:space="preserve">Futures </w:t>
      </w:r>
      <w:r w:rsidRPr="00505647">
        <w:rPr>
          <w:rFonts w:cs="Arial"/>
          <w:b/>
          <w:bCs/>
        </w:rPr>
        <w:t>contracts</w:t>
      </w:r>
    </w:p>
    <w:p w14:paraId="0D8178F4" w14:textId="5E193420" w:rsidR="00BC2DFA" w:rsidRPr="00505647" w:rsidRDefault="0046182F" w:rsidP="002B5110">
      <w:pPr>
        <w:pStyle w:val="Paragraphe"/>
      </w:pPr>
      <w:r w:rsidRPr="00505647">
        <w:t>The Authority’s financial glossary</w:t>
      </w:r>
      <w:r w:rsidRPr="00505647">
        <w:rPr>
          <w:vertAlign w:val="superscript"/>
        </w:rPr>
        <w:footnoteReference w:id="115"/>
      </w:r>
      <w:r w:rsidRPr="00505647">
        <w:t xml:space="preserve"> contains the following definition of the concept of a futures contract:</w:t>
      </w:r>
    </w:p>
    <w:p w14:paraId="3B09D021"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lastRenderedPageBreak/>
        <w:t>“There are two types of contracts: futures and forward contracts.</w:t>
      </w:r>
    </w:p>
    <w:p w14:paraId="02825144"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 xml:space="preserve">In both cases, the parties involved assume a legal obligation to buy or sell a specific quantity of an asset (such as oil, </w:t>
      </w:r>
      <w:proofErr w:type="gramStart"/>
      <w:r w:rsidRPr="00505647">
        <w:rPr>
          <w:rFonts w:cs="Arial"/>
          <w:kern w:val="24"/>
          <w:sz w:val="22"/>
        </w:rPr>
        <w:t>wheat</w:t>
      </w:r>
      <w:proofErr w:type="gramEnd"/>
      <w:r w:rsidRPr="00505647">
        <w:rPr>
          <w:rFonts w:cs="Arial"/>
          <w:kern w:val="24"/>
          <w:sz w:val="22"/>
        </w:rPr>
        <w:t xml:space="preserve"> or financial products such as a stock market index) at a predetermined price and date.</w:t>
      </w:r>
    </w:p>
    <w:p w14:paraId="5C7457EC"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The characteristics of futures are selected by the exchange. A clearing house acts as an intermediary between the buyer and the seller and ensures compliance with the contract terms, so there is no counterparty risk.</w:t>
      </w:r>
    </w:p>
    <w:p w14:paraId="765DD7BE" w14:textId="77777777" w:rsidR="00BC2DFA" w:rsidRPr="00505647" w:rsidRDefault="0046182F" w:rsidP="00BC2DFA">
      <w:pPr>
        <w:spacing w:before="120" w:after="120"/>
        <w:ind w:left="992" w:right="992"/>
        <w:jc w:val="both"/>
        <w:rPr>
          <w:rFonts w:cs="Arial"/>
          <w:color w:val="364349"/>
          <w:kern w:val="24"/>
          <w:sz w:val="22"/>
        </w:rPr>
      </w:pPr>
      <w:r w:rsidRPr="00505647">
        <w:rPr>
          <w:rFonts w:cs="Arial"/>
          <w:kern w:val="24"/>
          <w:sz w:val="22"/>
        </w:rPr>
        <w:t>Conversely, the characteristics of forward contracts are selected by the parties who sign these contracts. In general, there is no clearing house involved to guarantee the credit of the parties involved. The parties involved can therefore choose the contract maturity date, its duration, the quantity of the asset delivered, the place of exchange, etc."</w:t>
      </w:r>
    </w:p>
    <w:p w14:paraId="092A9128" w14:textId="131FF666" w:rsidR="00BC2DFA" w:rsidRPr="00505647" w:rsidRDefault="0046182F" w:rsidP="00BC2DFA">
      <w:pPr>
        <w:numPr>
          <w:ilvl w:val="0"/>
          <w:numId w:val="1"/>
        </w:numPr>
        <w:spacing w:before="120" w:after="120" w:line="256" w:lineRule="auto"/>
        <w:jc w:val="both"/>
        <w:rPr>
          <w:rFonts w:eastAsiaTheme="minorHAnsi" w:cs="Arial"/>
          <w:color w:val="000000" w:themeColor="text1"/>
          <w:kern w:val="28"/>
          <w:szCs w:val="24"/>
        </w:rPr>
      </w:pPr>
      <w:r w:rsidRPr="00505647">
        <w:rPr>
          <w:rFonts w:eastAsiaTheme="minorHAnsi" w:cs="Arial"/>
          <w:kern w:val="28"/>
          <w:szCs w:val="24"/>
        </w:rPr>
        <w:t xml:space="preserve">The Supreme Court of Canada, in </w:t>
      </w:r>
      <w:r w:rsidRPr="00505647">
        <w:rPr>
          <w:rFonts w:eastAsiaTheme="minorHAnsi" w:cs="Arial"/>
          <w:i/>
          <w:iCs/>
          <w:kern w:val="28"/>
          <w:szCs w:val="24"/>
        </w:rPr>
        <w:t xml:space="preserve">MacDonald </w:t>
      </w:r>
      <w:r w:rsidRPr="00505647">
        <w:rPr>
          <w:rFonts w:eastAsiaTheme="minorHAnsi" w:cs="Arial"/>
          <w:kern w:val="28"/>
          <w:szCs w:val="24"/>
        </w:rPr>
        <w:t>v</w:t>
      </w:r>
      <w:r w:rsidRPr="00505647">
        <w:rPr>
          <w:rFonts w:eastAsiaTheme="minorHAnsi" w:cs="Arial"/>
          <w:i/>
          <w:iCs/>
          <w:kern w:val="28"/>
          <w:szCs w:val="24"/>
        </w:rPr>
        <w:t>. Canada</w:t>
      </w:r>
      <w:r w:rsidRPr="00505647">
        <w:rPr>
          <w:rFonts w:eastAsiaTheme="minorHAnsi" w:cs="Arial"/>
          <w:kern w:val="28"/>
          <w:szCs w:val="24"/>
        </w:rPr>
        <w:t>,</w:t>
      </w:r>
      <w:r w:rsidRPr="00505647">
        <w:rPr>
          <w:rFonts w:eastAsiaTheme="minorHAnsi" w:cs="Arial"/>
          <w:kern w:val="28"/>
          <w:szCs w:val="24"/>
          <w:vertAlign w:val="superscript"/>
        </w:rPr>
        <w:footnoteReference w:id="116"/>
      </w:r>
      <w:r w:rsidRPr="00505647">
        <w:rPr>
          <w:rFonts w:eastAsiaTheme="minorHAnsi" w:cs="Arial"/>
          <w:kern w:val="28"/>
          <w:szCs w:val="24"/>
        </w:rPr>
        <w:t xml:space="preserve"> states that a forward contract is “an agreement for the purchase/sale of an asset at an agreed future date.” This decision indicates that it is a “type of derivative </w:t>
      </w:r>
      <w:r w:rsidR="00DA2984">
        <w:rPr>
          <w:rFonts w:eastAsiaTheme="minorHAnsi" w:cs="Arial"/>
          <w:kern w:val="28"/>
          <w:szCs w:val="24"/>
        </w:rPr>
        <w:t xml:space="preserve">contract </w:t>
      </w:r>
      <w:r w:rsidRPr="00505647">
        <w:rPr>
          <w:rFonts w:eastAsiaTheme="minorHAnsi" w:cs="Arial"/>
          <w:kern w:val="28"/>
          <w:szCs w:val="24"/>
        </w:rPr>
        <w:t xml:space="preserve">that creates an obligation for one party to sell, and another party to buy, an underlying </w:t>
      </w:r>
      <w:r w:rsidR="00DA2984">
        <w:rPr>
          <w:rFonts w:eastAsiaTheme="minorHAnsi" w:cs="Arial"/>
          <w:kern w:val="28"/>
          <w:szCs w:val="24"/>
        </w:rPr>
        <w:t>asset</w:t>
      </w:r>
      <w:r w:rsidR="00DA2984" w:rsidRPr="00505647">
        <w:rPr>
          <w:rFonts w:eastAsiaTheme="minorHAnsi" w:cs="Arial"/>
          <w:kern w:val="28"/>
          <w:szCs w:val="24"/>
        </w:rPr>
        <w:t xml:space="preserve"> </w:t>
      </w:r>
      <w:r w:rsidRPr="00505647">
        <w:rPr>
          <w:rFonts w:eastAsiaTheme="minorHAnsi" w:cs="Arial"/>
          <w:kern w:val="28"/>
          <w:szCs w:val="24"/>
        </w:rPr>
        <w:t xml:space="preserve">at a pre-determined future date and at a pre-determined price.” The Court specifies that forward contracts “can be settled by physical delivery of the underlying asset or </w:t>
      </w:r>
      <w:r w:rsidR="00535C96" w:rsidRPr="00505647">
        <w:rPr>
          <w:rFonts w:eastAsiaTheme="minorHAnsi" w:cs="Arial"/>
          <w:kern w:val="28"/>
          <w:szCs w:val="24"/>
        </w:rPr>
        <w:t>‘</w:t>
      </w:r>
      <w:r w:rsidRPr="00505647">
        <w:rPr>
          <w:rFonts w:eastAsiaTheme="minorHAnsi" w:cs="Arial"/>
          <w:kern w:val="28"/>
          <w:szCs w:val="24"/>
        </w:rPr>
        <w:t>cash settled</w:t>
      </w:r>
      <w:r w:rsidR="00535C96" w:rsidRPr="00505647">
        <w:rPr>
          <w:rFonts w:eastAsiaTheme="minorHAnsi" w:cs="Arial"/>
          <w:kern w:val="28"/>
          <w:szCs w:val="24"/>
        </w:rPr>
        <w:t>’</w:t>
      </w:r>
      <w:r w:rsidRPr="00505647">
        <w:rPr>
          <w:rFonts w:eastAsiaTheme="minorHAnsi" w:cs="Arial"/>
          <w:kern w:val="28"/>
          <w:szCs w:val="24"/>
        </w:rPr>
        <w:t xml:space="preserve"> by one party paying the other based on whether the Forward Price is higher or lower than the market price on the Forward Date.”</w:t>
      </w:r>
    </w:p>
    <w:p w14:paraId="410F6C32"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The evidence shows that quarterly or other periodic “USDT-M Futures” and “Coin-M Futures” offered to the public by the respondents on the XT.com website are considered forward contracts because of their characteristics explained below. </w:t>
      </w:r>
    </w:p>
    <w:p w14:paraId="07B68AA4" w14:textId="5B63178D"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First, </w:t>
      </w:r>
      <w:proofErr w:type="gramStart"/>
      <w:r w:rsidRPr="00505647">
        <w:rPr>
          <w:rFonts w:eastAsiaTheme="minorHAnsi" w:cs="Arial"/>
          <w:kern w:val="28"/>
          <w:szCs w:val="24"/>
        </w:rPr>
        <w:t>quarterly</w:t>
      </w:r>
      <w:proofErr w:type="gramEnd"/>
      <w:r w:rsidRPr="00505647">
        <w:rPr>
          <w:rFonts w:eastAsiaTheme="minorHAnsi" w:cs="Arial"/>
          <w:kern w:val="28"/>
          <w:szCs w:val="24"/>
        </w:rPr>
        <w:t xml:space="preserve"> or other periodic “USDT-M Futures” and “Coin-M Futures”, like the other “Futures Contracts” offered on the XT.com website, </w:t>
      </w:r>
      <w:r w:rsidR="005C5B2C" w:rsidRPr="00505647">
        <w:rPr>
          <w:rFonts w:eastAsiaTheme="minorHAnsi" w:cs="Arial"/>
          <w:kern w:val="28"/>
          <w:szCs w:val="24"/>
        </w:rPr>
        <w:t xml:space="preserve">are </w:t>
      </w:r>
      <w:r w:rsidRPr="00505647">
        <w:rPr>
          <w:rFonts w:eastAsiaTheme="minorHAnsi" w:cs="Arial"/>
          <w:kern w:val="28"/>
          <w:szCs w:val="24"/>
        </w:rPr>
        <w:t>contracts involving two parties: a “maker” and a “taker”.</w:t>
      </w:r>
      <w:r w:rsidRPr="00505647">
        <w:rPr>
          <w:rFonts w:eastAsiaTheme="minorHAnsi" w:cs="Arial"/>
          <w:kern w:val="28"/>
          <w:szCs w:val="24"/>
          <w:vertAlign w:val="superscript"/>
        </w:rPr>
        <w:footnoteReference w:id="117"/>
      </w:r>
    </w:p>
    <w:p w14:paraId="00F16C34" w14:textId="11466340"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Quarterly or other periodic “USDT-M Futures” and “Coin-M Futures” are intended for the purchase and sale of assets, </w:t>
      </w:r>
      <w:proofErr w:type="gramStart"/>
      <w:r w:rsidRPr="00505647">
        <w:rPr>
          <w:rFonts w:eastAsiaTheme="minorHAnsi" w:cs="Arial"/>
          <w:kern w:val="28"/>
          <w:szCs w:val="24"/>
        </w:rPr>
        <w:t>i.e.</w:t>
      </w:r>
      <w:proofErr w:type="gramEnd"/>
      <w:r w:rsidRPr="00505647">
        <w:rPr>
          <w:rFonts w:eastAsiaTheme="minorHAnsi" w:cs="Arial"/>
          <w:kern w:val="28"/>
          <w:szCs w:val="24"/>
        </w:rPr>
        <w:t xml:space="preserve"> crypto assets, at a future date. It forces one party to sell, and another to buy, a crypto asset on a pre-determined date and at a pre-determined price.</w:t>
      </w:r>
      <w:r w:rsidRPr="00505647">
        <w:rPr>
          <w:rFonts w:eastAsiaTheme="minorHAnsi" w:cs="Arial"/>
          <w:kern w:val="28"/>
          <w:szCs w:val="24"/>
          <w:vertAlign w:val="superscript"/>
        </w:rPr>
        <w:footnoteReference w:id="118"/>
      </w:r>
    </w:p>
    <w:p w14:paraId="48D0CA53" w14:textId="1739382A" w:rsidR="00BC2DFA" w:rsidRPr="00505647" w:rsidRDefault="0046182F" w:rsidP="00836256">
      <w:pPr>
        <w:pStyle w:val="Paragraphe"/>
      </w:pPr>
      <w:r w:rsidRPr="00505647">
        <w:t>According to the evidence, terms are available on the XT.com website for these contracts, namely quarterly terms, which expire on the last Friday of each quarter, and bi-quarterly terms, in which contracts are generated on the third Friday from the last day of each quarter and expire on the last Friday of each semester.</w:t>
      </w:r>
      <w:r w:rsidRPr="00505647">
        <w:rPr>
          <w:vertAlign w:val="superscript"/>
        </w:rPr>
        <w:footnoteReference w:id="119"/>
      </w:r>
    </w:p>
    <w:p w14:paraId="0CEEBE47" w14:textId="77777777" w:rsidR="00BC2DFA" w:rsidRPr="00505647" w:rsidRDefault="0046182F" w:rsidP="00836256">
      <w:pPr>
        <w:pStyle w:val="Paragraphe"/>
      </w:pPr>
      <w:r w:rsidRPr="00505647">
        <w:lastRenderedPageBreak/>
        <w:t xml:space="preserve">Weekly, bi-weekly, </w:t>
      </w:r>
      <w:proofErr w:type="gramStart"/>
      <w:r w:rsidRPr="00505647">
        <w:t>monthly</w:t>
      </w:r>
      <w:proofErr w:type="gramEnd"/>
      <w:r w:rsidRPr="00505647">
        <w:t xml:space="preserve"> and bi-monthly terms are also available.</w:t>
      </w:r>
      <w:r w:rsidRPr="00505647">
        <w:rPr>
          <w:vertAlign w:val="superscript"/>
        </w:rPr>
        <w:footnoteReference w:id="120"/>
      </w:r>
    </w:p>
    <w:p w14:paraId="3E066CDB" w14:textId="0B4BA70E" w:rsidR="00BC2DFA" w:rsidRPr="00505647" w:rsidRDefault="0046182F" w:rsidP="00836256">
      <w:pPr>
        <w:pStyle w:val="Paragraphe"/>
        <w:rPr>
          <w:szCs w:val="24"/>
        </w:rPr>
      </w:pPr>
      <w:r w:rsidRPr="00505647">
        <w:rPr>
          <w:szCs w:val="24"/>
        </w:rPr>
        <w:t>The evidence also shows that, like other “Futures Contracts” offered on</w:t>
      </w:r>
      <w:r w:rsidR="003002C1">
        <w:rPr>
          <w:szCs w:val="24"/>
        </w:rPr>
        <w:t xml:space="preserve"> the</w:t>
      </w:r>
      <w:r w:rsidRPr="00505647">
        <w:rPr>
          <w:szCs w:val="24"/>
        </w:rPr>
        <w:t xml:space="preserve"> </w:t>
      </w:r>
      <w:bookmarkStart w:id="10" w:name="_Hlk145057458"/>
      <w:r w:rsidRPr="00505647">
        <w:rPr>
          <w:szCs w:val="24"/>
        </w:rPr>
        <w:t>XT.com</w:t>
      </w:r>
      <w:bookmarkEnd w:id="10"/>
      <w:r w:rsidR="003002C1">
        <w:rPr>
          <w:szCs w:val="24"/>
        </w:rPr>
        <w:t xml:space="preserve"> website</w:t>
      </w:r>
      <w:r w:rsidRPr="00505647">
        <w:rPr>
          <w:szCs w:val="24"/>
        </w:rPr>
        <w:t>, quarterly or other periodic “USDT-M Futures” and “COIN-M Futures” allow investors to take a long or short position.</w:t>
      </w:r>
      <w:r w:rsidRPr="00505647">
        <w:rPr>
          <w:szCs w:val="24"/>
          <w:vertAlign w:val="superscript"/>
        </w:rPr>
        <w:footnoteReference w:id="121"/>
      </w:r>
    </w:p>
    <w:p w14:paraId="178AD6D7" w14:textId="77777777" w:rsidR="00BC2DFA" w:rsidRPr="00505647" w:rsidRDefault="0046182F" w:rsidP="00836256">
      <w:pPr>
        <w:pStyle w:val="Paragraphe"/>
        <w:rPr>
          <w:szCs w:val="24"/>
        </w:rPr>
      </w:pPr>
      <w:r w:rsidRPr="00505647">
        <w:rPr>
          <w:szCs w:val="24"/>
        </w:rPr>
        <w:t xml:space="preserve">Finally, it has been demonstrated that, like other “Futures Contracts” offered on the XT.com website, the quarterly or other periodic “USDT-M Futures” and “COIN-M Futures” can be traded with a margin and </w:t>
      </w:r>
      <w:r w:rsidRPr="003002C1">
        <w:rPr>
          <w:szCs w:val="24"/>
        </w:rPr>
        <w:t>leverage</w:t>
      </w:r>
      <w:r w:rsidRPr="00505647">
        <w:rPr>
          <w:szCs w:val="24"/>
        </w:rPr>
        <w:t>.</w:t>
      </w:r>
      <w:r w:rsidRPr="00505647">
        <w:rPr>
          <w:szCs w:val="24"/>
          <w:vertAlign w:val="superscript"/>
        </w:rPr>
        <w:footnoteReference w:id="122"/>
      </w:r>
    </w:p>
    <w:p w14:paraId="4460C24F" w14:textId="77777777" w:rsidR="00BC2DFA" w:rsidRPr="00505647" w:rsidRDefault="0046182F" w:rsidP="00836256">
      <w:pPr>
        <w:pStyle w:val="Paragraphe"/>
        <w:rPr>
          <w:szCs w:val="24"/>
        </w:rPr>
      </w:pPr>
      <w:r w:rsidRPr="00505647">
        <w:rPr>
          <w:szCs w:val="24"/>
        </w:rPr>
        <w:t xml:space="preserve">Finally, </w:t>
      </w:r>
      <w:proofErr w:type="gramStart"/>
      <w:r w:rsidRPr="00505647">
        <w:rPr>
          <w:szCs w:val="24"/>
        </w:rPr>
        <w:t>quarterly</w:t>
      </w:r>
      <w:proofErr w:type="gramEnd"/>
      <w:r w:rsidRPr="00505647">
        <w:rPr>
          <w:szCs w:val="24"/>
        </w:rPr>
        <w:t xml:space="preserve"> or other periodic “USDT-M Futures” and “Coin-M Futures” do not provide for rollover since they expire on their own.</w:t>
      </w:r>
      <w:r w:rsidRPr="00505647">
        <w:rPr>
          <w:szCs w:val="24"/>
          <w:vertAlign w:val="superscript"/>
        </w:rPr>
        <w:footnoteReference w:id="123"/>
      </w:r>
    </w:p>
    <w:p w14:paraId="4F0B201F" w14:textId="77777777" w:rsidR="00BC2DFA" w:rsidRPr="00505647" w:rsidRDefault="0046182F" w:rsidP="00836256">
      <w:pPr>
        <w:pStyle w:val="Paragraphe"/>
        <w:rPr>
          <w:szCs w:val="24"/>
        </w:rPr>
      </w:pPr>
      <w:r w:rsidRPr="00505647">
        <w:rPr>
          <w:szCs w:val="24"/>
        </w:rPr>
        <w:t xml:space="preserve">Based on the evidence presented by the Authority, the Tribunal is of the opinion that quarterly or other periodic “USDT-M Futures” and “Coin-M Futures” constitute futures contracts. The Tribunal finds that they therefore constitute derivatives within the meaning of section 3 of the </w:t>
      </w:r>
      <w:r w:rsidRPr="00505647">
        <w:rPr>
          <w:i/>
          <w:iCs/>
          <w:szCs w:val="24"/>
        </w:rPr>
        <w:t>Derivatives Act</w:t>
      </w:r>
      <w:r w:rsidRPr="00505647">
        <w:rPr>
          <w:szCs w:val="24"/>
        </w:rPr>
        <w:t>.</w:t>
      </w:r>
    </w:p>
    <w:p w14:paraId="78DC33C7" w14:textId="65697975" w:rsidR="00BC2DFA" w:rsidRPr="00505647" w:rsidRDefault="0046182F" w:rsidP="00BC2DFA">
      <w:pPr>
        <w:numPr>
          <w:ilvl w:val="0"/>
          <w:numId w:val="1"/>
        </w:numPr>
        <w:spacing w:before="120" w:after="120" w:line="256" w:lineRule="auto"/>
        <w:jc w:val="both"/>
        <w:rPr>
          <w:rFonts w:eastAsiaTheme="minorHAnsi" w:cs="Arial"/>
          <w:color w:val="000000" w:themeColor="text1"/>
          <w:kern w:val="28"/>
          <w:sz w:val="22"/>
          <w:szCs w:val="22"/>
        </w:rPr>
      </w:pPr>
      <w:r w:rsidRPr="00505647">
        <w:rPr>
          <w:rFonts w:eastAsiaTheme="minorHAnsi" w:cs="Arial"/>
          <w:kern w:val="28"/>
          <w:szCs w:val="24"/>
        </w:rPr>
        <w:t xml:space="preserve">The Tribunal wishes to clarify that the </w:t>
      </w:r>
      <w:r w:rsidRPr="00505647">
        <w:rPr>
          <w:rFonts w:eastAsiaTheme="minorHAnsi" w:cs="Arial"/>
          <w:i/>
          <w:iCs/>
          <w:kern w:val="28"/>
          <w:szCs w:val="24"/>
        </w:rPr>
        <w:t>Derivatives Act</w:t>
      </w:r>
      <w:r w:rsidRPr="00505647">
        <w:rPr>
          <w:rFonts w:eastAsiaTheme="minorHAnsi" w:cs="Arial"/>
          <w:kern w:val="28"/>
          <w:szCs w:val="24"/>
        </w:rPr>
        <w:t xml:space="preserve"> applies to standardized derivatives and </w:t>
      </w:r>
      <w:r w:rsidR="009E577E">
        <w:rPr>
          <w:rFonts w:eastAsiaTheme="minorHAnsi" w:cs="Arial"/>
          <w:kern w:val="28"/>
          <w:szCs w:val="24"/>
        </w:rPr>
        <w:t xml:space="preserve">over-the-counter </w:t>
      </w:r>
      <w:r w:rsidRPr="00505647">
        <w:rPr>
          <w:rFonts w:eastAsiaTheme="minorHAnsi" w:cs="Arial"/>
          <w:kern w:val="28"/>
          <w:szCs w:val="24"/>
        </w:rPr>
        <w:t xml:space="preserve">derivatives </w:t>
      </w:r>
      <w:r w:rsidRPr="00505647">
        <w:rPr>
          <w:rFonts w:eastAsiaTheme="minorHAnsi" w:cs="Arial"/>
          <w:color w:val="000000" w:themeColor="text1"/>
          <w:kern w:val="28"/>
          <w:szCs w:val="24"/>
        </w:rPr>
        <w:t>within the meaning of section 3 of that Act, namely:</w:t>
      </w:r>
      <w:r w:rsidRPr="00505647">
        <w:rPr>
          <w:rFonts w:eastAsiaTheme="minorHAnsi" w:cs="Arial"/>
          <w:color w:val="000000" w:themeColor="text1"/>
          <w:kern w:val="28"/>
          <w:sz w:val="22"/>
          <w:szCs w:val="22"/>
        </w:rPr>
        <w:t xml:space="preserve"> </w:t>
      </w:r>
    </w:p>
    <w:p w14:paraId="32BB566D"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w:t>
      </w:r>
      <w:proofErr w:type="gramStart"/>
      <w:r w:rsidRPr="00505647">
        <w:rPr>
          <w:rFonts w:cs="Arial"/>
          <w:kern w:val="24"/>
          <w:sz w:val="22"/>
        </w:rPr>
        <w:t>standardized</w:t>
      </w:r>
      <w:proofErr w:type="gramEnd"/>
      <w:r w:rsidRPr="00505647">
        <w:rPr>
          <w:rFonts w:cs="Arial"/>
          <w:kern w:val="24"/>
          <w:sz w:val="22"/>
        </w:rPr>
        <w:t xml:space="preserve"> derivative” means a derivative that is traded on a published market, whose intrinsic characteristics are determined by that market and whose trade is cleared and settled by a clearing house;”</w:t>
      </w:r>
    </w:p>
    <w:p w14:paraId="57EF5442"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 xml:space="preserve">“over-the-counter derivative” means any derivative other than a standardized </w:t>
      </w:r>
      <w:proofErr w:type="gramStart"/>
      <w:r w:rsidRPr="00505647">
        <w:rPr>
          <w:rFonts w:cs="Arial"/>
          <w:kern w:val="24"/>
          <w:sz w:val="22"/>
        </w:rPr>
        <w:t>derivative;</w:t>
      </w:r>
      <w:proofErr w:type="gramEnd"/>
    </w:p>
    <w:p w14:paraId="13805ED1" w14:textId="3DAFADB5" w:rsidR="00BC2DFA" w:rsidRPr="00505647" w:rsidRDefault="0046182F" w:rsidP="00BC2DFA">
      <w:pPr>
        <w:numPr>
          <w:ilvl w:val="0"/>
          <w:numId w:val="1"/>
        </w:numPr>
        <w:spacing w:before="120" w:after="120" w:line="256" w:lineRule="auto"/>
        <w:jc w:val="both"/>
        <w:rPr>
          <w:rFonts w:eastAsiaTheme="minorHAnsi" w:cs="Arial"/>
          <w:color w:val="000000" w:themeColor="text1"/>
          <w:kern w:val="28"/>
          <w:szCs w:val="24"/>
        </w:rPr>
      </w:pPr>
      <w:bookmarkStart w:id="11" w:name="_Hlk145057358"/>
      <w:r w:rsidRPr="00505647">
        <w:rPr>
          <w:rFonts w:eastAsiaTheme="minorHAnsi" w:cs="Arial"/>
          <w:kern w:val="28"/>
          <w:szCs w:val="24"/>
        </w:rPr>
        <w:t>Quarterly or other periodic “USDT-M Futures” and “Coin-M Futures” are not traded on a published market. Their intrinsic characteristics are not determined by a published market. They are not cleared or settled by a clearing house. Thus, the Tribunal finds that they are not standardized derivatives. Therefore, they are over-the-counter derivatives and therefore forward contracts.</w:t>
      </w:r>
      <w:bookmarkEnd w:id="11"/>
    </w:p>
    <w:p w14:paraId="3EC22E8D" w14:textId="77777777" w:rsidR="00BC2DFA" w:rsidRPr="00505647" w:rsidRDefault="0046182F" w:rsidP="00BC2DFA">
      <w:pPr>
        <w:keepNext/>
        <w:spacing w:before="120" w:after="120"/>
        <w:ind w:left="734"/>
        <w:jc w:val="both"/>
        <w:outlineLvl w:val="2"/>
        <w:rPr>
          <w:rFonts w:cs="Arial"/>
          <w:b/>
          <w:bCs/>
          <w:iCs/>
          <w:shd w:val="clear" w:color="auto" w:fill="FFFFFF"/>
        </w:rPr>
      </w:pPr>
      <w:r w:rsidRPr="00505647">
        <w:rPr>
          <w:rFonts w:cs="Arial"/>
          <w:b/>
          <w:bCs/>
          <w:shd w:val="clear" w:color="auto" w:fill="FFFFFF"/>
        </w:rPr>
        <w:t>Contracts for difference</w:t>
      </w:r>
    </w:p>
    <w:p w14:paraId="3A809AA9" w14:textId="77777777" w:rsidR="00BC2DFA" w:rsidRPr="00505647" w:rsidRDefault="0046182F" w:rsidP="00BC2DFA">
      <w:pPr>
        <w:numPr>
          <w:ilvl w:val="0"/>
          <w:numId w:val="1"/>
        </w:numPr>
        <w:spacing w:before="120" w:after="120" w:line="256" w:lineRule="auto"/>
        <w:jc w:val="both"/>
        <w:rPr>
          <w:rFonts w:eastAsiaTheme="minorHAnsi" w:cs="Arial"/>
          <w:color w:val="000000" w:themeColor="text1"/>
          <w:kern w:val="28"/>
          <w:szCs w:val="24"/>
        </w:rPr>
      </w:pPr>
      <w:r w:rsidRPr="00505647">
        <w:rPr>
          <w:rFonts w:eastAsiaTheme="minorHAnsi" w:cs="Arial"/>
          <w:color w:val="000000" w:themeColor="text1"/>
          <w:kern w:val="28"/>
          <w:szCs w:val="24"/>
        </w:rPr>
        <w:t>AMF France, in its savings area, explains the concept of a “contract for difference” in the following terms:</w:t>
      </w:r>
      <w:r w:rsidRPr="00505647">
        <w:rPr>
          <w:rFonts w:eastAsiaTheme="minorHAnsi" w:cs="Arial"/>
          <w:color w:val="000000" w:themeColor="text1"/>
          <w:kern w:val="28"/>
          <w:szCs w:val="24"/>
          <w:vertAlign w:val="superscript"/>
        </w:rPr>
        <w:footnoteReference w:id="124"/>
      </w:r>
    </w:p>
    <w:p w14:paraId="72BA0B26" w14:textId="28189586" w:rsidR="00BC2DFA" w:rsidRPr="00505647" w:rsidRDefault="0046182F" w:rsidP="00BC2DFA">
      <w:pPr>
        <w:spacing w:before="120" w:after="120"/>
        <w:ind w:left="992" w:right="992"/>
        <w:jc w:val="both"/>
        <w:rPr>
          <w:rFonts w:cs="Arial"/>
          <w:kern w:val="24"/>
          <w:sz w:val="22"/>
        </w:rPr>
      </w:pPr>
      <w:r w:rsidRPr="00505647">
        <w:rPr>
          <w:rFonts w:cs="Arial"/>
          <w:kern w:val="24"/>
          <w:sz w:val="22"/>
        </w:rPr>
        <w:t>[TRANSLATION] “CFDs (</w:t>
      </w:r>
      <w:r w:rsidR="003C58CC" w:rsidRPr="00505647">
        <w:rPr>
          <w:rFonts w:cs="Arial"/>
          <w:kern w:val="24"/>
          <w:sz w:val="22"/>
        </w:rPr>
        <w:t>‘</w:t>
      </w:r>
      <w:r w:rsidRPr="00505647">
        <w:rPr>
          <w:rFonts w:cs="Arial"/>
          <w:kern w:val="24"/>
          <w:sz w:val="22"/>
        </w:rPr>
        <w:t>contracts for difference</w:t>
      </w:r>
      <w:r w:rsidR="003C58CC" w:rsidRPr="00505647">
        <w:rPr>
          <w:rFonts w:cs="Arial"/>
          <w:kern w:val="24"/>
          <w:sz w:val="22"/>
        </w:rPr>
        <w:t>’</w:t>
      </w:r>
      <w:r w:rsidRPr="00505647">
        <w:rPr>
          <w:rFonts w:cs="Arial"/>
          <w:kern w:val="24"/>
          <w:sz w:val="22"/>
        </w:rPr>
        <w:t xml:space="preserve">) are financial products that make it possible to bet on increases or decreases in an </w:t>
      </w:r>
      <w:r w:rsidR="003C58CC" w:rsidRPr="00505647">
        <w:rPr>
          <w:rFonts w:cs="Arial"/>
          <w:kern w:val="24"/>
          <w:sz w:val="22"/>
        </w:rPr>
        <w:t>‘</w:t>
      </w:r>
      <w:r w:rsidRPr="00505647">
        <w:rPr>
          <w:rFonts w:cs="Arial"/>
          <w:kern w:val="24"/>
          <w:sz w:val="22"/>
        </w:rPr>
        <w:t>underlying interest</w:t>
      </w:r>
      <w:r w:rsidR="003C58CC" w:rsidRPr="00505647">
        <w:rPr>
          <w:rFonts w:cs="Arial"/>
          <w:kern w:val="24"/>
          <w:sz w:val="22"/>
        </w:rPr>
        <w:t>’</w:t>
      </w:r>
      <w:r w:rsidRPr="00505647">
        <w:rPr>
          <w:rFonts w:cs="Arial"/>
          <w:kern w:val="24"/>
          <w:sz w:val="22"/>
        </w:rPr>
        <w:t xml:space="preserve"> without ever holding it. When you place orders on CFDs, you are trading on </w:t>
      </w:r>
      <w:r w:rsidRPr="00505647">
        <w:rPr>
          <w:rFonts w:cs="Arial"/>
          <w:kern w:val="24"/>
          <w:sz w:val="22"/>
        </w:rPr>
        <w:lastRenderedPageBreak/>
        <w:t xml:space="preserve">a </w:t>
      </w:r>
      <w:r w:rsidR="000E1AD2" w:rsidRPr="00505647">
        <w:rPr>
          <w:rFonts w:cs="Arial"/>
          <w:kern w:val="24"/>
          <w:sz w:val="22"/>
        </w:rPr>
        <w:t>‘</w:t>
      </w:r>
      <w:r w:rsidRPr="00505647">
        <w:rPr>
          <w:rFonts w:cs="Arial"/>
          <w:kern w:val="24"/>
          <w:sz w:val="22"/>
        </w:rPr>
        <w:t>derivative</w:t>
      </w:r>
      <w:r w:rsidR="000E1AD2" w:rsidRPr="00505647">
        <w:rPr>
          <w:rFonts w:cs="Arial"/>
          <w:kern w:val="24"/>
          <w:sz w:val="22"/>
        </w:rPr>
        <w:t>’</w:t>
      </w:r>
      <w:r w:rsidRPr="00505647">
        <w:rPr>
          <w:rFonts w:cs="Arial"/>
          <w:kern w:val="24"/>
          <w:sz w:val="22"/>
        </w:rPr>
        <w:t xml:space="preserve"> product. This means that you do not own the values on which you speculate.</w:t>
      </w:r>
    </w:p>
    <w:p w14:paraId="664AB520" w14:textId="77777777" w:rsidR="00BC2DFA" w:rsidRPr="00505647" w:rsidRDefault="0046182F" w:rsidP="00BC2DFA">
      <w:pPr>
        <w:spacing w:before="120" w:after="120"/>
        <w:ind w:left="992" w:right="992"/>
        <w:jc w:val="both"/>
        <w:rPr>
          <w:rFonts w:cs="Arial"/>
          <w:color w:val="000000" w:themeColor="text1"/>
          <w:kern w:val="24"/>
          <w:sz w:val="22"/>
        </w:rPr>
      </w:pPr>
      <w:r w:rsidRPr="00505647">
        <w:rPr>
          <w:rFonts w:cs="Arial"/>
          <w:kern w:val="24"/>
          <w:sz w:val="22"/>
        </w:rPr>
        <w:t>For example, the underlying interest could be an index, a currency pair (one currency for another) or an equity. The buyer of a CFD bets, that is, takes a position, on the rise of the underlying interest, while the seller bets on a fall, knowing that a CFD mostly changes like its underlying interest. At the close of the position, you win or lose the difference between the purchase price of the CFD and its sale price.”</w:t>
      </w:r>
    </w:p>
    <w:p w14:paraId="5B13846F" w14:textId="77777777" w:rsidR="00BC2DFA" w:rsidRPr="00505647" w:rsidRDefault="0046182F" w:rsidP="00BC2DFA">
      <w:pPr>
        <w:numPr>
          <w:ilvl w:val="0"/>
          <w:numId w:val="1"/>
        </w:numPr>
        <w:spacing w:before="120" w:after="120" w:line="256" w:lineRule="auto"/>
        <w:jc w:val="both"/>
        <w:rPr>
          <w:rFonts w:eastAsiaTheme="minorHAnsi" w:cs="Arial"/>
          <w:color w:val="000000" w:themeColor="text1"/>
          <w:kern w:val="28"/>
          <w:szCs w:val="24"/>
        </w:rPr>
      </w:pPr>
      <w:r w:rsidRPr="00505647">
        <w:rPr>
          <w:rFonts w:eastAsiaTheme="minorHAnsi" w:cs="Arial"/>
          <w:kern w:val="28"/>
          <w:szCs w:val="24"/>
        </w:rPr>
        <w:t>The Investment Dealers Association of Canada, now known as the Canadian Investment Regulatory Organization (“CIRO”), sets out the characteristics of difference contracts.</w:t>
      </w:r>
      <w:r w:rsidRPr="00505647">
        <w:rPr>
          <w:rFonts w:eastAsiaTheme="minorHAnsi" w:cs="Arial"/>
          <w:kern w:val="28"/>
          <w:szCs w:val="24"/>
          <w:vertAlign w:val="superscript"/>
        </w:rPr>
        <w:footnoteReference w:id="125"/>
      </w:r>
      <w:r w:rsidRPr="00505647">
        <w:rPr>
          <w:rFonts w:eastAsiaTheme="minorHAnsi" w:cs="Arial"/>
          <w:kern w:val="28"/>
          <w:szCs w:val="24"/>
        </w:rPr>
        <w:t xml:space="preserve"> The contract for difference is explained as follows:</w:t>
      </w:r>
    </w:p>
    <w:p w14:paraId="16CC812D" w14:textId="1ADC3FB8" w:rsidR="00BC2DFA" w:rsidRPr="00505647" w:rsidRDefault="00505647" w:rsidP="00BC2DFA">
      <w:pPr>
        <w:spacing w:before="120" w:after="120"/>
        <w:ind w:left="992" w:right="992"/>
        <w:jc w:val="both"/>
        <w:rPr>
          <w:rFonts w:cs="Arial"/>
          <w:kern w:val="24"/>
          <w:sz w:val="22"/>
        </w:rPr>
      </w:pPr>
      <w:r>
        <w:rPr>
          <w:rFonts w:cs="Arial"/>
          <w:kern w:val="24"/>
          <w:sz w:val="22"/>
        </w:rPr>
        <w:t>“</w:t>
      </w:r>
      <w:r w:rsidRPr="00505647">
        <w:rPr>
          <w:rFonts w:cs="Arial"/>
          <w:kern w:val="24"/>
          <w:sz w:val="22"/>
        </w:rPr>
        <w:t xml:space="preserve">A Contract-for-Difference (CFD) is a derivative product that allows investors to speculate or hedge on the underlying security movements, without the need for ownership and physical settlement of the underlying security. CFDs are generally traded </w:t>
      </w:r>
      <w:proofErr w:type="gramStart"/>
      <w:r w:rsidRPr="00505647">
        <w:rPr>
          <w:rFonts w:cs="Arial"/>
          <w:kern w:val="24"/>
          <w:sz w:val="22"/>
        </w:rPr>
        <w:t>over-the-counter</w:t>
      </w:r>
      <w:proofErr w:type="gramEnd"/>
      <w:r w:rsidRPr="00505647">
        <w:rPr>
          <w:rFonts w:cs="Arial"/>
          <w:kern w:val="24"/>
          <w:sz w:val="22"/>
        </w:rPr>
        <w:t xml:space="preserve"> (OTC) and mirror the economic performance of the underlying security based on its price movement.</w:t>
      </w:r>
      <w:r>
        <w:rPr>
          <w:rFonts w:cs="Arial"/>
          <w:kern w:val="24"/>
          <w:sz w:val="22"/>
        </w:rPr>
        <w:t>”</w:t>
      </w:r>
    </w:p>
    <w:p w14:paraId="3E844F93"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The Ontario Securities Commission (“OSC”) in </w:t>
      </w:r>
      <w:r w:rsidRPr="00505647">
        <w:rPr>
          <w:rFonts w:eastAsiaTheme="minorHAnsi" w:cs="Arial"/>
          <w:i/>
          <w:iCs/>
          <w:kern w:val="28"/>
          <w:szCs w:val="24"/>
        </w:rPr>
        <w:t>VRK Forex &amp; Investments Inc.</w:t>
      </w:r>
      <w:r w:rsidRPr="00505647">
        <w:rPr>
          <w:rFonts w:eastAsiaTheme="minorHAnsi" w:cs="Arial"/>
          <w:kern w:val="28"/>
          <w:szCs w:val="24"/>
          <w:vertAlign w:val="superscript"/>
        </w:rPr>
        <w:footnoteReference w:id="126"/>
      </w:r>
      <w:r w:rsidRPr="00505647">
        <w:rPr>
          <w:rFonts w:eastAsiaTheme="minorHAnsi" w:cs="Arial"/>
          <w:kern w:val="28"/>
          <w:szCs w:val="24"/>
        </w:rPr>
        <w:t xml:space="preserve"> defined the contract for difference as follows:</w:t>
      </w:r>
    </w:p>
    <w:p w14:paraId="74ED8507" w14:textId="2E867C19" w:rsidR="00BC2DFA" w:rsidRPr="00505647" w:rsidRDefault="003748F4" w:rsidP="00BC2DFA">
      <w:pPr>
        <w:spacing w:before="120" w:after="120"/>
        <w:ind w:left="992" w:right="992"/>
        <w:jc w:val="both"/>
        <w:rPr>
          <w:rFonts w:cs="Arial"/>
          <w:kern w:val="24"/>
          <w:sz w:val="22"/>
        </w:rPr>
      </w:pPr>
      <w:r>
        <w:rPr>
          <w:rFonts w:cs="Arial"/>
          <w:kern w:val="24"/>
          <w:sz w:val="22"/>
        </w:rPr>
        <w:t>“</w:t>
      </w:r>
      <w:r w:rsidRPr="00505647">
        <w:rPr>
          <w:rFonts w:cs="Arial"/>
          <w:kern w:val="24"/>
          <w:sz w:val="22"/>
        </w:rPr>
        <w:t xml:space="preserve">A CFD is a financial instrument that allows investors to obtain leveraged exposure to assets such as equities, commodities, or currencies, without the need for ownership and physical delivery of the underlying asset. CFDs are offered to investors through online trading platforms operated by CFD providers and are generally traded </w:t>
      </w:r>
      <w:r>
        <w:rPr>
          <w:rFonts w:cs="Arial"/>
          <w:kern w:val="24"/>
          <w:sz w:val="22"/>
        </w:rPr>
        <w:t>‘</w:t>
      </w:r>
      <w:r w:rsidRPr="00505647">
        <w:rPr>
          <w:rFonts w:cs="Arial"/>
          <w:kern w:val="24"/>
          <w:sz w:val="22"/>
        </w:rPr>
        <w:t>over the counter</w:t>
      </w:r>
      <w:r>
        <w:rPr>
          <w:rFonts w:cs="Arial"/>
          <w:kern w:val="24"/>
          <w:sz w:val="22"/>
        </w:rPr>
        <w:t>’</w:t>
      </w:r>
      <w:r w:rsidRPr="00505647">
        <w:rPr>
          <w:rFonts w:cs="Arial"/>
          <w:kern w:val="24"/>
          <w:sz w:val="22"/>
        </w:rPr>
        <w:t xml:space="preserve"> (i.e., not on an exchange).</w:t>
      </w:r>
    </w:p>
    <w:p w14:paraId="57155A73"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CFDs have no standard term to expiry or contract size. CFDs allow investors to take long or short positions and are effectively renewed at the close of each day if desired. </w:t>
      </w:r>
    </w:p>
    <w:p w14:paraId="693BBFD2" w14:textId="050BE7D2" w:rsidR="00BC2DFA" w:rsidRPr="00505647" w:rsidRDefault="0046182F" w:rsidP="00BC2DFA">
      <w:pPr>
        <w:spacing w:before="120" w:after="120"/>
        <w:ind w:left="992" w:right="992"/>
        <w:jc w:val="both"/>
        <w:rPr>
          <w:rFonts w:cs="Arial"/>
          <w:kern w:val="24"/>
          <w:sz w:val="22"/>
        </w:rPr>
      </w:pPr>
      <w:r w:rsidRPr="00505647">
        <w:rPr>
          <w:rFonts w:cs="Arial"/>
          <w:kern w:val="24"/>
          <w:sz w:val="22"/>
        </w:rPr>
        <w:t xml:space="preserve">Generally, CFDs are traded on a leveraged basis, which amplifies both the potential for profit and the risk of loss for investors. The </w:t>
      </w:r>
      <w:proofErr w:type="spellStart"/>
      <w:r w:rsidRPr="00505647">
        <w:rPr>
          <w:rFonts w:cs="Arial"/>
          <w:kern w:val="24"/>
          <w:sz w:val="22"/>
        </w:rPr>
        <w:t>Oanda</w:t>
      </w:r>
      <w:proofErr w:type="spellEnd"/>
      <w:r w:rsidRPr="00505647">
        <w:rPr>
          <w:rFonts w:cs="Arial"/>
          <w:kern w:val="24"/>
          <w:sz w:val="22"/>
        </w:rPr>
        <w:t xml:space="preserve"> and Vantage platforms were no exception. They permitted investors to engage in highly leveraged trading in their online accounts, with leverage ratios ranging between 10:1 and 500:1, with most trading at 50:1 leverage.</w:t>
      </w:r>
      <w:r w:rsidR="003748F4">
        <w:rPr>
          <w:rFonts w:cs="Arial"/>
          <w:kern w:val="24"/>
          <w:sz w:val="22"/>
        </w:rPr>
        <w:t>”</w:t>
      </w:r>
    </w:p>
    <w:p w14:paraId="343AD785" w14:textId="01DB312A" w:rsidR="00BC2DFA" w:rsidRPr="00505647" w:rsidRDefault="0046182F" w:rsidP="0017082E">
      <w:pPr>
        <w:pStyle w:val="Paragraphe"/>
      </w:pPr>
      <w:r w:rsidRPr="00505647">
        <w:t xml:space="preserve">In addition, in </w:t>
      </w:r>
      <w:proofErr w:type="spellStart"/>
      <w:r w:rsidRPr="00505647">
        <w:rPr>
          <w:i/>
          <w:iCs/>
        </w:rPr>
        <w:t>eToro</w:t>
      </w:r>
      <w:proofErr w:type="spellEnd"/>
      <w:r w:rsidRPr="00505647">
        <w:rPr>
          <w:i/>
          <w:iCs/>
        </w:rPr>
        <w:t xml:space="preserve"> (Europe) Limited</w:t>
      </w:r>
      <w:r w:rsidRPr="00505647">
        <w:t>,</w:t>
      </w:r>
      <w:r w:rsidRPr="00505647">
        <w:rPr>
          <w:rStyle w:val="Appelnotedebasdep"/>
        </w:rPr>
        <w:footnoteReference w:id="127"/>
      </w:r>
      <w:r w:rsidRPr="00505647">
        <w:t xml:space="preserve"> the OSC confirmed the application of the concept of a contract for difference to contracts whose underlying interests are crypto assets. The OSC reports on some of the features of contracts for difference as follows:</w:t>
      </w:r>
    </w:p>
    <w:p w14:paraId="506AE94D" w14:textId="1EE1E130" w:rsidR="00BC2DFA" w:rsidRPr="00C2671E" w:rsidRDefault="00C2671E" w:rsidP="00BC2DFA">
      <w:pPr>
        <w:spacing w:before="120" w:after="120"/>
        <w:ind w:left="992" w:right="992"/>
        <w:jc w:val="both"/>
        <w:rPr>
          <w:rFonts w:cs="Arial"/>
          <w:kern w:val="24"/>
          <w:sz w:val="22"/>
        </w:rPr>
      </w:pPr>
      <w:r>
        <w:rPr>
          <w:rFonts w:cs="Arial"/>
          <w:kern w:val="24"/>
          <w:sz w:val="22"/>
        </w:rPr>
        <w:lastRenderedPageBreak/>
        <w:t>“</w:t>
      </w:r>
      <w:proofErr w:type="spellStart"/>
      <w:r w:rsidRPr="00C2671E">
        <w:rPr>
          <w:rFonts w:cs="Arial"/>
          <w:kern w:val="24"/>
          <w:sz w:val="22"/>
        </w:rPr>
        <w:t>eToro’s</w:t>
      </w:r>
      <w:proofErr w:type="spellEnd"/>
      <w:r w:rsidRPr="00C2671E">
        <w:rPr>
          <w:rFonts w:cs="Arial"/>
          <w:kern w:val="24"/>
          <w:sz w:val="22"/>
        </w:rPr>
        <w:t xml:space="preserve"> online trading platform (the </w:t>
      </w:r>
      <w:proofErr w:type="spellStart"/>
      <w:r w:rsidRPr="00C2671E">
        <w:rPr>
          <w:rFonts w:cs="Arial"/>
          <w:kern w:val="24"/>
          <w:sz w:val="22"/>
        </w:rPr>
        <w:t>eToro</w:t>
      </w:r>
      <w:proofErr w:type="spellEnd"/>
      <w:r w:rsidRPr="00C2671E">
        <w:rPr>
          <w:rFonts w:cs="Arial"/>
          <w:kern w:val="24"/>
          <w:sz w:val="22"/>
        </w:rPr>
        <w:t xml:space="preserve"> Platform) allowed Ontario investors to trade contracts for differences (CFDs). A CFD typically involves a contract between two parties, a </w:t>
      </w:r>
      <w:proofErr w:type="gramStart"/>
      <w:r w:rsidRPr="00C2671E">
        <w:rPr>
          <w:rFonts w:cs="Arial"/>
          <w:kern w:val="24"/>
          <w:sz w:val="22"/>
        </w:rPr>
        <w:t>seller</w:t>
      </w:r>
      <w:proofErr w:type="gramEnd"/>
      <w:r w:rsidRPr="00C2671E">
        <w:rPr>
          <w:rFonts w:cs="Arial"/>
          <w:kern w:val="24"/>
          <w:sz w:val="22"/>
        </w:rPr>
        <w:t xml:space="preserve"> and a buyer, that creates payment rights and obligations based on the price movements of an underlying asset. CFDs allow participants to take long or short positions in relation to the price movements of underlying assets, but without acquiring ownership of the underlying asset.</w:t>
      </w:r>
    </w:p>
    <w:p w14:paraId="3084FC9A" w14:textId="386A8910" w:rsidR="00BC2DFA" w:rsidRPr="00C2671E" w:rsidRDefault="0046182F" w:rsidP="00BC2DFA">
      <w:pPr>
        <w:spacing w:before="120" w:after="120"/>
        <w:ind w:left="992" w:right="992"/>
        <w:jc w:val="both"/>
        <w:rPr>
          <w:rFonts w:cs="Arial"/>
          <w:kern w:val="24"/>
          <w:sz w:val="22"/>
        </w:rPr>
      </w:pPr>
      <w:r w:rsidRPr="00C2671E">
        <w:rPr>
          <w:rFonts w:cs="Arial"/>
          <w:kern w:val="24"/>
          <w:sz w:val="22"/>
        </w:rPr>
        <w:t xml:space="preserve">Ontario investors used the </w:t>
      </w:r>
      <w:proofErr w:type="spellStart"/>
      <w:r w:rsidRPr="00C2671E">
        <w:rPr>
          <w:rFonts w:cs="Arial"/>
          <w:kern w:val="24"/>
          <w:sz w:val="22"/>
        </w:rPr>
        <w:t>eToro</w:t>
      </w:r>
      <w:proofErr w:type="spellEnd"/>
      <w:r w:rsidRPr="00C2671E">
        <w:rPr>
          <w:rFonts w:cs="Arial"/>
          <w:kern w:val="24"/>
          <w:sz w:val="22"/>
        </w:rPr>
        <w:t xml:space="preserve"> Platform to trade CFDs that were based on exposure to underlying assets which included cryptocurrencies and stocks. </w:t>
      </w:r>
      <w:proofErr w:type="spellStart"/>
      <w:r w:rsidRPr="00C2671E">
        <w:rPr>
          <w:rFonts w:cs="Arial"/>
          <w:kern w:val="24"/>
          <w:sz w:val="22"/>
        </w:rPr>
        <w:t>eToro</w:t>
      </w:r>
      <w:proofErr w:type="spellEnd"/>
      <w:r w:rsidRPr="00C2671E">
        <w:rPr>
          <w:rFonts w:cs="Arial"/>
          <w:kern w:val="24"/>
          <w:sz w:val="22"/>
        </w:rPr>
        <w:t xml:space="preserve"> was the counterparty to the CFD trades, and the holders of the Ontario Accounts were therefore exposed to the conduct and credit of this offshore entity that lacked Ontario regulatory oversight.</w:t>
      </w:r>
      <w:r w:rsidR="00C2671E">
        <w:rPr>
          <w:rFonts w:cs="Arial"/>
          <w:kern w:val="24"/>
          <w:sz w:val="22"/>
        </w:rPr>
        <w:t>”</w:t>
      </w:r>
    </w:p>
    <w:p w14:paraId="78DB5A50" w14:textId="1A6571F2"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Therefore, the Tribunal agrees with the following characteristics of a contract for difference presented by the Authority’s counsel:</w:t>
      </w:r>
    </w:p>
    <w:p w14:paraId="12249C03" w14:textId="77777777" w:rsidR="00BC2DFA" w:rsidRPr="00505647" w:rsidRDefault="0046182F" w:rsidP="00BC2DFA">
      <w:pPr>
        <w:numPr>
          <w:ilvl w:val="0"/>
          <w:numId w:val="30"/>
        </w:numPr>
        <w:spacing w:before="120" w:after="120" w:line="256" w:lineRule="auto"/>
        <w:ind w:left="1440" w:hanging="720"/>
        <w:jc w:val="both"/>
        <w:rPr>
          <w:rFonts w:eastAsiaTheme="minorHAnsi" w:cs="Arial"/>
          <w:szCs w:val="24"/>
        </w:rPr>
      </w:pPr>
      <w:r w:rsidRPr="00505647">
        <w:rPr>
          <w:rFonts w:eastAsiaTheme="minorHAnsi" w:cs="Arial"/>
          <w:szCs w:val="24"/>
        </w:rPr>
        <w:t xml:space="preserve">it is a contract between two </w:t>
      </w:r>
      <w:proofErr w:type="gramStart"/>
      <w:r w:rsidRPr="00505647">
        <w:rPr>
          <w:rFonts w:eastAsiaTheme="minorHAnsi" w:cs="Arial"/>
          <w:szCs w:val="24"/>
        </w:rPr>
        <w:t>parties;</w:t>
      </w:r>
      <w:proofErr w:type="gramEnd"/>
    </w:p>
    <w:p w14:paraId="2181D6C4" w14:textId="77777777" w:rsidR="00BC2DFA" w:rsidRPr="00505647" w:rsidRDefault="0046182F" w:rsidP="00BC2DFA">
      <w:pPr>
        <w:numPr>
          <w:ilvl w:val="0"/>
          <w:numId w:val="30"/>
        </w:numPr>
        <w:spacing w:before="120" w:after="120" w:line="256" w:lineRule="auto"/>
        <w:ind w:left="1440" w:hanging="720"/>
        <w:jc w:val="both"/>
        <w:rPr>
          <w:rFonts w:eastAsiaTheme="minorHAnsi" w:cs="Arial"/>
          <w:szCs w:val="24"/>
        </w:rPr>
      </w:pPr>
      <w:r w:rsidRPr="00505647">
        <w:rPr>
          <w:rFonts w:eastAsiaTheme="minorHAnsi" w:cs="Arial"/>
          <w:szCs w:val="24"/>
        </w:rPr>
        <w:t xml:space="preserve">it creates obligations and payment rights, based on the value of an underlying </w:t>
      </w:r>
      <w:proofErr w:type="gramStart"/>
      <w:r w:rsidRPr="00505647">
        <w:rPr>
          <w:rFonts w:eastAsiaTheme="minorHAnsi" w:cs="Arial"/>
          <w:szCs w:val="24"/>
        </w:rPr>
        <w:t>interest;</w:t>
      </w:r>
      <w:proofErr w:type="gramEnd"/>
    </w:p>
    <w:p w14:paraId="0D18CF1C" w14:textId="77777777" w:rsidR="00BC2DFA" w:rsidRPr="00505647" w:rsidRDefault="0046182F" w:rsidP="00BC2DFA">
      <w:pPr>
        <w:numPr>
          <w:ilvl w:val="0"/>
          <w:numId w:val="30"/>
        </w:numPr>
        <w:spacing w:before="120" w:after="120" w:line="256" w:lineRule="auto"/>
        <w:ind w:left="1440" w:hanging="720"/>
        <w:jc w:val="both"/>
        <w:rPr>
          <w:rFonts w:eastAsiaTheme="minorHAnsi" w:cs="Arial"/>
          <w:szCs w:val="24"/>
        </w:rPr>
      </w:pPr>
      <w:r w:rsidRPr="00505647">
        <w:rPr>
          <w:rFonts w:eastAsiaTheme="minorHAnsi" w:cs="Arial"/>
          <w:szCs w:val="24"/>
        </w:rPr>
        <w:t xml:space="preserve">it allows investors to speculate on changes in the price of an underlying </w:t>
      </w:r>
      <w:proofErr w:type="gramStart"/>
      <w:r w:rsidRPr="00505647">
        <w:rPr>
          <w:rFonts w:eastAsiaTheme="minorHAnsi" w:cs="Arial"/>
          <w:szCs w:val="24"/>
        </w:rPr>
        <w:t>interest;</w:t>
      </w:r>
      <w:proofErr w:type="gramEnd"/>
    </w:p>
    <w:p w14:paraId="0BCE179A" w14:textId="77777777" w:rsidR="00BC2DFA" w:rsidRPr="00505647" w:rsidRDefault="0046182F" w:rsidP="00BC2DFA">
      <w:pPr>
        <w:numPr>
          <w:ilvl w:val="0"/>
          <w:numId w:val="30"/>
        </w:numPr>
        <w:spacing w:before="120" w:after="120" w:line="256" w:lineRule="auto"/>
        <w:ind w:left="1440" w:hanging="720"/>
        <w:jc w:val="both"/>
        <w:rPr>
          <w:rFonts w:eastAsiaTheme="minorHAnsi" w:cs="Arial"/>
          <w:szCs w:val="24"/>
        </w:rPr>
      </w:pPr>
      <w:r w:rsidRPr="00505647">
        <w:rPr>
          <w:rFonts w:eastAsiaTheme="minorHAnsi" w:cs="Arial"/>
          <w:szCs w:val="24"/>
        </w:rPr>
        <w:t xml:space="preserve">the underlying interest may include an equity, commodity or currency, and it can also be a crypto </w:t>
      </w:r>
      <w:proofErr w:type="gramStart"/>
      <w:r w:rsidRPr="00505647">
        <w:rPr>
          <w:rFonts w:eastAsiaTheme="minorHAnsi" w:cs="Arial"/>
          <w:szCs w:val="24"/>
        </w:rPr>
        <w:t>asset;</w:t>
      </w:r>
      <w:proofErr w:type="gramEnd"/>
    </w:p>
    <w:p w14:paraId="7C6C2BC9" w14:textId="77777777" w:rsidR="00BC2DFA" w:rsidRPr="00505647" w:rsidRDefault="0046182F" w:rsidP="00BC2DFA">
      <w:pPr>
        <w:numPr>
          <w:ilvl w:val="0"/>
          <w:numId w:val="30"/>
        </w:numPr>
        <w:spacing w:before="120" w:after="120" w:line="256" w:lineRule="auto"/>
        <w:ind w:left="1440" w:hanging="720"/>
        <w:jc w:val="both"/>
        <w:rPr>
          <w:rFonts w:eastAsiaTheme="minorHAnsi" w:cs="Arial"/>
          <w:szCs w:val="24"/>
        </w:rPr>
      </w:pPr>
      <w:r w:rsidRPr="00505647">
        <w:rPr>
          <w:rFonts w:eastAsiaTheme="minorHAnsi" w:cs="Arial"/>
          <w:szCs w:val="24"/>
        </w:rPr>
        <w:t xml:space="preserve">investors do not have to own the underlying interest as such or take delivery of it </w:t>
      </w:r>
      <w:proofErr w:type="gramStart"/>
      <w:r w:rsidRPr="00505647">
        <w:rPr>
          <w:rFonts w:eastAsiaTheme="minorHAnsi" w:cs="Arial"/>
          <w:szCs w:val="24"/>
        </w:rPr>
        <w:t>physically;</w:t>
      </w:r>
      <w:proofErr w:type="gramEnd"/>
    </w:p>
    <w:p w14:paraId="5CD8AABD" w14:textId="77777777" w:rsidR="00BC2DFA" w:rsidRPr="00505647" w:rsidRDefault="0046182F" w:rsidP="00BC2DFA">
      <w:pPr>
        <w:numPr>
          <w:ilvl w:val="0"/>
          <w:numId w:val="30"/>
        </w:numPr>
        <w:spacing w:before="120" w:after="120" w:line="256" w:lineRule="auto"/>
        <w:ind w:left="1440" w:hanging="720"/>
        <w:jc w:val="both"/>
        <w:rPr>
          <w:rFonts w:eastAsiaTheme="minorHAnsi" w:cs="Arial"/>
          <w:szCs w:val="24"/>
        </w:rPr>
      </w:pPr>
      <w:r w:rsidRPr="00505647">
        <w:rPr>
          <w:rFonts w:eastAsiaTheme="minorHAnsi" w:cs="Arial"/>
          <w:szCs w:val="24"/>
        </w:rPr>
        <w:t xml:space="preserve">it has no expiry date or fixed </w:t>
      </w:r>
      <w:proofErr w:type="gramStart"/>
      <w:r w:rsidRPr="00505647">
        <w:rPr>
          <w:rFonts w:eastAsiaTheme="minorHAnsi" w:cs="Arial"/>
          <w:szCs w:val="24"/>
        </w:rPr>
        <w:t>volume;</w:t>
      </w:r>
      <w:proofErr w:type="gramEnd"/>
    </w:p>
    <w:p w14:paraId="7F1B0413" w14:textId="77777777" w:rsidR="00BC2DFA" w:rsidRPr="00505647" w:rsidRDefault="0046182F" w:rsidP="00BC2DFA">
      <w:pPr>
        <w:numPr>
          <w:ilvl w:val="0"/>
          <w:numId w:val="30"/>
        </w:numPr>
        <w:spacing w:before="120" w:after="120" w:line="256" w:lineRule="auto"/>
        <w:ind w:left="1440" w:hanging="720"/>
        <w:jc w:val="both"/>
        <w:rPr>
          <w:rFonts w:eastAsiaTheme="minorHAnsi" w:cs="Arial"/>
          <w:szCs w:val="24"/>
        </w:rPr>
      </w:pPr>
      <w:r w:rsidRPr="00505647">
        <w:rPr>
          <w:rFonts w:eastAsiaTheme="minorHAnsi" w:cs="Arial"/>
          <w:szCs w:val="24"/>
        </w:rPr>
        <w:t xml:space="preserve">it allows investors to take a long or short </w:t>
      </w:r>
      <w:proofErr w:type="gramStart"/>
      <w:r w:rsidRPr="00505647">
        <w:rPr>
          <w:rFonts w:eastAsiaTheme="minorHAnsi" w:cs="Arial"/>
          <w:szCs w:val="24"/>
        </w:rPr>
        <w:t>position;</w:t>
      </w:r>
      <w:proofErr w:type="gramEnd"/>
    </w:p>
    <w:p w14:paraId="4A7850ED" w14:textId="77777777" w:rsidR="00BC2DFA" w:rsidRPr="00505647" w:rsidRDefault="0046182F" w:rsidP="00BC2DFA">
      <w:pPr>
        <w:numPr>
          <w:ilvl w:val="0"/>
          <w:numId w:val="30"/>
        </w:numPr>
        <w:spacing w:before="120" w:after="120" w:line="256" w:lineRule="auto"/>
        <w:ind w:left="1440" w:hanging="720"/>
        <w:jc w:val="both"/>
        <w:rPr>
          <w:rFonts w:eastAsiaTheme="minorHAnsi" w:cs="Arial"/>
          <w:szCs w:val="24"/>
        </w:rPr>
      </w:pPr>
      <w:r w:rsidRPr="00505647">
        <w:rPr>
          <w:rFonts w:eastAsiaTheme="minorHAnsi" w:cs="Arial"/>
          <w:szCs w:val="24"/>
        </w:rPr>
        <w:t>positions taken by investors are continuously renewed unless the investors intervene; and</w:t>
      </w:r>
    </w:p>
    <w:p w14:paraId="04C5700A" w14:textId="77777777" w:rsidR="00BC2DFA" w:rsidRPr="00505647" w:rsidRDefault="0046182F" w:rsidP="00BC2DFA">
      <w:pPr>
        <w:numPr>
          <w:ilvl w:val="0"/>
          <w:numId w:val="30"/>
        </w:numPr>
        <w:spacing w:before="120" w:after="120" w:line="256" w:lineRule="auto"/>
        <w:ind w:left="1440" w:hanging="720"/>
        <w:jc w:val="both"/>
        <w:rPr>
          <w:rFonts w:eastAsiaTheme="minorHAnsi" w:cs="Arial"/>
          <w:szCs w:val="24"/>
        </w:rPr>
      </w:pPr>
      <w:r w:rsidRPr="00505647">
        <w:rPr>
          <w:rFonts w:eastAsiaTheme="minorHAnsi" w:cs="Arial"/>
          <w:szCs w:val="24"/>
        </w:rPr>
        <w:t>it can be negotiated with leverage.</w:t>
      </w:r>
    </w:p>
    <w:p w14:paraId="2567DE3D" w14:textId="1842902D"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The evidence shows that “USDT-M Futures” and “COIN-M Futures” that have an indefinite (or “perpetual”) term offered to investors by the respondents on the XT.com website </w:t>
      </w:r>
      <w:r w:rsidR="00507511">
        <w:rPr>
          <w:rFonts w:eastAsiaTheme="minorHAnsi" w:cs="Arial"/>
          <w:kern w:val="28"/>
          <w:szCs w:val="24"/>
        </w:rPr>
        <w:t xml:space="preserve">constitute </w:t>
      </w:r>
      <w:r w:rsidRPr="00505647">
        <w:rPr>
          <w:rFonts w:eastAsiaTheme="minorHAnsi" w:cs="Arial"/>
          <w:kern w:val="28"/>
          <w:szCs w:val="24"/>
        </w:rPr>
        <w:t>contracts for difference because of their characteristics explained below.</w:t>
      </w:r>
    </w:p>
    <w:p w14:paraId="1CC5A341"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“USDT-M Futures” and “COIN-M Futures” that have an indefinite (or “perpetual”) term are contracts that involve two parties: a maker and a taker.</w:t>
      </w:r>
      <w:r w:rsidRPr="00505647">
        <w:rPr>
          <w:rFonts w:eastAsiaTheme="minorHAnsi" w:cs="Arial"/>
          <w:kern w:val="28"/>
          <w:szCs w:val="24"/>
          <w:vertAlign w:val="superscript"/>
        </w:rPr>
        <w:footnoteReference w:id="128"/>
      </w:r>
    </w:p>
    <w:p w14:paraId="6514A6F7"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lastRenderedPageBreak/>
        <w:t xml:space="preserve">These products create obligations and payment rights, based on the value of an underlying interest, </w:t>
      </w:r>
      <w:proofErr w:type="gramStart"/>
      <w:r w:rsidRPr="00505647">
        <w:rPr>
          <w:rFonts w:eastAsiaTheme="minorHAnsi" w:cs="Arial"/>
          <w:kern w:val="28"/>
          <w:szCs w:val="24"/>
        </w:rPr>
        <w:t>i.e.</w:t>
      </w:r>
      <w:proofErr w:type="gramEnd"/>
      <w:r w:rsidRPr="00505647">
        <w:rPr>
          <w:rFonts w:eastAsiaTheme="minorHAnsi" w:cs="Arial"/>
          <w:kern w:val="28"/>
          <w:szCs w:val="24"/>
        </w:rPr>
        <w:t xml:space="preserve"> the value of a crypto asset, allowing investors to speculate on that value.</w:t>
      </w:r>
      <w:r w:rsidRPr="00505647">
        <w:rPr>
          <w:rFonts w:eastAsiaTheme="minorHAnsi" w:cs="Arial"/>
          <w:kern w:val="28"/>
          <w:szCs w:val="24"/>
          <w:vertAlign w:val="superscript"/>
        </w:rPr>
        <w:footnoteReference w:id="129"/>
      </w:r>
    </w:p>
    <w:p w14:paraId="64562DF7"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Like other “Futures Contracts” offered on the XT.com website, it is shown that investors who purchase “USDT-M Futures” or “COIN-M Futures” that have an indefinite (or “perpetual”) term do not acquire ownership of the crypto assets that represent the underlying interest.</w:t>
      </w:r>
      <w:r w:rsidRPr="00505647">
        <w:rPr>
          <w:rFonts w:eastAsiaTheme="minorHAnsi" w:cs="Arial"/>
          <w:kern w:val="28"/>
          <w:szCs w:val="24"/>
          <w:vertAlign w:val="superscript"/>
        </w:rPr>
        <w:footnoteReference w:id="130"/>
      </w:r>
    </w:p>
    <w:p w14:paraId="592E4D92"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Also, investors who buy “USDT-M Futures” or “COIN-M Futures” that have an indefinite (or “perpetual”) term do not have to take delivery of the crypto assets that represent the underlying interest.</w:t>
      </w:r>
      <w:r w:rsidRPr="00505647">
        <w:rPr>
          <w:rFonts w:eastAsiaTheme="minorHAnsi" w:cs="Arial"/>
          <w:kern w:val="28"/>
          <w:szCs w:val="24"/>
          <w:vertAlign w:val="superscript"/>
        </w:rPr>
        <w:footnoteReference w:id="131"/>
      </w:r>
    </w:p>
    <w:p w14:paraId="6062C902"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“USDT-M Futures” and “COIN-M Futures” that have an indefinite (or “perpetual”) term allow investors to take a long or short position, which are continuously renewed, unless investors intervene.</w:t>
      </w:r>
      <w:r w:rsidRPr="00505647">
        <w:rPr>
          <w:rFonts w:eastAsiaTheme="minorHAnsi" w:cs="Arial"/>
          <w:kern w:val="28"/>
          <w:szCs w:val="24"/>
          <w:vertAlign w:val="superscript"/>
        </w:rPr>
        <w:footnoteReference w:id="132"/>
      </w:r>
    </w:p>
    <w:p w14:paraId="48C62BF1"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It is shown that “USDT-M Futures” and “Coin-M Futures” that have an indefinite (or “perpetual”) term are subject to a turnover process that has the effect of extending positions that have been open for more than 8 hours or 16 </w:t>
      </w:r>
      <w:proofErr w:type="gramStart"/>
      <w:r w:rsidRPr="00505647">
        <w:rPr>
          <w:rFonts w:eastAsiaTheme="minorHAnsi" w:cs="Arial"/>
          <w:kern w:val="28"/>
          <w:szCs w:val="24"/>
        </w:rPr>
        <w:t>hours as the case may be</w:t>
      </w:r>
      <w:proofErr w:type="gramEnd"/>
      <w:r w:rsidRPr="00505647">
        <w:rPr>
          <w:rFonts w:eastAsiaTheme="minorHAnsi" w:cs="Arial"/>
          <w:kern w:val="28"/>
          <w:szCs w:val="24"/>
        </w:rPr>
        <w:t>.</w:t>
      </w:r>
      <w:r w:rsidRPr="00505647">
        <w:rPr>
          <w:rFonts w:eastAsiaTheme="minorHAnsi" w:cs="Arial"/>
          <w:kern w:val="28"/>
          <w:szCs w:val="24"/>
          <w:vertAlign w:val="superscript"/>
        </w:rPr>
        <w:footnoteReference w:id="133"/>
      </w:r>
    </w:p>
    <w:p w14:paraId="75908AB3"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bookmarkStart w:id="13" w:name="_Hlk143762224"/>
      <w:r w:rsidRPr="00505647">
        <w:rPr>
          <w:rFonts w:eastAsiaTheme="minorHAnsi" w:cs="Arial"/>
          <w:kern w:val="28"/>
          <w:szCs w:val="24"/>
        </w:rPr>
        <w:t>“USDT-M Futures” and “Coin-M Futures” that have an indefinite (or “perpetual”) term do not have a fixed expiration date or volume.</w:t>
      </w:r>
      <w:r w:rsidRPr="00505647">
        <w:rPr>
          <w:rFonts w:eastAsiaTheme="minorHAnsi" w:cs="Arial"/>
          <w:kern w:val="28"/>
          <w:szCs w:val="24"/>
          <w:vertAlign w:val="superscript"/>
        </w:rPr>
        <w:footnoteReference w:id="134"/>
      </w:r>
    </w:p>
    <w:bookmarkEnd w:id="13"/>
    <w:p w14:paraId="4525E02D"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In addition, it is also shown that “USDT-M Futures” and “COIN-M Futures” that have an indefinite (or “perpetual”) term can be leveraged.</w:t>
      </w:r>
      <w:r w:rsidRPr="00505647">
        <w:rPr>
          <w:rFonts w:eastAsiaTheme="minorHAnsi" w:cs="Arial"/>
          <w:kern w:val="28"/>
          <w:szCs w:val="24"/>
          <w:vertAlign w:val="superscript"/>
        </w:rPr>
        <w:footnoteReference w:id="135"/>
      </w:r>
    </w:p>
    <w:p w14:paraId="5915EE98" w14:textId="5982BF12"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Thus, based on the evidence adduced by the Authority, the Tribunal finds that “USDT-M Futures” and “COIN-M Futures” that have an indefinite (or “perpetual”) term </w:t>
      </w:r>
      <w:r w:rsidR="00507511">
        <w:rPr>
          <w:rFonts w:eastAsiaTheme="minorHAnsi" w:cs="Arial"/>
          <w:kern w:val="28"/>
          <w:szCs w:val="24"/>
        </w:rPr>
        <w:t>constitute</w:t>
      </w:r>
      <w:r w:rsidRPr="00505647">
        <w:rPr>
          <w:rFonts w:eastAsiaTheme="minorHAnsi" w:cs="Arial"/>
          <w:kern w:val="28"/>
          <w:szCs w:val="24"/>
        </w:rPr>
        <w:t xml:space="preserve"> contracts for difference. The Tribunal finds that they therefore constitute derivatives within the meaning of section 3 of the </w:t>
      </w:r>
      <w:r w:rsidRPr="00505647">
        <w:rPr>
          <w:rFonts w:eastAsiaTheme="minorHAnsi" w:cs="Arial"/>
          <w:i/>
          <w:iCs/>
          <w:kern w:val="28"/>
          <w:szCs w:val="24"/>
        </w:rPr>
        <w:t>Derivatives Act</w:t>
      </w:r>
      <w:r w:rsidRPr="00505647">
        <w:rPr>
          <w:rFonts w:eastAsiaTheme="minorHAnsi" w:cs="Arial"/>
          <w:kern w:val="28"/>
          <w:szCs w:val="24"/>
        </w:rPr>
        <w:t>.</w:t>
      </w:r>
    </w:p>
    <w:p w14:paraId="396F2BAA" w14:textId="60C4203E" w:rsidR="00BC2DFA" w:rsidRPr="00505647" w:rsidRDefault="0046182F" w:rsidP="00B40360">
      <w:pPr>
        <w:pStyle w:val="Paragraphe"/>
      </w:pPr>
      <w:r w:rsidRPr="00505647">
        <w:t>In addition, as with forward contracts offered on the XT.com website, contracts for difference are not traded on a published market. Their intrinsic characteristics are not established by a published market and are not cleared or settled by a clearing house. Thus, the Tribunal finds that they are not standardized derivatives, and therefore they are over-the-counter derivatives.</w:t>
      </w:r>
    </w:p>
    <w:p w14:paraId="78EAE88E" w14:textId="77777777" w:rsidR="00BC2DFA" w:rsidRPr="00505647" w:rsidRDefault="0046182F" w:rsidP="00BC2DFA">
      <w:pPr>
        <w:keepNext/>
        <w:spacing w:before="120" w:after="120"/>
        <w:ind w:left="734"/>
        <w:jc w:val="both"/>
        <w:outlineLvl w:val="2"/>
        <w:rPr>
          <w:rFonts w:cs="Arial"/>
          <w:b/>
          <w:bCs/>
          <w:iCs/>
        </w:rPr>
      </w:pPr>
      <w:r w:rsidRPr="00505647">
        <w:rPr>
          <w:rFonts w:cs="Arial"/>
          <w:b/>
          <w:bCs/>
        </w:rPr>
        <w:lastRenderedPageBreak/>
        <w:t xml:space="preserve">Other contracts or instruments constituting derivatives within the meaning of the </w:t>
      </w:r>
      <w:r w:rsidRPr="00505647">
        <w:rPr>
          <w:rFonts w:cs="Arial"/>
          <w:b/>
          <w:bCs/>
          <w:i/>
          <w:iCs/>
        </w:rPr>
        <w:t>Derivatives Act</w:t>
      </w:r>
    </w:p>
    <w:p w14:paraId="66E87A95" w14:textId="05343A7E" w:rsidR="00BC2DFA" w:rsidRPr="00505647" w:rsidRDefault="0046182F" w:rsidP="00BC2DFA">
      <w:pPr>
        <w:numPr>
          <w:ilvl w:val="0"/>
          <w:numId w:val="1"/>
        </w:numPr>
        <w:spacing w:before="120" w:after="120" w:line="256" w:lineRule="auto"/>
        <w:jc w:val="both"/>
        <w:rPr>
          <w:rFonts w:eastAsiaTheme="minorHAnsi" w:cs="Arial"/>
          <w:kern w:val="28"/>
          <w:szCs w:val="24"/>
          <w:u w:val="single"/>
        </w:rPr>
      </w:pPr>
      <w:r w:rsidRPr="00505647">
        <w:rPr>
          <w:rFonts w:eastAsiaTheme="minorHAnsi" w:cs="Arial"/>
          <w:kern w:val="28"/>
          <w:szCs w:val="24"/>
        </w:rPr>
        <w:t xml:space="preserve">The evidence shows that, in addition to being </w:t>
      </w:r>
      <w:r w:rsidR="00507511">
        <w:rPr>
          <w:rFonts w:eastAsiaTheme="minorHAnsi" w:cs="Arial"/>
          <w:kern w:val="28"/>
          <w:szCs w:val="24"/>
        </w:rPr>
        <w:t xml:space="preserve">assimilated </w:t>
      </w:r>
      <w:r w:rsidRPr="00505647">
        <w:rPr>
          <w:rFonts w:eastAsiaTheme="minorHAnsi" w:cs="Arial"/>
          <w:kern w:val="28"/>
          <w:szCs w:val="24"/>
        </w:rPr>
        <w:t xml:space="preserve">treated as contracts for difference or forward contracts, as the case may be, the </w:t>
      </w:r>
      <w:bookmarkStart w:id="14" w:name="_Hlk145058512"/>
      <w:r w:rsidRPr="00505647">
        <w:rPr>
          <w:rFonts w:eastAsiaTheme="minorHAnsi" w:cs="Arial"/>
          <w:kern w:val="28"/>
          <w:szCs w:val="24"/>
        </w:rPr>
        <w:t>“Futures Contracts”</w:t>
      </w:r>
      <w:bookmarkEnd w:id="14"/>
      <w:r w:rsidRPr="00505647">
        <w:rPr>
          <w:rFonts w:eastAsiaTheme="minorHAnsi" w:cs="Arial"/>
          <w:kern w:val="28"/>
          <w:szCs w:val="24"/>
        </w:rPr>
        <w:t xml:space="preserve"> offered on the XT.com website, and more specifically “USDT-M Futures” and “Coin-M Futures”, are also t</w:t>
      </w:r>
      <w:r w:rsidR="00507511" w:rsidRPr="00507511">
        <w:rPr>
          <w:rFonts w:eastAsiaTheme="minorHAnsi" w:cs="Arial"/>
          <w:kern w:val="28"/>
          <w:szCs w:val="24"/>
        </w:rPr>
        <w:t xml:space="preserve"> </w:t>
      </w:r>
      <w:r w:rsidR="00507511">
        <w:rPr>
          <w:rFonts w:eastAsiaTheme="minorHAnsi" w:cs="Arial"/>
          <w:kern w:val="28"/>
          <w:szCs w:val="24"/>
        </w:rPr>
        <w:t>assimilated</w:t>
      </w:r>
      <w:r w:rsidR="00507511" w:rsidRPr="00505647">
        <w:rPr>
          <w:rFonts w:eastAsiaTheme="minorHAnsi" w:cs="Arial"/>
          <w:kern w:val="28"/>
          <w:szCs w:val="24"/>
        </w:rPr>
        <w:t xml:space="preserve"> </w:t>
      </w:r>
      <w:r w:rsidRPr="00505647">
        <w:rPr>
          <w:rFonts w:eastAsiaTheme="minorHAnsi" w:cs="Arial"/>
          <w:kern w:val="28"/>
          <w:szCs w:val="24"/>
        </w:rPr>
        <w:t>as “</w:t>
      </w:r>
      <w:r w:rsidRPr="00505647">
        <w:rPr>
          <w:rFonts w:eastAsiaTheme="minorHAnsi" w:cs="Arial"/>
          <w:i/>
          <w:iCs/>
          <w:kern w:val="28"/>
          <w:szCs w:val="24"/>
        </w:rPr>
        <w:t>any other contract or instrument whose market price, value or delivery or payment obligations are derived from, referenced to or based on an underlying interest</w:t>
      </w:r>
      <w:r w:rsidRPr="00505647">
        <w:rPr>
          <w:rFonts w:eastAsiaTheme="minorHAnsi" w:cs="Arial"/>
          <w:kern w:val="28"/>
          <w:szCs w:val="24"/>
        </w:rPr>
        <w:t xml:space="preserve">”, within the meaning of the definition of “derivative” provided for in section 3 of the </w:t>
      </w:r>
      <w:r w:rsidRPr="00505647">
        <w:rPr>
          <w:rFonts w:eastAsiaTheme="minorHAnsi" w:cs="Arial"/>
          <w:i/>
          <w:iCs/>
          <w:kern w:val="28"/>
          <w:szCs w:val="24"/>
        </w:rPr>
        <w:t>Derivatives Act</w:t>
      </w:r>
      <w:r w:rsidRPr="00505647">
        <w:rPr>
          <w:rFonts w:eastAsiaTheme="minorHAnsi" w:cs="Arial"/>
          <w:kern w:val="28"/>
          <w:szCs w:val="24"/>
        </w:rPr>
        <w:t xml:space="preserve"> for the reasons explained below.</w:t>
      </w:r>
    </w:p>
    <w:p w14:paraId="7FB38EA6" w14:textId="033C0759" w:rsidR="00BC2DFA" w:rsidRPr="00505647" w:rsidRDefault="0046182F" w:rsidP="00BC2DFA">
      <w:pPr>
        <w:keepNext/>
        <w:spacing w:before="120" w:after="60"/>
        <w:ind w:left="1469"/>
        <w:jc w:val="both"/>
        <w:outlineLvl w:val="3"/>
        <w:rPr>
          <w:rFonts w:cs="Arial"/>
          <w:kern w:val="28"/>
          <w:u w:val="single"/>
        </w:rPr>
      </w:pPr>
      <w:r w:rsidRPr="00505647">
        <w:rPr>
          <w:rFonts w:cs="Arial"/>
          <w:u w:val="single"/>
        </w:rPr>
        <w:t xml:space="preserve">The </w:t>
      </w:r>
      <w:r w:rsidR="003729BA">
        <w:rPr>
          <w:rFonts w:cs="Arial"/>
          <w:u w:val="single"/>
        </w:rPr>
        <w:t>first</w:t>
      </w:r>
      <w:r w:rsidRPr="00505647">
        <w:rPr>
          <w:rFonts w:cs="Arial"/>
          <w:u w:val="single"/>
        </w:rPr>
        <w:t xml:space="preserve"> component: the existence of a contract or instrument</w:t>
      </w:r>
    </w:p>
    <w:p w14:paraId="2674856B" w14:textId="058D48D0" w:rsidR="00BC2DFA" w:rsidRPr="00505647" w:rsidRDefault="0046182F" w:rsidP="00C135D3">
      <w:pPr>
        <w:pStyle w:val="Paragraphe"/>
      </w:pPr>
      <w:r w:rsidRPr="00505647">
        <w:t>The respondents propose to the public through the XT.com website to purchase “Futures Contracts”, including “USDT-M Futures” and “Coin-M Futures”.</w:t>
      </w:r>
      <w:r w:rsidRPr="00505647">
        <w:rPr>
          <w:vertAlign w:val="superscript"/>
        </w:rPr>
        <w:footnoteReference w:id="136"/>
      </w:r>
      <w:r w:rsidR="00A73E99">
        <w:t xml:space="preserve"> </w:t>
      </w:r>
      <w:r w:rsidRPr="00505647">
        <w:t>As with the other products and services offered by the respondents, investors are required to create an account on the XT.com website before they can obtain them, and they must also accept the terms and conditions set out in the “User Agreement”.</w:t>
      </w:r>
      <w:r w:rsidRPr="00505647">
        <w:rPr>
          <w:vertAlign w:val="superscript"/>
        </w:rPr>
        <w:footnoteReference w:id="137"/>
      </w:r>
      <w:r w:rsidR="009C40A7">
        <w:t xml:space="preserve"> </w:t>
      </w:r>
      <w:r w:rsidRPr="00505647">
        <w:t>These two steps constitute the contractual commitment. Therefore, the first component, which is the existence of a contract, is satisfied.</w:t>
      </w:r>
    </w:p>
    <w:p w14:paraId="5F2F3150" w14:textId="46D7787F" w:rsidR="00BC2DFA" w:rsidRPr="00505647" w:rsidRDefault="0046182F" w:rsidP="00BC2DFA">
      <w:pPr>
        <w:keepNext/>
        <w:spacing w:before="120" w:after="60"/>
        <w:ind w:left="1469"/>
        <w:jc w:val="both"/>
        <w:outlineLvl w:val="3"/>
        <w:rPr>
          <w:rFonts w:cs="Arial"/>
          <w:u w:val="single"/>
        </w:rPr>
      </w:pPr>
      <w:r w:rsidRPr="00505647">
        <w:rPr>
          <w:rFonts w:cs="Arial"/>
          <w:u w:val="single"/>
        </w:rPr>
        <w:t xml:space="preserve">The </w:t>
      </w:r>
      <w:r w:rsidR="003729BA">
        <w:rPr>
          <w:rFonts w:cs="Arial"/>
          <w:u w:val="single"/>
        </w:rPr>
        <w:t>second</w:t>
      </w:r>
      <w:r w:rsidRPr="00505647">
        <w:rPr>
          <w:rFonts w:cs="Arial"/>
          <w:u w:val="single"/>
        </w:rPr>
        <w:t xml:space="preserve"> component: the existence of a market price, value or delivery or payment obligations, which are referenced to or based on an underlying </w:t>
      </w:r>
      <w:proofErr w:type="gramStart"/>
      <w:r w:rsidRPr="00505647">
        <w:rPr>
          <w:rFonts w:cs="Arial"/>
          <w:u w:val="single"/>
        </w:rPr>
        <w:t>interest</w:t>
      </w:r>
      <w:proofErr w:type="gramEnd"/>
    </w:p>
    <w:p w14:paraId="3083A2EE" w14:textId="77777777" w:rsidR="00BC2DFA" w:rsidRPr="00505647" w:rsidRDefault="0046182F" w:rsidP="00C135D3">
      <w:pPr>
        <w:pStyle w:val="Paragraphe"/>
      </w:pPr>
      <w:r w:rsidRPr="00505647">
        <w:t>The price an investor must pay to acquire a “Futures Contract”, be it a “USDT-M Future” or a “Coin-M Future”, is based on an underlying interest.</w:t>
      </w:r>
    </w:p>
    <w:p w14:paraId="450E4845" w14:textId="311E4E65" w:rsidR="00BC2DFA" w:rsidRPr="00505647" w:rsidRDefault="0046182F" w:rsidP="00C135D3">
      <w:pPr>
        <w:pStyle w:val="Paragraphe"/>
      </w:pPr>
      <w:r w:rsidRPr="00505647">
        <w:t xml:space="preserve">Indeed, as indicated on the XT.com website, the price of “Futures Contracts” is calculated based on the </w:t>
      </w:r>
      <w:r w:rsidR="00A24CDD">
        <w:t xml:space="preserve">market </w:t>
      </w:r>
      <w:r w:rsidRPr="00505647">
        <w:t>price of the underlying crypto assets on the spot market plus a premium.</w:t>
      </w:r>
      <w:r w:rsidRPr="00505647">
        <w:rPr>
          <w:vertAlign w:val="superscript"/>
        </w:rPr>
        <w:footnoteReference w:id="138"/>
      </w:r>
    </w:p>
    <w:p w14:paraId="4FF767AA" w14:textId="6623CD72" w:rsidR="00BC2DFA" w:rsidRPr="00505647" w:rsidRDefault="0046182F" w:rsidP="00C135D3">
      <w:pPr>
        <w:pStyle w:val="Paragraphe"/>
      </w:pPr>
      <w:r w:rsidRPr="00505647">
        <w:t>As indicated on the XT.com website, investors who purchase “Futures Contracts” do not therefore acquire ownership of the underlying crypto assets, but rather speculate about the</w:t>
      </w:r>
      <w:r w:rsidR="00A24CDD">
        <w:t xml:space="preserve"> market</w:t>
      </w:r>
      <w:r w:rsidRPr="00505647">
        <w:t xml:space="preserve"> price or value of the underlying interest. However, the fact remains that the price of “Futures Contracts” is set according to the price or value of this underlying interest.</w:t>
      </w:r>
      <w:r w:rsidRPr="00505647">
        <w:rPr>
          <w:vertAlign w:val="superscript"/>
        </w:rPr>
        <w:footnoteReference w:id="139"/>
      </w:r>
      <w:r w:rsidR="003729BA">
        <w:t xml:space="preserve"> </w:t>
      </w:r>
      <w:r w:rsidRPr="00505647">
        <w:t>The Tribunal is of the opinion that the second component is satisfied.</w:t>
      </w:r>
    </w:p>
    <w:p w14:paraId="6150D479" w14:textId="35BA239D" w:rsidR="00BC2DFA" w:rsidRPr="00505647" w:rsidRDefault="0046182F" w:rsidP="00C135D3">
      <w:pPr>
        <w:pStyle w:val="Paragraphe"/>
      </w:pPr>
      <w:r w:rsidRPr="00505647">
        <w:t>As both components are satisfied, the Tribunal is of the opinion that “Futures Contracts”, including “USDT-M Futures” and “Coin-M Futures” consist</w:t>
      </w:r>
      <w:r w:rsidRPr="00505647">
        <w:rPr>
          <w:i/>
          <w:iCs/>
        </w:rPr>
        <w:t xml:space="preserve"> </w:t>
      </w:r>
      <w:r w:rsidRPr="00505647">
        <w:t xml:space="preserve">of “any other contract(s) or instrument(s) whose market price, value or delivery or payment obligations depend on an underlying interest”. Thus, the Tribunal finds that they are, again, derivatives within the meaning of section 3 of the </w:t>
      </w:r>
      <w:r w:rsidRPr="00505647">
        <w:rPr>
          <w:i/>
          <w:iCs/>
        </w:rPr>
        <w:t>Derivatives Act</w:t>
      </w:r>
      <w:r w:rsidRPr="00505647">
        <w:t>.</w:t>
      </w:r>
    </w:p>
    <w:p w14:paraId="74F41F7D" w14:textId="0EF24CBB" w:rsidR="00BC2DFA" w:rsidRPr="00505647" w:rsidRDefault="0046182F" w:rsidP="00C135D3">
      <w:pPr>
        <w:pStyle w:val="Paragraphe"/>
        <w:rPr>
          <w:rFonts w:eastAsiaTheme="minorHAnsi"/>
        </w:rPr>
      </w:pPr>
      <w:r w:rsidRPr="00505647">
        <w:lastRenderedPageBreak/>
        <w:t>In addition, as previously mentioned, “Futures Contracts” offered on the XT.com website are not traded on a published market. Their intrinsic characteristics are not established by a published market and are not cleared or settled by a clearing house. Thus, the Tribunal reiterates that they are not standardized derivatives, and therefore they are over-the-counter derivatives.</w:t>
      </w:r>
    </w:p>
    <w:p w14:paraId="5468F013" w14:textId="77777777" w:rsidR="00BC2DFA" w:rsidRPr="00505647" w:rsidRDefault="0046182F" w:rsidP="00BC2DFA">
      <w:pPr>
        <w:keepNext/>
        <w:spacing w:before="120" w:after="120"/>
        <w:ind w:left="734"/>
        <w:jc w:val="both"/>
        <w:outlineLvl w:val="2"/>
        <w:rPr>
          <w:rFonts w:cs="Arial"/>
          <w:b/>
          <w:bCs/>
          <w:iCs/>
        </w:rPr>
      </w:pPr>
      <w:r w:rsidRPr="00505647">
        <w:rPr>
          <w:rFonts w:cs="Arial"/>
          <w:b/>
          <w:bCs/>
        </w:rPr>
        <w:t>General conclusion on the determination of derivatives</w:t>
      </w:r>
    </w:p>
    <w:p w14:paraId="58CEF7DF" w14:textId="32EE9879" w:rsidR="00BC2DFA" w:rsidRPr="00505647" w:rsidRDefault="0046182F" w:rsidP="00C135D3">
      <w:pPr>
        <w:pStyle w:val="Paragraphe"/>
      </w:pPr>
      <w:r w:rsidRPr="00505647">
        <w:t>The evidence shows that “USDT-M Futures</w:t>
      </w:r>
      <w:proofErr w:type="gramStart"/>
      <w:r w:rsidRPr="00505647">
        <w:t>”</w:t>
      </w:r>
      <w:proofErr w:type="gramEnd"/>
      <w:r w:rsidRPr="00505647">
        <w:t xml:space="preserve"> and “Coin-M Futures” are</w:t>
      </w:r>
      <w:r w:rsidR="00507511" w:rsidRPr="00507511">
        <w:rPr>
          <w:rFonts w:eastAsiaTheme="minorHAnsi" w:cs="Arial"/>
          <w:szCs w:val="24"/>
        </w:rPr>
        <w:t xml:space="preserve"> </w:t>
      </w:r>
      <w:r w:rsidR="00507511">
        <w:rPr>
          <w:rFonts w:eastAsiaTheme="minorHAnsi" w:cs="Arial"/>
          <w:szCs w:val="24"/>
        </w:rPr>
        <w:t>assimilated</w:t>
      </w:r>
      <w:r w:rsidR="00507511" w:rsidRPr="00505647">
        <w:t xml:space="preserve"> </w:t>
      </w:r>
      <w:r w:rsidRPr="00505647">
        <w:t xml:space="preserve">to either forwards or contracts for difference. It is also demonstrated that they constitute “any other contract(s) or instrument(s) whose </w:t>
      </w:r>
      <w:r w:rsidR="00306F7A">
        <w:t xml:space="preserve">market </w:t>
      </w:r>
      <w:r w:rsidRPr="00505647">
        <w:t xml:space="preserve">price, value or delivery or payment obligations depend on an underlying interest”. Thus, the Tribunal finds that “USDT-M Futures” and “Coin-M Futures” are derivatives within the meaning of section 3 of the </w:t>
      </w:r>
      <w:r w:rsidRPr="00505647">
        <w:rPr>
          <w:i/>
          <w:iCs/>
        </w:rPr>
        <w:t>Derivatives Act</w:t>
      </w:r>
      <w:r w:rsidRPr="00505647">
        <w:t>. In addition, the Tribunal specifies that they are over-the-counter derivatives.</w:t>
      </w:r>
    </w:p>
    <w:p w14:paraId="1708003A" w14:textId="065C3B11" w:rsidR="00BC2DFA" w:rsidRPr="00505647" w:rsidRDefault="0046182F" w:rsidP="00BC2DFA">
      <w:pPr>
        <w:keepNext/>
        <w:spacing w:before="240" w:after="60" w:line="256" w:lineRule="auto"/>
        <w:jc w:val="both"/>
        <w:outlineLvl w:val="1"/>
        <w:rPr>
          <w:rFonts w:eastAsiaTheme="minorHAnsi" w:cs="Arial"/>
          <w:b/>
          <w:szCs w:val="24"/>
        </w:rPr>
      </w:pPr>
      <w:bookmarkStart w:id="15" w:name="_Hlk141162080"/>
      <w:r w:rsidRPr="00505647">
        <w:rPr>
          <w:rFonts w:eastAsiaTheme="minorHAnsi" w:cs="Arial"/>
          <w:b/>
          <w:bCs/>
          <w:szCs w:val="24"/>
        </w:rPr>
        <w:t xml:space="preserve">Question 4: Did the respondents create or market derivatives without </w:t>
      </w:r>
      <w:r w:rsidR="00C46DED">
        <w:rPr>
          <w:rFonts w:eastAsiaTheme="minorHAnsi" w:cs="Arial"/>
          <w:b/>
          <w:bCs/>
          <w:szCs w:val="24"/>
        </w:rPr>
        <w:t>being qualified by</w:t>
      </w:r>
      <w:r w:rsidRPr="00505647">
        <w:rPr>
          <w:rFonts w:eastAsiaTheme="minorHAnsi" w:cs="Arial"/>
          <w:b/>
          <w:bCs/>
          <w:szCs w:val="24"/>
        </w:rPr>
        <w:t xml:space="preserve"> the Authority in contravention of section 82 of the </w:t>
      </w:r>
      <w:r w:rsidRPr="00505647">
        <w:rPr>
          <w:rFonts w:eastAsiaTheme="minorHAnsi" w:cs="Arial"/>
          <w:b/>
          <w:bCs/>
          <w:i/>
          <w:iCs/>
          <w:szCs w:val="24"/>
        </w:rPr>
        <w:t>Derivatives Act</w:t>
      </w:r>
      <w:r w:rsidRPr="00505647">
        <w:rPr>
          <w:rFonts w:eastAsiaTheme="minorHAnsi" w:cs="Arial"/>
          <w:b/>
          <w:bCs/>
          <w:szCs w:val="24"/>
        </w:rPr>
        <w:t>?</w:t>
      </w:r>
    </w:p>
    <w:p w14:paraId="28FD7F39" w14:textId="1B52BE3D" w:rsidR="00BC2DFA" w:rsidRPr="00505647" w:rsidRDefault="0046182F" w:rsidP="00BC2DFA">
      <w:pPr>
        <w:numPr>
          <w:ilvl w:val="0"/>
          <w:numId w:val="1"/>
        </w:numPr>
        <w:spacing w:before="120" w:after="120" w:line="256" w:lineRule="auto"/>
        <w:jc w:val="both"/>
        <w:rPr>
          <w:rFonts w:eastAsiaTheme="minorHAnsi" w:cs="Arial"/>
          <w:kern w:val="28"/>
          <w:sz w:val="22"/>
          <w:szCs w:val="22"/>
        </w:rPr>
      </w:pPr>
      <w:r w:rsidRPr="00505647">
        <w:rPr>
          <w:rFonts w:eastAsiaTheme="minorHAnsi" w:cs="Arial"/>
          <w:kern w:val="28"/>
          <w:szCs w:val="24"/>
        </w:rPr>
        <w:t xml:space="preserve">The Tribunal answers this question in the affirmative. The respondents created and marketed derivatives without </w:t>
      </w:r>
      <w:r w:rsidR="00B00F96">
        <w:rPr>
          <w:rFonts w:eastAsiaTheme="minorHAnsi" w:cs="Arial"/>
          <w:kern w:val="28"/>
          <w:szCs w:val="24"/>
        </w:rPr>
        <w:t>being qualified by</w:t>
      </w:r>
      <w:r w:rsidRPr="00505647">
        <w:rPr>
          <w:rFonts w:eastAsiaTheme="minorHAnsi" w:cs="Arial"/>
          <w:kern w:val="28"/>
          <w:szCs w:val="24"/>
        </w:rPr>
        <w:t xml:space="preserve"> the Authority, in contravention of section 82 of the </w:t>
      </w:r>
      <w:r w:rsidRPr="00505647">
        <w:rPr>
          <w:rFonts w:eastAsiaTheme="minorHAnsi" w:cs="Arial"/>
          <w:i/>
          <w:iCs/>
          <w:kern w:val="28"/>
          <w:szCs w:val="24"/>
        </w:rPr>
        <w:t>Derivatives Act</w:t>
      </w:r>
      <w:r w:rsidRPr="00505647">
        <w:rPr>
          <w:rFonts w:eastAsiaTheme="minorHAnsi" w:cs="Arial"/>
          <w:kern w:val="28"/>
          <w:szCs w:val="24"/>
        </w:rPr>
        <w:t xml:space="preserve">. </w:t>
      </w:r>
    </w:p>
    <w:p w14:paraId="2006727E" w14:textId="5E573DFC" w:rsidR="00BC2DFA" w:rsidRPr="00505647" w:rsidRDefault="0046182F" w:rsidP="00BC2DFA">
      <w:pPr>
        <w:numPr>
          <w:ilvl w:val="0"/>
          <w:numId w:val="1"/>
        </w:numPr>
        <w:spacing w:before="120" w:after="120" w:line="256" w:lineRule="auto"/>
        <w:jc w:val="both"/>
        <w:rPr>
          <w:rFonts w:eastAsiaTheme="minorHAnsi" w:cs="Arial"/>
          <w:kern w:val="28"/>
          <w:sz w:val="22"/>
          <w:szCs w:val="22"/>
        </w:rPr>
      </w:pPr>
      <w:r w:rsidRPr="00505647">
        <w:rPr>
          <w:rFonts w:eastAsiaTheme="minorHAnsi" w:cs="Arial"/>
          <w:kern w:val="28"/>
          <w:szCs w:val="24"/>
        </w:rPr>
        <w:t>To be able to create or market derivatives, a person must be a regulated entity recognized by the Authority or qualified by the Authority.</w:t>
      </w:r>
    </w:p>
    <w:p w14:paraId="32631BDF" w14:textId="77777777" w:rsidR="00BC2DFA" w:rsidRPr="00505647" w:rsidRDefault="0046182F" w:rsidP="00D60E87">
      <w:pPr>
        <w:pStyle w:val="Paragraphe"/>
        <w:rPr>
          <w:kern w:val="24"/>
          <w:sz w:val="22"/>
        </w:rPr>
      </w:pPr>
      <w:r w:rsidRPr="00505647">
        <w:t xml:space="preserve">Section 82 of the </w:t>
      </w:r>
      <w:r w:rsidRPr="00505647">
        <w:rPr>
          <w:i/>
          <w:iCs/>
        </w:rPr>
        <w:t>Derivatives Act</w:t>
      </w:r>
      <w:r w:rsidRPr="00505647">
        <w:t xml:space="preserve"> provides for the requirement to obtain approval as follows:</w:t>
      </w:r>
    </w:p>
    <w:p w14:paraId="1F311A86"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“A person, other than a regulated entity, who creates or markets a derivative must be qualified by the Authority, as prescribed by regulation, before the derivative is offered to the public.</w:t>
      </w:r>
    </w:p>
    <w:p w14:paraId="39D3385C"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The person must also have the marketing of the derivative authorized by the Authority, subject to the conditions prescribed by regulation.</w:t>
      </w:r>
    </w:p>
    <w:p w14:paraId="7725E54E"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 xml:space="preserve">The Authority may refuse to qualify a person if it considers it necessary for the protection of the </w:t>
      </w:r>
      <w:proofErr w:type="gramStart"/>
      <w:r w:rsidRPr="00505647">
        <w:rPr>
          <w:rFonts w:cs="Arial"/>
          <w:kern w:val="24"/>
          <w:sz w:val="22"/>
        </w:rPr>
        <w:t>public, or</w:t>
      </w:r>
      <w:proofErr w:type="gramEnd"/>
      <w:r w:rsidRPr="00505647">
        <w:rPr>
          <w:rFonts w:cs="Arial"/>
          <w:kern w:val="24"/>
          <w:sz w:val="22"/>
        </w:rPr>
        <w:t xml:space="preserve"> may impose restrictions or conditions on a person’s qualification.”</w:t>
      </w:r>
    </w:p>
    <w:p w14:paraId="03DAD0E8" w14:textId="33E18832" w:rsidR="00BC2DFA" w:rsidRPr="00505647" w:rsidRDefault="0046182F" w:rsidP="00BC2DFA">
      <w:pPr>
        <w:numPr>
          <w:ilvl w:val="0"/>
          <w:numId w:val="1"/>
        </w:numPr>
        <w:spacing w:before="120" w:after="120" w:line="256" w:lineRule="auto"/>
        <w:jc w:val="both"/>
        <w:rPr>
          <w:rFonts w:eastAsiaTheme="minorHAnsi" w:cs="Arial"/>
          <w:kern w:val="28"/>
          <w:sz w:val="22"/>
          <w:szCs w:val="22"/>
        </w:rPr>
      </w:pPr>
      <w:r w:rsidRPr="00505647">
        <w:rPr>
          <w:rFonts w:eastAsiaTheme="minorHAnsi" w:cs="Arial"/>
          <w:kern w:val="28"/>
          <w:szCs w:val="24"/>
        </w:rPr>
        <w:t>The evidence shows that the respondents created and marketed derivatives in Québec</w:t>
      </w:r>
      <w:r w:rsidR="00C0707E">
        <w:rPr>
          <w:rFonts w:eastAsiaTheme="minorHAnsi" w:cs="Arial"/>
          <w:kern w:val="28"/>
          <w:szCs w:val="24"/>
        </w:rPr>
        <w:t>,</w:t>
      </w:r>
      <w:r w:rsidRPr="00505647">
        <w:rPr>
          <w:rFonts w:eastAsiaTheme="minorHAnsi" w:cs="Arial"/>
          <w:kern w:val="28"/>
          <w:sz w:val="22"/>
          <w:szCs w:val="22"/>
          <w:vertAlign w:val="superscript"/>
        </w:rPr>
        <w:footnoteReference w:id="140"/>
      </w:r>
      <w:r w:rsidRPr="00505647">
        <w:rPr>
          <w:rFonts w:eastAsiaTheme="minorHAnsi" w:cs="Arial"/>
          <w:kern w:val="28"/>
          <w:szCs w:val="24"/>
        </w:rPr>
        <w:t xml:space="preserve"> namely the “Futures Contracts”, </w:t>
      </w:r>
      <w:proofErr w:type="gramStart"/>
      <w:r w:rsidRPr="00505647">
        <w:rPr>
          <w:rFonts w:eastAsiaTheme="minorHAnsi" w:cs="Arial"/>
          <w:kern w:val="28"/>
          <w:szCs w:val="24"/>
        </w:rPr>
        <w:t>that is to say the</w:t>
      </w:r>
      <w:proofErr w:type="gramEnd"/>
      <w:r w:rsidRPr="00505647">
        <w:rPr>
          <w:rFonts w:eastAsiaTheme="minorHAnsi" w:cs="Arial"/>
          <w:kern w:val="28"/>
          <w:szCs w:val="24"/>
        </w:rPr>
        <w:t xml:space="preserve"> “USDT-M Futures” and the “Coin-M Futures”, through the XT.com website.</w:t>
      </w:r>
    </w:p>
    <w:p w14:paraId="7C8D1996" w14:textId="5058F370" w:rsidR="00BC2DFA" w:rsidRPr="00505647" w:rsidRDefault="0046182F" w:rsidP="00BC2DFA">
      <w:pPr>
        <w:numPr>
          <w:ilvl w:val="0"/>
          <w:numId w:val="1"/>
        </w:numPr>
        <w:spacing w:before="120" w:after="120" w:line="256" w:lineRule="auto"/>
        <w:jc w:val="both"/>
        <w:rPr>
          <w:rFonts w:eastAsiaTheme="minorHAnsi" w:cs="Arial"/>
          <w:kern w:val="28"/>
          <w:sz w:val="22"/>
          <w:szCs w:val="22"/>
        </w:rPr>
      </w:pPr>
      <w:r w:rsidRPr="00505647">
        <w:rPr>
          <w:rFonts w:cs="Arial"/>
          <w:kern w:val="28"/>
        </w:rPr>
        <w:lastRenderedPageBreak/>
        <w:t xml:space="preserve">The respondents are not regulated entities within the meaning of section 3 of the </w:t>
      </w:r>
      <w:r w:rsidRPr="00505647">
        <w:rPr>
          <w:rFonts w:cs="Arial"/>
          <w:i/>
          <w:iCs/>
          <w:kern w:val="28"/>
        </w:rPr>
        <w:t>Derivatives Act</w:t>
      </w:r>
      <w:r w:rsidRPr="00505647">
        <w:rPr>
          <w:rFonts w:cs="Arial"/>
          <w:kern w:val="28"/>
        </w:rPr>
        <w:t>.</w:t>
      </w:r>
      <w:r w:rsidRPr="00505647">
        <w:rPr>
          <w:rStyle w:val="Appelnotedebasdep"/>
          <w:rFonts w:cs="Arial"/>
          <w:kern w:val="28"/>
        </w:rPr>
        <w:footnoteReference w:id="141"/>
      </w:r>
      <w:r w:rsidRPr="00505647">
        <w:rPr>
          <w:rFonts w:cs="Arial"/>
          <w:kern w:val="28"/>
        </w:rPr>
        <w:t xml:space="preserve"> They cannot therefore avail themselves of the exception to the </w:t>
      </w:r>
      <w:r w:rsidR="000E7B98">
        <w:rPr>
          <w:rFonts w:cs="Arial"/>
          <w:kern w:val="28"/>
        </w:rPr>
        <w:t>qualification</w:t>
      </w:r>
      <w:r w:rsidR="000E7B98" w:rsidRPr="00505647">
        <w:rPr>
          <w:rFonts w:cs="Arial"/>
          <w:kern w:val="28"/>
        </w:rPr>
        <w:t xml:space="preserve"> </w:t>
      </w:r>
      <w:r w:rsidRPr="00505647">
        <w:rPr>
          <w:rFonts w:cs="Arial"/>
          <w:kern w:val="28"/>
        </w:rPr>
        <w:t xml:space="preserve">requirement set out in section 82 of the </w:t>
      </w:r>
      <w:r w:rsidRPr="00505647">
        <w:rPr>
          <w:rFonts w:cs="Arial"/>
          <w:i/>
          <w:iCs/>
          <w:kern w:val="28"/>
        </w:rPr>
        <w:t>Derivatives Act</w:t>
      </w:r>
      <w:r w:rsidRPr="00505647">
        <w:rPr>
          <w:rFonts w:cs="Arial"/>
          <w:kern w:val="28"/>
        </w:rPr>
        <w:t xml:space="preserve">. </w:t>
      </w:r>
    </w:p>
    <w:p w14:paraId="4C1B905E" w14:textId="70ED246B" w:rsidR="00BC2DFA" w:rsidRPr="00505647" w:rsidRDefault="0046182F" w:rsidP="00BC2DFA">
      <w:pPr>
        <w:numPr>
          <w:ilvl w:val="0"/>
          <w:numId w:val="1"/>
        </w:numPr>
        <w:spacing w:before="120" w:after="120" w:line="256" w:lineRule="auto"/>
        <w:jc w:val="both"/>
        <w:rPr>
          <w:rFonts w:eastAsiaTheme="minorHAnsi" w:cs="Arial"/>
          <w:sz w:val="22"/>
          <w:szCs w:val="22"/>
        </w:rPr>
      </w:pPr>
      <w:r w:rsidRPr="00505647">
        <w:rPr>
          <w:rFonts w:cs="Arial"/>
          <w:kern w:val="28"/>
        </w:rPr>
        <w:t>Furthermore, they have not been recognized by the Authority.</w:t>
      </w:r>
      <w:r w:rsidRPr="00505647">
        <w:rPr>
          <w:rStyle w:val="Appelnotedebasdep"/>
          <w:rFonts w:eastAsiaTheme="minorHAnsi"/>
        </w:rPr>
        <w:footnoteReference w:id="142"/>
      </w:r>
      <w:r w:rsidR="00A84861">
        <w:rPr>
          <w:rFonts w:cs="Arial"/>
          <w:kern w:val="28"/>
        </w:rPr>
        <w:t xml:space="preserve"> </w:t>
      </w:r>
      <w:r w:rsidRPr="00505647">
        <w:rPr>
          <w:rFonts w:cs="Arial"/>
          <w:kern w:val="28"/>
        </w:rPr>
        <w:t xml:space="preserve">This obligation to recognize regulated entities is provided for in the first paragraph of section 12 of the </w:t>
      </w:r>
      <w:r w:rsidRPr="00505647">
        <w:rPr>
          <w:rFonts w:cs="Arial"/>
          <w:i/>
          <w:iCs/>
          <w:kern w:val="28"/>
        </w:rPr>
        <w:t>Derivatives Act</w:t>
      </w:r>
      <w:r w:rsidRPr="00505647">
        <w:rPr>
          <w:rFonts w:cs="Arial"/>
          <w:kern w:val="28"/>
        </w:rPr>
        <w:t xml:space="preserve">. </w:t>
      </w:r>
    </w:p>
    <w:p w14:paraId="587E502C" w14:textId="77777777" w:rsidR="00BC2DFA" w:rsidRPr="00505647" w:rsidRDefault="0046182F" w:rsidP="00BC2DFA">
      <w:pPr>
        <w:numPr>
          <w:ilvl w:val="0"/>
          <w:numId w:val="1"/>
        </w:numPr>
        <w:spacing w:before="120" w:after="120" w:line="256" w:lineRule="auto"/>
        <w:jc w:val="both"/>
        <w:rPr>
          <w:rFonts w:eastAsiaTheme="minorHAnsi" w:cs="Arial"/>
          <w:szCs w:val="24"/>
        </w:rPr>
      </w:pPr>
      <w:r w:rsidRPr="00505647">
        <w:rPr>
          <w:rFonts w:cs="Arial"/>
          <w:kern w:val="28"/>
        </w:rPr>
        <w:t xml:space="preserve">This recognition requires regulated entities to adhere to a strict regulatory framework for the protection of the public. </w:t>
      </w:r>
    </w:p>
    <w:p w14:paraId="00D682A7" w14:textId="77777777" w:rsidR="00BC2DFA" w:rsidRPr="00505647" w:rsidRDefault="0046182F" w:rsidP="00BC2DFA">
      <w:pPr>
        <w:numPr>
          <w:ilvl w:val="0"/>
          <w:numId w:val="1"/>
        </w:numPr>
        <w:spacing w:before="120" w:after="120" w:line="256" w:lineRule="auto"/>
        <w:jc w:val="both"/>
        <w:rPr>
          <w:rFonts w:eastAsiaTheme="minorHAnsi" w:cs="Arial"/>
          <w:kern w:val="28"/>
          <w:sz w:val="22"/>
          <w:szCs w:val="22"/>
        </w:rPr>
      </w:pPr>
      <w:r w:rsidRPr="00505647">
        <w:rPr>
          <w:rFonts w:eastAsiaTheme="minorHAnsi" w:cs="Arial"/>
          <w:kern w:val="28"/>
          <w:szCs w:val="24"/>
        </w:rPr>
        <w:t xml:space="preserve">The respondents were never authorized to act in any capacity under the </w:t>
      </w:r>
      <w:r w:rsidRPr="00505647">
        <w:rPr>
          <w:rFonts w:eastAsiaTheme="minorHAnsi" w:cs="Arial"/>
          <w:i/>
          <w:iCs/>
          <w:kern w:val="28"/>
          <w:szCs w:val="24"/>
        </w:rPr>
        <w:t>Derivatives Act.</w:t>
      </w:r>
      <w:r w:rsidRPr="00505647">
        <w:rPr>
          <w:rStyle w:val="Appelnotedebasdep"/>
          <w:rFonts w:eastAsiaTheme="minorHAnsi"/>
        </w:rPr>
        <w:footnoteReference w:id="143"/>
      </w:r>
    </w:p>
    <w:p w14:paraId="405EEBE7" w14:textId="10BF7177" w:rsidR="00BC2DFA" w:rsidRPr="00505647" w:rsidRDefault="0046182F" w:rsidP="00BC2DFA">
      <w:pPr>
        <w:numPr>
          <w:ilvl w:val="0"/>
          <w:numId w:val="1"/>
        </w:numPr>
        <w:spacing w:before="120" w:after="120" w:line="256" w:lineRule="auto"/>
        <w:jc w:val="both"/>
        <w:rPr>
          <w:rFonts w:eastAsiaTheme="minorHAnsi" w:cs="Arial"/>
          <w:kern w:val="28"/>
          <w:sz w:val="22"/>
          <w:szCs w:val="22"/>
        </w:rPr>
      </w:pPr>
      <w:bookmarkStart w:id="16" w:name="_Hlk145060678"/>
      <w:r w:rsidRPr="00505647">
        <w:rPr>
          <w:rFonts w:eastAsiaTheme="minorHAnsi" w:cs="Arial"/>
          <w:kern w:val="28"/>
          <w:szCs w:val="24"/>
        </w:rPr>
        <w:t xml:space="preserve">Moreover, since the XT.com website does not require any qualification of users, the exemption provided for in section 7 of the </w:t>
      </w:r>
      <w:r w:rsidRPr="00505647">
        <w:rPr>
          <w:rFonts w:eastAsiaTheme="minorHAnsi" w:cs="Arial"/>
          <w:i/>
          <w:iCs/>
          <w:kern w:val="28"/>
          <w:szCs w:val="24"/>
        </w:rPr>
        <w:t xml:space="preserve">Derivatives Act </w:t>
      </w:r>
      <w:r w:rsidRPr="00505647">
        <w:rPr>
          <w:rFonts w:eastAsiaTheme="minorHAnsi" w:cs="Arial"/>
          <w:kern w:val="28"/>
          <w:szCs w:val="24"/>
        </w:rPr>
        <w:t>for transactions</w:t>
      </w:r>
      <w:r w:rsidR="00E92192">
        <w:rPr>
          <w:rFonts w:eastAsiaTheme="minorHAnsi" w:cs="Arial"/>
          <w:kern w:val="28"/>
          <w:szCs w:val="24"/>
        </w:rPr>
        <w:t xml:space="preserve"> in over-the-counter</w:t>
      </w:r>
      <w:r w:rsidRPr="00505647">
        <w:rPr>
          <w:rFonts w:eastAsiaTheme="minorHAnsi" w:cs="Arial"/>
          <w:kern w:val="28"/>
          <w:szCs w:val="24"/>
        </w:rPr>
        <w:t xml:space="preserve"> derivatives involving only qualified counterparties within the meaning of that Act cannot apply.</w:t>
      </w:r>
      <w:bookmarkEnd w:id="16"/>
    </w:p>
    <w:p w14:paraId="148CCF58" w14:textId="2862E96A"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Given that the respondents are not recognized regulated entities, that they </w:t>
      </w:r>
      <w:r w:rsidR="00E92192">
        <w:rPr>
          <w:rFonts w:eastAsiaTheme="minorHAnsi" w:cs="Arial"/>
          <w:kern w:val="28"/>
          <w:szCs w:val="24"/>
        </w:rPr>
        <w:t xml:space="preserve">were </w:t>
      </w:r>
      <w:r w:rsidRPr="00505647">
        <w:rPr>
          <w:rFonts w:eastAsiaTheme="minorHAnsi" w:cs="Arial"/>
          <w:kern w:val="28"/>
          <w:szCs w:val="24"/>
        </w:rPr>
        <w:t>never</w:t>
      </w:r>
      <w:r w:rsidR="00E92192">
        <w:rPr>
          <w:rFonts w:eastAsiaTheme="minorHAnsi" w:cs="Arial"/>
          <w:kern w:val="28"/>
          <w:szCs w:val="24"/>
        </w:rPr>
        <w:t xml:space="preserve"> qualified</w:t>
      </w:r>
      <w:r w:rsidRPr="00505647">
        <w:rPr>
          <w:rStyle w:val="Appelnotedebasdep"/>
          <w:rFonts w:eastAsiaTheme="minorHAnsi"/>
        </w:rPr>
        <w:footnoteReference w:id="144"/>
      </w:r>
      <w:r w:rsidRPr="00505647">
        <w:rPr>
          <w:rFonts w:eastAsiaTheme="minorHAnsi" w:cs="Arial"/>
          <w:kern w:val="28"/>
          <w:szCs w:val="24"/>
        </w:rPr>
        <w:t xml:space="preserve"> and that they were never authorized or exempted, the Tribunal finds that the respondents contravened section 82 of the </w:t>
      </w:r>
      <w:r w:rsidRPr="00505647">
        <w:rPr>
          <w:rFonts w:eastAsiaTheme="minorHAnsi" w:cs="Arial"/>
          <w:i/>
          <w:iCs/>
          <w:kern w:val="28"/>
          <w:szCs w:val="24"/>
        </w:rPr>
        <w:t>Derivatives Act</w:t>
      </w:r>
      <w:r w:rsidRPr="00505647">
        <w:rPr>
          <w:rFonts w:eastAsiaTheme="minorHAnsi" w:cs="Arial"/>
          <w:kern w:val="28"/>
          <w:szCs w:val="24"/>
        </w:rPr>
        <w:t xml:space="preserve"> by creating and marketing derivatives. </w:t>
      </w:r>
    </w:p>
    <w:bookmarkEnd w:id="15"/>
    <w:p w14:paraId="78FB1A6A" w14:textId="77777777" w:rsidR="00BC2DFA" w:rsidRPr="00505647" w:rsidRDefault="0046182F" w:rsidP="00BC2DFA">
      <w:pPr>
        <w:keepNext/>
        <w:spacing w:before="240" w:after="60" w:line="256" w:lineRule="auto"/>
        <w:jc w:val="both"/>
        <w:outlineLvl w:val="1"/>
        <w:rPr>
          <w:rFonts w:eastAsiaTheme="minorHAnsi" w:cs="Arial"/>
          <w:b/>
          <w:szCs w:val="24"/>
        </w:rPr>
      </w:pPr>
      <w:r w:rsidRPr="00505647">
        <w:rPr>
          <w:rFonts w:eastAsiaTheme="minorHAnsi" w:cs="Arial"/>
          <w:b/>
          <w:bCs/>
          <w:szCs w:val="24"/>
        </w:rPr>
        <w:t xml:space="preserve">Question 5: Did the respondents act as a securities and derivatives dealer in contravention of section 148 of the </w:t>
      </w:r>
      <w:r w:rsidRPr="00505647">
        <w:rPr>
          <w:rFonts w:eastAsiaTheme="minorHAnsi" w:cs="Arial"/>
          <w:b/>
          <w:bCs/>
          <w:i/>
          <w:iCs/>
          <w:szCs w:val="24"/>
        </w:rPr>
        <w:t>Securities Act</w:t>
      </w:r>
      <w:r w:rsidRPr="00505647">
        <w:rPr>
          <w:rFonts w:eastAsiaTheme="minorHAnsi" w:cs="Arial"/>
          <w:b/>
          <w:bCs/>
          <w:szCs w:val="24"/>
        </w:rPr>
        <w:t xml:space="preserve"> and section 54 of the </w:t>
      </w:r>
      <w:r w:rsidRPr="00505647">
        <w:rPr>
          <w:rFonts w:eastAsiaTheme="minorHAnsi" w:cs="Arial"/>
          <w:b/>
          <w:bCs/>
          <w:i/>
          <w:iCs/>
          <w:szCs w:val="24"/>
        </w:rPr>
        <w:t>Derivatives Act</w:t>
      </w:r>
      <w:r w:rsidRPr="00505647">
        <w:rPr>
          <w:rFonts w:eastAsiaTheme="minorHAnsi" w:cs="Arial"/>
          <w:b/>
          <w:bCs/>
          <w:szCs w:val="24"/>
        </w:rPr>
        <w:t xml:space="preserve"> by not being registered with the Authority?</w:t>
      </w:r>
    </w:p>
    <w:p w14:paraId="54313E3B"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The Tribunal answers this question in the affirmative. The respondents acted as a securities and derivatives dealer in contravention of section 148 of the </w:t>
      </w:r>
      <w:r w:rsidRPr="00505647">
        <w:rPr>
          <w:rFonts w:eastAsiaTheme="minorHAnsi" w:cs="Arial"/>
          <w:i/>
          <w:iCs/>
          <w:kern w:val="28"/>
          <w:szCs w:val="24"/>
        </w:rPr>
        <w:t xml:space="preserve">Securities Act </w:t>
      </w:r>
      <w:r w:rsidRPr="00505647">
        <w:rPr>
          <w:rFonts w:eastAsiaTheme="minorHAnsi" w:cs="Arial"/>
          <w:kern w:val="28"/>
          <w:szCs w:val="24"/>
        </w:rPr>
        <w:t xml:space="preserve">and section 54 of the </w:t>
      </w:r>
      <w:r w:rsidRPr="00505647">
        <w:rPr>
          <w:rFonts w:eastAsiaTheme="minorHAnsi" w:cs="Arial"/>
          <w:i/>
          <w:iCs/>
          <w:kern w:val="28"/>
          <w:szCs w:val="24"/>
        </w:rPr>
        <w:t>Derivatives Act</w:t>
      </w:r>
      <w:r w:rsidRPr="00505647">
        <w:rPr>
          <w:rFonts w:eastAsiaTheme="minorHAnsi" w:cs="Arial"/>
          <w:kern w:val="28"/>
          <w:szCs w:val="24"/>
        </w:rPr>
        <w:t>, without being registered with the Authority.</w:t>
      </w:r>
    </w:p>
    <w:p w14:paraId="4C359715" w14:textId="22D61440" w:rsidR="0037302B"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Section 148 of the </w:t>
      </w:r>
      <w:r w:rsidRPr="00505647">
        <w:rPr>
          <w:rFonts w:eastAsiaTheme="minorHAnsi" w:cs="Arial"/>
          <w:i/>
          <w:iCs/>
          <w:kern w:val="28"/>
          <w:szCs w:val="24"/>
        </w:rPr>
        <w:t>Securities Act</w:t>
      </w:r>
      <w:r w:rsidRPr="00505647">
        <w:rPr>
          <w:rFonts w:eastAsiaTheme="minorHAnsi" w:cs="Arial"/>
          <w:kern w:val="28"/>
          <w:szCs w:val="24"/>
        </w:rPr>
        <w:t xml:space="preserve"> provides that a person must be registered as a dealer to act as such.</w:t>
      </w:r>
    </w:p>
    <w:p w14:paraId="03E3601B"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Section 5 of the </w:t>
      </w:r>
      <w:r w:rsidRPr="00505647">
        <w:rPr>
          <w:rFonts w:eastAsiaTheme="minorHAnsi" w:cs="Arial"/>
          <w:i/>
          <w:iCs/>
          <w:kern w:val="28"/>
          <w:szCs w:val="24"/>
        </w:rPr>
        <w:t>Securities Act</w:t>
      </w:r>
      <w:r w:rsidRPr="00505647">
        <w:rPr>
          <w:rFonts w:eastAsiaTheme="minorHAnsi" w:cs="Arial"/>
          <w:kern w:val="28"/>
          <w:szCs w:val="24"/>
        </w:rPr>
        <w:t xml:space="preserve"> defines “dealer” as follows:</w:t>
      </w:r>
    </w:p>
    <w:p w14:paraId="44EAADAC" w14:textId="6208B4A4" w:rsidR="00BC2DFA" w:rsidRPr="00505647" w:rsidRDefault="0046182F" w:rsidP="00BC2DFA">
      <w:pPr>
        <w:spacing w:before="120" w:after="120"/>
        <w:ind w:left="992" w:right="992"/>
        <w:jc w:val="both"/>
        <w:rPr>
          <w:rFonts w:cs="Arial"/>
          <w:kern w:val="24"/>
          <w:sz w:val="22"/>
        </w:rPr>
      </w:pPr>
      <w:r w:rsidRPr="00505647">
        <w:rPr>
          <w:rFonts w:cs="Arial"/>
          <w:kern w:val="24"/>
          <w:sz w:val="22"/>
        </w:rPr>
        <w:t>“In this Act, unless the context indicates otherwise,</w:t>
      </w:r>
      <w:r w:rsidR="00AE615B">
        <w:rPr>
          <w:rFonts w:cs="Arial"/>
          <w:kern w:val="24"/>
          <w:sz w:val="22"/>
        </w:rPr>
        <w:t xml:space="preserve"> […]</w:t>
      </w:r>
    </w:p>
    <w:p w14:paraId="7A156C5C"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lastRenderedPageBreak/>
        <w:t>“dealer” means a person engaging in or holding themself as engaging in the business of</w:t>
      </w:r>
    </w:p>
    <w:p w14:paraId="22EAED33"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 xml:space="preserve">(1) trading in securities as principal or </w:t>
      </w:r>
      <w:proofErr w:type="gramStart"/>
      <w:r w:rsidRPr="00505647">
        <w:rPr>
          <w:rFonts w:cs="Arial"/>
          <w:kern w:val="24"/>
          <w:sz w:val="22"/>
        </w:rPr>
        <w:t>agent;</w:t>
      </w:r>
      <w:proofErr w:type="gramEnd"/>
    </w:p>
    <w:p w14:paraId="299A8709"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(2) distributing a security for their own account or for another’s account; or</w:t>
      </w:r>
    </w:p>
    <w:p w14:paraId="283B1F04" w14:textId="722BF830" w:rsidR="00BC2DFA" w:rsidRPr="00505647" w:rsidRDefault="0046182F" w:rsidP="00BC2DFA">
      <w:pPr>
        <w:spacing w:before="120" w:after="120"/>
        <w:ind w:left="992" w:right="992"/>
        <w:jc w:val="both"/>
        <w:rPr>
          <w:rFonts w:cs="Arial"/>
          <w:kern w:val="24"/>
          <w:sz w:val="22"/>
        </w:rPr>
      </w:pPr>
      <w:r w:rsidRPr="00505647">
        <w:rPr>
          <w:rFonts w:cs="Arial"/>
          <w:kern w:val="24"/>
          <w:sz w:val="22"/>
        </w:rPr>
        <w:t>(3) any act, advertisement, solicitation, conduct or negotiation directly or indirectly in furtherance of an activity described in paragraph 1 or 2</w:t>
      </w:r>
      <w:r w:rsidR="00EE01B7">
        <w:rPr>
          <w:rFonts w:cs="Arial"/>
          <w:kern w:val="24"/>
          <w:sz w:val="22"/>
        </w:rPr>
        <w:t>;</w:t>
      </w:r>
      <w:r w:rsidR="00A66333">
        <w:rPr>
          <w:rFonts w:cs="Arial"/>
          <w:kern w:val="24"/>
          <w:sz w:val="22"/>
        </w:rPr>
        <w:t xml:space="preserve"> </w:t>
      </w:r>
      <w:r w:rsidR="00A66333">
        <w:rPr>
          <w:rFonts w:cs="Arial"/>
          <w:kern w:val="24"/>
          <w:sz w:val="22"/>
          <w:lang w:val="en-US"/>
        </w:rPr>
        <w:t>[…]</w:t>
      </w:r>
      <w:r w:rsidRPr="00505647">
        <w:rPr>
          <w:rFonts w:cs="Arial"/>
          <w:kern w:val="24"/>
          <w:sz w:val="22"/>
        </w:rPr>
        <w:t>”</w:t>
      </w:r>
    </w:p>
    <w:p w14:paraId="7F219F83"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Section 54 of the </w:t>
      </w:r>
      <w:r w:rsidRPr="00505647">
        <w:rPr>
          <w:rFonts w:eastAsiaTheme="minorHAnsi" w:cs="Arial"/>
          <w:i/>
          <w:iCs/>
          <w:kern w:val="28"/>
          <w:szCs w:val="24"/>
        </w:rPr>
        <w:t>Derivatives Act</w:t>
      </w:r>
      <w:r w:rsidRPr="00505647">
        <w:rPr>
          <w:rFonts w:eastAsiaTheme="minorHAnsi" w:cs="Arial"/>
          <w:kern w:val="28"/>
          <w:szCs w:val="24"/>
        </w:rPr>
        <w:t xml:space="preserve"> provides that a person must be registered as a dealer to carry on business as such.</w:t>
      </w:r>
    </w:p>
    <w:p w14:paraId="47F1543C" w14:textId="77777777" w:rsidR="00BC2DFA" w:rsidRPr="00505647" w:rsidRDefault="0046182F" w:rsidP="00BC2DFA">
      <w:pPr>
        <w:numPr>
          <w:ilvl w:val="0"/>
          <w:numId w:val="1"/>
        </w:numPr>
        <w:spacing w:before="120" w:after="120" w:line="256" w:lineRule="auto"/>
        <w:jc w:val="both"/>
        <w:rPr>
          <w:rFonts w:eastAsiaTheme="minorHAnsi" w:cs="Arial"/>
          <w:kern w:val="28"/>
          <w:sz w:val="22"/>
          <w:szCs w:val="22"/>
        </w:rPr>
      </w:pPr>
      <w:r w:rsidRPr="00505647">
        <w:rPr>
          <w:rFonts w:eastAsiaTheme="minorHAnsi" w:cs="Arial"/>
          <w:kern w:val="28"/>
          <w:szCs w:val="24"/>
        </w:rPr>
        <w:t xml:space="preserve">Section 3 of the </w:t>
      </w:r>
      <w:r w:rsidRPr="00505647">
        <w:rPr>
          <w:rFonts w:eastAsiaTheme="minorHAnsi" w:cs="Arial"/>
          <w:i/>
          <w:iCs/>
          <w:kern w:val="28"/>
          <w:szCs w:val="24"/>
        </w:rPr>
        <w:t>Derivatives Act</w:t>
      </w:r>
      <w:r w:rsidRPr="00505647">
        <w:rPr>
          <w:rFonts w:eastAsiaTheme="minorHAnsi" w:cs="Arial"/>
          <w:kern w:val="28"/>
          <w:szCs w:val="24"/>
        </w:rPr>
        <w:t xml:space="preserve"> defines “dealer” as follows:</w:t>
      </w:r>
    </w:p>
    <w:p w14:paraId="10394E27" w14:textId="6584DCBE" w:rsidR="00BC2DFA" w:rsidRPr="00505647" w:rsidRDefault="0046182F" w:rsidP="00BC2DFA">
      <w:pPr>
        <w:spacing w:before="120" w:after="120"/>
        <w:ind w:left="992" w:right="992"/>
        <w:jc w:val="both"/>
        <w:rPr>
          <w:rFonts w:cs="Arial"/>
          <w:kern w:val="24"/>
          <w:sz w:val="22"/>
        </w:rPr>
      </w:pPr>
      <w:r w:rsidRPr="00505647">
        <w:rPr>
          <w:rFonts w:cs="Arial"/>
          <w:kern w:val="24"/>
          <w:sz w:val="22"/>
        </w:rPr>
        <w:t>“For the purposes of this Act, unless the context indicates otherwise,</w:t>
      </w:r>
      <w:r w:rsidR="00AE615B">
        <w:rPr>
          <w:rFonts w:cs="Arial"/>
          <w:kern w:val="24"/>
          <w:sz w:val="22"/>
        </w:rPr>
        <w:t xml:space="preserve"> […]</w:t>
      </w:r>
    </w:p>
    <w:p w14:paraId="0177E52B"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“dealer” means a person who engages or purports to engage in the business of</w:t>
      </w:r>
    </w:p>
    <w:p w14:paraId="6F9F6288" w14:textId="77777777" w:rsidR="00BC2DFA" w:rsidRPr="00505647" w:rsidRDefault="0046182F" w:rsidP="00BC2DFA">
      <w:pPr>
        <w:spacing w:before="120" w:after="120"/>
        <w:ind w:left="992" w:right="992"/>
        <w:jc w:val="both"/>
        <w:rPr>
          <w:rFonts w:cs="Arial"/>
          <w:kern w:val="24"/>
          <w:sz w:val="22"/>
        </w:rPr>
      </w:pPr>
      <w:r w:rsidRPr="00505647">
        <w:rPr>
          <w:rFonts w:cs="Arial"/>
          <w:kern w:val="24"/>
          <w:sz w:val="22"/>
        </w:rPr>
        <w:t>(1) derivatives trading on the person’s own behalf or on behalf of others; or</w:t>
      </w:r>
    </w:p>
    <w:p w14:paraId="5093F949" w14:textId="516CE834" w:rsidR="00BC2DFA" w:rsidRPr="00505647" w:rsidRDefault="0046182F" w:rsidP="00BC2DFA">
      <w:pPr>
        <w:spacing w:before="120" w:after="120"/>
        <w:ind w:left="992" w:right="992"/>
        <w:jc w:val="both"/>
        <w:rPr>
          <w:rFonts w:cs="Arial"/>
          <w:kern w:val="24"/>
          <w:sz w:val="22"/>
        </w:rPr>
      </w:pPr>
      <w:r w:rsidRPr="00505647">
        <w:rPr>
          <w:rFonts w:cs="Arial"/>
          <w:kern w:val="24"/>
          <w:sz w:val="22"/>
        </w:rPr>
        <w:t>(2) any act, advertisement, solicitation, conduct or negotiation directly or indirectly in furtherance of an activity described in paragraph 1</w:t>
      </w:r>
      <w:r w:rsidR="00EE01B7">
        <w:rPr>
          <w:rFonts w:cs="Arial"/>
          <w:kern w:val="24"/>
          <w:sz w:val="22"/>
        </w:rPr>
        <w:t>; […]</w:t>
      </w:r>
      <w:r w:rsidRPr="00505647">
        <w:rPr>
          <w:rFonts w:cs="Arial"/>
          <w:kern w:val="24"/>
          <w:sz w:val="22"/>
        </w:rPr>
        <w:t>”</w:t>
      </w:r>
    </w:p>
    <w:p w14:paraId="2EDEB2F1" w14:textId="7FD9B422" w:rsidR="0067321D" w:rsidRPr="00505647" w:rsidRDefault="0046182F" w:rsidP="0067321D">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The evidence shows that the respondents distribute securities, in addition to deeds, advertising and </w:t>
      </w:r>
      <w:r w:rsidR="00A61A80">
        <w:rPr>
          <w:rFonts w:eastAsiaTheme="minorHAnsi" w:cs="Arial"/>
          <w:kern w:val="28"/>
          <w:szCs w:val="24"/>
        </w:rPr>
        <w:t>soliciting</w:t>
      </w:r>
      <w:r w:rsidRPr="00505647">
        <w:rPr>
          <w:rFonts w:eastAsiaTheme="minorHAnsi" w:cs="Arial"/>
          <w:kern w:val="28"/>
          <w:szCs w:val="24"/>
        </w:rPr>
        <w:t xml:space="preserve"> for the purpose of distributing securities. The evidence also shows that the respondents offer the public the opportunity to trade in derivatives.</w:t>
      </w:r>
    </w:p>
    <w:p w14:paraId="3083830C" w14:textId="77777777" w:rsidR="0067321D" w:rsidRPr="00505647" w:rsidRDefault="0046182F" w:rsidP="0067321D">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The respondents are not registered in any capacity under the </w:t>
      </w:r>
      <w:r w:rsidRPr="00505647">
        <w:rPr>
          <w:rFonts w:eastAsiaTheme="minorHAnsi" w:cs="Arial"/>
          <w:i/>
          <w:iCs/>
          <w:kern w:val="28"/>
          <w:szCs w:val="24"/>
        </w:rPr>
        <w:t>Securities Act</w:t>
      </w:r>
      <w:r w:rsidRPr="00505647">
        <w:rPr>
          <w:rFonts w:eastAsiaTheme="minorHAnsi" w:cs="Arial"/>
          <w:kern w:val="28"/>
          <w:szCs w:val="24"/>
        </w:rPr>
        <w:t xml:space="preserve"> or the </w:t>
      </w:r>
      <w:r w:rsidRPr="00505647">
        <w:rPr>
          <w:rFonts w:eastAsiaTheme="minorHAnsi" w:cs="Arial"/>
          <w:i/>
          <w:iCs/>
          <w:kern w:val="28"/>
          <w:szCs w:val="24"/>
        </w:rPr>
        <w:t>Derivatives Act</w:t>
      </w:r>
      <w:r w:rsidRPr="00505647">
        <w:rPr>
          <w:rFonts w:eastAsiaTheme="minorHAnsi" w:cs="Arial"/>
          <w:kern w:val="28"/>
          <w:szCs w:val="24"/>
        </w:rPr>
        <w:t>.</w:t>
      </w:r>
      <w:r w:rsidRPr="00505647">
        <w:rPr>
          <w:rStyle w:val="Appelnotedebasdep"/>
          <w:rFonts w:eastAsiaTheme="minorHAnsi"/>
        </w:rPr>
        <w:footnoteReference w:id="145"/>
      </w:r>
    </w:p>
    <w:p w14:paraId="63A66843" w14:textId="1E4A06D5" w:rsidR="0067321D" w:rsidRPr="00505647" w:rsidRDefault="0046182F" w:rsidP="00C135D3">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Moreover, since the XT.com website does not require any qualification of users, the exemption provided for in section 7 of the </w:t>
      </w:r>
      <w:r w:rsidRPr="00505647">
        <w:rPr>
          <w:rFonts w:eastAsiaTheme="minorHAnsi" w:cs="Arial"/>
          <w:i/>
          <w:iCs/>
          <w:kern w:val="28"/>
          <w:szCs w:val="24"/>
        </w:rPr>
        <w:t>Derivatives Act</w:t>
      </w:r>
      <w:r w:rsidRPr="00505647">
        <w:rPr>
          <w:rFonts w:eastAsiaTheme="minorHAnsi" w:cs="Arial"/>
          <w:kern w:val="28"/>
          <w:szCs w:val="24"/>
        </w:rPr>
        <w:t xml:space="preserve"> for transactions involving </w:t>
      </w:r>
      <w:r w:rsidR="00E92192">
        <w:rPr>
          <w:rFonts w:eastAsiaTheme="minorHAnsi" w:cs="Arial"/>
          <w:kern w:val="28"/>
          <w:szCs w:val="24"/>
        </w:rPr>
        <w:t xml:space="preserve">over-the-counter </w:t>
      </w:r>
      <w:r w:rsidRPr="00505647">
        <w:rPr>
          <w:rFonts w:eastAsiaTheme="minorHAnsi" w:cs="Arial"/>
          <w:kern w:val="28"/>
          <w:szCs w:val="24"/>
        </w:rPr>
        <w:t>derivatives involving only qualified counterparties within the meaning of that Act cannot apply.</w:t>
      </w:r>
    </w:p>
    <w:p w14:paraId="57CF50E4" w14:textId="53F72396"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In the </w:t>
      </w:r>
      <w:r w:rsidRPr="00505647">
        <w:rPr>
          <w:rFonts w:eastAsiaTheme="minorHAnsi" w:cs="Arial"/>
          <w:i/>
          <w:iCs/>
          <w:kern w:val="28"/>
          <w:szCs w:val="24"/>
        </w:rPr>
        <w:t>Policy Statement to Regulation 31-103, Registration Requirements, Exemptions and Ongoing Registrant Obligations</w:t>
      </w:r>
      <w:r w:rsidRPr="00505647">
        <w:rPr>
          <w:rFonts w:eastAsiaTheme="minorHAnsi" w:cs="Arial"/>
          <w:kern w:val="28"/>
          <w:szCs w:val="24"/>
        </w:rPr>
        <w:t xml:space="preserve"> (“Policy Statement 31-103”), the CSA sets out relevant factors for determining whether a person is acting as a dealer and is therefore required to register.</w:t>
      </w:r>
      <w:r w:rsidRPr="00505647">
        <w:rPr>
          <w:rStyle w:val="Appelnotedebasdep"/>
          <w:rFonts w:eastAsiaTheme="minorHAnsi"/>
        </w:rPr>
        <w:footnoteReference w:id="146"/>
      </w:r>
    </w:p>
    <w:p w14:paraId="475F1FD5"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These factors are as follows:</w:t>
      </w:r>
    </w:p>
    <w:p w14:paraId="27550286" w14:textId="77777777" w:rsidR="00BC2DFA" w:rsidRPr="00505647" w:rsidRDefault="0046182F" w:rsidP="00BC2DFA">
      <w:pPr>
        <w:numPr>
          <w:ilvl w:val="0"/>
          <w:numId w:val="31"/>
        </w:numPr>
        <w:spacing w:before="120" w:after="120" w:line="256" w:lineRule="auto"/>
        <w:jc w:val="both"/>
        <w:rPr>
          <w:rFonts w:eastAsiaTheme="minorHAnsi" w:cs="Arial"/>
          <w:kern w:val="28"/>
          <w:szCs w:val="24"/>
        </w:rPr>
      </w:pPr>
      <w:r w:rsidRPr="00505647">
        <w:rPr>
          <w:rFonts w:eastAsiaTheme="minorHAnsi" w:cs="Arial"/>
          <w:kern w:val="28"/>
          <w:szCs w:val="24"/>
        </w:rPr>
        <w:t xml:space="preserve">engaging in activities similar to a </w:t>
      </w:r>
      <w:proofErr w:type="gramStart"/>
      <w:r w:rsidRPr="00505647">
        <w:rPr>
          <w:rFonts w:eastAsiaTheme="minorHAnsi" w:cs="Arial"/>
          <w:kern w:val="28"/>
          <w:szCs w:val="24"/>
        </w:rPr>
        <w:t>registrant;</w:t>
      </w:r>
      <w:proofErr w:type="gramEnd"/>
    </w:p>
    <w:p w14:paraId="034EA7D9" w14:textId="77777777" w:rsidR="00BC2DFA" w:rsidRPr="00505647" w:rsidRDefault="0046182F" w:rsidP="00BC2DFA">
      <w:pPr>
        <w:numPr>
          <w:ilvl w:val="0"/>
          <w:numId w:val="31"/>
        </w:numPr>
        <w:spacing w:before="120" w:after="120" w:line="256" w:lineRule="auto"/>
        <w:jc w:val="both"/>
        <w:rPr>
          <w:rFonts w:eastAsiaTheme="minorHAnsi" w:cs="Arial"/>
          <w:kern w:val="28"/>
          <w:szCs w:val="24"/>
        </w:rPr>
      </w:pPr>
      <w:r w:rsidRPr="00505647">
        <w:rPr>
          <w:rFonts w:eastAsiaTheme="minorHAnsi" w:cs="Arial"/>
          <w:kern w:val="28"/>
          <w:szCs w:val="24"/>
        </w:rPr>
        <w:t xml:space="preserve">intermediating trades or acting as a market </w:t>
      </w:r>
      <w:proofErr w:type="gramStart"/>
      <w:r w:rsidRPr="00505647">
        <w:rPr>
          <w:rFonts w:eastAsiaTheme="minorHAnsi" w:cs="Arial"/>
          <w:kern w:val="28"/>
          <w:szCs w:val="24"/>
        </w:rPr>
        <w:t>maker;</w:t>
      </w:r>
      <w:proofErr w:type="gramEnd"/>
    </w:p>
    <w:p w14:paraId="7B89E926" w14:textId="77777777" w:rsidR="00BC2DFA" w:rsidRPr="00505647" w:rsidRDefault="0046182F" w:rsidP="00BC2DFA">
      <w:pPr>
        <w:numPr>
          <w:ilvl w:val="0"/>
          <w:numId w:val="31"/>
        </w:numPr>
        <w:spacing w:before="120" w:after="120" w:line="256" w:lineRule="auto"/>
        <w:jc w:val="both"/>
        <w:rPr>
          <w:rFonts w:eastAsiaTheme="minorHAnsi" w:cs="Arial"/>
          <w:kern w:val="28"/>
          <w:szCs w:val="24"/>
        </w:rPr>
      </w:pPr>
      <w:r w:rsidRPr="00505647">
        <w:rPr>
          <w:rFonts w:eastAsiaTheme="minorHAnsi" w:cs="Arial"/>
          <w:kern w:val="28"/>
          <w:szCs w:val="24"/>
        </w:rPr>
        <w:lastRenderedPageBreak/>
        <w:t xml:space="preserve">directly or indirectly carrying on the activity with repetition, regularity or </w:t>
      </w:r>
      <w:proofErr w:type="gramStart"/>
      <w:r w:rsidRPr="00505647">
        <w:rPr>
          <w:rFonts w:eastAsiaTheme="minorHAnsi" w:cs="Arial"/>
          <w:kern w:val="28"/>
          <w:szCs w:val="24"/>
        </w:rPr>
        <w:t>continuity;</w:t>
      </w:r>
      <w:proofErr w:type="gramEnd"/>
    </w:p>
    <w:p w14:paraId="74C25548" w14:textId="3FF66F12" w:rsidR="00BC2DFA" w:rsidRPr="00505647" w:rsidRDefault="0046182F" w:rsidP="00BC2DFA">
      <w:pPr>
        <w:numPr>
          <w:ilvl w:val="0"/>
          <w:numId w:val="31"/>
        </w:numPr>
        <w:spacing w:before="120" w:after="120" w:line="256" w:lineRule="auto"/>
        <w:jc w:val="both"/>
        <w:rPr>
          <w:rFonts w:eastAsiaTheme="minorHAnsi" w:cs="Arial"/>
          <w:kern w:val="28"/>
          <w:szCs w:val="24"/>
        </w:rPr>
      </w:pPr>
      <w:r w:rsidRPr="00505647">
        <w:rPr>
          <w:rFonts w:eastAsiaTheme="minorHAnsi" w:cs="Arial"/>
          <w:kern w:val="28"/>
          <w:szCs w:val="24"/>
        </w:rPr>
        <w:t xml:space="preserve">being, or expecting to be, </w:t>
      </w:r>
      <w:proofErr w:type="gramStart"/>
      <w:r w:rsidRPr="00505647">
        <w:rPr>
          <w:rFonts w:eastAsiaTheme="minorHAnsi" w:cs="Arial"/>
          <w:kern w:val="28"/>
          <w:szCs w:val="24"/>
        </w:rPr>
        <w:t>remunerated</w:t>
      </w:r>
      <w:proofErr w:type="gramEnd"/>
      <w:r w:rsidR="001B23F4">
        <w:rPr>
          <w:rFonts w:eastAsiaTheme="minorHAnsi" w:cs="Arial"/>
          <w:kern w:val="28"/>
          <w:szCs w:val="24"/>
        </w:rPr>
        <w:t xml:space="preserve"> or compensated</w:t>
      </w:r>
      <w:r w:rsidRPr="00505647">
        <w:rPr>
          <w:rFonts w:eastAsiaTheme="minorHAnsi" w:cs="Arial"/>
          <w:kern w:val="28"/>
          <w:szCs w:val="24"/>
        </w:rPr>
        <w:t>; or</w:t>
      </w:r>
    </w:p>
    <w:p w14:paraId="5E4EB373" w14:textId="77777777" w:rsidR="00BC2DFA" w:rsidRPr="00505647" w:rsidRDefault="0046182F" w:rsidP="00BC2DFA">
      <w:pPr>
        <w:numPr>
          <w:ilvl w:val="0"/>
          <w:numId w:val="31"/>
        </w:numPr>
        <w:spacing w:before="120" w:after="120" w:line="256" w:lineRule="auto"/>
        <w:jc w:val="both"/>
        <w:rPr>
          <w:rFonts w:eastAsiaTheme="minorHAnsi" w:cs="Arial"/>
          <w:kern w:val="28"/>
          <w:szCs w:val="24"/>
        </w:rPr>
      </w:pPr>
      <w:r w:rsidRPr="00505647">
        <w:rPr>
          <w:rFonts w:eastAsiaTheme="minorHAnsi" w:cs="Arial"/>
          <w:kern w:val="28"/>
          <w:szCs w:val="24"/>
        </w:rPr>
        <w:t>directly or indirectly soliciting.</w:t>
      </w:r>
    </w:p>
    <w:p w14:paraId="0C472C34" w14:textId="77777777" w:rsidR="00BC2DFA" w:rsidRPr="00505647" w:rsidRDefault="0046182F" w:rsidP="00BC2DFA">
      <w:pPr>
        <w:numPr>
          <w:ilvl w:val="0"/>
          <w:numId w:val="1"/>
        </w:numPr>
        <w:spacing w:before="120" w:after="120" w:line="256" w:lineRule="auto"/>
        <w:jc w:val="both"/>
        <w:rPr>
          <w:rFonts w:eastAsiaTheme="minorHAnsi" w:cs="Arial"/>
          <w:kern w:val="28"/>
          <w:sz w:val="22"/>
          <w:szCs w:val="22"/>
        </w:rPr>
      </w:pPr>
      <w:r w:rsidRPr="00505647">
        <w:rPr>
          <w:rFonts w:eastAsiaTheme="minorHAnsi" w:cs="Arial"/>
          <w:kern w:val="28"/>
          <w:szCs w:val="24"/>
        </w:rPr>
        <w:t>Although Policy Statement 31-103 does not have the force of law, the Tribunal may consider the criteria referred to in it to determine whether a person or corporation acted as a dealer without being registered.</w:t>
      </w:r>
      <w:r w:rsidRPr="00505647">
        <w:rPr>
          <w:rStyle w:val="Appelnotedebasdep"/>
          <w:rFonts w:eastAsiaTheme="minorHAnsi"/>
        </w:rPr>
        <w:footnoteReference w:id="147"/>
      </w:r>
    </w:p>
    <w:p w14:paraId="2177902C" w14:textId="77777777" w:rsidR="00BC2DFA" w:rsidRPr="00505647" w:rsidRDefault="0046182F" w:rsidP="00BC2DFA">
      <w:pPr>
        <w:numPr>
          <w:ilvl w:val="0"/>
          <w:numId w:val="1"/>
        </w:numPr>
        <w:spacing w:before="120" w:after="120" w:line="256" w:lineRule="auto"/>
        <w:jc w:val="both"/>
        <w:rPr>
          <w:rFonts w:eastAsiaTheme="minorHAnsi" w:cs="Arial"/>
          <w:kern w:val="28"/>
          <w:sz w:val="22"/>
          <w:szCs w:val="22"/>
        </w:rPr>
      </w:pPr>
      <w:r w:rsidRPr="00505647">
        <w:rPr>
          <w:rFonts w:eastAsiaTheme="minorHAnsi" w:cs="Arial"/>
          <w:kern w:val="28"/>
          <w:szCs w:val="24"/>
        </w:rPr>
        <w:t>The factors set out in Policy Statement 31-103 are all equally relevant in determining whether a natural person or a company is engaged in the business of trading in securities or derivatives.</w:t>
      </w:r>
      <w:r w:rsidRPr="00505647">
        <w:rPr>
          <w:rStyle w:val="Appelnotedebasdep"/>
          <w:rFonts w:eastAsiaTheme="minorHAnsi"/>
        </w:rPr>
        <w:footnoteReference w:id="148"/>
      </w:r>
    </w:p>
    <w:p w14:paraId="58AFEED2" w14:textId="1FEAF2C2"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Let us therefore consider the factors that may require registration as a dealer identified in Policy Statement 31-103 </w:t>
      </w:r>
      <w:proofErr w:type="gramStart"/>
      <w:r w:rsidRPr="00505647">
        <w:rPr>
          <w:rFonts w:eastAsiaTheme="minorHAnsi" w:cs="Arial"/>
          <w:kern w:val="28"/>
          <w:szCs w:val="24"/>
        </w:rPr>
        <w:t>in light of</w:t>
      </w:r>
      <w:proofErr w:type="gramEnd"/>
      <w:r w:rsidRPr="00505647">
        <w:rPr>
          <w:rFonts w:eastAsiaTheme="minorHAnsi" w:cs="Arial"/>
          <w:kern w:val="28"/>
          <w:szCs w:val="24"/>
        </w:rPr>
        <w:t xml:space="preserve"> the respondents’ activities demonstrated by the Authority.</w:t>
      </w:r>
    </w:p>
    <w:p w14:paraId="7069CC19" w14:textId="77777777" w:rsidR="00BC2DFA" w:rsidRPr="00505647" w:rsidRDefault="0046182F" w:rsidP="00BC2DFA">
      <w:pPr>
        <w:keepNext/>
        <w:spacing w:before="120" w:after="120"/>
        <w:ind w:left="734"/>
        <w:jc w:val="both"/>
        <w:outlineLvl w:val="2"/>
        <w:rPr>
          <w:rFonts w:cs="Arial"/>
          <w:b/>
          <w:bCs/>
          <w:iCs/>
        </w:rPr>
      </w:pPr>
      <w:r w:rsidRPr="00505647">
        <w:rPr>
          <w:rFonts w:cs="Arial"/>
          <w:b/>
          <w:bCs/>
        </w:rPr>
        <w:t xml:space="preserve">Engaging in activities </w:t>
      </w:r>
      <w:proofErr w:type="gramStart"/>
      <w:r w:rsidRPr="00505647">
        <w:rPr>
          <w:rFonts w:cs="Arial"/>
          <w:b/>
          <w:bCs/>
        </w:rPr>
        <w:t>similar to</w:t>
      </w:r>
      <w:proofErr w:type="gramEnd"/>
      <w:r w:rsidRPr="00505647">
        <w:rPr>
          <w:rFonts w:cs="Arial"/>
          <w:b/>
          <w:bCs/>
        </w:rPr>
        <w:t xml:space="preserve"> a registrant</w:t>
      </w:r>
    </w:p>
    <w:p w14:paraId="25C7C4CF" w14:textId="77777777" w:rsidR="00BC2DFA" w:rsidRPr="00505647" w:rsidRDefault="0046182F" w:rsidP="00BC2DFA">
      <w:pPr>
        <w:numPr>
          <w:ilvl w:val="0"/>
          <w:numId w:val="1"/>
        </w:numPr>
        <w:spacing w:before="120" w:after="120" w:line="256" w:lineRule="auto"/>
        <w:jc w:val="both"/>
        <w:rPr>
          <w:rFonts w:eastAsiaTheme="minorHAnsi" w:cs="Arial"/>
          <w:kern w:val="28"/>
          <w:sz w:val="22"/>
          <w:szCs w:val="22"/>
        </w:rPr>
      </w:pPr>
      <w:r w:rsidRPr="00505647">
        <w:rPr>
          <w:rFonts w:eastAsiaTheme="minorHAnsi" w:cs="Arial"/>
          <w:kern w:val="28"/>
          <w:szCs w:val="24"/>
        </w:rPr>
        <w:t>The evidence shows that the respondents facilitate crypto asset transactions through the XT.com website, which is accessible from Québec.</w:t>
      </w:r>
      <w:r w:rsidRPr="00505647">
        <w:rPr>
          <w:rStyle w:val="Appelnotedebasdep"/>
          <w:rFonts w:eastAsiaTheme="minorHAnsi"/>
        </w:rPr>
        <w:footnoteReference w:id="149"/>
      </w:r>
    </w:p>
    <w:p w14:paraId="7BD5F810" w14:textId="716D1BB4"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As noted above, investors </w:t>
      </w:r>
      <w:proofErr w:type="gramStart"/>
      <w:r w:rsidRPr="00505647">
        <w:rPr>
          <w:rFonts w:eastAsiaTheme="minorHAnsi" w:cs="Arial"/>
          <w:kern w:val="28"/>
          <w:szCs w:val="24"/>
        </w:rPr>
        <w:t>have the opportunity to</w:t>
      </w:r>
      <w:proofErr w:type="gramEnd"/>
      <w:r w:rsidRPr="00505647">
        <w:rPr>
          <w:rFonts w:eastAsiaTheme="minorHAnsi" w:cs="Arial"/>
          <w:kern w:val="28"/>
          <w:szCs w:val="24"/>
        </w:rPr>
        <w:t xml:space="preserve"> acquire securities and derivatives offered by the respondents through the XT.com website.</w:t>
      </w:r>
    </w:p>
    <w:p w14:paraId="5A9A66DC" w14:textId="3B04A245"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It should be noted that several crypto asset trading platforms are duly registered in Canada</w:t>
      </w:r>
      <w:r w:rsidRPr="00505647">
        <w:rPr>
          <w:rStyle w:val="Appelnotedebasdep"/>
          <w:rFonts w:eastAsiaTheme="minorHAnsi"/>
        </w:rPr>
        <w:footnoteReference w:id="150"/>
      </w:r>
      <w:r w:rsidRPr="00505647">
        <w:rPr>
          <w:rFonts w:eastAsiaTheme="minorHAnsi" w:cs="Arial"/>
          <w:kern w:val="28"/>
          <w:szCs w:val="24"/>
        </w:rPr>
        <w:t xml:space="preserve"> and several platforms have </w:t>
      </w:r>
      <w:proofErr w:type="gramStart"/>
      <w:r w:rsidRPr="00505647">
        <w:rPr>
          <w:rFonts w:eastAsiaTheme="minorHAnsi" w:cs="Arial"/>
          <w:kern w:val="28"/>
          <w:szCs w:val="24"/>
        </w:rPr>
        <w:t>entered into</w:t>
      </w:r>
      <w:proofErr w:type="gramEnd"/>
      <w:r w:rsidRPr="00505647">
        <w:rPr>
          <w:rFonts w:eastAsiaTheme="minorHAnsi" w:cs="Arial"/>
          <w:kern w:val="28"/>
          <w:szCs w:val="24"/>
        </w:rPr>
        <w:t xml:space="preserve"> a pre-registration commitment.</w:t>
      </w:r>
      <w:r w:rsidRPr="00505647">
        <w:rPr>
          <w:rStyle w:val="Appelnotedebasdep"/>
          <w:rFonts w:eastAsiaTheme="minorHAnsi"/>
        </w:rPr>
        <w:footnoteReference w:id="151"/>
      </w:r>
      <w:r w:rsidR="00356108">
        <w:rPr>
          <w:rFonts w:eastAsiaTheme="minorHAnsi" w:cs="Arial"/>
          <w:kern w:val="28"/>
          <w:szCs w:val="24"/>
        </w:rPr>
        <w:t xml:space="preserve"> </w:t>
      </w:r>
      <w:r w:rsidRPr="00505647">
        <w:rPr>
          <w:rFonts w:eastAsiaTheme="minorHAnsi" w:cs="Arial"/>
          <w:kern w:val="28"/>
          <w:szCs w:val="24"/>
        </w:rPr>
        <w:t>The activities carried on by the respondents are similar to those.</w:t>
      </w:r>
    </w:p>
    <w:p w14:paraId="7068F93C" w14:textId="1DEB094F"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The Tribunal finds that by operating and making available to the Québec and Canadian public the XT.com website, which is in fact a securities and derivatives trading </w:t>
      </w:r>
      <w:r w:rsidRPr="00505647">
        <w:rPr>
          <w:rFonts w:eastAsiaTheme="minorHAnsi" w:cs="Arial"/>
          <w:kern w:val="28"/>
          <w:szCs w:val="24"/>
        </w:rPr>
        <w:lastRenderedPageBreak/>
        <w:t xml:space="preserve">platform, the respondents are in every way carrying on activities </w:t>
      </w:r>
      <w:proofErr w:type="gramStart"/>
      <w:r w:rsidRPr="00505647">
        <w:rPr>
          <w:rFonts w:eastAsiaTheme="minorHAnsi" w:cs="Arial"/>
          <w:kern w:val="28"/>
          <w:szCs w:val="24"/>
        </w:rPr>
        <w:t>similar to</w:t>
      </w:r>
      <w:proofErr w:type="gramEnd"/>
      <w:r w:rsidRPr="00505647">
        <w:rPr>
          <w:rFonts w:eastAsiaTheme="minorHAnsi" w:cs="Arial"/>
          <w:kern w:val="28"/>
          <w:szCs w:val="24"/>
        </w:rPr>
        <w:t xml:space="preserve"> those of certain persons registered as dealers.</w:t>
      </w:r>
    </w:p>
    <w:p w14:paraId="062E618B" w14:textId="774D02EF"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 xml:space="preserve">The Tribunal is of the opinion that in this case, the analysis could be </w:t>
      </w:r>
      <w:r w:rsidR="00C041F6">
        <w:rPr>
          <w:rFonts w:eastAsiaTheme="minorHAnsi" w:cs="Arial"/>
          <w:kern w:val="28"/>
          <w:szCs w:val="24"/>
        </w:rPr>
        <w:t xml:space="preserve">achieved </w:t>
      </w:r>
      <w:r w:rsidRPr="00505647">
        <w:rPr>
          <w:rFonts w:eastAsiaTheme="minorHAnsi" w:cs="Arial"/>
          <w:kern w:val="28"/>
          <w:szCs w:val="24"/>
        </w:rPr>
        <w:t xml:space="preserve">based on the first factor identified in Policy Statement 31-103. This factor is satisfied given the very nature of the respondents’ activities, which are </w:t>
      </w:r>
      <w:proofErr w:type="gramStart"/>
      <w:r w:rsidRPr="00505647">
        <w:rPr>
          <w:rFonts w:eastAsiaTheme="minorHAnsi" w:cs="Arial"/>
          <w:kern w:val="28"/>
          <w:szCs w:val="24"/>
        </w:rPr>
        <w:t>similar to</w:t>
      </w:r>
      <w:proofErr w:type="gramEnd"/>
      <w:r w:rsidRPr="00505647">
        <w:rPr>
          <w:rFonts w:eastAsiaTheme="minorHAnsi" w:cs="Arial"/>
          <w:kern w:val="28"/>
          <w:szCs w:val="24"/>
        </w:rPr>
        <w:t xml:space="preserve"> those of certain crypto asset trading platforms registered in Canada. </w:t>
      </w:r>
    </w:p>
    <w:p w14:paraId="3C60D6F5" w14:textId="77777777"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However, the Tribunal believes it is useful to consider the other factors set out in Policy Statement 31-103.</w:t>
      </w:r>
    </w:p>
    <w:p w14:paraId="6A233717" w14:textId="77777777" w:rsidR="00BC2DFA" w:rsidRPr="00505647" w:rsidRDefault="0046182F" w:rsidP="00BC2DFA">
      <w:pPr>
        <w:keepNext/>
        <w:spacing w:before="120" w:after="120"/>
        <w:ind w:left="734"/>
        <w:jc w:val="both"/>
        <w:outlineLvl w:val="2"/>
        <w:rPr>
          <w:rFonts w:cs="Arial"/>
          <w:b/>
          <w:bCs/>
          <w:iCs/>
        </w:rPr>
      </w:pPr>
      <w:r w:rsidRPr="00505647">
        <w:rPr>
          <w:rFonts w:cs="Arial"/>
          <w:b/>
          <w:bCs/>
        </w:rPr>
        <w:t>Intermediating trades or acting as a market maker</w:t>
      </w:r>
    </w:p>
    <w:p w14:paraId="64054F23" w14:textId="4C864815" w:rsidR="00BC2DFA" w:rsidRPr="00505647" w:rsidRDefault="0046182F" w:rsidP="00BC2DFA">
      <w:pPr>
        <w:numPr>
          <w:ilvl w:val="0"/>
          <w:numId w:val="1"/>
        </w:numPr>
        <w:spacing w:before="120" w:after="120" w:line="256" w:lineRule="auto"/>
        <w:jc w:val="both"/>
        <w:rPr>
          <w:rFonts w:eastAsiaTheme="minorHAnsi" w:cs="Arial"/>
          <w:kern w:val="28"/>
          <w:szCs w:val="24"/>
        </w:rPr>
      </w:pPr>
      <w:r w:rsidRPr="00505647">
        <w:rPr>
          <w:rFonts w:eastAsiaTheme="minorHAnsi" w:cs="Arial"/>
          <w:kern w:val="28"/>
          <w:szCs w:val="24"/>
        </w:rPr>
        <w:t>The evidence shows that the respondents act as intermediaries between sellers and purchasers of securities and derivatives.</w:t>
      </w:r>
    </w:p>
    <w:p w14:paraId="3AB9CD21" w14:textId="161A3D1B" w:rsidR="00BC2DFA" w:rsidRPr="00505647" w:rsidRDefault="0046182F" w:rsidP="00BC2DFA">
      <w:pPr>
        <w:numPr>
          <w:ilvl w:val="0"/>
          <w:numId w:val="1"/>
        </w:numPr>
        <w:spacing w:before="120" w:after="120" w:line="256" w:lineRule="auto"/>
        <w:jc w:val="both"/>
        <w:rPr>
          <w:rFonts w:eastAsiaTheme="minorHAnsi" w:cs="Arial"/>
          <w:i/>
          <w:kern w:val="28"/>
          <w:sz w:val="22"/>
          <w:szCs w:val="22"/>
        </w:rPr>
      </w:pPr>
      <w:r w:rsidRPr="00505647">
        <w:rPr>
          <w:rFonts w:eastAsiaTheme="minorHAnsi" w:cs="Arial"/>
          <w:kern w:val="28"/>
          <w:szCs w:val="24"/>
        </w:rPr>
        <w:t>The respondents specify as follows their role as intermediaries and not counterparties in transactions carried out on the XT.com website: “</w:t>
      </w:r>
      <w:r w:rsidRPr="00505647">
        <w:rPr>
          <w:rFonts w:eastAsiaTheme="minorHAnsi" w:cs="Arial"/>
          <w:i/>
          <w:iCs/>
          <w:kern w:val="28"/>
          <w:szCs w:val="24"/>
        </w:rPr>
        <w:t>this website does not itself act as a buyer or seller in buying and selling digital assets</w:t>
      </w:r>
      <w:r w:rsidRPr="00505647">
        <w:rPr>
          <w:rFonts w:eastAsiaTheme="minorHAnsi" w:cs="Arial"/>
          <w:kern w:val="28"/>
          <w:szCs w:val="24"/>
        </w:rPr>
        <w:t>.”</w:t>
      </w:r>
      <w:r w:rsidRPr="00505647">
        <w:rPr>
          <w:rStyle w:val="Appelnotedebasdep"/>
          <w:rFonts w:eastAsiaTheme="minorHAnsi"/>
        </w:rPr>
        <w:footnoteReference w:id="152"/>
      </w:r>
    </w:p>
    <w:p w14:paraId="04FF358C" w14:textId="24219CC3" w:rsidR="00BC2DFA" w:rsidRPr="00505647" w:rsidRDefault="0046182F" w:rsidP="001F0168">
      <w:pPr>
        <w:pStyle w:val="Paragraphe"/>
        <w:rPr>
          <w:rFonts w:eastAsiaTheme="minorHAnsi" w:cs="Arial"/>
          <w:sz w:val="22"/>
          <w:szCs w:val="22"/>
        </w:rPr>
      </w:pPr>
      <w:r w:rsidRPr="00505647">
        <w:rPr>
          <w:rFonts w:eastAsiaTheme="minorHAnsi" w:cs="Arial"/>
        </w:rPr>
        <w:t xml:space="preserve">The User Agreement specifies that the investors authorize the respondents to carry out transactions on their behalf: </w:t>
      </w:r>
      <w:proofErr w:type="gramStart"/>
      <w:r w:rsidRPr="00505647">
        <w:rPr>
          <w:rFonts w:eastAsiaTheme="minorHAnsi" w:cs="Arial"/>
        </w:rPr>
        <w:t>“</w:t>
      </w:r>
      <w:r w:rsidRPr="00505647">
        <w:rPr>
          <w:rFonts w:eastAsiaTheme="minorHAnsi" w:cs="Arial"/>
          <w:i/>
          <w:iCs/>
          <w:szCs w:val="24"/>
        </w:rPr>
        <w:t xml:space="preserve"> [</w:t>
      </w:r>
      <w:proofErr w:type="gramEnd"/>
      <w:r w:rsidRPr="00505647">
        <w:rPr>
          <w:rFonts w:eastAsiaTheme="minorHAnsi" w:cs="Arial"/>
          <w:i/>
          <w:iCs/>
          <w:szCs w:val="24"/>
        </w:rPr>
        <w:t>…] Your submission represents that you authorize the website to coordinate your transaction on your behalf. The website will automatically coordinate the transaction at the price of your authorization without advanced notification to you</w:t>
      </w:r>
      <w:r w:rsidRPr="00505647">
        <w:rPr>
          <w:rFonts w:eastAsiaTheme="minorHAnsi" w:cs="Arial"/>
          <w:szCs w:val="24"/>
        </w:rPr>
        <w:t>.</w:t>
      </w:r>
      <w:r w:rsidR="009C1F33">
        <w:rPr>
          <w:rFonts w:eastAsiaTheme="minorHAnsi" w:cs="Arial"/>
          <w:sz w:val="22"/>
          <w:szCs w:val="22"/>
        </w:rPr>
        <w:t>”</w:t>
      </w:r>
      <w:r w:rsidRPr="00505647">
        <w:rPr>
          <w:rStyle w:val="Appelnotedebasdep"/>
          <w:rFonts w:eastAsiaTheme="minorHAnsi"/>
        </w:rPr>
        <w:footnoteReference w:id="153"/>
      </w:r>
    </w:p>
    <w:p w14:paraId="4DB5E512" w14:textId="778D3F3F" w:rsidR="00BC2DFA" w:rsidRPr="00505647" w:rsidRDefault="0046182F" w:rsidP="00BC2DFA">
      <w:pPr>
        <w:numPr>
          <w:ilvl w:val="0"/>
          <w:numId w:val="1"/>
        </w:numPr>
        <w:spacing w:before="120" w:after="120" w:line="256" w:lineRule="auto"/>
        <w:jc w:val="both"/>
        <w:rPr>
          <w:rFonts w:eastAsiaTheme="minorHAnsi" w:cs="Arial"/>
          <w:i/>
          <w:kern w:val="28"/>
          <w:sz w:val="22"/>
          <w:szCs w:val="22"/>
        </w:rPr>
      </w:pPr>
      <w:r w:rsidRPr="00505647">
        <w:rPr>
          <w:rFonts w:eastAsiaTheme="minorHAnsi" w:cs="Arial"/>
          <w:kern w:val="28"/>
          <w:szCs w:val="24"/>
        </w:rPr>
        <w:t>In addition, for crypto asset contracts, the “P2P Trading” service offered on the XT.com website is a peer-to-peer market where investors can trade crypto asset contracts with each other.</w:t>
      </w:r>
      <w:r w:rsidRPr="00505647">
        <w:rPr>
          <w:rStyle w:val="Appelnotedebasdep"/>
          <w:rFonts w:eastAsiaTheme="minorHAnsi"/>
        </w:rPr>
        <w:footnoteReference w:id="154"/>
      </w:r>
    </w:p>
    <w:p w14:paraId="5621B9A1" w14:textId="77777777" w:rsidR="00BC2DFA" w:rsidRPr="00505647" w:rsidRDefault="0046182F" w:rsidP="00BC2DFA">
      <w:pPr>
        <w:numPr>
          <w:ilvl w:val="0"/>
          <w:numId w:val="1"/>
        </w:numPr>
        <w:spacing w:before="120" w:after="120" w:line="256" w:lineRule="auto"/>
        <w:jc w:val="both"/>
        <w:rPr>
          <w:rFonts w:eastAsiaTheme="minorHAnsi" w:cs="Arial"/>
          <w:i/>
          <w:kern w:val="28"/>
          <w:sz w:val="22"/>
          <w:szCs w:val="22"/>
        </w:rPr>
      </w:pPr>
      <w:r w:rsidRPr="00505647">
        <w:rPr>
          <w:rFonts w:eastAsiaTheme="minorHAnsi" w:cs="Arial"/>
          <w:kern w:val="28"/>
          <w:szCs w:val="24"/>
        </w:rPr>
        <w:t>It has been shown that following the deposit of crypto assets or the purchase of crypto asset contracts by “P2P Trading” or “Third Party Trading” services on the XT.com website, investors can also exchange, through the “Trading” service, the contractual rights they acquired to acquire contractual rights to other crypto assets.</w:t>
      </w:r>
      <w:r w:rsidRPr="00505647">
        <w:rPr>
          <w:rStyle w:val="Appelnotedebasdep"/>
          <w:rFonts w:eastAsiaTheme="minorHAnsi"/>
        </w:rPr>
        <w:footnoteReference w:id="155"/>
      </w:r>
    </w:p>
    <w:p w14:paraId="66DB4A60" w14:textId="115663C1" w:rsidR="00BC2DFA" w:rsidRPr="00505647" w:rsidRDefault="0046182F" w:rsidP="00BC2DFA">
      <w:pPr>
        <w:numPr>
          <w:ilvl w:val="0"/>
          <w:numId w:val="1"/>
        </w:numPr>
        <w:spacing w:before="120" w:after="120" w:line="256" w:lineRule="auto"/>
        <w:jc w:val="both"/>
        <w:rPr>
          <w:rFonts w:eastAsiaTheme="minorHAnsi" w:cs="Arial"/>
          <w:i/>
          <w:kern w:val="28"/>
          <w:sz w:val="22"/>
          <w:szCs w:val="22"/>
        </w:rPr>
      </w:pPr>
      <w:r w:rsidRPr="00505647">
        <w:rPr>
          <w:rFonts w:eastAsiaTheme="minorHAnsi" w:cs="Arial"/>
          <w:kern w:val="28"/>
          <w:szCs w:val="24"/>
        </w:rPr>
        <w:t>Furthermore, for non-fungible token (or “NFT”) contracts, the “Marketplace” page on the XT.com website for these contracts demonstrates that buyers and sellers can deal with each other.</w:t>
      </w:r>
      <w:r w:rsidRPr="00505647">
        <w:rPr>
          <w:rFonts w:eastAsiaTheme="minorHAnsi" w:cs="Arial"/>
          <w:kern w:val="28"/>
          <w:sz w:val="22"/>
          <w:szCs w:val="22"/>
          <w:vertAlign w:val="superscript"/>
        </w:rPr>
        <w:footnoteReference w:id="156"/>
      </w:r>
    </w:p>
    <w:p w14:paraId="05C12C81" w14:textId="095DB621" w:rsidR="00BC2DFA" w:rsidRPr="00505647" w:rsidRDefault="0046182F" w:rsidP="00BC2DFA">
      <w:pPr>
        <w:numPr>
          <w:ilvl w:val="0"/>
          <w:numId w:val="1"/>
        </w:numPr>
        <w:spacing w:before="120" w:after="120" w:line="256" w:lineRule="auto"/>
        <w:jc w:val="both"/>
        <w:rPr>
          <w:rFonts w:eastAsiaTheme="minorHAnsi" w:cs="Arial"/>
          <w:i/>
          <w:kern w:val="28"/>
          <w:sz w:val="22"/>
          <w:szCs w:val="22"/>
        </w:rPr>
      </w:pPr>
      <w:r w:rsidRPr="00505647">
        <w:rPr>
          <w:rFonts w:eastAsiaTheme="minorHAnsi" w:cs="Arial"/>
          <w:kern w:val="28"/>
          <w:szCs w:val="24"/>
        </w:rPr>
        <w:t xml:space="preserve">Investors who have </w:t>
      </w:r>
      <w:proofErr w:type="gramStart"/>
      <w:r w:rsidR="007C4E8D">
        <w:rPr>
          <w:rFonts w:eastAsiaTheme="minorHAnsi" w:cs="Arial"/>
          <w:kern w:val="28"/>
          <w:szCs w:val="24"/>
        </w:rPr>
        <w:t xml:space="preserve">obtained </w:t>
      </w:r>
      <w:r w:rsidRPr="00505647">
        <w:rPr>
          <w:rFonts w:eastAsiaTheme="minorHAnsi" w:cs="Arial"/>
          <w:kern w:val="28"/>
          <w:szCs w:val="24"/>
        </w:rPr>
        <w:t xml:space="preserve"> contractual</w:t>
      </w:r>
      <w:proofErr w:type="gramEnd"/>
      <w:r w:rsidRPr="00505647">
        <w:rPr>
          <w:rFonts w:eastAsiaTheme="minorHAnsi" w:cs="Arial"/>
          <w:kern w:val="28"/>
          <w:szCs w:val="24"/>
        </w:rPr>
        <w:t xml:space="preserve"> rights to non-fungible tokens (or “NFTs”) can sell them directly on the XT.com website, including by auctioning them off.</w:t>
      </w:r>
      <w:r w:rsidRPr="00505647">
        <w:rPr>
          <w:rStyle w:val="Appelnotedebasdep"/>
          <w:rFonts w:eastAsiaTheme="minorHAnsi"/>
        </w:rPr>
        <w:footnoteReference w:id="157"/>
      </w:r>
    </w:p>
    <w:p w14:paraId="5ED50C5B" w14:textId="0465E5CE" w:rsidR="00BC2DFA" w:rsidRPr="00505647" w:rsidRDefault="0046182F" w:rsidP="00BC2DFA">
      <w:pPr>
        <w:numPr>
          <w:ilvl w:val="0"/>
          <w:numId w:val="1"/>
        </w:numPr>
        <w:spacing w:before="120" w:after="120" w:line="256" w:lineRule="auto"/>
        <w:jc w:val="both"/>
        <w:rPr>
          <w:rFonts w:eastAsiaTheme="minorHAnsi" w:cs="Arial"/>
          <w:i/>
          <w:kern w:val="28"/>
          <w:sz w:val="22"/>
          <w:szCs w:val="22"/>
        </w:rPr>
      </w:pPr>
      <w:r w:rsidRPr="00505647">
        <w:rPr>
          <w:rFonts w:eastAsiaTheme="minorHAnsi" w:cs="Arial"/>
          <w:kern w:val="28"/>
          <w:szCs w:val="24"/>
        </w:rPr>
        <w:lastRenderedPageBreak/>
        <w:t>According to the XT.com website, interactions between sellers and buyers of “Futures Contracts” are possible through the platform.</w:t>
      </w:r>
      <w:r w:rsidRPr="00505647">
        <w:rPr>
          <w:rStyle w:val="Appelnotedebasdep"/>
          <w:rFonts w:eastAsiaTheme="minorHAnsi"/>
        </w:rPr>
        <w:footnoteReference w:id="158"/>
      </w:r>
    </w:p>
    <w:p w14:paraId="2E47E171" w14:textId="77777777" w:rsidR="00BC2DFA" w:rsidRPr="00505647" w:rsidRDefault="0046182F" w:rsidP="00BC2DFA">
      <w:pPr>
        <w:numPr>
          <w:ilvl w:val="0"/>
          <w:numId w:val="1"/>
        </w:numPr>
        <w:spacing w:before="120" w:after="120" w:line="256" w:lineRule="auto"/>
        <w:jc w:val="both"/>
        <w:rPr>
          <w:rFonts w:eastAsiaTheme="minorHAnsi" w:cs="Arial"/>
          <w:i/>
          <w:kern w:val="28"/>
          <w:szCs w:val="24"/>
        </w:rPr>
      </w:pPr>
      <w:r w:rsidRPr="00505647">
        <w:rPr>
          <w:rFonts w:eastAsiaTheme="minorHAnsi" w:cs="Arial"/>
          <w:kern w:val="28"/>
          <w:szCs w:val="24"/>
        </w:rPr>
        <w:t>Thus, the Tribunal finds that the respondents act as intermediaries between sellers and purchasers of securities and derivatives.</w:t>
      </w:r>
    </w:p>
    <w:p w14:paraId="16A0727C" w14:textId="77777777" w:rsidR="00BC2DFA" w:rsidRPr="00505647" w:rsidRDefault="0046182F" w:rsidP="00BC2DFA">
      <w:pPr>
        <w:keepNext/>
        <w:spacing w:before="120" w:after="120"/>
        <w:ind w:left="734"/>
        <w:jc w:val="both"/>
        <w:outlineLvl w:val="2"/>
        <w:rPr>
          <w:rFonts w:cs="Arial"/>
          <w:b/>
          <w:bCs/>
          <w:iCs/>
        </w:rPr>
      </w:pPr>
      <w:r w:rsidRPr="00505647">
        <w:rPr>
          <w:rFonts w:cs="Arial"/>
          <w:b/>
          <w:bCs/>
        </w:rPr>
        <w:t xml:space="preserve">Directly or indirectly carrying on the activity with repetition, </w:t>
      </w:r>
      <w:proofErr w:type="gramStart"/>
      <w:r w:rsidRPr="00505647">
        <w:rPr>
          <w:rFonts w:cs="Arial"/>
          <w:b/>
          <w:bCs/>
        </w:rPr>
        <w:t>regularity</w:t>
      </w:r>
      <w:proofErr w:type="gramEnd"/>
      <w:r w:rsidRPr="00505647">
        <w:rPr>
          <w:rFonts w:cs="Arial"/>
          <w:b/>
          <w:bCs/>
        </w:rPr>
        <w:t xml:space="preserve"> or continuity</w:t>
      </w:r>
    </w:p>
    <w:p w14:paraId="2454CEFF" w14:textId="6D35C726" w:rsidR="00BC2DFA" w:rsidRPr="00505647" w:rsidRDefault="004D189A" w:rsidP="00996BB1">
      <w:pPr>
        <w:pStyle w:val="Paragraphe"/>
        <w:rPr>
          <w:i/>
        </w:rPr>
      </w:pPr>
      <w:r w:rsidRPr="004D189A">
        <w:t xml:space="preserve">Although it has been several months since the XT.com website has been available </w:t>
      </w:r>
      <w:r w:rsidR="00E34137">
        <w:t>to</w:t>
      </w:r>
      <w:r w:rsidRPr="004D189A">
        <w:t xml:space="preserve"> new Québec users</w:t>
      </w:r>
      <w:r w:rsidRPr="00505647">
        <w:t>, the evidence shows that the respondents still make it available on an ongoing basis to Québec and Canadian investors already registered on the platform.</w:t>
      </w:r>
      <w:r w:rsidRPr="00505647">
        <w:rPr>
          <w:vertAlign w:val="superscript"/>
        </w:rPr>
        <w:footnoteReference w:id="159"/>
      </w:r>
      <w:r w:rsidRPr="00505647">
        <w:t xml:space="preserve"> The Tribunal must conclude that they carry on the activity of trading on a repetitive, </w:t>
      </w:r>
      <w:proofErr w:type="gramStart"/>
      <w:r w:rsidRPr="00505647">
        <w:t>regular</w:t>
      </w:r>
      <w:proofErr w:type="gramEnd"/>
      <w:r w:rsidRPr="00505647">
        <w:t xml:space="preserve"> and continuous basis. Moreover, as will be shown below, the scale of their activities is quite significant.</w:t>
      </w:r>
    </w:p>
    <w:p w14:paraId="6495DF35" w14:textId="3107A860" w:rsidR="00BC2DFA" w:rsidRPr="00505647" w:rsidRDefault="0046182F" w:rsidP="00996BB1">
      <w:pPr>
        <w:pStyle w:val="Paragraphe"/>
        <w:rPr>
          <w:i/>
        </w:rPr>
      </w:pPr>
      <w:r w:rsidRPr="00505647">
        <w:t xml:space="preserve">Globally, more than 3 million users </w:t>
      </w:r>
      <w:r w:rsidR="00782AE0">
        <w:t>are</w:t>
      </w:r>
      <w:r w:rsidRPr="00505647">
        <w:t xml:space="preserve"> registered on the XT.com website, of which 300,000 </w:t>
      </w:r>
      <w:r w:rsidR="00782AE0">
        <w:t>are</w:t>
      </w:r>
      <w:r w:rsidRPr="00505647">
        <w:t xml:space="preserve"> active monthly users.</w:t>
      </w:r>
      <w:r w:rsidRPr="00505647">
        <w:rPr>
          <w:vertAlign w:val="superscript"/>
        </w:rPr>
        <w:footnoteReference w:id="160"/>
      </w:r>
    </w:p>
    <w:p w14:paraId="64A0D489" w14:textId="21F307F8" w:rsidR="00BC2DFA" w:rsidRPr="00505647" w:rsidRDefault="0046182F" w:rsidP="00996BB1">
      <w:pPr>
        <w:pStyle w:val="Paragraphe"/>
        <w:rPr>
          <w:i/>
        </w:rPr>
      </w:pPr>
      <w:r w:rsidRPr="00505647">
        <w:t xml:space="preserve">In addition, 30 million users </w:t>
      </w:r>
      <w:r w:rsidR="00782AE0">
        <w:t>are</w:t>
      </w:r>
      <w:r w:rsidRPr="00505647">
        <w:t xml:space="preserve"> part of the “ecosystem” linked to the XT.com website.</w:t>
      </w:r>
      <w:r w:rsidRPr="00505647">
        <w:rPr>
          <w:vertAlign w:val="superscript"/>
        </w:rPr>
        <w:footnoteReference w:id="161"/>
      </w:r>
    </w:p>
    <w:p w14:paraId="09067546" w14:textId="348FE698" w:rsidR="00BC2DFA" w:rsidRPr="00505647" w:rsidRDefault="0046182F" w:rsidP="00996BB1">
      <w:pPr>
        <w:pStyle w:val="Paragraphe"/>
        <w:rPr>
          <w:i/>
        </w:rPr>
      </w:pPr>
      <w:r w:rsidRPr="00505647">
        <w:t>The XT.com website support</w:t>
      </w:r>
      <w:r w:rsidR="00782AE0">
        <w:t>s</w:t>
      </w:r>
      <w:r w:rsidRPr="00505647">
        <w:t xml:space="preserve"> more than 500 </w:t>
      </w:r>
      <w:proofErr w:type="gramStart"/>
      <w:r w:rsidRPr="00505647">
        <w:t>tokens</w:t>
      </w:r>
      <w:proofErr w:type="gramEnd"/>
      <w:r w:rsidRPr="00505647">
        <w:t xml:space="preserve"> and 800 trading pairs and offers several services related to crypto asset trading.</w:t>
      </w:r>
      <w:r w:rsidRPr="00505647">
        <w:rPr>
          <w:vertAlign w:val="superscript"/>
        </w:rPr>
        <w:footnoteReference w:id="162"/>
      </w:r>
    </w:p>
    <w:p w14:paraId="57CDA850" w14:textId="77777777" w:rsidR="00BC2DFA" w:rsidRPr="00505647" w:rsidRDefault="0046182F" w:rsidP="00996BB1">
      <w:pPr>
        <w:pStyle w:val="Paragraphe"/>
        <w:rPr>
          <w:i/>
        </w:rPr>
      </w:pPr>
      <w:r w:rsidRPr="00505647">
        <w:t>The respondents are enjoying a certain popularity on social media, with many followers on Twitter and Facebook as well as many members on Reddit.</w:t>
      </w:r>
      <w:r w:rsidRPr="00505647">
        <w:rPr>
          <w:vertAlign w:val="superscript"/>
        </w:rPr>
        <w:footnoteReference w:id="163"/>
      </w:r>
    </w:p>
    <w:p w14:paraId="07BEF383" w14:textId="55A06413" w:rsidR="00BC2DFA" w:rsidRPr="00505647" w:rsidRDefault="0046182F" w:rsidP="00996BB1">
      <w:pPr>
        <w:pStyle w:val="Paragraphe"/>
        <w:rPr>
          <w:i/>
        </w:rPr>
      </w:pPr>
      <w:r w:rsidRPr="00505647">
        <w:t xml:space="preserve">The XT.com website </w:t>
      </w:r>
      <w:r w:rsidR="00A62398">
        <w:t>is</w:t>
      </w:r>
      <w:r w:rsidRPr="00505647">
        <w:t xml:space="preserve"> in the “Top 10” of the largest crypto asset trading platforms ranked by transaction volume</w:t>
      </w:r>
      <w:r w:rsidRPr="00505647">
        <w:rPr>
          <w:vertAlign w:val="superscript"/>
        </w:rPr>
        <w:footnoteReference w:id="164"/>
      </w:r>
      <w:r w:rsidRPr="00505647">
        <w:t xml:space="preserve"> and in the “Top 40” ranking on the “</w:t>
      </w:r>
      <w:proofErr w:type="spellStart"/>
      <w:r w:rsidRPr="00505647">
        <w:t>Coinmarketcap</w:t>
      </w:r>
      <w:proofErr w:type="spellEnd"/>
      <w:r w:rsidRPr="00505647">
        <w:t>” website.</w:t>
      </w:r>
      <w:r w:rsidRPr="00505647">
        <w:rPr>
          <w:vertAlign w:val="superscript"/>
        </w:rPr>
        <w:footnoteReference w:id="165"/>
      </w:r>
    </w:p>
    <w:p w14:paraId="43909206" w14:textId="77777777" w:rsidR="00BC2DFA" w:rsidRPr="00505647" w:rsidRDefault="0046182F" w:rsidP="00996BB1">
      <w:pPr>
        <w:pStyle w:val="Paragraphe"/>
        <w:rPr>
          <w:i/>
        </w:rPr>
      </w:pPr>
      <w:r w:rsidRPr="00505647">
        <w:t>The respondents argue that their activities extend worldwide.</w:t>
      </w:r>
      <w:r w:rsidRPr="00505647">
        <w:rPr>
          <w:vertAlign w:val="superscript"/>
        </w:rPr>
        <w:footnoteReference w:id="166"/>
      </w:r>
    </w:p>
    <w:p w14:paraId="1C3EDB2E" w14:textId="77777777" w:rsidR="00BC2DFA" w:rsidRPr="00505647" w:rsidRDefault="0046182F" w:rsidP="00996BB1">
      <w:pPr>
        <w:pStyle w:val="Paragraphe"/>
        <w:rPr>
          <w:i/>
        </w:rPr>
      </w:pPr>
      <w:r w:rsidRPr="00505647">
        <w:t xml:space="preserve">Thus, the Tribunal finds that the respondents engage in the activity of trading securities and derivatives on a repetitive, </w:t>
      </w:r>
      <w:proofErr w:type="gramStart"/>
      <w:r w:rsidRPr="00505647">
        <w:t>regular</w:t>
      </w:r>
      <w:proofErr w:type="gramEnd"/>
      <w:r w:rsidRPr="00505647">
        <w:t xml:space="preserve"> and continuous basis with Québec and Canadian investors.</w:t>
      </w:r>
    </w:p>
    <w:p w14:paraId="326B35E0" w14:textId="77777777" w:rsidR="00BC2DFA" w:rsidRPr="00505647" w:rsidRDefault="0046182F" w:rsidP="00BC2DFA">
      <w:pPr>
        <w:keepNext/>
        <w:spacing w:before="120" w:after="120"/>
        <w:ind w:left="734"/>
        <w:jc w:val="both"/>
        <w:outlineLvl w:val="2"/>
        <w:rPr>
          <w:rFonts w:cs="Arial"/>
          <w:b/>
          <w:bCs/>
          <w:iCs/>
        </w:rPr>
      </w:pPr>
      <w:r w:rsidRPr="00505647">
        <w:rPr>
          <w:rFonts w:cs="Arial"/>
          <w:b/>
          <w:bCs/>
        </w:rPr>
        <w:lastRenderedPageBreak/>
        <w:t>Being, or expecting to be, remunerated</w:t>
      </w:r>
    </w:p>
    <w:p w14:paraId="55FE94C3" w14:textId="11147F10" w:rsidR="00BC2DFA" w:rsidRPr="00505647" w:rsidRDefault="0046182F" w:rsidP="00996BB1">
      <w:pPr>
        <w:pStyle w:val="Paragraphe"/>
        <w:rPr>
          <w:i/>
        </w:rPr>
      </w:pPr>
      <w:r w:rsidRPr="00505647">
        <w:t>The respondents charge investors various fees when they trade on the XT.com website.</w:t>
      </w:r>
      <w:r w:rsidRPr="00505647">
        <w:rPr>
          <w:vertAlign w:val="superscript"/>
        </w:rPr>
        <w:footnoteReference w:id="167"/>
      </w:r>
    </w:p>
    <w:p w14:paraId="229DD422" w14:textId="77777777" w:rsidR="00BC2DFA" w:rsidRPr="00505647" w:rsidRDefault="0046182F" w:rsidP="00996BB1">
      <w:pPr>
        <w:pStyle w:val="Paragraphe"/>
        <w:rPr>
          <w:i/>
        </w:rPr>
      </w:pPr>
      <w:r w:rsidRPr="00505647">
        <w:t>Those fees generally take the form of a commission.</w:t>
      </w:r>
      <w:r w:rsidRPr="00505647">
        <w:rPr>
          <w:vertAlign w:val="superscript"/>
        </w:rPr>
        <w:footnoteReference w:id="168"/>
      </w:r>
    </w:p>
    <w:p w14:paraId="1BDFE748" w14:textId="77777777" w:rsidR="00BC2DFA" w:rsidRPr="00505647" w:rsidRDefault="0046182F" w:rsidP="00996BB1">
      <w:pPr>
        <w:pStyle w:val="Paragraphe"/>
        <w:rPr>
          <w:i/>
        </w:rPr>
      </w:pPr>
      <w:bookmarkStart w:id="17" w:name="_Hlk143770782"/>
      <w:r w:rsidRPr="00505647">
        <w:t>The Authority had to pay costs as part of its undercover operations.</w:t>
      </w:r>
      <w:r w:rsidRPr="00505647">
        <w:rPr>
          <w:vertAlign w:val="superscript"/>
        </w:rPr>
        <w:footnoteReference w:id="169"/>
      </w:r>
    </w:p>
    <w:bookmarkEnd w:id="17"/>
    <w:p w14:paraId="77B88135" w14:textId="214AA401" w:rsidR="00BC2DFA" w:rsidRPr="00505647" w:rsidRDefault="0046182F" w:rsidP="00996BB1">
      <w:pPr>
        <w:pStyle w:val="Paragraphe"/>
        <w:rPr>
          <w:i/>
        </w:rPr>
      </w:pPr>
      <w:r w:rsidRPr="00505647">
        <w:t>Accordingly, the Tribunal finds that the respondents are remunerated for their services to the investors.</w:t>
      </w:r>
    </w:p>
    <w:p w14:paraId="7C41B61A" w14:textId="77777777" w:rsidR="00BC2DFA" w:rsidRPr="00505647" w:rsidRDefault="0046182F" w:rsidP="00BC2DFA">
      <w:pPr>
        <w:keepNext/>
        <w:spacing w:before="120" w:after="120"/>
        <w:ind w:left="734"/>
        <w:jc w:val="both"/>
        <w:outlineLvl w:val="2"/>
        <w:rPr>
          <w:rFonts w:cs="Arial"/>
          <w:b/>
          <w:bCs/>
          <w:iCs/>
        </w:rPr>
      </w:pPr>
      <w:r w:rsidRPr="00505647">
        <w:rPr>
          <w:rFonts w:cs="Arial"/>
          <w:b/>
          <w:bCs/>
        </w:rPr>
        <w:t xml:space="preserve">Directly or indirectly </w:t>
      </w:r>
      <w:proofErr w:type="gramStart"/>
      <w:r w:rsidRPr="00505647">
        <w:rPr>
          <w:rFonts w:cs="Arial"/>
          <w:b/>
          <w:bCs/>
        </w:rPr>
        <w:t>soliciting</w:t>
      </w:r>
      <w:proofErr w:type="gramEnd"/>
    </w:p>
    <w:p w14:paraId="7FF3FA5A" w14:textId="77777777" w:rsidR="00BC2DFA" w:rsidRPr="00505647" w:rsidRDefault="0046182F" w:rsidP="00996BB1">
      <w:pPr>
        <w:pStyle w:val="Paragraphe"/>
      </w:pPr>
      <w:r w:rsidRPr="00505647">
        <w:t>According to the evidence presented, the respondents engage in direct or indirect soliciting through the promotion of crypto asset contracts, non-fungible token (or “NFT”) contracts, products presented as “Futures Contracts”, namely, “USDT-M Futures” and “Coin-M Futures”, performance programs (or “Savings”) and investment programs related to proof-of-stake (or “Staking”) validation mechanisms through the XT.com website.</w:t>
      </w:r>
    </w:p>
    <w:p w14:paraId="4DD85916" w14:textId="77777777" w:rsidR="00BC2DFA" w:rsidRPr="00505647" w:rsidRDefault="0046182F" w:rsidP="00976F51">
      <w:pPr>
        <w:pStyle w:val="Paragraphe"/>
      </w:pPr>
      <w:r w:rsidRPr="00505647">
        <w:t xml:space="preserve">Thus, </w:t>
      </w:r>
      <w:proofErr w:type="gramStart"/>
      <w:r w:rsidRPr="00505647">
        <w:t>in light of</w:t>
      </w:r>
      <w:proofErr w:type="gramEnd"/>
      <w:r w:rsidRPr="00505647">
        <w:t xml:space="preserve"> the evidence adduced by the Authority, the Tribunal finds that the respondents are soliciting by operating the XT.com website.</w:t>
      </w:r>
    </w:p>
    <w:p w14:paraId="7FDE8DB6" w14:textId="77777777" w:rsidR="00BC2DFA" w:rsidRPr="00505647" w:rsidRDefault="0046182F" w:rsidP="00BC2DFA">
      <w:pPr>
        <w:keepNext/>
        <w:spacing w:before="120" w:after="120"/>
        <w:ind w:left="734"/>
        <w:jc w:val="both"/>
        <w:outlineLvl w:val="2"/>
        <w:rPr>
          <w:rFonts w:cs="Arial"/>
          <w:b/>
          <w:bCs/>
          <w:iCs/>
        </w:rPr>
      </w:pPr>
      <w:r w:rsidRPr="00505647">
        <w:rPr>
          <w:rFonts w:cs="Arial"/>
          <w:b/>
          <w:bCs/>
        </w:rPr>
        <w:t>General conclusion on the dealer activity</w:t>
      </w:r>
    </w:p>
    <w:p w14:paraId="3D52B18C" w14:textId="110EC4BB" w:rsidR="00BC2DFA" w:rsidRPr="00505647" w:rsidRDefault="0046182F" w:rsidP="00996BB1">
      <w:pPr>
        <w:pStyle w:val="Paragraphe"/>
      </w:pPr>
      <w:r w:rsidRPr="00505647">
        <w:t xml:space="preserve">Given that the respondents’ activities fall within the definitions of dealer under the </w:t>
      </w:r>
      <w:r w:rsidRPr="00505647">
        <w:rPr>
          <w:i/>
          <w:iCs/>
        </w:rPr>
        <w:t>Securities Act</w:t>
      </w:r>
      <w:r w:rsidRPr="00505647">
        <w:t xml:space="preserve"> and the </w:t>
      </w:r>
      <w:r w:rsidRPr="00505647">
        <w:rPr>
          <w:i/>
          <w:iCs/>
        </w:rPr>
        <w:t>Derivatives Act</w:t>
      </w:r>
      <w:r w:rsidRPr="00505647">
        <w:t xml:space="preserve">, that all factors that may require registration as a dealer under Policy Statement 31-103 are satisfied, and that the respondents are not registered in any capacity under the </w:t>
      </w:r>
      <w:r w:rsidRPr="00505647">
        <w:rPr>
          <w:i/>
          <w:iCs/>
        </w:rPr>
        <w:t xml:space="preserve">Securities Act </w:t>
      </w:r>
      <w:r w:rsidRPr="00505647">
        <w:t xml:space="preserve">or the </w:t>
      </w:r>
      <w:r w:rsidRPr="00505647">
        <w:rPr>
          <w:i/>
          <w:iCs/>
        </w:rPr>
        <w:t>Derivatives Act</w:t>
      </w:r>
      <w:r w:rsidRPr="00505647">
        <w:t xml:space="preserve">, the Tribunal finds that the respondents are acting as a securities and derivatives dealer in contravention of section 148 of the </w:t>
      </w:r>
      <w:r w:rsidRPr="00505647">
        <w:rPr>
          <w:i/>
          <w:iCs/>
        </w:rPr>
        <w:t>Securities Act</w:t>
      </w:r>
      <w:r w:rsidRPr="00505647">
        <w:t xml:space="preserve"> and </w:t>
      </w:r>
      <w:r w:rsidR="001B64E9">
        <w:t xml:space="preserve">section </w:t>
      </w:r>
      <w:r w:rsidRPr="00505647">
        <w:t xml:space="preserve">54 of the </w:t>
      </w:r>
      <w:r w:rsidRPr="00505647">
        <w:rPr>
          <w:i/>
          <w:iCs/>
        </w:rPr>
        <w:t>Derivatives Act</w:t>
      </w:r>
      <w:r w:rsidRPr="00505647">
        <w:t>.</w:t>
      </w:r>
    </w:p>
    <w:p w14:paraId="657E5270" w14:textId="1DEB7D71" w:rsidR="00402BBD" w:rsidRPr="00505647" w:rsidRDefault="0046182F" w:rsidP="00665BB8">
      <w:pPr>
        <w:pStyle w:val="Titre2"/>
        <w:rPr>
          <w:rFonts w:cs="Arial"/>
        </w:rPr>
      </w:pPr>
      <w:r w:rsidRPr="00505647">
        <w:rPr>
          <w:rFonts w:cs="Arial"/>
          <w:bCs/>
        </w:rPr>
        <w:t>Question 6: What administrative measures and administrative penal</w:t>
      </w:r>
      <w:r w:rsidR="000B4742">
        <w:rPr>
          <w:rFonts w:cs="Arial"/>
          <w:bCs/>
        </w:rPr>
        <w:t>t</w:t>
      </w:r>
      <w:r w:rsidR="0004434F">
        <w:rPr>
          <w:rFonts w:cs="Arial"/>
          <w:bCs/>
        </w:rPr>
        <w:t>y</w:t>
      </w:r>
      <w:r w:rsidRPr="00505647">
        <w:rPr>
          <w:rFonts w:cs="Arial"/>
          <w:bCs/>
        </w:rPr>
        <w:t xml:space="preserve"> must the Tribunal impose on respondents?</w:t>
      </w:r>
    </w:p>
    <w:p w14:paraId="176E3B3C" w14:textId="77777777" w:rsidR="00E30976" w:rsidRPr="00505647" w:rsidRDefault="0046182F" w:rsidP="0076405D">
      <w:pPr>
        <w:pStyle w:val="Paragraphe"/>
        <w:rPr>
          <w:rFonts w:cs="Arial"/>
        </w:rPr>
      </w:pPr>
      <w:r w:rsidRPr="00505647">
        <w:rPr>
          <w:rFonts w:cs="Arial"/>
        </w:rPr>
        <w:t xml:space="preserve">The Tribunal finds that, because of the nature and seriousness of the breaches committed, all orders sought by the Authority should be implemented. </w:t>
      </w:r>
    </w:p>
    <w:p w14:paraId="17043118" w14:textId="58ABA36C" w:rsidR="00823542" w:rsidRPr="00505647" w:rsidRDefault="0046182F" w:rsidP="0076405D">
      <w:pPr>
        <w:pStyle w:val="Paragraphe"/>
        <w:rPr>
          <w:rFonts w:cs="Arial"/>
        </w:rPr>
      </w:pPr>
      <w:r w:rsidRPr="00505647">
        <w:rPr>
          <w:rFonts w:cs="Arial"/>
        </w:rPr>
        <w:t xml:space="preserve">Accordingly, the Tribunal decides to impose protective, </w:t>
      </w:r>
      <w:proofErr w:type="gramStart"/>
      <w:r w:rsidRPr="00505647">
        <w:rPr>
          <w:rFonts w:cs="Arial"/>
        </w:rPr>
        <w:t>preventive</w:t>
      </w:r>
      <w:proofErr w:type="gramEnd"/>
      <w:r w:rsidRPr="00505647">
        <w:rPr>
          <w:rFonts w:cs="Arial"/>
        </w:rPr>
        <w:t xml:space="preserve"> and dissuasive measures against the respondents as well as an administrative penalty of $2,000,000 jointly and severally. </w:t>
      </w:r>
    </w:p>
    <w:p w14:paraId="3A2D7033" w14:textId="44561A2C" w:rsidR="00402BBD" w:rsidRPr="00505647" w:rsidRDefault="0046182F" w:rsidP="0076405D">
      <w:pPr>
        <w:pStyle w:val="Paragraphe"/>
        <w:rPr>
          <w:rFonts w:cs="Arial"/>
        </w:rPr>
      </w:pPr>
      <w:r w:rsidRPr="00505647">
        <w:rPr>
          <w:rFonts w:cs="Arial"/>
        </w:rPr>
        <w:t xml:space="preserve">The Tribunal also decides to </w:t>
      </w:r>
      <w:r w:rsidR="003014C9">
        <w:rPr>
          <w:rFonts w:cs="Arial"/>
        </w:rPr>
        <w:t>order</w:t>
      </w:r>
      <w:r w:rsidRPr="00505647">
        <w:rPr>
          <w:rFonts w:cs="Arial"/>
        </w:rPr>
        <w:t xml:space="preserve"> the respondents and any person operating the XT.com website </w:t>
      </w:r>
      <w:r w:rsidR="003014C9">
        <w:rPr>
          <w:rFonts w:cs="Arial"/>
        </w:rPr>
        <w:t xml:space="preserve">to cease </w:t>
      </w:r>
      <w:r w:rsidRPr="00505647">
        <w:rPr>
          <w:rFonts w:cs="Arial"/>
        </w:rPr>
        <w:t xml:space="preserve">any activity </w:t>
      </w:r>
      <w:r w:rsidR="00611AC4">
        <w:rPr>
          <w:rFonts w:cs="Arial"/>
        </w:rPr>
        <w:t xml:space="preserve">in respect of a transaction </w:t>
      </w:r>
      <w:r w:rsidRPr="00505647">
        <w:rPr>
          <w:rFonts w:cs="Arial"/>
        </w:rPr>
        <w:t xml:space="preserve">in securities and derivatives, to deny the respondents any exemption under the </w:t>
      </w:r>
      <w:r w:rsidRPr="00505647">
        <w:rPr>
          <w:rFonts w:cs="Arial"/>
          <w:i/>
          <w:iCs/>
        </w:rPr>
        <w:t>Securities Act</w:t>
      </w:r>
      <w:r w:rsidRPr="00505647">
        <w:rPr>
          <w:rFonts w:cs="Arial"/>
        </w:rPr>
        <w:t xml:space="preserve"> and the </w:t>
      </w:r>
      <w:r w:rsidRPr="00505647">
        <w:rPr>
          <w:rFonts w:cs="Arial"/>
          <w:i/>
          <w:iCs/>
        </w:rPr>
        <w:t>Derivatives Act</w:t>
      </w:r>
      <w:r w:rsidRPr="00505647">
        <w:rPr>
          <w:rFonts w:cs="Arial"/>
        </w:rPr>
        <w:t xml:space="preserve">, to prohibit the respondents and any person operating the XT.com website from acting as a securities and derivatives adviser or as an investment fund manager, to </w:t>
      </w:r>
      <w:r w:rsidRPr="00505647">
        <w:rPr>
          <w:rFonts w:cs="Arial"/>
        </w:rPr>
        <w:lastRenderedPageBreak/>
        <w:t>order them to block access to the XT.com website and to require them to notify users of the XT.com website that the website will no longer be accessible to them.</w:t>
      </w:r>
    </w:p>
    <w:p w14:paraId="5C154290" w14:textId="521F339B" w:rsidR="001B70A5" w:rsidRPr="00505647" w:rsidRDefault="0046182F" w:rsidP="0076405D">
      <w:pPr>
        <w:pStyle w:val="Paragraphe"/>
        <w:rPr>
          <w:rFonts w:cs="Arial"/>
        </w:rPr>
      </w:pPr>
      <w:r w:rsidRPr="00505647">
        <w:rPr>
          <w:rFonts w:cs="Arial"/>
        </w:rPr>
        <w:t>However, the Tribunal allows</w:t>
      </w:r>
      <w:r w:rsidRPr="00505647">
        <w:rPr>
          <w:rFonts w:cs="Arial"/>
          <w:szCs w:val="24"/>
        </w:rPr>
        <w:t xml:space="preserve"> transactions and activities so that users of the XT.com website can withdraw their assets in the possession or control of the respondents or third parties and close their accounts there. </w:t>
      </w:r>
    </w:p>
    <w:p w14:paraId="5FD881BF" w14:textId="77AA2FBB" w:rsidR="00402BBD" w:rsidRPr="00505647" w:rsidRDefault="0046182F" w:rsidP="0076405D">
      <w:pPr>
        <w:pStyle w:val="Paragraphe"/>
        <w:rPr>
          <w:rFonts w:cs="Arial"/>
        </w:rPr>
      </w:pPr>
      <w:r w:rsidRPr="00505647">
        <w:rPr>
          <w:rFonts w:cs="Arial"/>
        </w:rPr>
        <w:t xml:space="preserve">Since the Tribunal finds that the respondents are in contravention of the </w:t>
      </w:r>
      <w:r w:rsidRPr="00505647">
        <w:rPr>
          <w:rFonts w:cs="Arial"/>
          <w:i/>
          <w:iCs/>
        </w:rPr>
        <w:t>Securities Act</w:t>
      </w:r>
      <w:r w:rsidRPr="00505647">
        <w:rPr>
          <w:rFonts w:cs="Arial"/>
        </w:rPr>
        <w:t xml:space="preserve"> and the </w:t>
      </w:r>
      <w:r w:rsidRPr="00505647">
        <w:rPr>
          <w:rFonts w:cs="Arial"/>
          <w:i/>
          <w:iCs/>
        </w:rPr>
        <w:t>Derivatives Act</w:t>
      </w:r>
      <w:r w:rsidRPr="00505647">
        <w:rPr>
          <w:rFonts w:cs="Arial"/>
        </w:rPr>
        <w:t>, it must determine what administrative measures should be imposed, the nature of those measures and their scope.</w:t>
      </w:r>
    </w:p>
    <w:p w14:paraId="0FF665E4" w14:textId="14A0E823" w:rsidR="00402BBD" w:rsidRPr="00505647" w:rsidRDefault="0046182F" w:rsidP="0076405D">
      <w:pPr>
        <w:pStyle w:val="Paragraphe"/>
        <w:rPr>
          <w:rFonts w:cs="Arial"/>
        </w:rPr>
      </w:pPr>
      <w:r w:rsidRPr="00505647">
        <w:rPr>
          <w:rFonts w:cs="Arial"/>
        </w:rPr>
        <w:t xml:space="preserve">The purpose of an administrative measure is not to remedy a violation of the law or to punish the party who contravenes the </w:t>
      </w:r>
      <w:r w:rsidRPr="00505647">
        <w:rPr>
          <w:rFonts w:cs="Arial"/>
          <w:i/>
          <w:iCs/>
        </w:rPr>
        <w:t>Securities Act</w:t>
      </w:r>
      <w:r w:rsidRPr="00505647">
        <w:rPr>
          <w:rFonts w:cs="Arial"/>
        </w:rPr>
        <w:t xml:space="preserve"> and the </w:t>
      </w:r>
      <w:r w:rsidRPr="00505647">
        <w:rPr>
          <w:rFonts w:cs="Arial"/>
          <w:i/>
          <w:iCs/>
        </w:rPr>
        <w:t>Derivatives Act</w:t>
      </w:r>
      <w:r w:rsidRPr="00505647">
        <w:rPr>
          <w:rFonts w:cs="Arial"/>
        </w:rPr>
        <w:t>. Rather, the aim is to prevent future wrongdoing that may harm the public interest.</w:t>
      </w:r>
      <w:r w:rsidRPr="00505647">
        <w:rPr>
          <w:rFonts w:cs="Arial"/>
          <w:vertAlign w:val="superscript"/>
        </w:rPr>
        <w:footnoteReference w:id="170"/>
      </w:r>
      <w:r w:rsidRPr="00505647">
        <w:rPr>
          <w:rFonts w:cs="Arial"/>
        </w:rPr>
        <w:t xml:space="preserve"> The administrative measure must essentially be a deterrent.</w:t>
      </w:r>
      <w:r w:rsidRPr="00505647">
        <w:rPr>
          <w:rFonts w:cs="Arial"/>
          <w:vertAlign w:val="superscript"/>
        </w:rPr>
        <w:footnoteReference w:id="171"/>
      </w:r>
    </w:p>
    <w:p w14:paraId="7AAF85B6" w14:textId="6A251CA4" w:rsidR="00402BBD" w:rsidRPr="00505647" w:rsidRDefault="0046182F" w:rsidP="00665BB8">
      <w:pPr>
        <w:pStyle w:val="Paragraphe"/>
        <w:rPr>
          <w:rFonts w:cs="Arial"/>
          <w:i/>
        </w:rPr>
      </w:pPr>
      <w:r w:rsidRPr="00505647">
        <w:rPr>
          <w:rFonts w:cs="Arial"/>
        </w:rPr>
        <w:t xml:space="preserve">In determining what administrative measures are required in the public interest, the Tribunal </w:t>
      </w:r>
      <w:proofErr w:type="gramStart"/>
      <w:r w:rsidRPr="00505647">
        <w:rPr>
          <w:rFonts w:cs="Arial"/>
        </w:rPr>
        <w:t>takes into account</w:t>
      </w:r>
      <w:proofErr w:type="gramEnd"/>
      <w:r w:rsidRPr="00505647">
        <w:rPr>
          <w:rFonts w:cs="Arial"/>
        </w:rPr>
        <w:t xml:space="preserve"> a series of criteria developed in </w:t>
      </w:r>
      <w:r w:rsidRPr="00505647">
        <w:rPr>
          <w:rFonts w:cs="Arial"/>
          <w:i/>
          <w:iCs/>
        </w:rPr>
        <w:t>Demers</w:t>
      </w:r>
      <w:bookmarkStart w:id="18" w:name="_Ref85629388"/>
      <w:r w:rsidR="00E32184" w:rsidRPr="00E32184">
        <w:rPr>
          <w:rFonts w:cs="Arial"/>
        </w:rPr>
        <w:t>,</w:t>
      </w:r>
      <w:r w:rsidRPr="00505647">
        <w:rPr>
          <w:rFonts w:cs="Arial"/>
          <w:vertAlign w:val="superscript"/>
        </w:rPr>
        <w:footnoteReference w:id="172"/>
      </w:r>
      <w:bookmarkEnd w:id="18"/>
      <w:r w:rsidRPr="00505647">
        <w:rPr>
          <w:rFonts w:cs="Arial"/>
          <w:i/>
          <w:iCs/>
        </w:rPr>
        <w:t xml:space="preserve"> </w:t>
      </w:r>
      <w:r w:rsidRPr="00505647">
        <w:rPr>
          <w:rFonts w:cs="Arial"/>
        </w:rPr>
        <w:t>which is still regularly referred to by the Tribunal.</w:t>
      </w:r>
      <w:r w:rsidRPr="00505647">
        <w:rPr>
          <w:rFonts w:cs="Arial"/>
          <w:vertAlign w:val="superscript"/>
        </w:rPr>
        <w:footnoteReference w:id="173"/>
      </w:r>
    </w:p>
    <w:p w14:paraId="3AA98590" w14:textId="08A788E1" w:rsidR="00402BBD" w:rsidRPr="00505647" w:rsidRDefault="0046182F" w:rsidP="00665BB8">
      <w:pPr>
        <w:pStyle w:val="Paragraphe"/>
        <w:rPr>
          <w:rFonts w:cs="Arial"/>
          <w:i/>
        </w:rPr>
      </w:pPr>
      <w:r w:rsidRPr="00505647">
        <w:rPr>
          <w:rFonts w:cs="Arial"/>
        </w:rPr>
        <w:t xml:space="preserve">While these criteria are not exhaustive, they are always appropriate. They must be assessed on a case-by-case basis, depending on the circumstances of each case, and each of these criteria, taken individually, may have its own and relative importance based on the relevant facts of the case. </w:t>
      </w:r>
    </w:p>
    <w:p w14:paraId="1475B544" w14:textId="69E22E52" w:rsidR="00402BBD" w:rsidRPr="00505647" w:rsidRDefault="0046182F" w:rsidP="00665BB8">
      <w:pPr>
        <w:pStyle w:val="Paragraphe"/>
        <w:rPr>
          <w:rFonts w:cs="Arial"/>
          <w:i/>
        </w:rPr>
      </w:pPr>
      <w:r w:rsidRPr="00505647">
        <w:rPr>
          <w:rFonts w:cs="Arial"/>
        </w:rPr>
        <w:t xml:space="preserve">The analysis of the criteria to be considered in determining administrative measures is not done in the abstract, but by </w:t>
      </w:r>
      <w:proofErr w:type="gramStart"/>
      <w:r w:rsidRPr="00505647">
        <w:rPr>
          <w:rFonts w:cs="Arial"/>
        </w:rPr>
        <w:t>taking into account</w:t>
      </w:r>
      <w:proofErr w:type="gramEnd"/>
      <w:r w:rsidRPr="00505647">
        <w:rPr>
          <w:rFonts w:cs="Arial"/>
        </w:rPr>
        <w:t xml:space="preserve"> the main trends reflected in capital markets and the use of new technologies.</w:t>
      </w:r>
    </w:p>
    <w:p w14:paraId="02B79DEA" w14:textId="569EFAE3" w:rsidR="00402BBD" w:rsidRPr="00505647" w:rsidRDefault="0046182F" w:rsidP="00665BB8">
      <w:pPr>
        <w:pStyle w:val="Paragraphe"/>
        <w:rPr>
          <w:rFonts w:cs="Arial"/>
        </w:rPr>
      </w:pPr>
      <w:r w:rsidRPr="00505647">
        <w:rPr>
          <w:rFonts w:cs="Arial"/>
        </w:rPr>
        <w:t>For example, over the past several years, there has been an increase in investment solicitations through the Internet, particularly through social media. There is also an increase in projects involving crypto assets that are increasingly of interest to investors whom the Tribunal has a duty to protect by imposing administrative measures against offenders.</w:t>
      </w:r>
    </w:p>
    <w:p w14:paraId="4AABED86" w14:textId="36CD773B" w:rsidR="00402BBD" w:rsidRPr="00505647" w:rsidRDefault="0046182F" w:rsidP="004A1B9B">
      <w:pPr>
        <w:pStyle w:val="Titre3"/>
        <w:rPr>
          <w:rFonts w:cs="Arial"/>
        </w:rPr>
      </w:pPr>
      <w:r w:rsidRPr="00505647">
        <w:rPr>
          <w:rFonts w:cs="Arial"/>
          <w:iCs w:val="0"/>
        </w:rPr>
        <w:lastRenderedPageBreak/>
        <w:t xml:space="preserve">The need to dissuade the respondents and any other entity that might be tempted to imitate </w:t>
      </w:r>
      <w:proofErr w:type="gramStart"/>
      <w:r w:rsidRPr="00505647">
        <w:rPr>
          <w:rFonts w:cs="Arial"/>
          <w:iCs w:val="0"/>
        </w:rPr>
        <w:t>them</w:t>
      </w:r>
      <w:proofErr w:type="gramEnd"/>
    </w:p>
    <w:p w14:paraId="40C40DAA" w14:textId="2D843178" w:rsidR="00402BBD" w:rsidRPr="00505647" w:rsidRDefault="0046182F" w:rsidP="00402BBD">
      <w:pPr>
        <w:numPr>
          <w:ilvl w:val="0"/>
          <w:numId w:val="1"/>
        </w:numPr>
        <w:spacing w:before="120" w:after="120"/>
        <w:jc w:val="both"/>
        <w:rPr>
          <w:rFonts w:cs="Arial"/>
          <w:kern w:val="28"/>
        </w:rPr>
      </w:pPr>
      <w:r w:rsidRPr="00505647">
        <w:rPr>
          <w:rFonts w:cs="Arial"/>
          <w:kern w:val="28"/>
        </w:rPr>
        <w:t>The respondents operate a platform where securities and derivatives are traded. The principles and objectives of securities legislation, namely investor protection, proper operation of markets and investor confidence in those markets, apply and must be duly respected.</w:t>
      </w:r>
      <w:r w:rsidRPr="00505647">
        <w:rPr>
          <w:rFonts w:cs="Arial"/>
          <w:kern w:val="28"/>
          <w:vertAlign w:val="superscript"/>
        </w:rPr>
        <w:footnoteReference w:id="174"/>
      </w:r>
    </w:p>
    <w:p w14:paraId="3C4D0062" w14:textId="19314019" w:rsidR="00402BBD" w:rsidRPr="00505647" w:rsidRDefault="0046182F" w:rsidP="00402BBD">
      <w:pPr>
        <w:numPr>
          <w:ilvl w:val="0"/>
          <w:numId w:val="1"/>
        </w:numPr>
        <w:spacing w:before="120" w:after="120"/>
        <w:jc w:val="both"/>
        <w:rPr>
          <w:rFonts w:cs="Arial"/>
          <w:kern w:val="28"/>
        </w:rPr>
      </w:pPr>
      <w:r w:rsidRPr="00505647">
        <w:rPr>
          <w:rFonts w:cs="Arial"/>
          <w:kern w:val="28"/>
        </w:rPr>
        <w:t>Counsel for the Authority rightly states that [TRANSLATION] “entities that facilitate the trading of crypto assets in contravention of securities legislation endanger the Québec and Canadian public by exposing them to significant risks while creating a situation of inequity for entities that seek to operate, or that operate, in accordance with that same legislation.”</w:t>
      </w:r>
    </w:p>
    <w:p w14:paraId="71149055" w14:textId="211749CB" w:rsidR="00402BBD" w:rsidRPr="00505647" w:rsidRDefault="0046182F" w:rsidP="00402BBD">
      <w:pPr>
        <w:numPr>
          <w:ilvl w:val="0"/>
          <w:numId w:val="1"/>
        </w:numPr>
        <w:spacing w:before="120" w:after="120"/>
        <w:jc w:val="both"/>
        <w:rPr>
          <w:rFonts w:cs="Arial"/>
          <w:i/>
          <w:kern w:val="28"/>
        </w:rPr>
      </w:pPr>
      <w:r w:rsidRPr="00505647">
        <w:rPr>
          <w:rFonts w:cs="Arial"/>
          <w:kern w:val="28"/>
        </w:rPr>
        <w:t>It should be noted that in 2018, the Authority warned investors about the risks associated with cryptocurrency trading, and that since 2020 all CSA have expressed their position on the application of securities legislation to crypto asset trading platforms through the publication of Notices 21-327, 21-329, 21-330 and 21-332. The latter February 2023 Notice reflects the CSA’s concerns about the compliance of crypto asset platforms following recent insolvencies of certain platforms. The CSA is strengthening its requirements for platforms being registered. In addition, the CSA warns offenders.</w:t>
      </w:r>
    </w:p>
    <w:p w14:paraId="3CF1F9D3" w14:textId="67D863AD" w:rsidR="00402BBD" w:rsidRPr="00505647" w:rsidRDefault="0046182F" w:rsidP="00402BBD">
      <w:pPr>
        <w:numPr>
          <w:ilvl w:val="0"/>
          <w:numId w:val="1"/>
        </w:numPr>
        <w:spacing w:before="120" w:after="120"/>
        <w:jc w:val="both"/>
        <w:rPr>
          <w:rFonts w:cs="Arial"/>
          <w:i/>
          <w:kern w:val="28"/>
        </w:rPr>
      </w:pPr>
      <w:r w:rsidRPr="00505647">
        <w:rPr>
          <w:rFonts w:cs="Arial"/>
          <w:kern w:val="28"/>
        </w:rPr>
        <w:t xml:space="preserve">In this case, the Authority contacted the respondents directly on behalf of the CSA on November 24, </w:t>
      </w:r>
      <w:proofErr w:type="gramStart"/>
      <w:r w:rsidRPr="00505647">
        <w:rPr>
          <w:rFonts w:cs="Arial"/>
          <w:kern w:val="28"/>
        </w:rPr>
        <w:t>2022</w:t>
      </w:r>
      <w:proofErr w:type="gramEnd"/>
      <w:r w:rsidRPr="00505647">
        <w:rPr>
          <w:rFonts w:cs="Arial"/>
          <w:kern w:val="28"/>
        </w:rPr>
        <w:t xml:space="preserve"> to formally remind them of the requirements of the securities legislation in force in Québec and Canada concerning entities that facilitate crypto asset transactions and to ask them to provide certain information.</w:t>
      </w:r>
      <w:r w:rsidRPr="00505647">
        <w:rPr>
          <w:rFonts w:cs="Arial"/>
          <w:kern w:val="28"/>
          <w:vertAlign w:val="superscript"/>
        </w:rPr>
        <w:footnoteReference w:id="175"/>
      </w:r>
    </w:p>
    <w:p w14:paraId="2A09F1B0" w14:textId="78F5E528" w:rsidR="00402BBD" w:rsidRPr="00505647" w:rsidRDefault="0046182F" w:rsidP="00402BBD">
      <w:pPr>
        <w:numPr>
          <w:ilvl w:val="0"/>
          <w:numId w:val="1"/>
        </w:numPr>
        <w:spacing w:before="120" w:after="120"/>
        <w:jc w:val="both"/>
        <w:rPr>
          <w:rFonts w:cs="Arial"/>
          <w:i/>
          <w:kern w:val="28"/>
        </w:rPr>
      </w:pPr>
      <w:r w:rsidRPr="00505647">
        <w:rPr>
          <w:rFonts w:cs="Arial"/>
          <w:kern w:val="28"/>
        </w:rPr>
        <w:t>On December 6, 2022, given the lack of response from the respondents, the Authority contacted them again to give them additional time to respond to its communication of November 24, 2022. The Authority also warned them that in the absence of a response to this communication, the XT.com website may be subject to a warning.</w:t>
      </w:r>
      <w:r w:rsidRPr="00505647">
        <w:rPr>
          <w:rFonts w:cs="Arial"/>
          <w:kern w:val="28"/>
          <w:vertAlign w:val="superscript"/>
        </w:rPr>
        <w:footnoteReference w:id="176"/>
      </w:r>
    </w:p>
    <w:p w14:paraId="5A89C534" w14:textId="77777777" w:rsidR="00402BBD" w:rsidRPr="00505647" w:rsidRDefault="0046182F" w:rsidP="00402BBD">
      <w:pPr>
        <w:numPr>
          <w:ilvl w:val="0"/>
          <w:numId w:val="1"/>
        </w:numPr>
        <w:spacing w:before="120" w:after="120"/>
        <w:jc w:val="both"/>
        <w:rPr>
          <w:rFonts w:cs="Arial"/>
          <w:i/>
          <w:kern w:val="28"/>
        </w:rPr>
      </w:pPr>
      <w:r w:rsidRPr="00505647">
        <w:rPr>
          <w:rFonts w:cs="Arial"/>
          <w:kern w:val="28"/>
        </w:rPr>
        <w:t xml:space="preserve">On December 7, 2022, a representative of the respondents contacted the Authority to request that it resend the November 24, </w:t>
      </w:r>
      <w:proofErr w:type="gramStart"/>
      <w:r w:rsidRPr="00505647">
        <w:rPr>
          <w:rFonts w:cs="Arial"/>
          <w:kern w:val="28"/>
        </w:rPr>
        <w:t>2022</w:t>
      </w:r>
      <w:proofErr w:type="gramEnd"/>
      <w:r w:rsidRPr="00505647">
        <w:rPr>
          <w:rFonts w:cs="Arial"/>
          <w:kern w:val="28"/>
        </w:rPr>
        <w:t xml:space="preserve"> communication, which the Authority did that same day.</w:t>
      </w:r>
      <w:r w:rsidRPr="00505647">
        <w:rPr>
          <w:rFonts w:cs="Arial"/>
          <w:kern w:val="28"/>
          <w:vertAlign w:val="superscript"/>
        </w:rPr>
        <w:footnoteReference w:id="177"/>
      </w:r>
    </w:p>
    <w:p w14:paraId="725F34AE" w14:textId="06006B68" w:rsidR="00402BBD" w:rsidRPr="00505647" w:rsidRDefault="0046182F" w:rsidP="00402BBD">
      <w:pPr>
        <w:numPr>
          <w:ilvl w:val="0"/>
          <w:numId w:val="1"/>
        </w:numPr>
        <w:spacing w:before="120" w:after="120"/>
        <w:jc w:val="both"/>
        <w:rPr>
          <w:rFonts w:cs="Arial"/>
          <w:i/>
          <w:kern w:val="28"/>
        </w:rPr>
      </w:pPr>
      <w:r w:rsidRPr="00505647">
        <w:rPr>
          <w:rFonts w:cs="Arial"/>
          <w:kern w:val="28"/>
        </w:rPr>
        <w:lastRenderedPageBreak/>
        <w:t xml:space="preserve">As the respondents did not respond to the Authority’s requests, the Authority published a warning on its website on January 4, </w:t>
      </w:r>
      <w:proofErr w:type="gramStart"/>
      <w:r w:rsidRPr="00505647">
        <w:rPr>
          <w:rFonts w:cs="Arial"/>
          <w:kern w:val="28"/>
        </w:rPr>
        <w:t>2023</w:t>
      </w:r>
      <w:proofErr w:type="gramEnd"/>
      <w:r w:rsidRPr="00505647">
        <w:rPr>
          <w:rFonts w:cs="Arial"/>
          <w:kern w:val="28"/>
        </w:rPr>
        <w:t xml:space="preserve"> with regard to XT Technical Pte Ltd, also doing business under the name XT.com and with regard to the XT.com website</w:t>
      </w:r>
      <w:r w:rsidR="006C66BF">
        <w:rPr>
          <w:rFonts w:cs="Arial"/>
          <w:kern w:val="28"/>
        </w:rPr>
        <w:t>,</w:t>
      </w:r>
      <w:r w:rsidRPr="00505647">
        <w:rPr>
          <w:rFonts w:cs="Arial"/>
          <w:kern w:val="28"/>
          <w:vertAlign w:val="superscript"/>
        </w:rPr>
        <w:footnoteReference w:id="178"/>
      </w:r>
      <w:r w:rsidRPr="00505647">
        <w:rPr>
          <w:rFonts w:cs="Arial"/>
          <w:kern w:val="28"/>
        </w:rPr>
        <w:t xml:space="preserve"> which is relayed by the CSA.</w:t>
      </w:r>
      <w:r w:rsidRPr="00505647">
        <w:rPr>
          <w:rFonts w:cs="Arial"/>
          <w:kern w:val="28"/>
          <w:vertAlign w:val="superscript"/>
        </w:rPr>
        <w:footnoteReference w:id="179"/>
      </w:r>
    </w:p>
    <w:p w14:paraId="4974DA6A" w14:textId="132B50CB" w:rsidR="00402BBD" w:rsidRPr="00505647" w:rsidRDefault="0046182F" w:rsidP="00402BBD">
      <w:pPr>
        <w:numPr>
          <w:ilvl w:val="0"/>
          <w:numId w:val="1"/>
        </w:numPr>
        <w:spacing w:before="120" w:after="120"/>
        <w:jc w:val="both"/>
        <w:rPr>
          <w:rFonts w:cs="Arial"/>
          <w:i/>
          <w:kern w:val="28"/>
        </w:rPr>
      </w:pPr>
      <w:r w:rsidRPr="00505647">
        <w:rPr>
          <w:rFonts w:cs="Arial"/>
          <w:kern w:val="28"/>
        </w:rPr>
        <w:t>On March 30, 2023, the Authority initiated the proceedings that are the subject of this decision.</w:t>
      </w:r>
    </w:p>
    <w:p w14:paraId="22EC013B" w14:textId="0711FBBF" w:rsidR="00402BBD" w:rsidRPr="00505647" w:rsidRDefault="0046182F" w:rsidP="00402BBD">
      <w:pPr>
        <w:numPr>
          <w:ilvl w:val="0"/>
          <w:numId w:val="1"/>
        </w:numPr>
        <w:spacing w:before="120" w:after="120"/>
        <w:jc w:val="both"/>
        <w:rPr>
          <w:rFonts w:cs="Arial"/>
          <w:i/>
          <w:kern w:val="28"/>
        </w:rPr>
      </w:pPr>
      <w:r w:rsidRPr="00505647">
        <w:rPr>
          <w:rFonts w:cs="Arial"/>
          <w:kern w:val="28"/>
        </w:rPr>
        <w:t>The Authority took numerous steps to inform the respondents of the proceedings brought against them.</w:t>
      </w:r>
      <w:r w:rsidRPr="00505647">
        <w:rPr>
          <w:rFonts w:cs="Arial"/>
          <w:kern w:val="28"/>
          <w:vertAlign w:val="superscript"/>
        </w:rPr>
        <w:footnoteReference w:id="180"/>
      </w:r>
    </w:p>
    <w:p w14:paraId="0EC1A234" w14:textId="38C40D2A" w:rsidR="00402BBD" w:rsidRPr="00505647" w:rsidRDefault="0046182F" w:rsidP="00402BBD">
      <w:pPr>
        <w:numPr>
          <w:ilvl w:val="0"/>
          <w:numId w:val="1"/>
        </w:numPr>
        <w:spacing w:before="120" w:after="120"/>
        <w:jc w:val="both"/>
        <w:rPr>
          <w:rFonts w:cs="Arial"/>
          <w:i/>
          <w:kern w:val="28"/>
        </w:rPr>
      </w:pPr>
      <w:r w:rsidRPr="00505647">
        <w:rPr>
          <w:rFonts w:cs="Arial"/>
          <w:kern w:val="28"/>
        </w:rPr>
        <w:t xml:space="preserve">Thus, </w:t>
      </w:r>
      <w:proofErr w:type="gramStart"/>
      <w:r w:rsidRPr="00505647">
        <w:rPr>
          <w:rFonts w:cs="Arial"/>
          <w:kern w:val="28"/>
        </w:rPr>
        <w:t>despite the fact that</w:t>
      </w:r>
      <w:proofErr w:type="gramEnd"/>
      <w:r w:rsidRPr="00505647">
        <w:rPr>
          <w:rFonts w:cs="Arial"/>
          <w:kern w:val="28"/>
        </w:rPr>
        <w:t xml:space="preserve"> the respondents were duly informed of the proceedings brought by the Authority, they chose not to challenge it. On the first day of the hearing of this case, an XT Exchange representative and a person acting as a translator are present and the XT Exchange representative confirms to the Tribunal that he will not be making a presentation and will be attending the hearing only as an observer. No representative of the respondents was present on the other hearing days in this case and the respondents did not justify their absence.</w:t>
      </w:r>
    </w:p>
    <w:p w14:paraId="12E4B856" w14:textId="119F0D14" w:rsidR="004E39C9" w:rsidRPr="00505647" w:rsidRDefault="0046182F" w:rsidP="00402BBD">
      <w:pPr>
        <w:numPr>
          <w:ilvl w:val="0"/>
          <w:numId w:val="1"/>
        </w:numPr>
        <w:spacing w:before="120" w:after="120"/>
        <w:jc w:val="both"/>
        <w:rPr>
          <w:rFonts w:cs="Arial"/>
          <w:i/>
          <w:kern w:val="28"/>
        </w:rPr>
      </w:pPr>
      <w:r w:rsidRPr="00505647">
        <w:rPr>
          <w:rFonts w:cs="Arial"/>
          <w:kern w:val="28"/>
        </w:rPr>
        <w:t>With respect to BZ Limited, it is not represented by an officer or a</w:t>
      </w:r>
      <w:r w:rsidRPr="00505647">
        <w:rPr>
          <w:rFonts w:cs="Arial"/>
        </w:rPr>
        <w:t xml:space="preserve"> lawyer and has not provided a valid reason for its absence.</w:t>
      </w:r>
    </w:p>
    <w:p w14:paraId="35785E70" w14:textId="480D8EAA" w:rsidR="00402BBD" w:rsidRPr="00505647" w:rsidRDefault="0046182F" w:rsidP="00402BBD">
      <w:pPr>
        <w:numPr>
          <w:ilvl w:val="0"/>
          <w:numId w:val="1"/>
        </w:numPr>
        <w:spacing w:before="120" w:after="120"/>
        <w:jc w:val="both"/>
        <w:rPr>
          <w:rFonts w:cs="Arial"/>
          <w:i/>
          <w:kern w:val="28"/>
        </w:rPr>
      </w:pPr>
      <w:r w:rsidRPr="00505647">
        <w:rPr>
          <w:rFonts w:cs="Arial"/>
          <w:kern w:val="28"/>
        </w:rPr>
        <w:t>The respondents’ non-cooperation with the Authority and the respondents’ lack of consideration of the proceedings brought by the Authority show that they voluntarily disregard their obligations under securities legislation. Moreover, this demonstrates a lack of respect for the regulators responsible for enforcing this legislation.</w:t>
      </w:r>
    </w:p>
    <w:p w14:paraId="65CBB558" w14:textId="3A4B3A4F" w:rsidR="00402BBD" w:rsidRPr="00505647" w:rsidRDefault="0046182F" w:rsidP="00F04285">
      <w:pPr>
        <w:numPr>
          <w:ilvl w:val="0"/>
          <w:numId w:val="1"/>
        </w:numPr>
        <w:spacing w:before="120" w:after="120"/>
        <w:jc w:val="both"/>
        <w:rPr>
          <w:rFonts w:cs="Arial"/>
          <w:kern w:val="28"/>
        </w:rPr>
      </w:pPr>
      <w:r w:rsidRPr="00505647">
        <w:rPr>
          <w:rFonts w:cs="Arial"/>
          <w:kern w:val="28"/>
        </w:rPr>
        <w:t>It is imperative that administrative measures send a clear message to operators and owners of crypto asset trading platforms operating in Québec and Canada that compliance with securities legislation is the only available option.</w:t>
      </w:r>
    </w:p>
    <w:p w14:paraId="52F8D5D2" w14:textId="6CC8326D" w:rsidR="00402BBD" w:rsidRPr="00505647" w:rsidRDefault="0046182F" w:rsidP="004A1B9B">
      <w:pPr>
        <w:pStyle w:val="Titre3"/>
        <w:rPr>
          <w:rFonts w:cs="Arial"/>
        </w:rPr>
      </w:pPr>
      <w:r w:rsidRPr="00505647">
        <w:rPr>
          <w:rFonts w:cs="Arial"/>
          <w:iCs w:val="0"/>
        </w:rPr>
        <w:t>The severity of the respondents’ actions</w:t>
      </w:r>
    </w:p>
    <w:p w14:paraId="677A6952" w14:textId="0E35503A" w:rsidR="0070123F" w:rsidRPr="00505647" w:rsidRDefault="0046182F" w:rsidP="00F04285">
      <w:pPr>
        <w:numPr>
          <w:ilvl w:val="0"/>
          <w:numId w:val="1"/>
        </w:numPr>
        <w:spacing w:before="120" w:after="120"/>
        <w:jc w:val="both"/>
        <w:rPr>
          <w:rFonts w:cs="Arial"/>
          <w:kern w:val="28"/>
        </w:rPr>
      </w:pPr>
      <w:r w:rsidRPr="00505647">
        <w:rPr>
          <w:rFonts w:cs="Arial"/>
          <w:kern w:val="28"/>
        </w:rPr>
        <w:t xml:space="preserve">The Tribunal finds that failure to prepare a prospectus for the distribution of securities, failure to </w:t>
      </w:r>
      <w:r w:rsidR="00CA443D">
        <w:rPr>
          <w:rFonts w:cs="Arial"/>
          <w:kern w:val="28"/>
        </w:rPr>
        <w:t>be qualified</w:t>
      </w:r>
      <w:r w:rsidRPr="00505647">
        <w:rPr>
          <w:rFonts w:cs="Arial"/>
          <w:kern w:val="28"/>
        </w:rPr>
        <w:t xml:space="preserve"> to create and market derivatives</w:t>
      </w:r>
      <w:r w:rsidR="0022244A">
        <w:rPr>
          <w:rFonts w:cs="Arial"/>
          <w:kern w:val="28"/>
        </w:rPr>
        <w:t>,</w:t>
      </w:r>
      <w:r w:rsidRPr="00505647">
        <w:rPr>
          <w:rFonts w:cs="Arial"/>
          <w:kern w:val="28"/>
        </w:rPr>
        <w:t xml:space="preserve"> and failure to be registered as a dealer constitute serious breaches of securities legislation. </w:t>
      </w:r>
    </w:p>
    <w:p w14:paraId="2F2FC5DD" w14:textId="48D088F1" w:rsidR="00402BBD" w:rsidRPr="00505647" w:rsidRDefault="0046182F" w:rsidP="00F04285">
      <w:pPr>
        <w:numPr>
          <w:ilvl w:val="0"/>
          <w:numId w:val="1"/>
        </w:numPr>
        <w:spacing w:before="120" w:after="120"/>
        <w:jc w:val="both"/>
        <w:rPr>
          <w:rFonts w:cs="Arial"/>
          <w:kern w:val="28"/>
        </w:rPr>
      </w:pPr>
      <w:r w:rsidRPr="00505647">
        <w:rPr>
          <w:rFonts w:cs="Arial"/>
          <w:kern w:val="28"/>
        </w:rPr>
        <w:t xml:space="preserve">The </w:t>
      </w:r>
      <w:r w:rsidR="003014C9">
        <w:rPr>
          <w:rFonts w:cs="Arial"/>
          <w:kern w:val="28"/>
        </w:rPr>
        <w:t xml:space="preserve">core </w:t>
      </w:r>
      <w:r w:rsidRPr="00505647">
        <w:rPr>
          <w:rFonts w:cs="Arial"/>
          <w:kern w:val="28"/>
        </w:rPr>
        <w:t xml:space="preserve">prospectus, </w:t>
      </w:r>
      <w:r w:rsidR="00CA443D">
        <w:rPr>
          <w:rFonts w:cs="Arial"/>
          <w:kern w:val="28"/>
        </w:rPr>
        <w:t>qualification</w:t>
      </w:r>
      <w:r w:rsidR="00CA443D" w:rsidRPr="00505647">
        <w:rPr>
          <w:rFonts w:cs="Arial"/>
          <w:kern w:val="28"/>
        </w:rPr>
        <w:t xml:space="preserve"> </w:t>
      </w:r>
      <w:r w:rsidRPr="00505647">
        <w:rPr>
          <w:rFonts w:cs="Arial"/>
          <w:kern w:val="28"/>
        </w:rPr>
        <w:t xml:space="preserve">and registration </w:t>
      </w:r>
      <w:r w:rsidR="003014C9">
        <w:rPr>
          <w:rFonts w:cs="Arial"/>
          <w:kern w:val="28"/>
        </w:rPr>
        <w:t xml:space="preserve">requirements </w:t>
      </w:r>
      <w:r w:rsidRPr="00505647">
        <w:rPr>
          <w:rFonts w:cs="Arial"/>
          <w:kern w:val="28"/>
        </w:rPr>
        <w:t>set out in securities legislation are intended to protect investors in financial markets.</w:t>
      </w:r>
    </w:p>
    <w:p w14:paraId="4AC0EC2E" w14:textId="41BA77A2" w:rsidR="006E4919" w:rsidRPr="00505647" w:rsidRDefault="0046182F" w:rsidP="00B22D2C">
      <w:pPr>
        <w:numPr>
          <w:ilvl w:val="0"/>
          <w:numId w:val="1"/>
        </w:numPr>
        <w:spacing w:before="120" w:after="120"/>
        <w:jc w:val="both"/>
        <w:rPr>
          <w:rFonts w:cs="Arial"/>
          <w:kern w:val="28"/>
        </w:rPr>
      </w:pPr>
      <w:r w:rsidRPr="00505647">
        <w:rPr>
          <w:rFonts w:cs="Arial"/>
          <w:kern w:val="28"/>
        </w:rPr>
        <w:t>As mentioned above, despite having been informed of this procedure, the respondents continue to contravene securities legislation.</w:t>
      </w:r>
      <w:r w:rsidRPr="00505647">
        <w:rPr>
          <w:rStyle w:val="Appelnotedebasdep"/>
          <w:rFonts w:cs="Arial"/>
          <w:kern w:val="28"/>
        </w:rPr>
        <w:footnoteReference w:id="181"/>
      </w:r>
      <w:r w:rsidRPr="00505647">
        <w:rPr>
          <w:rFonts w:cs="Arial"/>
          <w:kern w:val="28"/>
        </w:rPr>
        <w:t xml:space="preserve"> They even go as far as appearing to advertise themselves as offering users the safest, most </w:t>
      </w:r>
      <w:proofErr w:type="gramStart"/>
      <w:r w:rsidRPr="00505647">
        <w:rPr>
          <w:rFonts w:cs="Arial"/>
          <w:kern w:val="28"/>
        </w:rPr>
        <w:t>efficient</w:t>
      </w:r>
      <w:proofErr w:type="gramEnd"/>
      <w:r w:rsidRPr="00505647">
        <w:rPr>
          <w:rFonts w:cs="Arial"/>
          <w:kern w:val="28"/>
        </w:rPr>
        <w:t xml:space="preserve"> and most </w:t>
      </w:r>
      <w:r w:rsidRPr="00505647">
        <w:rPr>
          <w:rFonts w:cs="Arial"/>
          <w:kern w:val="28"/>
        </w:rPr>
        <w:lastRenderedPageBreak/>
        <w:t>professional digital asset investment services,</w:t>
      </w:r>
      <w:r w:rsidRPr="00505647">
        <w:rPr>
          <w:rStyle w:val="Appelnotedebasdep"/>
          <w:rFonts w:cs="Arial"/>
          <w:kern w:val="28"/>
        </w:rPr>
        <w:footnoteReference w:id="182"/>
      </w:r>
      <w:r w:rsidRPr="00505647">
        <w:rPr>
          <w:rFonts w:cs="Arial"/>
          <w:kern w:val="28"/>
        </w:rPr>
        <w:t xml:space="preserve"> while the lack of regulatory oversight by the Authority deprives investors of the protection afforded by the Authority.</w:t>
      </w:r>
    </w:p>
    <w:p w14:paraId="14E9F774" w14:textId="255767BC" w:rsidR="00402BBD" w:rsidRPr="00505647" w:rsidRDefault="0046182F" w:rsidP="004A1B9B">
      <w:pPr>
        <w:pStyle w:val="Titre3"/>
        <w:rPr>
          <w:rFonts w:cs="Arial"/>
        </w:rPr>
      </w:pPr>
      <w:r w:rsidRPr="00505647">
        <w:rPr>
          <w:rFonts w:cs="Arial"/>
          <w:iCs w:val="0"/>
        </w:rPr>
        <w:t>Respondents’ experience in financial markets</w:t>
      </w:r>
    </w:p>
    <w:p w14:paraId="6EC6D5EF" w14:textId="77777777" w:rsidR="00402BBD" w:rsidRPr="00505647" w:rsidRDefault="0046182F" w:rsidP="00402BBD">
      <w:pPr>
        <w:numPr>
          <w:ilvl w:val="0"/>
          <w:numId w:val="1"/>
        </w:numPr>
        <w:spacing w:before="120" w:after="120"/>
        <w:jc w:val="both"/>
        <w:rPr>
          <w:rFonts w:cs="Arial"/>
          <w:kern w:val="28"/>
        </w:rPr>
      </w:pPr>
      <w:r w:rsidRPr="00505647">
        <w:rPr>
          <w:rFonts w:cs="Arial"/>
          <w:kern w:val="28"/>
        </w:rPr>
        <w:t>The XT.com website has been operating since 2018.</w:t>
      </w:r>
      <w:r w:rsidRPr="00505647">
        <w:rPr>
          <w:rFonts w:cs="Arial"/>
          <w:kern w:val="28"/>
          <w:vertAlign w:val="superscript"/>
        </w:rPr>
        <w:footnoteReference w:id="183"/>
      </w:r>
    </w:p>
    <w:p w14:paraId="5D0A25E3" w14:textId="77777777" w:rsidR="00402BBD" w:rsidRPr="00505647" w:rsidRDefault="0046182F" w:rsidP="00402BBD">
      <w:pPr>
        <w:numPr>
          <w:ilvl w:val="0"/>
          <w:numId w:val="1"/>
        </w:numPr>
        <w:spacing w:before="120" w:after="120"/>
        <w:jc w:val="both"/>
        <w:rPr>
          <w:rFonts w:cs="Arial"/>
          <w:kern w:val="28"/>
        </w:rPr>
      </w:pPr>
      <w:r w:rsidRPr="00505647">
        <w:rPr>
          <w:rFonts w:cs="Arial"/>
          <w:kern w:val="28"/>
        </w:rPr>
        <w:t>The respondents mention that they have operations worldwide.</w:t>
      </w:r>
      <w:r w:rsidRPr="00505647">
        <w:rPr>
          <w:rFonts w:cs="Arial"/>
          <w:kern w:val="28"/>
          <w:vertAlign w:val="superscript"/>
        </w:rPr>
        <w:footnoteReference w:id="184"/>
      </w:r>
    </w:p>
    <w:p w14:paraId="695C5D3D" w14:textId="77777777" w:rsidR="00402BBD" w:rsidRPr="00505647" w:rsidRDefault="0046182F" w:rsidP="00402BBD">
      <w:pPr>
        <w:numPr>
          <w:ilvl w:val="0"/>
          <w:numId w:val="1"/>
        </w:numPr>
        <w:spacing w:before="120" w:after="120"/>
        <w:jc w:val="both"/>
        <w:rPr>
          <w:rFonts w:cs="Arial"/>
          <w:kern w:val="28"/>
        </w:rPr>
      </w:pPr>
      <w:r w:rsidRPr="00505647">
        <w:rPr>
          <w:rFonts w:cs="Arial"/>
          <w:kern w:val="28"/>
        </w:rPr>
        <w:t>The XT.com website has millions of users.</w:t>
      </w:r>
      <w:r w:rsidRPr="00505647">
        <w:rPr>
          <w:rFonts w:cs="Arial"/>
          <w:kern w:val="28"/>
          <w:vertAlign w:val="superscript"/>
        </w:rPr>
        <w:footnoteReference w:id="185"/>
      </w:r>
    </w:p>
    <w:p w14:paraId="1771DCF5" w14:textId="6165C68F" w:rsidR="00402BBD" w:rsidRPr="00505647" w:rsidRDefault="0046182F" w:rsidP="00402BBD">
      <w:pPr>
        <w:numPr>
          <w:ilvl w:val="0"/>
          <w:numId w:val="1"/>
        </w:numPr>
        <w:spacing w:before="120" w:after="120"/>
        <w:jc w:val="both"/>
        <w:rPr>
          <w:rFonts w:cs="Arial"/>
          <w:kern w:val="28"/>
        </w:rPr>
      </w:pPr>
      <w:r w:rsidRPr="00505647">
        <w:rPr>
          <w:rFonts w:cs="Arial"/>
          <w:kern w:val="28"/>
        </w:rPr>
        <w:t xml:space="preserve">This website </w:t>
      </w:r>
      <w:r w:rsidR="006A30C1">
        <w:rPr>
          <w:rFonts w:cs="Arial"/>
          <w:kern w:val="28"/>
        </w:rPr>
        <w:t>is</w:t>
      </w:r>
      <w:r w:rsidRPr="00505647">
        <w:rPr>
          <w:rFonts w:cs="Arial"/>
          <w:kern w:val="28"/>
        </w:rPr>
        <w:t xml:space="preserve"> in the “Top 10” of the largest crypto asset trading platforms ranked by transaction volume</w:t>
      </w:r>
      <w:r w:rsidRPr="00505647">
        <w:rPr>
          <w:rFonts w:cs="Arial"/>
          <w:kern w:val="28"/>
          <w:vertAlign w:val="superscript"/>
        </w:rPr>
        <w:footnoteReference w:id="186"/>
      </w:r>
      <w:r w:rsidRPr="00505647">
        <w:rPr>
          <w:rFonts w:cs="Arial"/>
          <w:kern w:val="28"/>
        </w:rPr>
        <w:t xml:space="preserve"> and in the “Top 40” ranking that appears on the “</w:t>
      </w:r>
      <w:proofErr w:type="spellStart"/>
      <w:r w:rsidRPr="00505647">
        <w:rPr>
          <w:rFonts w:cs="Arial"/>
          <w:i/>
          <w:iCs/>
          <w:kern w:val="28"/>
        </w:rPr>
        <w:t>Coinmarketcap</w:t>
      </w:r>
      <w:proofErr w:type="spellEnd"/>
      <w:r w:rsidRPr="00505647">
        <w:rPr>
          <w:rFonts w:cs="Arial"/>
          <w:kern w:val="28"/>
        </w:rPr>
        <w:t>”</w:t>
      </w:r>
      <w:r w:rsidRPr="00505647">
        <w:rPr>
          <w:rFonts w:cs="Arial"/>
          <w:kern w:val="28"/>
          <w:vertAlign w:val="superscript"/>
        </w:rPr>
        <w:footnoteReference w:id="187"/>
      </w:r>
      <w:r w:rsidRPr="00505647">
        <w:rPr>
          <w:rFonts w:cs="Arial"/>
          <w:kern w:val="28"/>
        </w:rPr>
        <w:t xml:space="preserve"> website.</w:t>
      </w:r>
    </w:p>
    <w:p w14:paraId="063656C9" w14:textId="79A59F2F" w:rsidR="00402BBD" w:rsidRPr="00505647" w:rsidRDefault="0046182F" w:rsidP="00402BBD">
      <w:pPr>
        <w:numPr>
          <w:ilvl w:val="0"/>
          <w:numId w:val="1"/>
        </w:numPr>
        <w:spacing w:before="120" w:after="120"/>
        <w:jc w:val="both"/>
        <w:rPr>
          <w:rFonts w:cs="Arial"/>
          <w:kern w:val="28"/>
        </w:rPr>
      </w:pPr>
      <w:r w:rsidRPr="00505647">
        <w:rPr>
          <w:rFonts w:cs="Arial"/>
          <w:kern w:val="28"/>
        </w:rPr>
        <w:t>The Tribunal finds that the XT.com website, operated by the respondents, is an important player in the global crypto asset market and, accordingly, the Tribunal finds that the respondents have experience in financial markets.</w:t>
      </w:r>
    </w:p>
    <w:p w14:paraId="0EBC44A4" w14:textId="6D889267" w:rsidR="0080284D" w:rsidRPr="00505647" w:rsidRDefault="0046182F" w:rsidP="0080284D">
      <w:pPr>
        <w:numPr>
          <w:ilvl w:val="0"/>
          <w:numId w:val="1"/>
        </w:numPr>
        <w:spacing w:before="120" w:after="120"/>
        <w:jc w:val="both"/>
        <w:rPr>
          <w:rFonts w:cs="Arial"/>
          <w:kern w:val="28"/>
        </w:rPr>
      </w:pPr>
      <w:r w:rsidRPr="00505647">
        <w:rPr>
          <w:rFonts w:cs="Arial"/>
          <w:kern w:val="28"/>
        </w:rPr>
        <w:t>In addition, the Tribunal highlights as an aggravating factor that the respondents have significant international activitie</w:t>
      </w:r>
      <w:r w:rsidR="00331BD0">
        <w:rPr>
          <w:rFonts w:cs="Arial"/>
          <w:kern w:val="28"/>
        </w:rPr>
        <w:t>s, which</w:t>
      </w:r>
      <w:r w:rsidRPr="00505647">
        <w:rPr>
          <w:rFonts w:cs="Arial"/>
          <w:kern w:val="28"/>
        </w:rPr>
        <w:t xml:space="preserve"> implies that they must have known that such activities are subject to regulatory oversight and voluntarily chose not to comply with securities legislation applicable in Canada.</w:t>
      </w:r>
    </w:p>
    <w:p w14:paraId="262A5679" w14:textId="77777777" w:rsidR="00283B4A" w:rsidRPr="00505647" w:rsidRDefault="00283B4A" w:rsidP="00283B4A">
      <w:pPr>
        <w:pStyle w:val="Titre3"/>
        <w:rPr>
          <w:rFonts w:cs="Arial"/>
        </w:rPr>
      </w:pPr>
      <w:r w:rsidRPr="00505647">
        <w:rPr>
          <w:rFonts w:cs="Arial"/>
          <w:iCs w:val="0"/>
        </w:rPr>
        <w:t>Lack of mitigating factors</w:t>
      </w:r>
    </w:p>
    <w:p w14:paraId="41443168"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t>The respondents did not acknowledge the breaches or their seriousness. The respondents did not cooperate with the Authority or seek to comply with securities legislation.</w:t>
      </w:r>
    </w:p>
    <w:p w14:paraId="70282743"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t>Although the respondents were duly informed of the Authority’s procedure, they persist in contravening securities legislation.</w:t>
      </w:r>
    </w:p>
    <w:p w14:paraId="4F77364A"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t xml:space="preserve">Although in recent months the respondents </w:t>
      </w:r>
      <w:r>
        <w:rPr>
          <w:rFonts w:cs="Arial"/>
          <w:kern w:val="28"/>
        </w:rPr>
        <w:t>have</w:t>
      </w:r>
      <w:r w:rsidRPr="00505647">
        <w:rPr>
          <w:rFonts w:cs="Arial"/>
          <w:kern w:val="28"/>
        </w:rPr>
        <w:t xml:space="preserve"> no longer accept</w:t>
      </w:r>
      <w:r>
        <w:rPr>
          <w:rFonts w:cs="Arial"/>
          <w:kern w:val="28"/>
        </w:rPr>
        <w:t>ed</w:t>
      </w:r>
      <w:r w:rsidRPr="00505647">
        <w:rPr>
          <w:rFonts w:cs="Arial"/>
          <w:kern w:val="28"/>
        </w:rPr>
        <w:t xml:space="preserve"> new users of the platform who have an IP address in Canada,</w:t>
      </w:r>
      <w:r w:rsidRPr="00505647">
        <w:rPr>
          <w:rFonts w:cs="Arial"/>
          <w:kern w:val="28"/>
          <w:vertAlign w:val="superscript"/>
        </w:rPr>
        <w:footnoteReference w:id="188"/>
      </w:r>
      <w:r w:rsidRPr="00505647">
        <w:rPr>
          <w:rFonts w:cs="Arial"/>
          <w:kern w:val="28"/>
        </w:rPr>
        <w:t xml:space="preserve"> the evidence shows that Canadian users registered prior to this change can continue to negotiate products and use the services offered by the XT.com website.</w:t>
      </w:r>
      <w:r w:rsidRPr="00505647">
        <w:rPr>
          <w:rFonts w:cs="Arial"/>
          <w:kern w:val="28"/>
          <w:vertAlign w:val="superscript"/>
        </w:rPr>
        <w:footnoteReference w:id="189"/>
      </w:r>
    </w:p>
    <w:p w14:paraId="2B6AA5F4"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t>The Tribunal therefore notes that there is no mitigating factor in this case.</w:t>
      </w:r>
    </w:p>
    <w:p w14:paraId="356D38CA" w14:textId="77777777" w:rsidR="00283B4A" w:rsidRPr="00505647" w:rsidRDefault="00283B4A" w:rsidP="00283B4A">
      <w:pPr>
        <w:pStyle w:val="Titre3"/>
        <w:rPr>
          <w:rFonts w:cs="Arial"/>
        </w:rPr>
      </w:pPr>
      <w:r w:rsidRPr="00505647">
        <w:rPr>
          <w:rFonts w:cs="Arial"/>
          <w:iCs w:val="0"/>
        </w:rPr>
        <w:lastRenderedPageBreak/>
        <w:t xml:space="preserve">Sanctions imposed in similar </w:t>
      </w:r>
      <w:proofErr w:type="gramStart"/>
      <w:r w:rsidRPr="00505647">
        <w:rPr>
          <w:rFonts w:cs="Arial"/>
          <w:iCs w:val="0"/>
        </w:rPr>
        <w:t>circumstances</w:t>
      </w:r>
      <w:proofErr w:type="gramEnd"/>
    </w:p>
    <w:p w14:paraId="3A286B3C" w14:textId="14BD1996" w:rsidR="00283B4A" w:rsidRPr="00505647" w:rsidRDefault="00283B4A" w:rsidP="00283B4A">
      <w:pPr>
        <w:numPr>
          <w:ilvl w:val="0"/>
          <w:numId w:val="1"/>
        </w:numPr>
        <w:spacing w:before="120" w:after="120"/>
        <w:jc w:val="both"/>
        <w:rPr>
          <w:rFonts w:cs="Arial"/>
          <w:kern w:val="28"/>
        </w:rPr>
      </w:pPr>
      <w:r w:rsidRPr="00505647">
        <w:rPr>
          <w:rFonts w:cs="Arial"/>
          <w:kern w:val="28"/>
        </w:rPr>
        <w:t xml:space="preserve">In </w:t>
      </w:r>
      <w:proofErr w:type="spellStart"/>
      <w:r w:rsidRPr="00505647">
        <w:rPr>
          <w:rFonts w:cs="Arial"/>
          <w:i/>
          <w:iCs/>
          <w:kern w:val="28"/>
        </w:rPr>
        <w:t>Mek</w:t>
      </w:r>
      <w:proofErr w:type="spellEnd"/>
      <w:r w:rsidRPr="00505647">
        <w:rPr>
          <w:rFonts w:cs="Arial"/>
          <w:i/>
          <w:iCs/>
          <w:kern w:val="28"/>
        </w:rPr>
        <w:t xml:space="preserve"> Global Limited</w:t>
      </w:r>
      <w:r w:rsidRPr="00505647">
        <w:rPr>
          <w:rFonts w:cs="Arial"/>
          <w:kern w:val="28"/>
        </w:rPr>
        <w:t>,</w:t>
      </w:r>
      <w:r w:rsidRPr="00505647">
        <w:rPr>
          <w:rFonts w:cs="Arial"/>
          <w:kern w:val="28"/>
          <w:vertAlign w:val="superscript"/>
        </w:rPr>
        <w:footnoteReference w:id="190"/>
      </w:r>
      <w:r w:rsidRPr="00505647">
        <w:rPr>
          <w:rFonts w:cs="Arial"/>
          <w:kern w:val="28"/>
        </w:rPr>
        <w:t xml:space="preserve"> Ontario’s Capital Markets Tribunal imposed an administrative penalty of $2,000,000, </w:t>
      </w:r>
      <w:proofErr w:type="gramStart"/>
      <w:r w:rsidRPr="00505647">
        <w:rPr>
          <w:rFonts w:cs="Arial"/>
          <w:kern w:val="28"/>
        </w:rPr>
        <w:t>jointly</w:t>
      </w:r>
      <w:proofErr w:type="gramEnd"/>
      <w:r w:rsidRPr="00505647">
        <w:rPr>
          <w:rFonts w:cs="Arial"/>
          <w:kern w:val="28"/>
        </w:rPr>
        <w:t xml:space="preserve"> and severally, on </w:t>
      </w:r>
      <w:proofErr w:type="spellStart"/>
      <w:r w:rsidRPr="00505647">
        <w:rPr>
          <w:rFonts w:cs="Arial"/>
          <w:kern w:val="28"/>
        </w:rPr>
        <w:t>Mek</w:t>
      </w:r>
      <w:proofErr w:type="spellEnd"/>
      <w:r w:rsidRPr="00505647">
        <w:rPr>
          <w:rFonts w:cs="Arial"/>
          <w:kern w:val="28"/>
        </w:rPr>
        <w:t xml:space="preserve"> Global Limited and </w:t>
      </w:r>
      <w:proofErr w:type="spellStart"/>
      <w:r w:rsidRPr="00505647">
        <w:rPr>
          <w:rFonts w:cs="Arial"/>
          <w:kern w:val="28"/>
        </w:rPr>
        <w:t>PhoenixFin</w:t>
      </w:r>
      <w:proofErr w:type="spellEnd"/>
      <w:r w:rsidRPr="00505647">
        <w:rPr>
          <w:rFonts w:cs="Arial"/>
          <w:kern w:val="28"/>
        </w:rPr>
        <w:t xml:space="preserve"> Pte. Ltd., for facts very similar to those in this case, in addition to imposing a </w:t>
      </w:r>
      <w:proofErr w:type="spellStart"/>
      <w:r>
        <w:rPr>
          <w:rFonts w:cs="Arial"/>
          <w:kern w:val="28"/>
        </w:rPr>
        <w:t>a</w:t>
      </w:r>
      <w:proofErr w:type="spellEnd"/>
      <w:r>
        <w:rPr>
          <w:rFonts w:cs="Arial"/>
          <w:kern w:val="28"/>
        </w:rPr>
        <w:t xml:space="preserve"> cease trades order</w:t>
      </w:r>
      <w:r w:rsidRPr="00505647">
        <w:rPr>
          <w:rFonts w:cs="Arial"/>
          <w:kern w:val="28"/>
        </w:rPr>
        <w:t xml:space="preserve"> in securities and derivatives and a denial of the benefit of an exemption.</w:t>
      </w:r>
    </w:p>
    <w:p w14:paraId="3BA6AC12"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t>In that case, Ontario’s Capital Markets Tribunal used several factors to determine the appropriate administrative measures to be taken against entities operating a crypto asset trading platform in contravention of securities legislation. As in this case, the factors considered include the seriousness of contravening the law, the offender’s experience in financial markets, the recurrent and ongoing nature of the conduct, and the lack of recognition of the seriousness of the contravention by the offenders.</w:t>
      </w:r>
    </w:p>
    <w:p w14:paraId="04240F20" w14:textId="77777777" w:rsidR="00283B4A" w:rsidRPr="00505647" w:rsidRDefault="00283B4A" w:rsidP="00283B4A">
      <w:pPr>
        <w:numPr>
          <w:ilvl w:val="0"/>
          <w:numId w:val="1"/>
        </w:numPr>
        <w:spacing w:before="120" w:after="120"/>
        <w:jc w:val="both"/>
        <w:rPr>
          <w:rFonts w:cs="Arial"/>
          <w:kern w:val="28"/>
        </w:rPr>
      </w:pPr>
      <w:proofErr w:type="spellStart"/>
      <w:r w:rsidRPr="00505647">
        <w:rPr>
          <w:rFonts w:cs="Arial"/>
          <w:kern w:val="28"/>
        </w:rPr>
        <w:t>Mek</w:t>
      </w:r>
      <w:proofErr w:type="spellEnd"/>
      <w:r w:rsidRPr="00505647">
        <w:rPr>
          <w:rFonts w:cs="Arial"/>
          <w:kern w:val="28"/>
        </w:rPr>
        <w:t xml:space="preserve"> Global Limited and </w:t>
      </w:r>
      <w:proofErr w:type="spellStart"/>
      <w:r w:rsidRPr="00505647">
        <w:rPr>
          <w:rFonts w:cs="Arial"/>
          <w:kern w:val="28"/>
        </w:rPr>
        <w:t>PhoenixFin</w:t>
      </w:r>
      <w:proofErr w:type="spellEnd"/>
      <w:r w:rsidRPr="00505647">
        <w:rPr>
          <w:rFonts w:cs="Arial"/>
          <w:kern w:val="28"/>
        </w:rPr>
        <w:t xml:space="preserve"> Pte Ltd. were neither present at the hearing nor represented. </w:t>
      </w:r>
    </w:p>
    <w:p w14:paraId="7664F745"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t>As in this case, the crypto asset trading platform is an important player in the global crypto asset market. It claims to have more than 760 million cumulative transactions and more than US$223 billion in cumulative transaction volume. It has more than 6 million users worldwide and supports 53 national currencies, including the Canadian dollar.</w:t>
      </w:r>
      <w:r w:rsidRPr="00505647">
        <w:rPr>
          <w:rStyle w:val="Appelnotedebasdep"/>
          <w:rFonts w:cs="Arial"/>
          <w:kern w:val="28"/>
        </w:rPr>
        <w:footnoteReference w:id="191"/>
      </w:r>
    </w:p>
    <w:p w14:paraId="1A6EF832" w14:textId="77777777" w:rsidR="00283B4A" w:rsidRPr="00505647" w:rsidRDefault="00283B4A" w:rsidP="00283B4A">
      <w:pPr>
        <w:pStyle w:val="Paragraphe"/>
        <w:rPr>
          <w:rFonts w:cs="Arial"/>
        </w:rPr>
      </w:pPr>
      <w:r w:rsidRPr="00505647">
        <w:rPr>
          <w:rFonts w:cs="Arial"/>
        </w:rPr>
        <w:t xml:space="preserve">In </w:t>
      </w:r>
      <w:r w:rsidRPr="00505647">
        <w:rPr>
          <w:rFonts w:cs="Arial"/>
          <w:i/>
          <w:iCs/>
        </w:rPr>
        <w:t>Polo Digital Assets, Ltd (Re)</w:t>
      </w:r>
      <w:r w:rsidRPr="00505647">
        <w:rPr>
          <w:rFonts w:cs="Arial"/>
        </w:rPr>
        <w:t>,</w:t>
      </w:r>
      <w:r w:rsidRPr="00505647">
        <w:rPr>
          <w:rStyle w:val="Appelnotedebasdep"/>
          <w:rFonts w:cs="Arial"/>
        </w:rPr>
        <w:footnoteReference w:id="192"/>
      </w:r>
      <w:r w:rsidRPr="00505647">
        <w:rPr>
          <w:rFonts w:cs="Arial"/>
        </w:rPr>
        <w:t xml:space="preserve"> a crypto asset trading platform </w:t>
      </w:r>
      <w:proofErr w:type="gramStart"/>
      <w:r w:rsidRPr="00505647">
        <w:rPr>
          <w:rFonts w:cs="Arial"/>
        </w:rPr>
        <w:t>similar to</w:t>
      </w:r>
      <w:proofErr w:type="gramEnd"/>
      <w:r w:rsidRPr="00505647">
        <w:rPr>
          <w:rFonts w:cs="Arial"/>
        </w:rPr>
        <w:t xml:space="preserve"> the one before the Tribunal</w:t>
      </w:r>
      <w:r>
        <w:rPr>
          <w:rFonts w:cs="Arial"/>
        </w:rPr>
        <w:t>,</w:t>
      </w:r>
      <w:r w:rsidRPr="00505647">
        <w:rPr>
          <w:rFonts w:cs="Arial"/>
        </w:rPr>
        <w:t xml:space="preserve"> offered the opportunity to trade over 200 crypto assets and about 9,300 Ontarians created an account. It had no registration and had not submitted a prospectus to the Ontario Securities Commission. </w:t>
      </w:r>
    </w:p>
    <w:p w14:paraId="2E345FD2" w14:textId="63E1EDD9" w:rsidR="00283B4A" w:rsidRPr="00505647" w:rsidRDefault="00283B4A" w:rsidP="00283B4A">
      <w:pPr>
        <w:pStyle w:val="Paragraphe"/>
        <w:rPr>
          <w:rFonts w:cs="Arial"/>
        </w:rPr>
      </w:pPr>
      <w:r w:rsidRPr="00505647">
        <w:rPr>
          <w:rFonts w:cs="Arial"/>
        </w:rPr>
        <w:t xml:space="preserve">Regarding the scale of the platform’s activities, </w:t>
      </w:r>
      <w:r>
        <w:rPr>
          <w:rFonts w:cs="Arial"/>
        </w:rPr>
        <w:t xml:space="preserve">the </w:t>
      </w:r>
      <w:r w:rsidRPr="00505647">
        <w:rPr>
          <w:rFonts w:cs="Arial"/>
        </w:rPr>
        <w:t xml:space="preserve">Ontario’s Capital Markets Tribunal states: </w:t>
      </w:r>
    </w:p>
    <w:p w14:paraId="2A4CC3F9" w14:textId="77777777" w:rsidR="00283B4A" w:rsidRPr="009E54A8" w:rsidRDefault="00283B4A" w:rsidP="00283B4A">
      <w:pPr>
        <w:pStyle w:val="Citationendoubleretrait"/>
        <w:rPr>
          <w:rFonts w:cs="Arial"/>
        </w:rPr>
      </w:pPr>
      <w:r>
        <w:rPr>
          <w:rFonts w:cs="Arial"/>
        </w:rPr>
        <w:t>“</w:t>
      </w:r>
      <w:r w:rsidRPr="009E54A8">
        <w:rPr>
          <w:rFonts w:cs="Arial"/>
        </w:rPr>
        <w:t>Staff advises that, based on this source, on May 4, 2021, the platform was listed as the 13</w:t>
      </w:r>
      <w:r w:rsidRPr="009E54A8">
        <w:rPr>
          <w:rFonts w:cs="Arial"/>
          <w:vertAlign w:val="superscript"/>
        </w:rPr>
        <w:t>th</w:t>
      </w:r>
      <w:r w:rsidRPr="009E54A8">
        <w:rPr>
          <w:rFonts w:cs="Arial"/>
        </w:rPr>
        <w:t> largest global crypto trading platform for “spot” transactions and 30</w:t>
      </w:r>
      <w:r w:rsidRPr="009E54A8">
        <w:rPr>
          <w:rFonts w:cs="Arial"/>
          <w:vertAlign w:val="superscript"/>
        </w:rPr>
        <w:t>th</w:t>
      </w:r>
      <w:r w:rsidRPr="009E54A8">
        <w:rPr>
          <w:rFonts w:cs="Arial"/>
        </w:rPr>
        <w:t> for derivatives, with a reported 24-hour trading volume of more than USD 529 million and USD 36 million, respectively. Further, using this same source, Staff advises that on March 16, 2022, the platform was ranked as 22</w:t>
      </w:r>
      <w:r w:rsidRPr="009E54A8">
        <w:rPr>
          <w:rFonts w:cs="Arial"/>
          <w:vertAlign w:val="superscript"/>
        </w:rPr>
        <w:t>nd</w:t>
      </w:r>
      <w:r w:rsidRPr="009E54A8">
        <w:rPr>
          <w:rFonts w:cs="Arial"/>
        </w:rPr>
        <w:t> for “spot” platforms and 36</w:t>
      </w:r>
      <w:r w:rsidRPr="009E54A8">
        <w:rPr>
          <w:rFonts w:cs="Arial"/>
          <w:vertAlign w:val="superscript"/>
        </w:rPr>
        <w:t>th</w:t>
      </w:r>
      <w:r w:rsidRPr="009E54A8">
        <w:rPr>
          <w:rFonts w:cs="Arial"/>
        </w:rPr>
        <w:t> for derivatives, with reported 24-hour trading volumes of USD 22 million and USD 7 million, respectively.</w:t>
      </w:r>
      <w:r>
        <w:rPr>
          <w:rFonts w:cs="Arial"/>
        </w:rPr>
        <w:t>”</w:t>
      </w:r>
      <w:r w:rsidRPr="009E54A8">
        <w:rPr>
          <w:rStyle w:val="Appelnotedebasdep"/>
          <w:rFonts w:cs="Arial"/>
        </w:rPr>
        <w:footnoteReference w:id="193"/>
      </w:r>
    </w:p>
    <w:p w14:paraId="5E06E246" w14:textId="7B7A1A24" w:rsidR="00283B4A" w:rsidRPr="00505647" w:rsidRDefault="00283B4A" w:rsidP="00283B4A">
      <w:pPr>
        <w:pStyle w:val="Paragraphe"/>
        <w:rPr>
          <w:rFonts w:cs="Arial"/>
        </w:rPr>
      </w:pPr>
      <w:r w:rsidRPr="00505647">
        <w:rPr>
          <w:rFonts w:cs="Arial"/>
        </w:rPr>
        <w:t xml:space="preserve">Ontario’s Capital Markets Tribunal has issued an order to </w:t>
      </w:r>
      <w:r>
        <w:rPr>
          <w:rFonts w:cs="Arial"/>
        </w:rPr>
        <w:t>disgorge</w:t>
      </w:r>
      <w:r w:rsidRPr="00505647">
        <w:rPr>
          <w:rFonts w:cs="Arial"/>
        </w:rPr>
        <w:t xml:space="preserve"> the amount representing income earned </w:t>
      </w:r>
      <w:r>
        <w:rPr>
          <w:rFonts w:cs="Arial"/>
        </w:rPr>
        <w:t>from</w:t>
      </w:r>
      <w:r w:rsidRPr="00505647">
        <w:rPr>
          <w:rFonts w:cs="Arial"/>
        </w:rPr>
        <w:t xml:space="preserve"> Ontario account holders since the inception of this platform. The Tribunal also imposed an administrative penalty of 1.5 million dollars. </w:t>
      </w:r>
      <w:proofErr w:type="gramStart"/>
      <w:r w:rsidRPr="00505647">
        <w:rPr>
          <w:rFonts w:cs="Arial"/>
        </w:rPr>
        <w:t>In particular, it</w:t>
      </w:r>
      <w:proofErr w:type="gramEnd"/>
      <w:r w:rsidRPr="00505647">
        <w:rPr>
          <w:rFonts w:cs="Arial"/>
        </w:rPr>
        <w:t xml:space="preserve"> issued a </w:t>
      </w:r>
      <w:r>
        <w:rPr>
          <w:rFonts w:cs="Arial"/>
        </w:rPr>
        <w:t>cease trades order</w:t>
      </w:r>
      <w:r w:rsidRPr="00505647">
        <w:rPr>
          <w:rFonts w:cs="Arial"/>
        </w:rPr>
        <w:t xml:space="preserve"> in securities and derivatives and a refusal of exemption.  </w:t>
      </w:r>
    </w:p>
    <w:p w14:paraId="492387D2" w14:textId="77777777" w:rsidR="00283B4A" w:rsidRPr="00505647" w:rsidRDefault="00283B4A" w:rsidP="00283B4A">
      <w:pPr>
        <w:pStyle w:val="Titre3"/>
        <w:rPr>
          <w:rFonts w:cs="Arial"/>
        </w:rPr>
      </w:pPr>
      <w:r w:rsidRPr="00505647">
        <w:rPr>
          <w:rFonts w:cs="Arial"/>
          <w:iCs w:val="0"/>
        </w:rPr>
        <w:lastRenderedPageBreak/>
        <w:t xml:space="preserve">Administrative measures and administrative penalty imposed on the </w:t>
      </w:r>
      <w:proofErr w:type="gramStart"/>
      <w:r w:rsidRPr="00505647">
        <w:rPr>
          <w:rFonts w:cs="Arial"/>
          <w:iCs w:val="0"/>
        </w:rPr>
        <w:t>respondents</w:t>
      </w:r>
      <w:proofErr w:type="gramEnd"/>
    </w:p>
    <w:p w14:paraId="731E6ECF" w14:textId="293F3DA1" w:rsidR="00283B4A" w:rsidRPr="00505647" w:rsidRDefault="00283B4A" w:rsidP="00283B4A">
      <w:pPr>
        <w:numPr>
          <w:ilvl w:val="0"/>
          <w:numId w:val="1"/>
        </w:numPr>
        <w:spacing w:before="120" w:after="120"/>
        <w:jc w:val="both"/>
        <w:rPr>
          <w:rFonts w:cs="Arial"/>
          <w:kern w:val="28"/>
        </w:rPr>
      </w:pPr>
      <w:r w:rsidRPr="00505647">
        <w:rPr>
          <w:rFonts w:cs="Arial"/>
          <w:kern w:val="28"/>
        </w:rPr>
        <w:t xml:space="preserve">In this regard, section 93 of the </w:t>
      </w:r>
      <w:r w:rsidRPr="00505647">
        <w:rPr>
          <w:rFonts w:cs="Arial"/>
          <w:i/>
          <w:iCs/>
          <w:kern w:val="28"/>
        </w:rPr>
        <w:t>Act respecting the regulation of the financial sector</w:t>
      </w:r>
      <w:r w:rsidRPr="00505647">
        <w:rPr>
          <w:rFonts w:cs="Arial"/>
          <w:kern w:val="28"/>
        </w:rPr>
        <w:t xml:space="preserve"> provides that the Tribunal shall exercise its discretion in the public interest when making determinations with respect to matters brought under the Acts listed in Schedule 1 to the Act, which includes the </w:t>
      </w:r>
      <w:r w:rsidRPr="00505647">
        <w:rPr>
          <w:rFonts w:cs="Arial"/>
          <w:i/>
          <w:iCs/>
          <w:kern w:val="28"/>
        </w:rPr>
        <w:t>Securities Act</w:t>
      </w:r>
      <w:r>
        <w:rPr>
          <w:rFonts w:cs="Arial"/>
          <w:kern w:val="28"/>
        </w:rPr>
        <w:t xml:space="preserve"> and the </w:t>
      </w:r>
      <w:r>
        <w:rPr>
          <w:rFonts w:cs="Arial"/>
          <w:i/>
          <w:iCs/>
          <w:kern w:val="28"/>
        </w:rPr>
        <w:t>Derivatives Act</w:t>
      </w:r>
      <w:r w:rsidRPr="00505647">
        <w:rPr>
          <w:rFonts w:cs="Arial"/>
          <w:kern w:val="28"/>
        </w:rPr>
        <w:t xml:space="preserve">. This discretion is exercised </w:t>
      </w:r>
      <w:proofErr w:type="gramStart"/>
      <w:r w:rsidRPr="00505647">
        <w:rPr>
          <w:rFonts w:cs="Arial"/>
          <w:kern w:val="28"/>
        </w:rPr>
        <w:t>in particular to</w:t>
      </w:r>
      <w:proofErr w:type="gramEnd"/>
      <w:r w:rsidRPr="00505647">
        <w:rPr>
          <w:rFonts w:cs="Arial"/>
          <w:kern w:val="28"/>
        </w:rPr>
        <w:t xml:space="preserve"> protect investors, but also </w:t>
      </w:r>
      <w:proofErr w:type="spellStart"/>
      <w:r w:rsidRPr="00505647">
        <w:rPr>
          <w:rFonts w:cs="Arial"/>
          <w:kern w:val="28"/>
        </w:rPr>
        <w:t>to</w:t>
      </w:r>
      <w:r w:rsidR="00CC6D75">
        <w:rPr>
          <w:rFonts w:cs="Arial"/>
          <w:kern w:val="28"/>
        </w:rPr>
        <w:t>promote</w:t>
      </w:r>
      <w:proofErr w:type="spellEnd"/>
      <w:r w:rsidR="00CC6D75">
        <w:rPr>
          <w:rFonts w:cs="Arial"/>
          <w:kern w:val="28"/>
        </w:rPr>
        <w:t xml:space="preserve"> efficiency in the</w:t>
      </w:r>
      <w:r w:rsidRPr="00505647">
        <w:rPr>
          <w:rFonts w:cs="Arial"/>
          <w:kern w:val="28"/>
        </w:rPr>
        <w:t xml:space="preserve"> markets and public confidence.</w:t>
      </w:r>
      <w:r w:rsidRPr="00505647">
        <w:rPr>
          <w:rFonts w:cs="Arial"/>
          <w:kern w:val="28"/>
          <w:vertAlign w:val="superscript"/>
        </w:rPr>
        <w:footnoteReference w:id="194"/>
      </w:r>
    </w:p>
    <w:p w14:paraId="718DEE23"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t xml:space="preserve">Where the Tribunal recognizes a contravention of the </w:t>
      </w:r>
      <w:r w:rsidRPr="00505647">
        <w:rPr>
          <w:rFonts w:cs="Arial"/>
          <w:i/>
          <w:iCs/>
          <w:kern w:val="28"/>
        </w:rPr>
        <w:t>Securities Act</w:t>
      </w:r>
      <w:r w:rsidRPr="00505647">
        <w:rPr>
          <w:rFonts w:cs="Arial"/>
          <w:kern w:val="28"/>
        </w:rPr>
        <w:t xml:space="preserve"> or a regulation thereunder, it may impose an administrative penalty of up to $2,000,000 for each contravention and have the payment collected by the Authority.</w:t>
      </w:r>
      <w:r w:rsidRPr="00505647">
        <w:rPr>
          <w:rFonts w:cs="Arial"/>
          <w:kern w:val="28"/>
          <w:vertAlign w:val="superscript"/>
        </w:rPr>
        <w:footnoteReference w:id="195"/>
      </w:r>
      <w:r w:rsidRPr="00505647">
        <w:rPr>
          <w:rFonts w:cs="Arial"/>
          <w:kern w:val="28"/>
        </w:rPr>
        <w:t xml:space="preserve"> </w:t>
      </w:r>
    </w:p>
    <w:p w14:paraId="6CF5A721"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t xml:space="preserve">The Tribunal may also impose an administrative penalty of up to $2,000,000 for each contravention of the </w:t>
      </w:r>
      <w:r w:rsidRPr="00505647">
        <w:rPr>
          <w:rFonts w:cs="Arial"/>
          <w:i/>
          <w:iCs/>
          <w:kern w:val="28"/>
        </w:rPr>
        <w:t>Derivatives Act</w:t>
      </w:r>
      <w:r w:rsidRPr="00505647">
        <w:rPr>
          <w:rFonts w:cs="Arial"/>
          <w:kern w:val="28"/>
        </w:rPr>
        <w:t xml:space="preserve"> and have the payment collected by the Authority.</w:t>
      </w:r>
      <w:r w:rsidRPr="00505647">
        <w:rPr>
          <w:rFonts w:cs="Arial"/>
          <w:kern w:val="28"/>
          <w:vertAlign w:val="superscript"/>
        </w:rPr>
        <w:footnoteReference w:id="196"/>
      </w:r>
    </w:p>
    <w:p w14:paraId="271984EA" w14:textId="6E64C28E" w:rsidR="00283B4A" w:rsidRPr="00505647" w:rsidRDefault="009D596F" w:rsidP="00283B4A">
      <w:pPr>
        <w:numPr>
          <w:ilvl w:val="0"/>
          <w:numId w:val="1"/>
        </w:numPr>
        <w:spacing w:before="120" w:after="120"/>
        <w:jc w:val="both"/>
        <w:rPr>
          <w:rFonts w:cs="Arial"/>
          <w:kern w:val="28"/>
        </w:rPr>
      </w:pPr>
      <w:r>
        <w:rPr>
          <w:rFonts w:cs="Arial"/>
          <w:kern w:val="28"/>
        </w:rPr>
        <w:t>T</w:t>
      </w:r>
      <w:r w:rsidR="00283B4A" w:rsidRPr="00505647">
        <w:rPr>
          <w:rFonts w:cs="Arial"/>
          <w:kern w:val="28"/>
        </w:rPr>
        <w:t>he Authority asks the Tribunal to impose an administrative penalty of $2,000,000 on the respondents jointly and severally for the breaches noted.</w:t>
      </w:r>
    </w:p>
    <w:p w14:paraId="190CDC74" w14:textId="49CCE348" w:rsidR="00283B4A" w:rsidRPr="00505647" w:rsidRDefault="00283B4A" w:rsidP="00283B4A">
      <w:pPr>
        <w:numPr>
          <w:ilvl w:val="0"/>
          <w:numId w:val="1"/>
        </w:numPr>
        <w:spacing w:before="120" w:after="120"/>
        <w:jc w:val="both"/>
        <w:rPr>
          <w:rFonts w:cs="Arial"/>
          <w:kern w:val="28"/>
        </w:rPr>
      </w:pPr>
      <w:r w:rsidRPr="00505647">
        <w:rPr>
          <w:rFonts w:cs="Arial"/>
          <w:kern w:val="28"/>
        </w:rPr>
        <w:t xml:space="preserve">The Tribunal is of the opinion that </w:t>
      </w:r>
      <w:r w:rsidR="00B47A5B" w:rsidRPr="00B47A5B">
        <w:rPr>
          <w:rFonts w:cs="Arial"/>
          <w:kern w:val="28"/>
        </w:rPr>
        <w:t>joint and several liability</w:t>
      </w:r>
      <w:r w:rsidR="00B47A5B" w:rsidRPr="00505647">
        <w:rPr>
          <w:rFonts w:cs="Arial"/>
          <w:kern w:val="28"/>
        </w:rPr>
        <w:t xml:space="preserve"> </w:t>
      </w:r>
      <w:r w:rsidRPr="00505647">
        <w:rPr>
          <w:rFonts w:cs="Arial"/>
          <w:kern w:val="28"/>
        </w:rPr>
        <w:t xml:space="preserve">is necessary in this case in the public interest and because the respondents act as one and the same person within the meaning of section 5.1 of the </w:t>
      </w:r>
      <w:r w:rsidRPr="00505647">
        <w:rPr>
          <w:rFonts w:cs="Arial"/>
          <w:i/>
          <w:iCs/>
          <w:kern w:val="28"/>
        </w:rPr>
        <w:t>Securities Act</w:t>
      </w:r>
      <w:r w:rsidRPr="00505647">
        <w:rPr>
          <w:rFonts w:cs="Arial"/>
          <w:kern w:val="28"/>
        </w:rPr>
        <w:t xml:space="preserve"> and </w:t>
      </w:r>
      <w:r>
        <w:rPr>
          <w:rFonts w:cs="Arial"/>
          <w:kern w:val="28"/>
        </w:rPr>
        <w:t xml:space="preserve">section </w:t>
      </w:r>
      <w:r w:rsidRPr="00505647">
        <w:rPr>
          <w:rFonts w:cs="Arial"/>
          <w:kern w:val="28"/>
        </w:rPr>
        <w:t xml:space="preserve">3 of the </w:t>
      </w:r>
      <w:r w:rsidRPr="00505647">
        <w:rPr>
          <w:rFonts w:cs="Arial"/>
          <w:i/>
          <w:iCs/>
          <w:kern w:val="28"/>
        </w:rPr>
        <w:t>Derivatives Act</w:t>
      </w:r>
      <w:r w:rsidRPr="00505647">
        <w:rPr>
          <w:rFonts w:cs="Arial"/>
          <w:kern w:val="28"/>
        </w:rPr>
        <w:t>.</w:t>
      </w:r>
    </w:p>
    <w:p w14:paraId="1D7200A5" w14:textId="5CF94169" w:rsidR="00283B4A" w:rsidRPr="00505647" w:rsidRDefault="00283B4A" w:rsidP="00283B4A">
      <w:pPr>
        <w:numPr>
          <w:ilvl w:val="0"/>
          <w:numId w:val="1"/>
        </w:numPr>
        <w:spacing w:before="120" w:after="120"/>
        <w:jc w:val="both"/>
        <w:rPr>
          <w:rFonts w:cs="Arial"/>
          <w:kern w:val="28"/>
        </w:rPr>
      </w:pPr>
      <w:r w:rsidRPr="00505647">
        <w:rPr>
          <w:rFonts w:cs="Arial"/>
          <w:kern w:val="28"/>
        </w:rPr>
        <w:t xml:space="preserve">The Tribunal must impose an administrative penalty that is high enough to serve as a deterrent. The Supreme Court of Canada, in </w:t>
      </w:r>
      <w:r w:rsidRPr="00505647">
        <w:rPr>
          <w:rFonts w:cs="Arial"/>
          <w:i/>
          <w:iCs/>
          <w:kern w:val="28"/>
        </w:rPr>
        <w:t>Guindon</w:t>
      </w:r>
      <w:r w:rsidRPr="00505647">
        <w:rPr>
          <w:rFonts w:cs="Arial"/>
          <w:kern w:val="28"/>
        </w:rPr>
        <w:t>,</w:t>
      </w:r>
      <w:r w:rsidRPr="00505647">
        <w:rPr>
          <w:rStyle w:val="Appelnotedebasdep"/>
          <w:rFonts w:cs="Arial"/>
          <w:kern w:val="28"/>
        </w:rPr>
        <w:footnoteReference w:id="197"/>
      </w:r>
      <w:r w:rsidRPr="00505647">
        <w:rPr>
          <w:rFonts w:cs="Arial"/>
          <w:kern w:val="28"/>
        </w:rPr>
        <w:t xml:space="preserve"> indicated that an administrative penalty can be a substantial amount to deter non-compliance with an administrative scheme. The Court refers to a decision of the </w:t>
      </w:r>
      <w:r>
        <w:rPr>
          <w:rFonts w:cs="Arial"/>
          <w:kern w:val="28"/>
        </w:rPr>
        <w:t>Court of Appeal for Ontario</w:t>
      </w:r>
      <w:r w:rsidRPr="00505647">
        <w:rPr>
          <w:rFonts w:cs="Arial"/>
          <w:kern w:val="28"/>
        </w:rPr>
        <w:t xml:space="preserve"> confirming the imposition of significant administrative penalties imposed by the Ontario Securities Commission. The Supreme Court of Canada adds that “the amount of the penalty should reflect the objective of deterring non-compliance with the administrative or regulatory scheme.”</w:t>
      </w:r>
    </w:p>
    <w:p w14:paraId="398F7DC1" w14:textId="5C9409CA" w:rsidR="00283B4A" w:rsidRPr="00505647" w:rsidRDefault="00283B4A" w:rsidP="00283B4A">
      <w:pPr>
        <w:numPr>
          <w:ilvl w:val="0"/>
          <w:numId w:val="1"/>
        </w:numPr>
        <w:spacing w:before="120" w:after="120"/>
        <w:jc w:val="both"/>
        <w:rPr>
          <w:rFonts w:cs="Arial"/>
          <w:kern w:val="28"/>
        </w:rPr>
      </w:pPr>
      <w:r w:rsidRPr="00505647">
        <w:rPr>
          <w:rFonts w:cs="Arial"/>
          <w:kern w:val="28"/>
        </w:rPr>
        <w:t xml:space="preserve">The Tribunal is of the view that this case, as in </w:t>
      </w:r>
      <w:proofErr w:type="spellStart"/>
      <w:r w:rsidRPr="00505647">
        <w:rPr>
          <w:rFonts w:cs="Arial"/>
          <w:i/>
          <w:iCs/>
          <w:kern w:val="28"/>
        </w:rPr>
        <w:t>Mek</w:t>
      </w:r>
      <w:proofErr w:type="spellEnd"/>
      <w:r w:rsidRPr="00505647">
        <w:rPr>
          <w:rFonts w:cs="Arial"/>
          <w:i/>
          <w:iCs/>
          <w:kern w:val="28"/>
        </w:rPr>
        <w:t xml:space="preserve"> Global,</w:t>
      </w:r>
      <w:r w:rsidRPr="00505647">
        <w:rPr>
          <w:rFonts w:cs="Arial"/>
          <w:kern w:val="28"/>
        </w:rPr>
        <w:t xml:space="preserve"> requires that a significant administrative penalty of $2,000,000 be imposed jointly and severally on the respondents because their choice to not comply with securities legislation should not be tolerated. The protection of investors and the </w:t>
      </w:r>
      <w:r w:rsidR="009D596F">
        <w:rPr>
          <w:rFonts w:cs="Arial"/>
          <w:kern w:val="28"/>
        </w:rPr>
        <w:t>efficiency in the</w:t>
      </w:r>
      <w:r w:rsidRPr="00505647">
        <w:rPr>
          <w:rFonts w:cs="Arial"/>
          <w:kern w:val="28"/>
        </w:rPr>
        <w:t xml:space="preserve"> markets is at stake. In addition, the imposition of such a penalty must discourage other crypto asset trading platforms that would contravene securities legislation and must be designed to encourage them to comply.</w:t>
      </w:r>
      <w:r w:rsidRPr="00505647">
        <w:rPr>
          <w:rFonts w:cs="Arial"/>
          <w:i/>
          <w:iCs/>
          <w:kern w:val="28"/>
        </w:rPr>
        <w:t xml:space="preserve"> </w:t>
      </w:r>
    </w:p>
    <w:p w14:paraId="50D81759"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lastRenderedPageBreak/>
        <w:t xml:space="preserve">The Tribunal notes that it considers that the XT.com website is an important player in the crypto asset market and that the breaches committed by the respondents are very serious. Also, even after being informed of the procedures undertaken by the Authority, they continued to commit the breaches alleged against them and refused to cooperate with it. </w:t>
      </w:r>
    </w:p>
    <w:p w14:paraId="0D04A10E" w14:textId="3C34D760" w:rsidR="00283B4A" w:rsidRPr="00505647" w:rsidRDefault="00283B4A" w:rsidP="00283B4A">
      <w:pPr>
        <w:numPr>
          <w:ilvl w:val="0"/>
          <w:numId w:val="1"/>
        </w:numPr>
        <w:spacing w:before="120" w:after="120"/>
        <w:jc w:val="both"/>
        <w:rPr>
          <w:rFonts w:cs="Arial"/>
          <w:kern w:val="28"/>
        </w:rPr>
      </w:pPr>
      <w:r w:rsidRPr="00505647">
        <w:rPr>
          <w:rFonts w:cs="Arial"/>
          <w:kern w:val="28"/>
        </w:rPr>
        <w:t xml:space="preserve">In addition to an administrative penalty, the Tribunal may make </w:t>
      </w:r>
      <w:r>
        <w:rPr>
          <w:rFonts w:cs="Arial"/>
          <w:kern w:val="28"/>
        </w:rPr>
        <w:t>cease trade orders</w:t>
      </w:r>
      <w:r w:rsidRPr="00505647">
        <w:rPr>
          <w:rFonts w:cs="Arial"/>
          <w:kern w:val="28"/>
        </w:rPr>
        <w:t xml:space="preserve"> in securities,</w:t>
      </w:r>
      <w:r w:rsidRPr="00505647">
        <w:rPr>
          <w:rFonts w:cs="Arial"/>
          <w:kern w:val="28"/>
          <w:vertAlign w:val="superscript"/>
        </w:rPr>
        <w:footnoteReference w:id="198"/>
      </w:r>
      <w:r w:rsidRPr="00505647">
        <w:rPr>
          <w:rFonts w:cs="Arial"/>
          <w:kern w:val="28"/>
        </w:rPr>
        <w:t xml:space="preserve"> </w:t>
      </w:r>
      <w:r>
        <w:rPr>
          <w:rFonts w:cs="Arial"/>
          <w:kern w:val="28"/>
        </w:rPr>
        <w:t>cease trade orders</w:t>
      </w:r>
      <w:r w:rsidRPr="00505647">
        <w:rPr>
          <w:rFonts w:cs="Arial"/>
          <w:kern w:val="28"/>
        </w:rPr>
        <w:t xml:space="preserve"> in derivatives or relating to the offering or trading of derivatives,</w:t>
      </w:r>
      <w:r w:rsidRPr="00505647">
        <w:rPr>
          <w:rFonts w:cs="Arial"/>
          <w:kern w:val="28"/>
          <w:vertAlign w:val="superscript"/>
        </w:rPr>
        <w:footnoteReference w:id="199"/>
      </w:r>
      <w:r w:rsidRPr="00505647">
        <w:rPr>
          <w:rFonts w:cs="Arial"/>
          <w:kern w:val="28"/>
        </w:rPr>
        <w:t xml:space="preserve"> orders prohibiting any activity to advise under the </w:t>
      </w:r>
      <w:r w:rsidRPr="00505647">
        <w:rPr>
          <w:rFonts w:cs="Arial"/>
          <w:i/>
          <w:iCs/>
          <w:kern w:val="28"/>
        </w:rPr>
        <w:t xml:space="preserve">Securities Act </w:t>
      </w:r>
      <w:r w:rsidRPr="00505647">
        <w:rPr>
          <w:rFonts w:cs="Arial"/>
          <w:kern w:val="28"/>
        </w:rPr>
        <w:t>or to act as an investment fund manager</w:t>
      </w:r>
      <w:r w:rsidRPr="00505647">
        <w:rPr>
          <w:rFonts w:cs="Arial"/>
          <w:kern w:val="28"/>
          <w:vertAlign w:val="superscript"/>
        </w:rPr>
        <w:footnoteReference w:id="200"/>
      </w:r>
      <w:r w:rsidRPr="00505647">
        <w:rPr>
          <w:rFonts w:cs="Arial"/>
          <w:kern w:val="28"/>
        </w:rPr>
        <w:t xml:space="preserve"> and orders prohibiting any activity to advise on derivatives.</w:t>
      </w:r>
      <w:r w:rsidRPr="00505647">
        <w:rPr>
          <w:rStyle w:val="Appelnotedebasdep"/>
        </w:rPr>
        <w:footnoteReference w:id="201"/>
      </w:r>
    </w:p>
    <w:p w14:paraId="05A342E6" w14:textId="1EAB3215" w:rsidR="00283B4A" w:rsidRPr="00505647" w:rsidRDefault="00283B4A" w:rsidP="00283B4A">
      <w:pPr>
        <w:pStyle w:val="Paragraphe"/>
        <w:rPr>
          <w:rFonts w:cs="Arial"/>
          <w:sz w:val="20"/>
        </w:rPr>
      </w:pPr>
      <w:r w:rsidRPr="00505647">
        <w:rPr>
          <w:rFonts w:cs="Arial"/>
        </w:rPr>
        <w:t xml:space="preserve">Acting as a dealer without the required registrations, failure to </w:t>
      </w:r>
      <w:r>
        <w:rPr>
          <w:rFonts w:cs="Arial"/>
        </w:rPr>
        <w:t>be qualified</w:t>
      </w:r>
      <w:r w:rsidRPr="00505647">
        <w:rPr>
          <w:rFonts w:cs="Arial"/>
        </w:rPr>
        <w:t xml:space="preserve"> to create and market derivatives, and failure to prepare a prospectus are serious breaches of securities legislation and undermine public confidence in the markets and their integrity. Through these breaches, the respondents put investors at risk. </w:t>
      </w:r>
    </w:p>
    <w:p w14:paraId="634A167E" w14:textId="77777777" w:rsidR="00283B4A" w:rsidRPr="00505647" w:rsidRDefault="00283B4A" w:rsidP="00283B4A">
      <w:pPr>
        <w:pStyle w:val="Paragraphe"/>
        <w:rPr>
          <w:rFonts w:cs="Arial"/>
        </w:rPr>
      </w:pPr>
      <w:r w:rsidRPr="00505647">
        <w:rPr>
          <w:rFonts w:cs="Arial"/>
        </w:rPr>
        <w:t xml:space="preserve">As noted earlier by the Tribunal, these fundamental obligations under securities legislation are intended to protect the public in financial markets. </w:t>
      </w:r>
    </w:p>
    <w:p w14:paraId="2C4DCEAB" w14:textId="2AFD435A" w:rsidR="00283B4A" w:rsidRPr="00505647" w:rsidRDefault="00283B4A" w:rsidP="00283B4A">
      <w:pPr>
        <w:numPr>
          <w:ilvl w:val="0"/>
          <w:numId w:val="1"/>
        </w:numPr>
        <w:spacing w:before="120" w:after="120" w:line="256" w:lineRule="auto"/>
        <w:jc w:val="both"/>
        <w:rPr>
          <w:rFonts w:eastAsiaTheme="minorHAnsi" w:cs="Arial"/>
          <w:kern w:val="28"/>
          <w:sz w:val="22"/>
          <w:szCs w:val="22"/>
        </w:rPr>
      </w:pPr>
      <w:r>
        <w:rPr>
          <w:rFonts w:eastAsiaTheme="minorHAnsi" w:cs="Arial"/>
          <w:kern w:val="28"/>
          <w:szCs w:val="24"/>
        </w:rPr>
        <w:t xml:space="preserve">The </w:t>
      </w:r>
      <w:r w:rsidR="00A81DC9">
        <w:rPr>
          <w:rFonts w:eastAsiaTheme="minorHAnsi" w:cs="Arial"/>
          <w:kern w:val="28"/>
          <w:szCs w:val="24"/>
        </w:rPr>
        <w:t xml:space="preserve">efficiency in the </w:t>
      </w:r>
      <w:r w:rsidRPr="00505647">
        <w:rPr>
          <w:rFonts w:eastAsiaTheme="minorHAnsi" w:cs="Arial"/>
          <w:kern w:val="28"/>
          <w:szCs w:val="24"/>
        </w:rPr>
        <w:t>markets depend on investor</w:t>
      </w:r>
      <w:r>
        <w:rPr>
          <w:rFonts w:eastAsiaTheme="minorHAnsi" w:cs="Arial"/>
          <w:kern w:val="28"/>
          <w:szCs w:val="24"/>
        </w:rPr>
        <w:t>s</w:t>
      </w:r>
      <w:r w:rsidRPr="00505647">
        <w:rPr>
          <w:rFonts w:eastAsiaTheme="minorHAnsi" w:cs="Arial"/>
          <w:kern w:val="28"/>
          <w:szCs w:val="24"/>
        </w:rPr>
        <w:t xml:space="preserve"> confidence in regulated entities such as exchanges, certain other published markets as well as clearing houses, other stakeholders such as dealers, dealer-listed trading platforms, advisers and portfolio managers, and regulatory and self-regulatory </w:t>
      </w:r>
      <w:r w:rsidR="00A81DC9">
        <w:rPr>
          <w:rFonts w:eastAsiaTheme="minorHAnsi" w:cs="Arial"/>
          <w:kern w:val="28"/>
          <w:szCs w:val="24"/>
        </w:rPr>
        <w:t>organizations</w:t>
      </w:r>
      <w:r w:rsidRPr="00505647">
        <w:rPr>
          <w:rFonts w:eastAsiaTheme="minorHAnsi" w:cs="Arial"/>
          <w:kern w:val="28"/>
          <w:szCs w:val="24"/>
        </w:rPr>
        <w:t xml:space="preserve">. </w:t>
      </w:r>
    </w:p>
    <w:p w14:paraId="3FFE495E" w14:textId="77777777" w:rsidR="00283B4A" w:rsidRPr="00505647" w:rsidRDefault="00283B4A" w:rsidP="00283B4A">
      <w:pPr>
        <w:numPr>
          <w:ilvl w:val="0"/>
          <w:numId w:val="1"/>
        </w:numPr>
        <w:spacing w:before="120" w:after="120" w:line="256" w:lineRule="auto"/>
        <w:jc w:val="both"/>
        <w:rPr>
          <w:rFonts w:eastAsiaTheme="minorHAnsi" w:cs="Arial"/>
          <w:kern w:val="28"/>
          <w:sz w:val="22"/>
          <w:szCs w:val="22"/>
        </w:rPr>
      </w:pPr>
      <w:r w:rsidRPr="00505647">
        <w:rPr>
          <w:rFonts w:eastAsiaTheme="minorHAnsi" w:cs="Arial"/>
          <w:kern w:val="28"/>
          <w:szCs w:val="24"/>
        </w:rPr>
        <w:t>The first line of defence of financial markets rests on the integrity of the professionals who work with and on behalf of investors.</w:t>
      </w:r>
      <w:r w:rsidRPr="00505647">
        <w:rPr>
          <w:rStyle w:val="Appelnotedebasdep"/>
          <w:rFonts w:eastAsiaTheme="minorHAnsi"/>
        </w:rPr>
        <w:footnoteReference w:id="202"/>
      </w:r>
      <w:r w:rsidRPr="00505647">
        <w:rPr>
          <w:rFonts w:eastAsiaTheme="minorHAnsi" w:cs="Arial"/>
          <w:kern w:val="28"/>
          <w:szCs w:val="24"/>
        </w:rPr>
        <w:t> By registering dealers and advisers, the CSA ensures that they comply with obligations set out in a strict regulatory framework to ensure the protection of the public with whom they do business.</w:t>
      </w:r>
    </w:p>
    <w:p w14:paraId="19516D6C" w14:textId="20E31023" w:rsidR="00283B4A" w:rsidRPr="00505647" w:rsidRDefault="00283B4A" w:rsidP="00283B4A">
      <w:pPr>
        <w:pStyle w:val="Paragraphe"/>
        <w:rPr>
          <w:rFonts w:cs="Arial"/>
        </w:rPr>
      </w:pPr>
      <w:r w:rsidRPr="00505647">
        <w:rPr>
          <w:rFonts w:cs="Arial"/>
        </w:rPr>
        <w:t xml:space="preserve">In the Tribunal’s opinion, the </w:t>
      </w:r>
      <w:r w:rsidR="008C1B30">
        <w:rPr>
          <w:rFonts w:cs="Arial"/>
        </w:rPr>
        <w:t>cease trade orders</w:t>
      </w:r>
      <w:r w:rsidRPr="00505647">
        <w:rPr>
          <w:rFonts w:cs="Arial"/>
        </w:rPr>
        <w:t xml:space="preserve"> in securities and derivatives or transactions related to the offering or trading of a derivative, the prohibitions on acting as a securities and derivatives adviser or as investment fund manager </w:t>
      </w:r>
      <w:r w:rsidR="008C1B30">
        <w:rPr>
          <w:rFonts w:cs="Arial"/>
        </w:rPr>
        <w:t xml:space="preserve">sought </w:t>
      </w:r>
      <w:r w:rsidRPr="00505647">
        <w:rPr>
          <w:rFonts w:cs="Arial"/>
        </w:rPr>
        <w:t xml:space="preserve">are justified </w:t>
      </w:r>
      <w:proofErr w:type="gramStart"/>
      <w:r w:rsidRPr="00505647">
        <w:rPr>
          <w:rFonts w:cs="Arial"/>
        </w:rPr>
        <w:t>in order to</w:t>
      </w:r>
      <w:proofErr w:type="gramEnd"/>
      <w:r w:rsidRPr="00505647">
        <w:rPr>
          <w:rFonts w:cs="Arial"/>
        </w:rPr>
        <w:t xml:space="preserve"> prevent the respondents from acting in Québec’s financial markets. </w:t>
      </w:r>
    </w:p>
    <w:p w14:paraId="63DF8CA4" w14:textId="11066068" w:rsidR="00283B4A" w:rsidRPr="00505647" w:rsidRDefault="00283B4A" w:rsidP="00283B4A">
      <w:pPr>
        <w:pStyle w:val="Paragraphe"/>
        <w:rPr>
          <w:rFonts w:cs="Arial"/>
          <w:sz w:val="20"/>
        </w:rPr>
      </w:pPr>
      <w:r w:rsidRPr="00505647">
        <w:rPr>
          <w:rFonts w:cs="Arial"/>
        </w:rPr>
        <w:t>Such prohibition order</w:t>
      </w:r>
      <w:r w:rsidR="00691D8F">
        <w:rPr>
          <w:rFonts w:cs="Arial"/>
        </w:rPr>
        <w:t>s</w:t>
      </w:r>
      <w:r w:rsidRPr="00505647">
        <w:rPr>
          <w:rFonts w:cs="Arial"/>
        </w:rPr>
        <w:t xml:space="preserve"> may be made under sections 265 and 266 of the </w:t>
      </w:r>
      <w:r w:rsidRPr="00505647">
        <w:rPr>
          <w:rFonts w:cs="Arial"/>
          <w:i/>
          <w:iCs/>
        </w:rPr>
        <w:t>Securities Act</w:t>
      </w:r>
      <w:r w:rsidRPr="00505647">
        <w:rPr>
          <w:rFonts w:cs="Arial"/>
        </w:rPr>
        <w:t xml:space="preserve">, which provide that the Tribunal may </w:t>
      </w:r>
      <w:r w:rsidR="00691D8F" w:rsidRPr="00691D8F">
        <w:rPr>
          <w:rFonts w:cs="Arial"/>
        </w:rPr>
        <w:t>order a person to cease any activity in respect of a transaction in securities</w:t>
      </w:r>
      <w:r w:rsidR="00691D8F">
        <w:rPr>
          <w:rFonts w:cs="Arial"/>
        </w:rPr>
        <w:t xml:space="preserve"> and </w:t>
      </w:r>
      <w:r w:rsidRPr="00505647">
        <w:rPr>
          <w:rFonts w:cs="Arial"/>
        </w:rPr>
        <w:t xml:space="preserve">prohibit a person from acting as a securities adviser or as an investment fund manager. </w:t>
      </w:r>
    </w:p>
    <w:p w14:paraId="12236991" w14:textId="636BFE7F" w:rsidR="00283B4A" w:rsidRPr="005D7CFA" w:rsidRDefault="00283B4A" w:rsidP="005D7CFA">
      <w:pPr>
        <w:pStyle w:val="Paragraphe"/>
        <w:rPr>
          <w:rFonts w:cs="Arial"/>
          <w:sz w:val="20"/>
        </w:rPr>
      </w:pPr>
      <w:r w:rsidRPr="00505647">
        <w:rPr>
          <w:rFonts w:cs="Arial"/>
        </w:rPr>
        <w:lastRenderedPageBreak/>
        <w:t xml:space="preserve">Pursuant to section 131 of the </w:t>
      </w:r>
      <w:r w:rsidRPr="005D7CFA">
        <w:rPr>
          <w:rFonts w:cs="Arial"/>
          <w:i/>
          <w:iCs/>
        </w:rPr>
        <w:t>Derivatives Act</w:t>
      </w:r>
      <w:r w:rsidRPr="005D7CFA">
        <w:rPr>
          <w:rFonts w:cs="Arial"/>
        </w:rPr>
        <w:t xml:space="preserve">, the Tribunal may </w:t>
      </w:r>
      <w:r w:rsidR="005D7CFA" w:rsidRPr="005D7CFA">
        <w:rPr>
          <w:rFonts w:cs="Arial"/>
        </w:rPr>
        <w:t xml:space="preserve">order to cease all activities for the purpose of trading in derivatives </w:t>
      </w:r>
      <w:r w:rsidRPr="005D7CFA">
        <w:rPr>
          <w:rFonts w:cs="Arial"/>
          <w:szCs w:val="24"/>
        </w:rPr>
        <w:t>or related to the offering or trading of a derivative. Under section 132 of that Act, the Tribunal may prohibit a person from carrying on business as a derivatives adviser.</w:t>
      </w:r>
    </w:p>
    <w:p w14:paraId="7395880F" w14:textId="77777777" w:rsidR="00283B4A" w:rsidRPr="00505647" w:rsidRDefault="00283B4A" w:rsidP="00283B4A">
      <w:pPr>
        <w:pStyle w:val="Paragraphe"/>
        <w:rPr>
          <w:rFonts w:cs="Arial"/>
          <w:sz w:val="20"/>
        </w:rPr>
      </w:pPr>
      <w:r w:rsidRPr="00505647">
        <w:rPr>
          <w:rFonts w:cs="Arial"/>
        </w:rPr>
        <w:t>These orders are essential in this case to protect the investors and prevent</w:t>
      </w:r>
      <w:proofErr w:type="gramStart"/>
      <w:r w:rsidRPr="00505647">
        <w:rPr>
          <w:rFonts w:cs="Arial"/>
        </w:rPr>
        <w:t>, in particular, that</w:t>
      </w:r>
      <w:proofErr w:type="gramEnd"/>
      <w:r w:rsidRPr="00505647">
        <w:rPr>
          <w:rFonts w:cs="Arial"/>
        </w:rPr>
        <w:t xml:space="preserve"> other transactions be carried out by the respondents to the detriment of the investors.</w:t>
      </w:r>
    </w:p>
    <w:p w14:paraId="4A91A3FB" w14:textId="77777777" w:rsidR="00283B4A" w:rsidRPr="00505647" w:rsidRDefault="00283B4A" w:rsidP="00283B4A">
      <w:pPr>
        <w:pStyle w:val="Paragraphe"/>
        <w:rPr>
          <w:rFonts w:cs="Arial"/>
          <w:sz w:val="20"/>
        </w:rPr>
      </w:pPr>
      <w:r w:rsidRPr="00505647">
        <w:rPr>
          <w:rFonts w:cs="Arial"/>
        </w:rPr>
        <w:t>The Tribunal reiterates that the power to act in markets is a privilege and not a right.</w:t>
      </w:r>
      <w:r w:rsidRPr="00505647">
        <w:rPr>
          <w:rStyle w:val="Appelnotedebasdep"/>
          <w:rFonts w:cs="Arial"/>
        </w:rPr>
        <w:footnoteReference w:id="203"/>
      </w:r>
      <w:r w:rsidRPr="00505647">
        <w:rPr>
          <w:rFonts w:cs="Arial"/>
        </w:rPr>
        <w:t xml:space="preserve"> In the circumstances of this case and because of the breaches committed, the respondents cannot benefit from this privilege. </w:t>
      </w:r>
    </w:p>
    <w:p w14:paraId="504CA9D3" w14:textId="77777777" w:rsidR="00283B4A" w:rsidRPr="00505647" w:rsidRDefault="00283B4A" w:rsidP="00283B4A">
      <w:pPr>
        <w:pStyle w:val="Paragraphe"/>
      </w:pPr>
      <w:r w:rsidRPr="00505647">
        <w:t xml:space="preserve">The Tribunal considers it appropriate to provide exceptions to these orders </w:t>
      </w:r>
      <w:proofErr w:type="gramStart"/>
      <w:r w:rsidRPr="00505647">
        <w:t>in order to</w:t>
      </w:r>
      <w:proofErr w:type="gramEnd"/>
      <w:r w:rsidRPr="00505647">
        <w:t xml:space="preserve"> allow users of the XT.com website to remove assets in the possession or control of the respondents or third parties and to close their accounts. </w:t>
      </w:r>
    </w:p>
    <w:p w14:paraId="281BF518" w14:textId="77777777" w:rsidR="00283B4A" w:rsidRPr="00505647" w:rsidRDefault="00283B4A" w:rsidP="00283B4A">
      <w:pPr>
        <w:pStyle w:val="Paragraphe"/>
      </w:pPr>
      <w:r w:rsidRPr="00505647">
        <w:t xml:space="preserve">Without these exceptions, the Tribunal is concerned that investors who have used the platform on the XT.com website will be unable to recover their assets or crypto assets. </w:t>
      </w:r>
    </w:p>
    <w:p w14:paraId="539673B5" w14:textId="77777777" w:rsidR="00283B4A" w:rsidRPr="00505647" w:rsidRDefault="00283B4A" w:rsidP="00283B4A">
      <w:pPr>
        <w:pStyle w:val="Paragraphe"/>
        <w:rPr>
          <w:rFonts w:cs="Arial"/>
        </w:rPr>
      </w:pPr>
      <w:r w:rsidRPr="00505647">
        <w:rPr>
          <w:rFonts w:cs="Arial"/>
        </w:rPr>
        <w:t xml:space="preserve">In addition, these prohibitions must apply to the respondents, as well as to any other person operating the XT.com website.  </w:t>
      </w:r>
    </w:p>
    <w:p w14:paraId="4DE1C65D" w14:textId="77777777" w:rsidR="00283B4A" w:rsidRPr="00505647" w:rsidRDefault="00283B4A" w:rsidP="00283B4A">
      <w:pPr>
        <w:pStyle w:val="Paragraphe"/>
        <w:rPr>
          <w:rFonts w:cs="Arial"/>
        </w:rPr>
      </w:pPr>
      <w:r w:rsidRPr="00505647">
        <w:rPr>
          <w:rFonts w:cs="Arial"/>
        </w:rPr>
        <w:t xml:space="preserve">Indeed, the structure of the group represented by the respondents could be subject to change. Entities could be added to </w:t>
      </w:r>
      <w:proofErr w:type="gramStart"/>
      <w:r w:rsidRPr="00505647">
        <w:rPr>
          <w:rFonts w:cs="Arial"/>
        </w:rPr>
        <w:t>them</w:t>
      </w:r>
      <w:proofErr w:type="gramEnd"/>
      <w:r w:rsidRPr="00505647">
        <w:rPr>
          <w:rFonts w:cs="Arial"/>
        </w:rPr>
        <w:t xml:space="preserve"> and transactions related to the XT.com website could be transferred to them. Because of the serious breaches of securities legislation committed by the respondents, this preventive measure is necessary. </w:t>
      </w:r>
    </w:p>
    <w:p w14:paraId="6983AEEE" w14:textId="77777777" w:rsidR="00283B4A" w:rsidRPr="00505647" w:rsidRDefault="00283B4A" w:rsidP="00283B4A">
      <w:pPr>
        <w:pStyle w:val="Paragraphe"/>
      </w:pPr>
      <w:r w:rsidRPr="00505647">
        <w:t xml:space="preserve">Under section 264 of the </w:t>
      </w:r>
      <w:r w:rsidRPr="00505647">
        <w:rPr>
          <w:i/>
          <w:iCs/>
        </w:rPr>
        <w:t>Securities Act</w:t>
      </w:r>
      <w:r w:rsidRPr="00505647">
        <w:t xml:space="preserve"> and </w:t>
      </w:r>
      <w:r>
        <w:t xml:space="preserve">section </w:t>
      </w:r>
      <w:r w:rsidRPr="00505647">
        <w:t xml:space="preserve">130 of the </w:t>
      </w:r>
      <w:r w:rsidRPr="00505647">
        <w:rPr>
          <w:i/>
          <w:iCs/>
        </w:rPr>
        <w:t>Derivatives Act</w:t>
      </w:r>
      <w:r w:rsidRPr="00505647">
        <w:t xml:space="preserve">, the Tribunal may deny the benefit of an exemption to any person who has contravened these Acts. </w:t>
      </w:r>
    </w:p>
    <w:p w14:paraId="7BDAD5CC" w14:textId="486C8BFB" w:rsidR="00283B4A" w:rsidRPr="00505647" w:rsidRDefault="00283B4A" w:rsidP="00283B4A">
      <w:pPr>
        <w:pStyle w:val="Paragraphe"/>
      </w:pPr>
      <w:r w:rsidRPr="00505647">
        <w:t xml:space="preserve">In this case, the respondents contravened several fundamental obligations of the securities legislation, such as failing to register as a dealer, failing to prepare a prospectus and failing to obtain </w:t>
      </w:r>
      <w:r>
        <w:t>qualification</w:t>
      </w:r>
      <w:r w:rsidRPr="00505647">
        <w:t xml:space="preserve"> from the Authority. </w:t>
      </w:r>
    </w:p>
    <w:p w14:paraId="1548DE2F" w14:textId="77777777" w:rsidR="00283B4A" w:rsidRPr="00505647" w:rsidRDefault="00283B4A" w:rsidP="00283B4A">
      <w:pPr>
        <w:pStyle w:val="Paragraphe"/>
      </w:pPr>
      <w:r w:rsidRPr="00505647">
        <w:rPr>
          <w:rFonts w:cs="Arial"/>
          <w:color w:val="000000"/>
        </w:rPr>
        <w:t xml:space="preserve">In the Tribunal’s view, </w:t>
      </w:r>
      <w:proofErr w:type="gramStart"/>
      <w:r w:rsidRPr="00505647">
        <w:rPr>
          <w:rFonts w:cs="Arial"/>
          <w:color w:val="000000"/>
        </w:rPr>
        <w:t>in order to</w:t>
      </w:r>
      <w:proofErr w:type="gramEnd"/>
      <w:r w:rsidRPr="00505647">
        <w:rPr>
          <w:rFonts w:cs="Arial"/>
          <w:color w:val="000000"/>
        </w:rPr>
        <w:t xml:space="preserve"> protect the public interest and investors in particular, it is justified to deny the respondents the benefit of any exemptions provided for in the </w:t>
      </w:r>
      <w:r w:rsidRPr="00505647">
        <w:rPr>
          <w:rFonts w:cs="Arial"/>
          <w:i/>
          <w:iCs/>
          <w:color w:val="000000"/>
        </w:rPr>
        <w:t>Securities Act</w:t>
      </w:r>
      <w:r w:rsidRPr="00505647">
        <w:rPr>
          <w:rFonts w:cs="Arial"/>
          <w:color w:val="000000"/>
        </w:rPr>
        <w:t xml:space="preserve"> and the </w:t>
      </w:r>
      <w:r w:rsidRPr="00505647">
        <w:rPr>
          <w:rFonts w:cs="Arial"/>
          <w:i/>
          <w:iCs/>
          <w:color w:val="000000"/>
        </w:rPr>
        <w:t>Derivatives Act</w:t>
      </w:r>
      <w:r w:rsidRPr="00505647">
        <w:rPr>
          <w:rFonts w:cs="Arial"/>
          <w:color w:val="000000"/>
        </w:rPr>
        <w:t>.</w:t>
      </w:r>
    </w:p>
    <w:p w14:paraId="27807A48" w14:textId="77777777" w:rsidR="00283B4A" w:rsidRPr="00505647" w:rsidRDefault="00283B4A" w:rsidP="00283B4A">
      <w:pPr>
        <w:pStyle w:val="Paragraphe"/>
      </w:pPr>
      <w:r w:rsidRPr="00505647">
        <w:t xml:space="preserve">In </w:t>
      </w:r>
      <w:r w:rsidRPr="00505647">
        <w:rPr>
          <w:i/>
          <w:iCs/>
        </w:rPr>
        <w:t>Vaillancourt</w:t>
      </w:r>
      <w:r w:rsidRPr="00505647">
        <w:t>, the Tribunal insisted on the justification for these exemptions:</w:t>
      </w:r>
    </w:p>
    <w:p w14:paraId="06DFE165" w14:textId="77777777" w:rsidR="00283B4A" w:rsidRPr="00505647" w:rsidRDefault="00283B4A" w:rsidP="00283B4A">
      <w:pPr>
        <w:pStyle w:val="Citationendoubleretrait"/>
      </w:pPr>
      <w:r w:rsidRPr="00505647">
        <w:t>[TRANSLATION] “[</w:t>
      </w:r>
      <w:bookmarkStart w:id="19" w:name="par21"/>
      <w:r w:rsidRPr="00505647">
        <w:t>21</w:t>
      </w:r>
      <w:bookmarkEnd w:id="19"/>
      <w:r w:rsidRPr="00505647">
        <w:t>]</w:t>
      </w:r>
      <w:r w:rsidRPr="00505647">
        <w:rPr>
          <w:sz w:val="14"/>
          <w:szCs w:val="14"/>
        </w:rPr>
        <w:t xml:space="preserve"> </w:t>
      </w:r>
      <w:r w:rsidRPr="00505647">
        <w:t>The use of such exemptions from complying with certain obligations aimed at protecting the public interest and investors can be justified</w:t>
      </w:r>
      <w:proofErr w:type="gramStart"/>
      <w:r w:rsidRPr="00505647">
        <w:t>, in particular, when</w:t>
      </w:r>
      <w:proofErr w:type="gramEnd"/>
      <w:r w:rsidRPr="00505647">
        <w:t xml:space="preserve"> stakeholders in Place financière have an excellent record of compliance with the spirit and letter of the </w:t>
      </w:r>
      <w:r w:rsidRPr="00505647">
        <w:rPr>
          <w:i/>
          <w:iCs/>
        </w:rPr>
        <w:t xml:space="preserve">Securities Act </w:t>
      </w:r>
      <w:r w:rsidRPr="00505647">
        <w:t>and its</w:t>
      </w:r>
      <w:r w:rsidRPr="00505647">
        <w:rPr>
          <w:i/>
          <w:iCs/>
        </w:rPr>
        <w:t xml:space="preserve"> </w:t>
      </w:r>
      <w:r w:rsidRPr="00505647">
        <w:t xml:space="preserve">regulations. Otherwise, </w:t>
      </w:r>
      <w:proofErr w:type="gramStart"/>
      <w:r w:rsidRPr="00505647">
        <w:t>i.e.</w:t>
      </w:r>
      <w:proofErr w:type="gramEnd"/>
      <w:r w:rsidRPr="00505647">
        <w:t xml:space="preserve"> if offenders – who moreover have a defiant attitude towards the obligations provided for by this law – are allowed to </w:t>
      </w:r>
      <w:r w:rsidRPr="00505647">
        <w:lastRenderedPageBreak/>
        <w:t>benefit from such exemptions, market integrity, investors and potential investors are clearly put at risk.”</w:t>
      </w:r>
      <w:r w:rsidRPr="00505647">
        <w:rPr>
          <w:rStyle w:val="Appelnotedebasdep"/>
        </w:rPr>
        <w:footnoteReference w:id="204"/>
      </w:r>
    </w:p>
    <w:p w14:paraId="55D68CDF" w14:textId="0742EADD" w:rsidR="00283B4A" w:rsidRPr="00505647" w:rsidRDefault="00283B4A" w:rsidP="00283B4A">
      <w:pPr>
        <w:pStyle w:val="Paragraphe"/>
      </w:pPr>
      <w:r w:rsidRPr="00505647">
        <w:t xml:space="preserve">To protect the public interest, it is necessary to ensure that respondents cannot benefit from the privilege of a lighter surveillance framework by using an exemption. They must strictly comply with the basic registration, prospectus and </w:t>
      </w:r>
      <w:r>
        <w:t>qualification</w:t>
      </w:r>
      <w:r w:rsidRPr="00505647">
        <w:t xml:space="preserve"> obligations set out in the </w:t>
      </w:r>
      <w:r w:rsidRPr="00505647">
        <w:rPr>
          <w:i/>
          <w:iCs/>
        </w:rPr>
        <w:t>Securities Act</w:t>
      </w:r>
      <w:r w:rsidRPr="00505647">
        <w:t xml:space="preserve"> and the </w:t>
      </w:r>
      <w:r w:rsidRPr="00505647">
        <w:rPr>
          <w:i/>
          <w:iCs/>
        </w:rPr>
        <w:t>Derivatives Act</w:t>
      </w:r>
      <w:r w:rsidRPr="00505647">
        <w:t xml:space="preserve">.  </w:t>
      </w:r>
    </w:p>
    <w:p w14:paraId="22E73529" w14:textId="795F1848" w:rsidR="00283B4A" w:rsidRPr="00505647" w:rsidRDefault="00283B4A" w:rsidP="00283B4A">
      <w:pPr>
        <w:numPr>
          <w:ilvl w:val="0"/>
          <w:numId w:val="1"/>
        </w:numPr>
        <w:spacing w:before="120" w:after="120"/>
        <w:jc w:val="both"/>
        <w:rPr>
          <w:rFonts w:cs="Arial"/>
          <w:kern w:val="28"/>
        </w:rPr>
      </w:pPr>
      <w:bookmarkStart w:id="20" w:name="_Ref8381491"/>
      <w:bookmarkEnd w:id="20"/>
      <w:r w:rsidRPr="00505647">
        <w:rPr>
          <w:rFonts w:cs="Arial"/>
          <w:kern w:val="28"/>
        </w:rPr>
        <w:t xml:space="preserve">Finally, the Tribunal may, at the request of the Authority, take any measures necessary to ensure compliance with the provisions set out in the </w:t>
      </w:r>
      <w:r w:rsidRPr="00505647">
        <w:rPr>
          <w:rFonts w:cs="Arial"/>
          <w:i/>
          <w:iCs/>
          <w:kern w:val="28"/>
        </w:rPr>
        <w:t>Securities Act</w:t>
      </w:r>
      <w:r w:rsidRPr="00505647">
        <w:rPr>
          <w:rFonts w:cs="Arial"/>
          <w:kern w:val="28"/>
        </w:rPr>
        <w:t xml:space="preserve"> and the </w:t>
      </w:r>
      <w:r w:rsidRPr="00505647">
        <w:rPr>
          <w:rFonts w:cs="Arial"/>
          <w:i/>
          <w:iCs/>
          <w:kern w:val="28"/>
        </w:rPr>
        <w:t>Derivatives Act.</w:t>
      </w:r>
      <w:r w:rsidRPr="00505647">
        <w:rPr>
          <w:rFonts w:cs="Arial"/>
          <w:kern w:val="28"/>
          <w:vertAlign w:val="superscript"/>
        </w:rPr>
        <w:footnoteReference w:id="205"/>
      </w:r>
      <w:r>
        <w:rPr>
          <w:rFonts w:cs="Arial"/>
          <w:i/>
          <w:iCs/>
          <w:kern w:val="28"/>
        </w:rPr>
        <w:t xml:space="preserve"> </w:t>
      </w:r>
      <w:r w:rsidRPr="00505647">
        <w:rPr>
          <w:rFonts w:cs="Arial"/>
          <w:kern w:val="28"/>
        </w:rPr>
        <w:t xml:space="preserve">It may also prohibit or subject to restrictions </w:t>
      </w:r>
      <w:r w:rsidR="005D7CFA">
        <w:rPr>
          <w:rFonts w:cs="Arial"/>
          <w:kern w:val="28"/>
        </w:rPr>
        <w:t>on solicitation</w:t>
      </w:r>
      <w:r w:rsidRPr="00505647">
        <w:rPr>
          <w:rFonts w:cs="Arial"/>
          <w:kern w:val="28"/>
        </w:rPr>
        <w:t xml:space="preserve"> </w:t>
      </w:r>
      <w:r w:rsidR="005D7CFA">
        <w:rPr>
          <w:rFonts w:cs="Arial"/>
          <w:kern w:val="28"/>
        </w:rPr>
        <w:t>of</w:t>
      </w:r>
      <w:r w:rsidRPr="00505647">
        <w:rPr>
          <w:rFonts w:cs="Arial"/>
          <w:kern w:val="28"/>
        </w:rPr>
        <w:t xml:space="preserve"> transactions of a given value.</w:t>
      </w:r>
      <w:r w:rsidRPr="00505647">
        <w:rPr>
          <w:rStyle w:val="Appelnotedebasdep"/>
          <w:rFonts w:cs="Arial"/>
          <w:kern w:val="28"/>
        </w:rPr>
        <w:footnoteReference w:id="206"/>
      </w:r>
    </w:p>
    <w:p w14:paraId="1AEF19D3" w14:textId="77777777" w:rsidR="00283B4A" w:rsidRPr="00505647" w:rsidRDefault="00283B4A" w:rsidP="00283B4A">
      <w:pPr>
        <w:pStyle w:val="Paragraphe"/>
        <w:rPr>
          <w:rFonts w:cs="Arial"/>
        </w:rPr>
      </w:pPr>
      <w:r w:rsidRPr="00505647">
        <w:rPr>
          <w:rFonts w:cs="Arial"/>
        </w:rPr>
        <w:t xml:space="preserve">The respondents have used and continue to use the XT.com website for registered users to commit breaches of securities legislation, including acting as a securities and derivatives dealer without being registered. </w:t>
      </w:r>
    </w:p>
    <w:p w14:paraId="61BE6268" w14:textId="77777777" w:rsidR="00283B4A" w:rsidRPr="005D7CFA" w:rsidRDefault="00283B4A" w:rsidP="00283B4A">
      <w:pPr>
        <w:pStyle w:val="Paragraphe"/>
        <w:rPr>
          <w:rFonts w:cs="Arial"/>
        </w:rPr>
      </w:pPr>
      <w:r w:rsidRPr="00505647">
        <w:rPr>
          <w:rFonts w:cs="Arial"/>
        </w:rPr>
        <w:t xml:space="preserve">Thus, to prevent them from proceeding in this way, it is </w:t>
      </w:r>
      <w:r w:rsidRPr="005D7CFA">
        <w:rPr>
          <w:rFonts w:cs="Arial"/>
        </w:rPr>
        <w:t xml:space="preserve">necessary for the Tribunal to order them and any person operating the XT.com website to block access to this website.   </w:t>
      </w:r>
    </w:p>
    <w:p w14:paraId="5FD216CE" w14:textId="77777777" w:rsidR="00283B4A" w:rsidRPr="00505647" w:rsidRDefault="00283B4A" w:rsidP="00283B4A">
      <w:pPr>
        <w:pStyle w:val="Paragraphe"/>
        <w:rPr>
          <w:rFonts w:cs="Arial"/>
        </w:rPr>
      </w:pPr>
      <w:r w:rsidRPr="005D7CFA">
        <w:rPr>
          <w:rFonts w:cs="Arial"/>
        </w:rPr>
        <w:t xml:space="preserve">The Authority requests that the blocking of the XT.com website become effective within two months of this decision </w:t>
      </w:r>
      <w:proofErr w:type="gramStart"/>
      <w:r w:rsidRPr="005D7CFA">
        <w:rPr>
          <w:rFonts w:cs="Arial"/>
        </w:rPr>
        <w:t>in order for</w:t>
      </w:r>
      <w:proofErr w:type="gramEnd"/>
      <w:r w:rsidRPr="005D7CFA">
        <w:rPr>
          <w:rFonts w:cs="Arial"/>
        </w:rPr>
        <w:t xml:space="preserve"> the respondents to comply</w:t>
      </w:r>
      <w:r w:rsidRPr="00505647">
        <w:rPr>
          <w:rFonts w:cs="Arial"/>
        </w:rPr>
        <w:t xml:space="preserve"> with this order. The Tribunal considers that this period is reasonable under the circumstances. </w:t>
      </w:r>
    </w:p>
    <w:p w14:paraId="19C1D3AD" w14:textId="77777777" w:rsidR="00283B4A" w:rsidRPr="00505647" w:rsidRDefault="00283B4A" w:rsidP="00283B4A">
      <w:pPr>
        <w:pStyle w:val="Paragraphe"/>
        <w:rPr>
          <w:rFonts w:cs="Arial"/>
        </w:rPr>
      </w:pPr>
      <w:r w:rsidRPr="00505647">
        <w:rPr>
          <w:rFonts w:cs="Arial"/>
        </w:rPr>
        <w:t xml:space="preserve">This will allow users of the platform who hold assets there to remove them and close their account. </w:t>
      </w:r>
    </w:p>
    <w:p w14:paraId="3BE24A79" w14:textId="77777777" w:rsidR="00283B4A" w:rsidRPr="00505647" w:rsidRDefault="00283B4A" w:rsidP="00283B4A">
      <w:pPr>
        <w:pStyle w:val="Paragraphe"/>
        <w:rPr>
          <w:rFonts w:cs="Arial"/>
        </w:rPr>
      </w:pPr>
      <w:proofErr w:type="gramStart"/>
      <w:r w:rsidRPr="00505647">
        <w:rPr>
          <w:rFonts w:cs="Arial"/>
        </w:rPr>
        <w:t>In order to</w:t>
      </w:r>
      <w:proofErr w:type="gramEnd"/>
      <w:r w:rsidRPr="00505647">
        <w:rPr>
          <w:rFonts w:cs="Arial"/>
        </w:rPr>
        <w:t xml:space="preserve"> facilitate this process, the Tribunal considers it necessary to order the respondents to notify users of the XT.com website, within a maximum of two days of this decision, that it will cease to be available to them two months after this decision. </w:t>
      </w:r>
    </w:p>
    <w:p w14:paraId="734FC764" w14:textId="77777777" w:rsidR="00283B4A" w:rsidRPr="00505647" w:rsidRDefault="00283B4A" w:rsidP="00283B4A">
      <w:pPr>
        <w:pStyle w:val="Paragraphe"/>
      </w:pPr>
      <w:r w:rsidRPr="00505647">
        <w:t xml:space="preserve">The respondents must also inform those users, also within a maximum of two days after this decision, that they must withdraw their assets held on this website and close their account as soon as possible.     </w:t>
      </w:r>
    </w:p>
    <w:p w14:paraId="56A13373" w14:textId="77777777" w:rsidR="00283B4A" w:rsidRPr="00505647" w:rsidRDefault="00283B4A" w:rsidP="00283B4A">
      <w:pPr>
        <w:pStyle w:val="Paragraphe"/>
      </w:pPr>
      <w:proofErr w:type="gramStart"/>
      <w:r w:rsidRPr="00505647">
        <w:t>Despite the fact that</w:t>
      </w:r>
      <w:proofErr w:type="gramEnd"/>
      <w:r w:rsidRPr="00505647">
        <w:t xml:space="preserve"> the XT.com website will be inaccessible to Québec investors within two months of this decision, investors will still have the option </w:t>
      </w:r>
      <w:r w:rsidRPr="00505647">
        <w:rPr>
          <w:szCs w:val="24"/>
        </w:rPr>
        <w:t xml:space="preserve">of withdrawing their assets in the possession or control of the respondents or third parties given the Tribunal’s findings that provide for an exception to this effect in the prohibition orders. </w:t>
      </w:r>
    </w:p>
    <w:p w14:paraId="013FA0D1"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lastRenderedPageBreak/>
        <w:t xml:space="preserve">Given that the respondents have contravened and continue to contravene securities legislation, and for the reasons set out above, the </w:t>
      </w:r>
      <w:r w:rsidRPr="005D7CFA">
        <w:rPr>
          <w:rFonts w:cs="Arial"/>
          <w:kern w:val="28"/>
        </w:rPr>
        <w:t>Tribunal makes all</w:t>
      </w:r>
      <w:r w:rsidRPr="00505647">
        <w:rPr>
          <w:rFonts w:cs="Arial"/>
          <w:kern w:val="28"/>
        </w:rPr>
        <w:t xml:space="preserve"> orders sought by the Authority.</w:t>
      </w:r>
      <w:r w:rsidRPr="00505647">
        <w:rPr>
          <w:rStyle w:val="Appelnotedebasdep"/>
          <w:rFonts w:cs="Arial"/>
          <w:kern w:val="28"/>
        </w:rPr>
        <w:footnoteReference w:id="207"/>
      </w:r>
    </w:p>
    <w:p w14:paraId="010923D5"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t>These orders are necessary in the public interest to stop the respondents’ activities in contravention of securities legislation and thereby protect investors.</w:t>
      </w:r>
    </w:p>
    <w:p w14:paraId="56B054CE" w14:textId="77777777" w:rsidR="00283B4A" w:rsidRPr="00505647" w:rsidRDefault="00283B4A" w:rsidP="00283B4A">
      <w:pPr>
        <w:numPr>
          <w:ilvl w:val="0"/>
          <w:numId w:val="1"/>
        </w:numPr>
        <w:spacing w:before="120" w:after="120"/>
        <w:jc w:val="both"/>
        <w:rPr>
          <w:rFonts w:cs="Arial"/>
          <w:kern w:val="28"/>
        </w:rPr>
      </w:pPr>
      <w:r w:rsidRPr="00505647">
        <w:rPr>
          <w:rFonts w:cs="Arial"/>
          <w:kern w:val="28"/>
        </w:rPr>
        <w:t xml:space="preserve">After considering the evidence and arguments presented to it, as well as the case law, the Tribunal decides to order the following penalty and administrative measures against the respondents as protective, </w:t>
      </w:r>
      <w:proofErr w:type="gramStart"/>
      <w:r w:rsidRPr="00505647">
        <w:rPr>
          <w:rFonts w:cs="Arial"/>
          <w:kern w:val="28"/>
        </w:rPr>
        <w:t>preventive</w:t>
      </w:r>
      <w:proofErr w:type="gramEnd"/>
      <w:r w:rsidRPr="00505647">
        <w:rPr>
          <w:rFonts w:cs="Arial"/>
          <w:kern w:val="28"/>
        </w:rPr>
        <w:t xml:space="preserve"> and dissuasive measures.</w:t>
      </w:r>
    </w:p>
    <w:p w14:paraId="45B2518A" w14:textId="77777777" w:rsidR="00283B4A" w:rsidRPr="00505647" w:rsidRDefault="00283B4A" w:rsidP="00283B4A">
      <w:pPr>
        <w:autoSpaceDE w:val="0"/>
        <w:autoSpaceDN w:val="0"/>
        <w:adjustRightInd w:val="0"/>
        <w:spacing w:before="120" w:after="120"/>
        <w:jc w:val="both"/>
        <w:rPr>
          <w:rFonts w:cs="Arial"/>
          <w:szCs w:val="24"/>
        </w:rPr>
      </w:pPr>
      <w:r w:rsidRPr="00505647">
        <w:rPr>
          <w:rFonts w:cs="Arial"/>
          <w:b/>
          <w:bCs/>
          <w:szCs w:val="24"/>
        </w:rPr>
        <w:t>FOR THESE REASONS</w:t>
      </w:r>
      <w:r w:rsidRPr="00505647">
        <w:rPr>
          <w:rFonts w:cs="Arial"/>
          <w:szCs w:val="24"/>
        </w:rPr>
        <w:t>, the Financial Markets Administrative Tribunal, pursuant to sections 93, 94 and 97, para. 2</w:t>
      </w:r>
      <w:proofErr w:type="gramStart"/>
      <w:r w:rsidRPr="00505647">
        <w:rPr>
          <w:rFonts w:cs="Arial"/>
          <w:szCs w:val="24"/>
          <w:vertAlign w:val="superscript"/>
        </w:rPr>
        <w:t>o</w:t>
      </w:r>
      <w:r w:rsidRPr="00505647">
        <w:rPr>
          <w:rFonts w:cs="Arial"/>
          <w:szCs w:val="24"/>
        </w:rPr>
        <w:t>(</w:t>
      </w:r>
      <w:proofErr w:type="gramEnd"/>
      <w:r w:rsidRPr="00505647">
        <w:rPr>
          <w:rFonts w:cs="Arial"/>
          <w:szCs w:val="24"/>
        </w:rPr>
        <w:t xml:space="preserve">7) of the </w:t>
      </w:r>
      <w:r w:rsidRPr="00505647">
        <w:rPr>
          <w:rFonts w:cs="Arial"/>
          <w:i/>
          <w:iCs/>
          <w:szCs w:val="24"/>
        </w:rPr>
        <w:t>Act respecting the regulation of the financial sector</w:t>
      </w:r>
      <w:r w:rsidRPr="00505647">
        <w:rPr>
          <w:rFonts w:cs="Arial"/>
          <w:szCs w:val="24"/>
        </w:rPr>
        <w:t>;</w:t>
      </w:r>
      <w:r w:rsidRPr="00505647">
        <w:rPr>
          <w:rStyle w:val="Appelnotedebasdep"/>
          <w:rFonts w:cs="Arial"/>
          <w:szCs w:val="24"/>
        </w:rPr>
        <w:footnoteReference w:id="208"/>
      </w:r>
      <w:r w:rsidRPr="00505647">
        <w:rPr>
          <w:rFonts w:cs="Arial"/>
          <w:szCs w:val="24"/>
        </w:rPr>
        <w:t xml:space="preserve"> sections 264, 265, 266, 270 and 273.1 of the </w:t>
      </w:r>
      <w:r w:rsidRPr="00505647">
        <w:rPr>
          <w:rFonts w:cs="Arial"/>
          <w:i/>
          <w:iCs/>
          <w:szCs w:val="24"/>
        </w:rPr>
        <w:t>Securities Act</w:t>
      </w:r>
      <w:r w:rsidRPr="00505647">
        <w:rPr>
          <w:rFonts w:cs="Arial"/>
          <w:szCs w:val="24"/>
        </w:rPr>
        <w:t>;</w:t>
      </w:r>
      <w:r w:rsidRPr="00505647">
        <w:rPr>
          <w:rStyle w:val="Appelnotedebasdep"/>
          <w:rFonts w:cs="Arial"/>
          <w:szCs w:val="24"/>
        </w:rPr>
        <w:footnoteReference w:id="209"/>
      </w:r>
      <w:r w:rsidRPr="00505647">
        <w:rPr>
          <w:rFonts w:cs="Arial"/>
          <w:szCs w:val="24"/>
        </w:rPr>
        <w:t xml:space="preserve"> and sections 130, 131, 132 and 134 of the </w:t>
      </w:r>
      <w:r w:rsidRPr="00505647">
        <w:rPr>
          <w:rFonts w:cs="Arial"/>
          <w:i/>
          <w:iCs/>
          <w:szCs w:val="24"/>
        </w:rPr>
        <w:t>Derivatives Act</w:t>
      </w:r>
      <w:r w:rsidRPr="00505647">
        <w:rPr>
          <w:rFonts w:cs="Arial"/>
          <w:szCs w:val="24"/>
        </w:rPr>
        <w:t>:</w:t>
      </w:r>
      <w:r w:rsidRPr="00505647">
        <w:rPr>
          <w:rStyle w:val="Appelnotedebasdep"/>
          <w:rFonts w:cs="Arial"/>
          <w:szCs w:val="24"/>
        </w:rPr>
        <w:footnoteReference w:id="210"/>
      </w:r>
    </w:p>
    <w:p w14:paraId="64EEFF89" w14:textId="77777777" w:rsidR="00283B4A" w:rsidRPr="00505647" w:rsidRDefault="00283B4A" w:rsidP="00283B4A">
      <w:pPr>
        <w:autoSpaceDE w:val="0"/>
        <w:autoSpaceDN w:val="0"/>
        <w:adjustRightInd w:val="0"/>
        <w:spacing w:after="240"/>
        <w:jc w:val="both"/>
        <w:rPr>
          <w:rFonts w:cs="Arial"/>
          <w:szCs w:val="24"/>
        </w:rPr>
      </w:pPr>
      <w:r w:rsidRPr="00505647">
        <w:rPr>
          <w:rFonts w:cs="Arial"/>
          <w:b/>
          <w:bCs/>
          <w:szCs w:val="24"/>
        </w:rPr>
        <w:t>ALLOWS</w:t>
      </w:r>
      <w:r w:rsidRPr="00505647">
        <w:rPr>
          <w:rFonts w:cs="Arial"/>
          <w:szCs w:val="24"/>
        </w:rPr>
        <w:t xml:space="preserve"> the application by the </w:t>
      </w:r>
      <w:proofErr w:type="spellStart"/>
      <w:r w:rsidRPr="00505647">
        <w:rPr>
          <w:rFonts w:cs="Arial"/>
          <w:szCs w:val="24"/>
        </w:rPr>
        <w:t>Autorité</w:t>
      </w:r>
      <w:proofErr w:type="spellEnd"/>
      <w:r w:rsidRPr="00505647">
        <w:rPr>
          <w:rFonts w:cs="Arial"/>
          <w:szCs w:val="24"/>
        </w:rPr>
        <w:t xml:space="preserve"> des </w:t>
      </w:r>
      <w:proofErr w:type="spellStart"/>
      <w:r w:rsidRPr="00505647">
        <w:rPr>
          <w:rFonts w:cs="Arial"/>
          <w:szCs w:val="24"/>
        </w:rPr>
        <w:t>marchés</w:t>
      </w:r>
      <w:proofErr w:type="spellEnd"/>
      <w:r w:rsidRPr="00505647">
        <w:rPr>
          <w:rFonts w:cs="Arial"/>
          <w:szCs w:val="24"/>
        </w:rPr>
        <w:t xml:space="preserve"> </w:t>
      </w:r>
      <w:proofErr w:type="gramStart"/>
      <w:r w:rsidRPr="00505647">
        <w:rPr>
          <w:rFonts w:cs="Arial"/>
          <w:szCs w:val="24"/>
        </w:rPr>
        <w:t>financiers;</w:t>
      </w:r>
      <w:proofErr w:type="gramEnd"/>
    </w:p>
    <w:p w14:paraId="3FCE13E5" w14:textId="77777777" w:rsidR="00283B4A" w:rsidRPr="00505647" w:rsidRDefault="00283B4A" w:rsidP="00283B4A">
      <w:pPr>
        <w:spacing w:before="120" w:after="120"/>
        <w:jc w:val="both"/>
        <w:rPr>
          <w:rFonts w:cs="Arial"/>
          <w:bCs/>
          <w:szCs w:val="24"/>
          <w:u w:val="single"/>
        </w:rPr>
      </w:pPr>
      <w:r w:rsidRPr="00505647">
        <w:rPr>
          <w:rFonts w:cs="Arial"/>
          <w:szCs w:val="24"/>
          <w:u w:val="single"/>
        </w:rPr>
        <w:t xml:space="preserve">Order pursuant to section 265 of the </w:t>
      </w:r>
      <w:r w:rsidRPr="00505647">
        <w:rPr>
          <w:rFonts w:cs="Arial"/>
          <w:i/>
          <w:iCs/>
          <w:szCs w:val="24"/>
          <w:u w:val="single"/>
        </w:rPr>
        <w:t>Securities Act</w:t>
      </w:r>
    </w:p>
    <w:p w14:paraId="04A3F5E8" w14:textId="1E77D00E" w:rsidR="00EE60CD" w:rsidRDefault="00283B4A" w:rsidP="005D7CFA">
      <w:pPr>
        <w:spacing w:after="240"/>
        <w:jc w:val="both"/>
        <w:rPr>
          <w:rFonts w:cs="Arial"/>
          <w:szCs w:val="24"/>
        </w:rPr>
      </w:pPr>
      <w:r w:rsidRPr="00EE60CD">
        <w:rPr>
          <w:rFonts w:cs="Arial"/>
          <w:b/>
          <w:bCs/>
          <w:szCs w:val="24"/>
        </w:rPr>
        <w:t>PROHIBITS</w:t>
      </w:r>
      <w:r w:rsidRPr="00EE60CD">
        <w:rPr>
          <w:rFonts w:cs="Arial"/>
          <w:szCs w:val="24"/>
        </w:rPr>
        <w:t xml:space="preserve"> XT.COM Exchange,</w:t>
      </w:r>
      <w:r w:rsidRPr="00EE60CD">
        <w:rPr>
          <w:rFonts w:cs="Arial"/>
        </w:rPr>
        <w:t xml:space="preserve"> also doing business as “XT EXCHANGE” and “XT.COM”, </w:t>
      </w:r>
      <w:r w:rsidRPr="00EE60CD">
        <w:rPr>
          <w:rFonts w:cs="Arial"/>
          <w:szCs w:val="24"/>
        </w:rPr>
        <w:t>BZ Limited and any other person operating the XT.com website from engaging in any activity</w:t>
      </w:r>
      <w:r w:rsidR="00EE60CD" w:rsidRPr="00EE60CD">
        <w:rPr>
          <w:rFonts w:cs="Arial"/>
          <w:szCs w:val="24"/>
        </w:rPr>
        <w:t xml:space="preserve">, </w:t>
      </w:r>
      <w:r w:rsidRPr="00EE60CD">
        <w:rPr>
          <w:rFonts w:cs="Arial"/>
          <w:szCs w:val="24"/>
        </w:rPr>
        <w:t>directly or indirectly</w:t>
      </w:r>
      <w:r w:rsidR="008D5204">
        <w:rPr>
          <w:rFonts w:cs="Arial"/>
          <w:szCs w:val="24"/>
        </w:rPr>
        <w:t>,</w:t>
      </w:r>
      <w:r w:rsidRPr="00EE60CD">
        <w:rPr>
          <w:rFonts w:cs="Arial"/>
          <w:szCs w:val="24"/>
        </w:rPr>
        <w:t xml:space="preserve"> </w:t>
      </w:r>
      <w:r w:rsidR="00EE60CD" w:rsidRPr="00EE60CD">
        <w:rPr>
          <w:rFonts w:cs="Arial"/>
          <w:color w:val="000000"/>
        </w:rPr>
        <w:t>in respect of a transaction involving securities</w:t>
      </w:r>
      <w:r w:rsidR="00EE60CD" w:rsidRPr="00EE60CD">
        <w:rPr>
          <w:rFonts w:cs="Arial"/>
          <w:szCs w:val="24"/>
        </w:rPr>
        <w:t xml:space="preserve"> </w:t>
      </w:r>
      <w:r w:rsidRPr="00EE60CD">
        <w:rPr>
          <w:rFonts w:cs="Arial"/>
          <w:szCs w:val="24"/>
        </w:rPr>
        <w:t xml:space="preserve">except for transactions to permit users of the XT.com website to withdraw their assets in the possession or control of XT.COM Exchange, BZ Limited or third parties, and to close their account </w:t>
      </w:r>
      <w:proofErr w:type="gramStart"/>
      <w:r w:rsidRPr="00EE60CD">
        <w:rPr>
          <w:rFonts w:cs="Arial"/>
          <w:szCs w:val="24"/>
        </w:rPr>
        <w:t>there;</w:t>
      </w:r>
      <w:proofErr w:type="gramEnd"/>
    </w:p>
    <w:p w14:paraId="1BE54082" w14:textId="1674448C" w:rsidR="00D651AB" w:rsidRPr="00505647" w:rsidRDefault="0046182F" w:rsidP="007F59DD">
      <w:pPr>
        <w:spacing w:before="120" w:after="120"/>
        <w:jc w:val="both"/>
        <w:rPr>
          <w:rFonts w:cs="Arial"/>
          <w:i/>
          <w:iCs/>
          <w:szCs w:val="24"/>
          <w:u w:val="single"/>
        </w:rPr>
      </w:pPr>
      <w:r w:rsidRPr="00505647">
        <w:rPr>
          <w:rFonts w:cs="Arial"/>
          <w:szCs w:val="24"/>
          <w:u w:val="single"/>
        </w:rPr>
        <w:t xml:space="preserve">Order pursuant to section 264 of the </w:t>
      </w:r>
      <w:r w:rsidRPr="00505647">
        <w:rPr>
          <w:rFonts w:cs="Arial"/>
          <w:i/>
          <w:iCs/>
          <w:szCs w:val="24"/>
          <w:u w:val="single"/>
        </w:rPr>
        <w:t>Securities Act</w:t>
      </w:r>
    </w:p>
    <w:p w14:paraId="234228B2" w14:textId="4D0F326A" w:rsidR="00D651AB" w:rsidRPr="00505647" w:rsidRDefault="0046182F" w:rsidP="000E6CB5">
      <w:pPr>
        <w:spacing w:after="240"/>
        <w:jc w:val="both"/>
        <w:rPr>
          <w:rFonts w:cs="Arial"/>
          <w:szCs w:val="24"/>
        </w:rPr>
      </w:pPr>
      <w:r w:rsidRPr="00505647">
        <w:rPr>
          <w:rFonts w:cs="Arial"/>
          <w:b/>
          <w:bCs/>
          <w:szCs w:val="24"/>
        </w:rPr>
        <w:t>DENIES</w:t>
      </w:r>
      <w:r w:rsidRPr="00505647">
        <w:rPr>
          <w:rFonts w:cs="Arial"/>
          <w:szCs w:val="24"/>
        </w:rPr>
        <w:t xml:space="preserve"> XT.COM Exchange,</w:t>
      </w:r>
      <w:r w:rsidRPr="00505647">
        <w:rPr>
          <w:rFonts w:cs="Arial"/>
        </w:rPr>
        <w:t xml:space="preserve"> also doing business as “XT EXCHANGE” and “XT.COM”, and</w:t>
      </w:r>
      <w:r w:rsidRPr="00505647">
        <w:rPr>
          <w:rFonts w:cs="Arial"/>
          <w:szCs w:val="24"/>
        </w:rPr>
        <w:t xml:space="preserve"> BZ Limited, the benefit of any exemption under the </w:t>
      </w:r>
      <w:r w:rsidRPr="00505647">
        <w:rPr>
          <w:rFonts w:cs="Arial"/>
          <w:i/>
          <w:iCs/>
          <w:szCs w:val="24"/>
        </w:rPr>
        <w:t>Securities Act</w:t>
      </w:r>
      <w:r w:rsidRPr="00505647">
        <w:rPr>
          <w:rFonts w:cs="Arial"/>
          <w:szCs w:val="24"/>
        </w:rPr>
        <w:t xml:space="preserve"> or </w:t>
      </w:r>
      <w:proofErr w:type="gramStart"/>
      <w:r w:rsidRPr="00505647">
        <w:rPr>
          <w:rFonts w:cs="Arial"/>
          <w:szCs w:val="24"/>
        </w:rPr>
        <w:t>regulations;</w:t>
      </w:r>
      <w:proofErr w:type="gramEnd"/>
    </w:p>
    <w:p w14:paraId="700F78E1" w14:textId="7EB56D7A" w:rsidR="00D651AB" w:rsidRPr="00505647" w:rsidRDefault="0046182F" w:rsidP="007F59DD">
      <w:pPr>
        <w:spacing w:before="120" w:after="120"/>
        <w:jc w:val="both"/>
        <w:rPr>
          <w:rFonts w:cs="Arial"/>
          <w:szCs w:val="24"/>
          <w:u w:val="single"/>
        </w:rPr>
      </w:pPr>
      <w:r w:rsidRPr="00505647">
        <w:rPr>
          <w:rFonts w:cs="Arial"/>
          <w:szCs w:val="24"/>
          <w:u w:val="single"/>
        </w:rPr>
        <w:t xml:space="preserve">Order pursuant to section 266 of the </w:t>
      </w:r>
      <w:r w:rsidRPr="00505647">
        <w:rPr>
          <w:rFonts w:cs="Arial"/>
          <w:i/>
          <w:iCs/>
          <w:szCs w:val="24"/>
          <w:u w:val="single"/>
        </w:rPr>
        <w:t>Securities Act</w:t>
      </w:r>
    </w:p>
    <w:p w14:paraId="5633CEC9" w14:textId="310FB8C9" w:rsidR="00D651AB" w:rsidRPr="00505647" w:rsidRDefault="0046182F" w:rsidP="000E6CB5">
      <w:pPr>
        <w:spacing w:after="240"/>
        <w:jc w:val="both"/>
        <w:rPr>
          <w:rFonts w:cs="Arial"/>
          <w:bCs/>
          <w:szCs w:val="24"/>
        </w:rPr>
      </w:pPr>
      <w:r w:rsidRPr="00505647">
        <w:rPr>
          <w:rFonts w:cs="Arial"/>
          <w:b/>
          <w:bCs/>
          <w:szCs w:val="24"/>
        </w:rPr>
        <w:t>PROHIBITS</w:t>
      </w:r>
      <w:r w:rsidRPr="00505647">
        <w:rPr>
          <w:rFonts w:cs="Arial"/>
          <w:szCs w:val="24"/>
        </w:rPr>
        <w:t xml:space="preserve"> XT.COM Exchange,</w:t>
      </w:r>
      <w:r w:rsidRPr="00505647">
        <w:rPr>
          <w:rFonts w:cs="Arial"/>
        </w:rPr>
        <w:t xml:space="preserve"> also doing business as “XT EXCHANGE” and “XT.COM”, </w:t>
      </w:r>
      <w:r w:rsidRPr="00505647">
        <w:rPr>
          <w:rFonts w:cs="Arial"/>
          <w:szCs w:val="24"/>
        </w:rPr>
        <w:t xml:space="preserve">BZ Limited, and any other person operating the XT.com website </w:t>
      </w:r>
      <w:bookmarkStart w:id="21" w:name="_Hlk145324123"/>
      <w:r w:rsidRPr="00505647">
        <w:rPr>
          <w:rFonts w:cs="Arial"/>
          <w:szCs w:val="24"/>
        </w:rPr>
        <w:t>from engaging in the business of securities adviser or acting as an investment fund manager</w:t>
      </w:r>
      <w:bookmarkEnd w:id="21"/>
      <w:r w:rsidRPr="00505647">
        <w:rPr>
          <w:rFonts w:cs="Arial"/>
          <w:szCs w:val="24"/>
        </w:rPr>
        <w:t xml:space="preserve">, except for those activities strictly necessary to enable users of the XT.com website to withdraw their assets in the possession or control of XT.COM Exchange, BZ Limited or third parties, and to close their accounts </w:t>
      </w:r>
      <w:proofErr w:type="gramStart"/>
      <w:r w:rsidRPr="00505647">
        <w:rPr>
          <w:rFonts w:cs="Arial"/>
          <w:szCs w:val="24"/>
        </w:rPr>
        <w:t>there;</w:t>
      </w:r>
      <w:proofErr w:type="gramEnd"/>
    </w:p>
    <w:p w14:paraId="7B11B771" w14:textId="7A09DC65" w:rsidR="00D651AB" w:rsidRPr="00505647" w:rsidRDefault="0046182F" w:rsidP="007F59DD">
      <w:pPr>
        <w:spacing w:before="120" w:after="120"/>
        <w:jc w:val="both"/>
        <w:rPr>
          <w:rFonts w:cs="Arial"/>
          <w:bCs/>
          <w:szCs w:val="24"/>
          <w:u w:val="single"/>
        </w:rPr>
      </w:pPr>
      <w:r w:rsidRPr="00505647">
        <w:rPr>
          <w:rFonts w:cs="Arial"/>
          <w:szCs w:val="24"/>
          <w:u w:val="single"/>
        </w:rPr>
        <w:t xml:space="preserve">Order pursuant to section 131 of the </w:t>
      </w:r>
      <w:r w:rsidRPr="00505647">
        <w:rPr>
          <w:rFonts w:cs="Arial"/>
          <w:i/>
          <w:iCs/>
          <w:szCs w:val="24"/>
          <w:u w:val="single"/>
        </w:rPr>
        <w:t>Derivatives Act</w:t>
      </w:r>
    </w:p>
    <w:p w14:paraId="25B8E2AC" w14:textId="7B78AFDA" w:rsidR="00D651AB" w:rsidRPr="00505647" w:rsidRDefault="0046182F" w:rsidP="000E6CB5">
      <w:pPr>
        <w:spacing w:after="240"/>
        <w:jc w:val="both"/>
        <w:rPr>
          <w:rFonts w:cs="Arial"/>
          <w:bCs/>
          <w:szCs w:val="24"/>
        </w:rPr>
      </w:pPr>
      <w:r w:rsidRPr="00505647">
        <w:rPr>
          <w:rFonts w:cs="Arial"/>
          <w:b/>
          <w:bCs/>
          <w:szCs w:val="24"/>
        </w:rPr>
        <w:lastRenderedPageBreak/>
        <w:t>PROHIBITS</w:t>
      </w:r>
      <w:r w:rsidRPr="00505647">
        <w:rPr>
          <w:rFonts w:cs="Arial"/>
          <w:szCs w:val="24"/>
        </w:rPr>
        <w:t xml:space="preserve"> XT.COM Exchange,</w:t>
      </w:r>
      <w:r w:rsidRPr="00505647">
        <w:rPr>
          <w:rFonts w:cs="Arial"/>
        </w:rPr>
        <w:t xml:space="preserve"> also doing business as “XT EXCHANGE” and “XT.COM”, </w:t>
      </w:r>
      <w:r w:rsidRPr="00505647">
        <w:rPr>
          <w:rFonts w:cs="Arial"/>
          <w:szCs w:val="24"/>
        </w:rPr>
        <w:t xml:space="preserve">BZ Limited and any other person operating the XT.com website from engaging in any activity for the purpose of carrying out, directly or indirectly, a </w:t>
      </w:r>
      <w:bookmarkStart w:id="22" w:name="_Hlk145324144"/>
      <w:r w:rsidRPr="00505647">
        <w:rPr>
          <w:rFonts w:cs="Arial"/>
          <w:szCs w:val="24"/>
        </w:rPr>
        <w:t>derivative transaction or transaction related to the offering or trading of a derivative</w:t>
      </w:r>
      <w:bookmarkEnd w:id="22"/>
      <w:r w:rsidRPr="00505647">
        <w:rPr>
          <w:rFonts w:cs="Arial"/>
          <w:szCs w:val="24"/>
        </w:rPr>
        <w:t>, except for transactions to permit users of the XT.com website to withdraw their assets in the possession or control of XT.COM Exchange, BZ Limited or third parties, and to close their account there;</w:t>
      </w:r>
    </w:p>
    <w:p w14:paraId="1EB7AF5B" w14:textId="4B04268E" w:rsidR="00D651AB" w:rsidRPr="00505647" w:rsidRDefault="0046182F" w:rsidP="007F59DD">
      <w:pPr>
        <w:spacing w:before="120" w:after="120" w:line="276" w:lineRule="auto"/>
        <w:rPr>
          <w:rFonts w:cs="Arial"/>
          <w:bCs/>
          <w:szCs w:val="24"/>
          <w:u w:val="single"/>
        </w:rPr>
      </w:pPr>
      <w:r w:rsidRPr="00505647">
        <w:rPr>
          <w:rFonts w:cs="Arial"/>
          <w:szCs w:val="24"/>
          <w:u w:val="single"/>
        </w:rPr>
        <w:t xml:space="preserve">Order pursuant to section 130 of the </w:t>
      </w:r>
      <w:r w:rsidRPr="00505647">
        <w:rPr>
          <w:rFonts w:cs="Arial"/>
          <w:i/>
          <w:iCs/>
          <w:szCs w:val="24"/>
          <w:u w:val="single"/>
        </w:rPr>
        <w:t>Derivatives Act</w:t>
      </w:r>
      <w:r w:rsidRPr="00505647">
        <w:rPr>
          <w:rFonts w:cs="Arial"/>
          <w:szCs w:val="24"/>
          <w:u w:val="single"/>
        </w:rPr>
        <w:t>:</w:t>
      </w:r>
    </w:p>
    <w:p w14:paraId="27A2C14A" w14:textId="6E46058C" w:rsidR="00D651AB" w:rsidRPr="00505647" w:rsidRDefault="0046182F" w:rsidP="000E6CB5">
      <w:pPr>
        <w:spacing w:after="240"/>
        <w:jc w:val="both"/>
        <w:rPr>
          <w:rFonts w:cs="Arial"/>
          <w:bCs/>
          <w:szCs w:val="24"/>
        </w:rPr>
      </w:pPr>
      <w:r w:rsidRPr="00505647">
        <w:rPr>
          <w:rFonts w:cs="Arial"/>
          <w:b/>
          <w:bCs/>
          <w:szCs w:val="24"/>
        </w:rPr>
        <w:t>DENIES</w:t>
      </w:r>
      <w:r w:rsidRPr="00505647">
        <w:rPr>
          <w:rFonts w:cs="Arial"/>
          <w:szCs w:val="24"/>
        </w:rPr>
        <w:t xml:space="preserve"> XT.COM Exchange,</w:t>
      </w:r>
      <w:r w:rsidRPr="00505647">
        <w:rPr>
          <w:rFonts w:cs="Arial"/>
        </w:rPr>
        <w:t xml:space="preserve"> also doing business as “XT EXCHANGE” and “XT.COM”,</w:t>
      </w:r>
      <w:r w:rsidRPr="00505647">
        <w:rPr>
          <w:rFonts w:cs="Arial"/>
          <w:szCs w:val="24"/>
        </w:rPr>
        <w:t xml:space="preserve"> BZ Limited and any other person operating the XT.com website the benefit of any exemption under the </w:t>
      </w:r>
      <w:r w:rsidRPr="00505647">
        <w:rPr>
          <w:rFonts w:cs="Arial"/>
          <w:i/>
          <w:iCs/>
          <w:szCs w:val="24"/>
        </w:rPr>
        <w:t xml:space="preserve">Derivatives </w:t>
      </w:r>
      <w:proofErr w:type="gramStart"/>
      <w:r w:rsidRPr="00505647">
        <w:rPr>
          <w:rFonts w:cs="Arial"/>
          <w:i/>
          <w:iCs/>
          <w:szCs w:val="24"/>
        </w:rPr>
        <w:t>Act</w:t>
      </w:r>
      <w:r w:rsidRPr="00505647">
        <w:rPr>
          <w:rFonts w:cs="Arial"/>
          <w:szCs w:val="24"/>
        </w:rPr>
        <w:t>;</w:t>
      </w:r>
      <w:proofErr w:type="gramEnd"/>
    </w:p>
    <w:p w14:paraId="4306EED1" w14:textId="7ADA8E82" w:rsidR="00D651AB" w:rsidRPr="00505647" w:rsidRDefault="0046182F" w:rsidP="007F59DD">
      <w:pPr>
        <w:spacing w:before="120" w:after="120"/>
        <w:jc w:val="both"/>
        <w:rPr>
          <w:rFonts w:cs="Arial"/>
          <w:szCs w:val="24"/>
          <w:u w:val="single"/>
        </w:rPr>
      </w:pPr>
      <w:r w:rsidRPr="00505647">
        <w:rPr>
          <w:rFonts w:cs="Arial"/>
          <w:szCs w:val="24"/>
          <w:u w:val="single"/>
        </w:rPr>
        <w:t xml:space="preserve">Order pursuant to section 132 of the </w:t>
      </w:r>
      <w:r w:rsidRPr="00505647">
        <w:rPr>
          <w:rFonts w:cs="Arial"/>
          <w:i/>
          <w:iCs/>
          <w:szCs w:val="24"/>
          <w:u w:val="single"/>
        </w:rPr>
        <w:t>Derivatives Act</w:t>
      </w:r>
      <w:r w:rsidRPr="00505647">
        <w:rPr>
          <w:rFonts w:cs="Arial"/>
          <w:szCs w:val="24"/>
          <w:u w:val="single"/>
        </w:rPr>
        <w:t>:</w:t>
      </w:r>
    </w:p>
    <w:p w14:paraId="56BF04E5" w14:textId="5BC710E0" w:rsidR="00D651AB" w:rsidRPr="00505647" w:rsidRDefault="0046182F" w:rsidP="00E87274">
      <w:pPr>
        <w:spacing w:after="240"/>
        <w:jc w:val="both"/>
        <w:rPr>
          <w:rFonts w:cs="Arial"/>
          <w:szCs w:val="24"/>
        </w:rPr>
      </w:pPr>
      <w:r w:rsidRPr="00505647">
        <w:rPr>
          <w:rFonts w:cs="Arial"/>
          <w:b/>
          <w:bCs/>
          <w:szCs w:val="24"/>
        </w:rPr>
        <w:t>PROHIBITS</w:t>
      </w:r>
      <w:r w:rsidRPr="00505647">
        <w:rPr>
          <w:rFonts w:cs="Arial"/>
          <w:szCs w:val="24"/>
        </w:rPr>
        <w:t xml:space="preserve"> XT.COM Exchange, </w:t>
      </w:r>
      <w:r w:rsidRPr="00505647">
        <w:rPr>
          <w:rFonts w:cs="Arial"/>
        </w:rPr>
        <w:t xml:space="preserve">also doing business as “XT EXCHANGE” and “XT.COM”, </w:t>
      </w:r>
      <w:r w:rsidRPr="00505647">
        <w:rPr>
          <w:rFonts w:cs="Arial"/>
          <w:szCs w:val="24"/>
        </w:rPr>
        <w:t xml:space="preserve">BZ Limited and any other person operating the XT.com website from engaging in the activity of derivatives adviser, except for those activities strictly necessary to enable users of the XT.com website to withdraw their assets in the possession or control of XT.COM Exchange, BZ Limited or third parties, and to close their accounts </w:t>
      </w:r>
      <w:proofErr w:type="gramStart"/>
      <w:r w:rsidRPr="00505647">
        <w:rPr>
          <w:rFonts w:cs="Arial"/>
          <w:szCs w:val="24"/>
        </w:rPr>
        <w:t>there;</w:t>
      </w:r>
      <w:proofErr w:type="gramEnd"/>
    </w:p>
    <w:p w14:paraId="1A21C057" w14:textId="6D994E3F" w:rsidR="00D651AB" w:rsidRPr="00505647" w:rsidRDefault="0046182F" w:rsidP="007F59DD">
      <w:pPr>
        <w:spacing w:before="120" w:after="120"/>
        <w:jc w:val="both"/>
        <w:rPr>
          <w:rFonts w:cs="Arial"/>
          <w:szCs w:val="24"/>
          <w:u w:val="single"/>
        </w:rPr>
      </w:pPr>
      <w:r w:rsidRPr="00505647">
        <w:rPr>
          <w:rFonts w:cs="Arial"/>
          <w:szCs w:val="24"/>
          <w:u w:val="single"/>
        </w:rPr>
        <w:t xml:space="preserve">Orders pursuant to section 273.1 of the </w:t>
      </w:r>
      <w:r w:rsidRPr="00505647">
        <w:rPr>
          <w:rFonts w:cs="Arial"/>
          <w:i/>
          <w:iCs/>
          <w:szCs w:val="24"/>
          <w:u w:val="single"/>
        </w:rPr>
        <w:t>Securities Act</w:t>
      </w:r>
      <w:r w:rsidRPr="00505647">
        <w:rPr>
          <w:rFonts w:cs="Arial"/>
          <w:szCs w:val="24"/>
          <w:u w:val="single"/>
        </w:rPr>
        <w:t xml:space="preserve"> and </w:t>
      </w:r>
      <w:r w:rsidR="001B64E9">
        <w:rPr>
          <w:rFonts w:cs="Arial"/>
          <w:szCs w:val="24"/>
          <w:u w:val="single"/>
        </w:rPr>
        <w:t xml:space="preserve">section </w:t>
      </w:r>
      <w:r w:rsidRPr="00505647">
        <w:rPr>
          <w:rFonts w:cs="Arial"/>
          <w:szCs w:val="24"/>
          <w:u w:val="single"/>
        </w:rPr>
        <w:t xml:space="preserve">134 of the </w:t>
      </w:r>
      <w:r w:rsidRPr="00505647">
        <w:rPr>
          <w:rFonts w:cs="Arial"/>
          <w:i/>
          <w:iCs/>
          <w:szCs w:val="24"/>
          <w:u w:val="single"/>
        </w:rPr>
        <w:t>Derivatives Act</w:t>
      </w:r>
    </w:p>
    <w:p w14:paraId="7494E1DA" w14:textId="3F6374F8" w:rsidR="00D651AB" w:rsidRPr="00505647" w:rsidRDefault="0046182F" w:rsidP="00E87274">
      <w:pPr>
        <w:spacing w:after="240"/>
        <w:jc w:val="both"/>
        <w:rPr>
          <w:rFonts w:eastAsia="Calibri" w:cs="Arial"/>
        </w:rPr>
      </w:pPr>
      <w:r w:rsidRPr="00505647">
        <w:rPr>
          <w:rFonts w:cs="Arial"/>
          <w:b/>
          <w:bCs/>
        </w:rPr>
        <w:t>IMPOSES</w:t>
      </w:r>
      <w:r w:rsidRPr="00505647">
        <w:rPr>
          <w:rFonts w:cs="Arial"/>
        </w:rPr>
        <w:t xml:space="preserve"> on </w:t>
      </w:r>
      <w:r w:rsidRPr="00505647">
        <w:rPr>
          <w:rFonts w:cs="Arial"/>
          <w:szCs w:val="24"/>
        </w:rPr>
        <w:t xml:space="preserve">XT.COM Exchange, </w:t>
      </w:r>
      <w:r w:rsidRPr="00505647">
        <w:rPr>
          <w:rFonts w:cs="Arial"/>
        </w:rPr>
        <w:t>also carrying on business as “XT EXCHANGE” and “XT.COM”, and on</w:t>
      </w:r>
      <w:r w:rsidRPr="00505647">
        <w:rPr>
          <w:rFonts w:cs="Arial"/>
          <w:szCs w:val="24"/>
        </w:rPr>
        <w:t xml:space="preserve"> BZ Limited, all acting as one person within the meaning of section 5.1 of the </w:t>
      </w:r>
      <w:r w:rsidRPr="00505647">
        <w:rPr>
          <w:rFonts w:cs="Arial"/>
          <w:i/>
          <w:iCs/>
          <w:szCs w:val="24"/>
        </w:rPr>
        <w:t>Securities Act</w:t>
      </w:r>
      <w:r w:rsidRPr="00505647">
        <w:rPr>
          <w:rFonts w:cs="Arial"/>
          <w:szCs w:val="24"/>
        </w:rPr>
        <w:t xml:space="preserve"> and section 3 of the </w:t>
      </w:r>
      <w:r w:rsidRPr="00505647">
        <w:rPr>
          <w:rFonts w:cs="Arial"/>
          <w:i/>
          <w:iCs/>
          <w:szCs w:val="24"/>
        </w:rPr>
        <w:t>Derivatives Act</w:t>
      </w:r>
      <w:r w:rsidRPr="00505647">
        <w:rPr>
          <w:rFonts w:cs="Arial"/>
          <w:szCs w:val="24"/>
        </w:rPr>
        <w:t xml:space="preserve">, </w:t>
      </w:r>
      <w:r w:rsidRPr="00505647">
        <w:rPr>
          <w:rFonts w:cs="Arial"/>
        </w:rPr>
        <w:t>an administrative penalty of two million dollars ($2,000,000)</w:t>
      </w:r>
      <w:r w:rsidRPr="00505647">
        <w:rPr>
          <w:rFonts w:cs="Arial"/>
          <w:szCs w:val="24"/>
        </w:rPr>
        <w:t>, jointly and severally,</w:t>
      </w:r>
      <w:r w:rsidRPr="00505647">
        <w:rPr>
          <w:rFonts w:cs="Arial"/>
        </w:rPr>
        <w:t xml:space="preserve"> for having, by their acts or omissions, contravened or assisted in the performance of contraventions of sections 11 and 148 of the </w:t>
      </w:r>
      <w:r w:rsidRPr="00505647">
        <w:rPr>
          <w:rFonts w:cs="Arial"/>
          <w:i/>
          <w:iCs/>
        </w:rPr>
        <w:t>Securities Act</w:t>
      </w:r>
      <w:r w:rsidRPr="00505647">
        <w:rPr>
          <w:rFonts w:cs="Arial"/>
        </w:rPr>
        <w:t xml:space="preserve"> and sections 54 and 82 of the </w:t>
      </w:r>
      <w:r w:rsidRPr="00505647">
        <w:rPr>
          <w:rFonts w:cs="Arial"/>
          <w:i/>
          <w:iCs/>
        </w:rPr>
        <w:t>Derivatives Act</w:t>
      </w:r>
      <w:r w:rsidRPr="00505647">
        <w:rPr>
          <w:rFonts w:cs="Arial"/>
        </w:rPr>
        <w:t>;</w:t>
      </w:r>
    </w:p>
    <w:p w14:paraId="0FEF52A8" w14:textId="3802EA6A" w:rsidR="00D651AB" w:rsidRPr="00505647" w:rsidRDefault="0046182F" w:rsidP="00E87274">
      <w:pPr>
        <w:spacing w:after="240"/>
        <w:jc w:val="both"/>
        <w:rPr>
          <w:rFonts w:cs="Arial"/>
          <w:bCs/>
        </w:rPr>
      </w:pPr>
      <w:r w:rsidRPr="00505647">
        <w:rPr>
          <w:rFonts w:cs="Arial"/>
          <w:b/>
          <w:bCs/>
        </w:rPr>
        <w:t>AUTHORIZES</w:t>
      </w:r>
      <w:r w:rsidRPr="00505647">
        <w:rPr>
          <w:rFonts w:cs="Arial"/>
        </w:rPr>
        <w:t xml:space="preserve"> the </w:t>
      </w:r>
      <w:proofErr w:type="spellStart"/>
      <w:r w:rsidRPr="00505647">
        <w:rPr>
          <w:rFonts w:cs="Arial"/>
        </w:rPr>
        <w:t>Autorité</w:t>
      </w:r>
      <w:proofErr w:type="spellEnd"/>
      <w:r w:rsidRPr="00505647">
        <w:rPr>
          <w:rFonts w:cs="Arial"/>
        </w:rPr>
        <w:t xml:space="preserve"> des </w:t>
      </w:r>
      <w:proofErr w:type="spellStart"/>
      <w:r w:rsidRPr="00505647">
        <w:rPr>
          <w:rFonts w:cs="Arial"/>
        </w:rPr>
        <w:t>marchés</w:t>
      </w:r>
      <w:proofErr w:type="spellEnd"/>
      <w:r w:rsidRPr="00505647">
        <w:rPr>
          <w:rFonts w:cs="Arial"/>
        </w:rPr>
        <w:t xml:space="preserve"> financiers to collect payment of the administrative penalty </w:t>
      </w:r>
      <w:proofErr w:type="gramStart"/>
      <w:r w:rsidRPr="00505647">
        <w:rPr>
          <w:rFonts w:cs="Arial"/>
        </w:rPr>
        <w:t>imposed;</w:t>
      </w:r>
      <w:proofErr w:type="gramEnd"/>
    </w:p>
    <w:p w14:paraId="77187475" w14:textId="67BB1AC1" w:rsidR="00D651AB" w:rsidRPr="00505647" w:rsidRDefault="0046182F" w:rsidP="007F59DD">
      <w:pPr>
        <w:spacing w:before="120" w:after="120"/>
        <w:jc w:val="both"/>
        <w:rPr>
          <w:rFonts w:cs="Arial"/>
          <w:szCs w:val="24"/>
          <w:u w:val="single"/>
        </w:rPr>
      </w:pPr>
      <w:r w:rsidRPr="00505647">
        <w:rPr>
          <w:rFonts w:cs="Arial"/>
          <w:szCs w:val="24"/>
          <w:u w:val="single"/>
        </w:rPr>
        <w:t xml:space="preserve">Orders pursuant to section 94 of the </w:t>
      </w:r>
      <w:r w:rsidRPr="00505647">
        <w:rPr>
          <w:rFonts w:cs="Arial"/>
          <w:i/>
          <w:iCs/>
          <w:szCs w:val="24"/>
          <w:u w:val="single"/>
        </w:rPr>
        <w:t>Act respecting the regulation of the financial sector</w:t>
      </w:r>
      <w:r w:rsidRPr="00505647">
        <w:rPr>
          <w:rFonts w:cs="Arial"/>
          <w:szCs w:val="24"/>
          <w:u w:val="single"/>
        </w:rPr>
        <w:t xml:space="preserve"> and section 270 of the </w:t>
      </w:r>
      <w:r w:rsidRPr="00505647">
        <w:rPr>
          <w:rFonts w:cs="Arial"/>
          <w:i/>
          <w:iCs/>
          <w:szCs w:val="24"/>
          <w:u w:val="single"/>
        </w:rPr>
        <w:t>Securities Act</w:t>
      </w:r>
      <w:r w:rsidRPr="00505647">
        <w:rPr>
          <w:rFonts w:cs="Arial"/>
          <w:szCs w:val="24"/>
          <w:u w:val="single"/>
        </w:rPr>
        <w:t>:</w:t>
      </w:r>
    </w:p>
    <w:p w14:paraId="1707875E" w14:textId="550A5EEC" w:rsidR="00D651AB" w:rsidRPr="00505647" w:rsidRDefault="0046182F" w:rsidP="00E87274">
      <w:pPr>
        <w:spacing w:after="240"/>
        <w:jc w:val="both"/>
        <w:rPr>
          <w:rFonts w:cs="Arial"/>
          <w:szCs w:val="24"/>
        </w:rPr>
      </w:pPr>
      <w:r w:rsidRPr="00505647">
        <w:rPr>
          <w:rFonts w:cs="Arial"/>
          <w:b/>
          <w:bCs/>
          <w:szCs w:val="24"/>
        </w:rPr>
        <w:t>ORDERS</w:t>
      </w:r>
      <w:r w:rsidRPr="00505647">
        <w:rPr>
          <w:rFonts w:cs="Arial"/>
          <w:szCs w:val="24"/>
        </w:rPr>
        <w:t xml:space="preserve"> XT.COM Exchange, </w:t>
      </w:r>
      <w:r w:rsidRPr="00505647">
        <w:rPr>
          <w:rFonts w:cs="Arial"/>
        </w:rPr>
        <w:t>also doing business as “XT EXCHANGE” and “XT.COM”,</w:t>
      </w:r>
      <w:r w:rsidRPr="00505647">
        <w:rPr>
          <w:rFonts w:cs="Arial"/>
          <w:szCs w:val="24"/>
        </w:rPr>
        <w:t xml:space="preserve"> BZ Limited and any other person operating the XT.com website, two (2) months after this decision and for the future, to block access to the XT.com </w:t>
      </w:r>
      <w:proofErr w:type="gramStart"/>
      <w:r w:rsidRPr="00505647">
        <w:rPr>
          <w:rFonts w:cs="Arial"/>
          <w:szCs w:val="24"/>
        </w:rPr>
        <w:t>website;</w:t>
      </w:r>
      <w:proofErr w:type="gramEnd"/>
    </w:p>
    <w:p w14:paraId="16E0EDBB" w14:textId="2FEC8CF6" w:rsidR="00D651AB" w:rsidRPr="00505647" w:rsidRDefault="0046182F" w:rsidP="007F59DD">
      <w:pPr>
        <w:spacing w:before="120" w:after="120"/>
        <w:jc w:val="both"/>
        <w:rPr>
          <w:rFonts w:cs="Arial"/>
          <w:szCs w:val="24"/>
        </w:rPr>
      </w:pPr>
      <w:r w:rsidRPr="00505647">
        <w:rPr>
          <w:rFonts w:cs="Arial"/>
          <w:b/>
          <w:bCs/>
          <w:szCs w:val="24"/>
        </w:rPr>
        <w:t>ORDERS</w:t>
      </w:r>
      <w:r w:rsidRPr="00505647">
        <w:rPr>
          <w:rFonts w:cs="Arial"/>
          <w:szCs w:val="24"/>
        </w:rPr>
        <w:t xml:space="preserve"> XT.COM Exchange,</w:t>
      </w:r>
      <w:r w:rsidRPr="00505647">
        <w:rPr>
          <w:rFonts w:cs="Arial"/>
        </w:rPr>
        <w:t xml:space="preserve"> also doing business as “XT EXCHANGE” and “XT.COM”, and</w:t>
      </w:r>
      <w:r w:rsidRPr="00505647">
        <w:rPr>
          <w:rFonts w:cs="Arial"/>
          <w:szCs w:val="24"/>
        </w:rPr>
        <w:t xml:space="preserve"> BZ Limited to notify users of the XT.com website no later than two (2) days after receiving notification of this decision that it will cease to be accessible to them two (2) months after the date of this decision and for the future, and that they must therefore withdraw any assets held therein and close their account as soon as possible.</w:t>
      </w:r>
    </w:p>
    <w:p w14:paraId="28A32566" w14:textId="77777777" w:rsidR="00F96AE6" w:rsidRPr="00505647" w:rsidRDefault="00F96AE6" w:rsidP="00402BBD">
      <w:pPr>
        <w:autoSpaceDE w:val="0"/>
        <w:autoSpaceDN w:val="0"/>
        <w:adjustRightInd w:val="0"/>
        <w:jc w:val="both"/>
        <w:rPr>
          <w:rFonts w:cs="Arial"/>
          <w:szCs w:val="24"/>
        </w:rPr>
      </w:pPr>
    </w:p>
    <w:p w14:paraId="16978CF8" w14:textId="77777777" w:rsidR="00F96AE6" w:rsidRPr="00505647" w:rsidRDefault="00F96AE6" w:rsidP="00402BBD">
      <w:pPr>
        <w:autoSpaceDE w:val="0"/>
        <w:autoSpaceDN w:val="0"/>
        <w:adjustRightInd w:val="0"/>
        <w:jc w:val="both"/>
        <w:rPr>
          <w:rFonts w:cs="Arial"/>
          <w:szCs w:val="24"/>
        </w:rPr>
      </w:pPr>
    </w:p>
    <w:tbl>
      <w:tblPr>
        <w:tblW w:w="9435" w:type="dxa"/>
        <w:tblLayout w:type="fixed"/>
        <w:tblCellMar>
          <w:left w:w="70" w:type="dxa"/>
          <w:right w:w="70" w:type="dxa"/>
        </w:tblCellMar>
        <w:tblLook w:val="0000" w:firstRow="0" w:lastRow="0" w:firstColumn="0" w:lastColumn="0" w:noHBand="0" w:noVBand="0"/>
      </w:tblPr>
      <w:tblGrid>
        <w:gridCol w:w="4831"/>
        <w:gridCol w:w="4604"/>
      </w:tblGrid>
      <w:tr w:rsidR="00CF7890" w:rsidRPr="00505647" w14:paraId="09D5B3E6" w14:textId="77777777" w:rsidTr="009B0DCD">
        <w:trPr>
          <w:trHeight w:val="576"/>
        </w:trPr>
        <w:tc>
          <w:tcPr>
            <w:tcW w:w="9435" w:type="dxa"/>
            <w:gridSpan w:val="2"/>
          </w:tcPr>
          <w:p w14:paraId="65EBF9CC" w14:textId="77777777" w:rsidR="00EF4545" w:rsidRPr="00505647" w:rsidRDefault="00EF4545">
            <w:pPr>
              <w:keepNext/>
              <w:keepLines/>
              <w:rPr>
                <w:rFonts w:cs="Arial"/>
              </w:rPr>
            </w:pPr>
          </w:p>
          <w:p w14:paraId="1627A445" w14:textId="77777777" w:rsidR="00FA71CA" w:rsidRPr="00505647" w:rsidRDefault="00FA71CA">
            <w:pPr>
              <w:keepNext/>
              <w:keepLines/>
              <w:rPr>
                <w:rFonts w:cs="Arial"/>
              </w:rPr>
            </w:pPr>
          </w:p>
        </w:tc>
      </w:tr>
      <w:tr w:rsidR="00CF7890" w:rsidRPr="00505647" w14:paraId="1A746F58" w14:textId="77777777" w:rsidTr="00EF4545">
        <w:tblPrEx>
          <w:tblCellMar>
            <w:left w:w="0" w:type="dxa"/>
            <w:right w:w="0" w:type="dxa"/>
          </w:tblCellMar>
        </w:tblPrEx>
        <w:trPr>
          <w:cantSplit/>
        </w:trPr>
        <w:tc>
          <w:tcPr>
            <w:tcW w:w="4831" w:type="dxa"/>
          </w:tcPr>
          <w:p w14:paraId="6663474F" w14:textId="77777777" w:rsidR="00B4030F" w:rsidRPr="00505647" w:rsidRDefault="00B4030F">
            <w:pPr>
              <w:rPr>
                <w:rFonts w:cs="Arial"/>
              </w:rPr>
            </w:pPr>
          </w:p>
        </w:tc>
        <w:tc>
          <w:tcPr>
            <w:tcW w:w="4589" w:type="dxa"/>
            <w:tcBorders>
              <w:top w:val="single" w:sz="4" w:space="0" w:color="auto"/>
            </w:tcBorders>
          </w:tcPr>
          <w:p w14:paraId="60CD84AB" w14:textId="35F3AB5D" w:rsidR="00F83A15" w:rsidRPr="00505647" w:rsidRDefault="0046182F" w:rsidP="001D374E">
            <w:pPr>
              <w:pStyle w:val="zSoquijdatSignature3Juge"/>
              <w:jc w:val="center"/>
              <w:rPr>
                <w:rFonts w:cs="Arial"/>
                <w:b/>
              </w:rPr>
            </w:pPr>
            <w:proofErr w:type="spellStart"/>
            <w:r w:rsidRPr="00505647">
              <w:rPr>
                <w:rFonts w:cs="Arial"/>
                <w:b/>
                <w:bCs/>
              </w:rPr>
              <w:t>Mtre</w:t>
            </w:r>
            <w:proofErr w:type="spellEnd"/>
            <w:r w:rsidRPr="00505647">
              <w:rPr>
                <w:rFonts w:cs="Arial"/>
                <w:b/>
                <w:bCs/>
              </w:rPr>
              <w:t>. Nicole Martineau</w:t>
            </w:r>
          </w:p>
          <w:p w14:paraId="47BC361A" w14:textId="789A2AE8" w:rsidR="00B4030F" w:rsidRPr="00505647" w:rsidRDefault="0046182F" w:rsidP="001D374E">
            <w:pPr>
              <w:pStyle w:val="zSoquijdatSignature3Juge"/>
              <w:jc w:val="center"/>
              <w:rPr>
                <w:rFonts w:cs="Arial"/>
              </w:rPr>
            </w:pPr>
            <w:r w:rsidRPr="00505647">
              <w:rPr>
                <w:rFonts w:cs="Arial"/>
                <w:b/>
                <w:bCs/>
              </w:rPr>
              <w:t>Administrative Judge</w:t>
            </w:r>
          </w:p>
        </w:tc>
      </w:tr>
      <w:tr w:rsidR="00CF7890" w:rsidRPr="00505647" w14:paraId="2D56970B" w14:textId="77777777" w:rsidTr="009B0DCD">
        <w:tblPrEx>
          <w:tblCellMar>
            <w:left w:w="0" w:type="dxa"/>
            <w:right w:w="0" w:type="dxa"/>
          </w:tblCellMar>
        </w:tblPrEx>
        <w:trPr>
          <w:cantSplit/>
        </w:trPr>
        <w:tc>
          <w:tcPr>
            <w:tcW w:w="4831" w:type="dxa"/>
          </w:tcPr>
          <w:p w14:paraId="7FE04C05" w14:textId="77777777" w:rsidR="00B4030F" w:rsidRPr="00505647" w:rsidRDefault="00B4030F">
            <w:pPr>
              <w:rPr>
                <w:rFonts w:cs="Arial"/>
              </w:rPr>
            </w:pPr>
          </w:p>
        </w:tc>
        <w:tc>
          <w:tcPr>
            <w:tcW w:w="4589" w:type="dxa"/>
          </w:tcPr>
          <w:p w14:paraId="5AD15FD7" w14:textId="77777777" w:rsidR="00B4030F" w:rsidRPr="00505647" w:rsidRDefault="00B4030F">
            <w:pPr>
              <w:pStyle w:val="zSoquijdatSignature3Juge"/>
              <w:rPr>
                <w:rFonts w:cs="Arial"/>
              </w:rPr>
            </w:pPr>
          </w:p>
        </w:tc>
      </w:tr>
      <w:tr w:rsidR="00CF7890" w:rsidRPr="00505647" w14:paraId="4507BDD2" w14:textId="77777777" w:rsidTr="009B0DCD">
        <w:tc>
          <w:tcPr>
            <w:tcW w:w="9435" w:type="dxa"/>
            <w:gridSpan w:val="2"/>
          </w:tcPr>
          <w:p w14:paraId="05255027" w14:textId="77777777" w:rsidR="00B4030F" w:rsidRPr="00505647" w:rsidRDefault="00B4030F">
            <w:pPr>
              <w:rPr>
                <w:rFonts w:cs="Arial"/>
              </w:rPr>
            </w:pPr>
          </w:p>
          <w:p w14:paraId="0EA760FB" w14:textId="77777777" w:rsidR="00FA71CA" w:rsidRPr="00505647" w:rsidRDefault="00FA71CA">
            <w:pPr>
              <w:rPr>
                <w:rFonts w:cs="Arial"/>
              </w:rPr>
            </w:pPr>
          </w:p>
          <w:p w14:paraId="2872D0C2" w14:textId="77777777" w:rsidR="00EF4545" w:rsidRPr="00505647" w:rsidRDefault="00EF4545">
            <w:pPr>
              <w:rPr>
                <w:rFonts w:cs="Arial"/>
              </w:rPr>
            </w:pPr>
          </w:p>
          <w:p w14:paraId="6DED55F6" w14:textId="77777777" w:rsidR="00FA71CA" w:rsidRPr="00505647" w:rsidRDefault="00FA71CA">
            <w:pPr>
              <w:rPr>
                <w:rFonts w:cs="Arial"/>
              </w:rPr>
            </w:pPr>
          </w:p>
        </w:tc>
      </w:tr>
      <w:tr w:rsidR="00CF7890" w:rsidRPr="00505647" w14:paraId="2597887C" w14:textId="77777777" w:rsidTr="00EF4545">
        <w:tblPrEx>
          <w:tblCellMar>
            <w:left w:w="0" w:type="dxa"/>
            <w:right w:w="0" w:type="dxa"/>
          </w:tblCellMar>
        </w:tblPrEx>
        <w:trPr>
          <w:cantSplit/>
        </w:trPr>
        <w:tc>
          <w:tcPr>
            <w:tcW w:w="4831" w:type="dxa"/>
          </w:tcPr>
          <w:p w14:paraId="5509FA14" w14:textId="77777777" w:rsidR="00B4030F" w:rsidRPr="00505647" w:rsidRDefault="00B4030F" w:rsidP="00B4030F">
            <w:pPr>
              <w:rPr>
                <w:rFonts w:cs="Arial"/>
              </w:rPr>
            </w:pPr>
          </w:p>
        </w:tc>
        <w:tc>
          <w:tcPr>
            <w:tcW w:w="4589" w:type="dxa"/>
            <w:tcBorders>
              <w:top w:val="single" w:sz="4" w:space="0" w:color="auto"/>
            </w:tcBorders>
          </w:tcPr>
          <w:p w14:paraId="79A2A7F1" w14:textId="3DEC94EB" w:rsidR="00F83A15" w:rsidRPr="00505647" w:rsidRDefault="0046182F" w:rsidP="001D374E">
            <w:pPr>
              <w:pStyle w:val="zSoquijdatSignature3Juge"/>
              <w:jc w:val="center"/>
              <w:rPr>
                <w:rFonts w:cs="Arial"/>
                <w:b/>
              </w:rPr>
            </w:pPr>
            <w:proofErr w:type="spellStart"/>
            <w:r w:rsidRPr="00505647">
              <w:rPr>
                <w:rFonts w:cs="Arial"/>
                <w:b/>
                <w:bCs/>
              </w:rPr>
              <w:t>Mtre</w:t>
            </w:r>
            <w:proofErr w:type="spellEnd"/>
            <w:r w:rsidRPr="00505647">
              <w:rPr>
                <w:rFonts w:cs="Arial"/>
                <w:b/>
                <w:bCs/>
              </w:rPr>
              <w:t>. Christine Dubé</w:t>
            </w:r>
          </w:p>
          <w:p w14:paraId="73D74C50" w14:textId="4EAB3F9F" w:rsidR="00B4030F" w:rsidRPr="00505647" w:rsidRDefault="0046182F" w:rsidP="001D374E">
            <w:pPr>
              <w:pStyle w:val="zSoquijdatSignature3Juge"/>
              <w:jc w:val="center"/>
              <w:rPr>
                <w:rFonts w:cs="Arial"/>
              </w:rPr>
            </w:pPr>
            <w:r w:rsidRPr="00505647">
              <w:rPr>
                <w:rFonts w:cs="Arial"/>
                <w:b/>
                <w:bCs/>
              </w:rPr>
              <w:t>Administrative Judge</w:t>
            </w:r>
          </w:p>
        </w:tc>
      </w:tr>
      <w:tr w:rsidR="00CF7890" w:rsidRPr="00505647" w14:paraId="76254FA0" w14:textId="77777777" w:rsidTr="009B0DCD">
        <w:tc>
          <w:tcPr>
            <w:tcW w:w="9435" w:type="dxa"/>
            <w:gridSpan w:val="2"/>
          </w:tcPr>
          <w:p w14:paraId="415BB46B" w14:textId="77777777" w:rsidR="00B4030F" w:rsidRPr="00505647" w:rsidRDefault="00B4030F">
            <w:pPr>
              <w:rPr>
                <w:rFonts w:cs="Arial"/>
              </w:rPr>
            </w:pPr>
          </w:p>
        </w:tc>
      </w:tr>
    </w:tbl>
    <w:p w14:paraId="106C9667" w14:textId="77777777" w:rsidR="00EB39E3" w:rsidRPr="00505647" w:rsidRDefault="00EB39E3">
      <w:pPr>
        <w:rPr>
          <w:rFonts w:cs="Arial"/>
        </w:rPr>
      </w:pPr>
    </w:p>
    <w:tbl>
      <w:tblPr>
        <w:tblW w:w="9426" w:type="dxa"/>
        <w:tblLayout w:type="fixed"/>
        <w:tblCellMar>
          <w:left w:w="70" w:type="dxa"/>
          <w:right w:w="70" w:type="dxa"/>
        </w:tblCellMar>
        <w:tblLook w:val="0000" w:firstRow="0" w:lastRow="0" w:firstColumn="0" w:lastColumn="0" w:noHBand="0" w:noVBand="0"/>
      </w:tblPr>
      <w:tblGrid>
        <w:gridCol w:w="2197"/>
        <w:gridCol w:w="7229"/>
      </w:tblGrid>
      <w:tr w:rsidR="00CF7890" w:rsidRPr="00505647" w14:paraId="1CA3F528" w14:textId="77777777" w:rsidTr="00B41F5B">
        <w:tc>
          <w:tcPr>
            <w:tcW w:w="9426" w:type="dxa"/>
            <w:gridSpan w:val="2"/>
          </w:tcPr>
          <w:p w14:paraId="30D2A8D6" w14:textId="77777777" w:rsidR="00070D64" w:rsidRPr="00505647" w:rsidRDefault="00070D64" w:rsidP="00A74E77">
            <w:pPr>
              <w:rPr>
                <w:rFonts w:cs="Arial"/>
              </w:rPr>
            </w:pPr>
          </w:p>
        </w:tc>
      </w:tr>
      <w:tr w:rsidR="00CF7890" w:rsidRPr="00505647" w14:paraId="0E557D92" w14:textId="77777777" w:rsidTr="00B41F5B">
        <w:tc>
          <w:tcPr>
            <w:tcW w:w="9426" w:type="dxa"/>
            <w:gridSpan w:val="2"/>
          </w:tcPr>
          <w:p w14:paraId="5900CA15" w14:textId="7CA38EF2" w:rsidR="00070D64" w:rsidRPr="00505647" w:rsidRDefault="0046182F" w:rsidP="00A74E77">
            <w:pPr>
              <w:pStyle w:val="zSoquijdatNomProcureurDem"/>
              <w:rPr>
                <w:rFonts w:cs="Arial"/>
              </w:rPr>
            </w:pPr>
            <w:proofErr w:type="spellStart"/>
            <w:r w:rsidRPr="00505647">
              <w:rPr>
                <w:rFonts w:cs="Arial"/>
              </w:rPr>
              <w:t>Mtre</w:t>
            </w:r>
            <w:proofErr w:type="spellEnd"/>
            <w:r w:rsidRPr="00505647">
              <w:rPr>
                <w:rFonts w:cs="Arial"/>
              </w:rPr>
              <w:t>. François Lavigne-Massicotte</w:t>
            </w:r>
          </w:p>
        </w:tc>
      </w:tr>
      <w:tr w:rsidR="00CF7890" w:rsidRPr="003E3F69" w14:paraId="3980C918" w14:textId="77777777" w:rsidTr="00B41F5B">
        <w:tc>
          <w:tcPr>
            <w:tcW w:w="9426" w:type="dxa"/>
            <w:gridSpan w:val="2"/>
          </w:tcPr>
          <w:p w14:paraId="00BEF9C6" w14:textId="46CEDAD0" w:rsidR="00070D64" w:rsidRPr="005F142A" w:rsidRDefault="0046182F" w:rsidP="00A74E77">
            <w:pPr>
              <w:pStyle w:val="zSoquijdatCabinetProcureurDem"/>
              <w:rPr>
                <w:rFonts w:cs="Arial"/>
                <w:lang w:val="fr-CA"/>
              </w:rPr>
            </w:pPr>
            <w:r w:rsidRPr="005F142A">
              <w:rPr>
                <w:rFonts w:cs="Arial"/>
                <w:lang w:val="fr-CA"/>
              </w:rPr>
              <w:t>(</w:t>
            </w:r>
            <w:proofErr w:type="spellStart"/>
            <w:r w:rsidRPr="005F142A">
              <w:rPr>
                <w:rFonts w:cs="Arial"/>
                <w:lang w:val="fr-CA"/>
              </w:rPr>
              <w:t>Litigation</w:t>
            </w:r>
            <w:proofErr w:type="spellEnd"/>
            <w:r w:rsidRPr="005F142A">
              <w:rPr>
                <w:rFonts w:cs="Arial"/>
                <w:lang w:val="fr-CA"/>
              </w:rPr>
              <w:t xml:space="preserve"> Services, Autorité des marchés financiers)</w:t>
            </w:r>
          </w:p>
        </w:tc>
      </w:tr>
      <w:tr w:rsidR="00CF7890" w:rsidRPr="003E3F69" w14:paraId="0EDBB082" w14:textId="77777777" w:rsidTr="00B41F5B">
        <w:tc>
          <w:tcPr>
            <w:tcW w:w="9426" w:type="dxa"/>
            <w:gridSpan w:val="2"/>
          </w:tcPr>
          <w:p w14:paraId="1CAF5EFC" w14:textId="266834C0" w:rsidR="00070D64" w:rsidRPr="005F142A" w:rsidRDefault="0046182F" w:rsidP="00A74E77">
            <w:pPr>
              <w:pStyle w:val="zSoquijlblProcureurDem"/>
              <w:rPr>
                <w:rFonts w:cs="Arial"/>
                <w:lang w:val="fr-CA"/>
              </w:rPr>
            </w:pPr>
            <w:r w:rsidRPr="005F142A">
              <w:rPr>
                <w:rFonts w:cs="Arial"/>
                <w:lang w:val="fr-CA"/>
              </w:rPr>
              <w:t>For the Autorité des marchés financiers</w:t>
            </w:r>
          </w:p>
        </w:tc>
      </w:tr>
      <w:tr w:rsidR="00CF7890" w:rsidRPr="003E3F69" w14:paraId="682DD028" w14:textId="77777777" w:rsidTr="00B41F5B">
        <w:tc>
          <w:tcPr>
            <w:tcW w:w="9426" w:type="dxa"/>
            <w:gridSpan w:val="2"/>
          </w:tcPr>
          <w:p w14:paraId="1D0F1F3B" w14:textId="77777777" w:rsidR="00070D64" w:rsidRPr="005F142A" w:rsidRDefault="00070D64" w:rsidP="00A74E77">
            <w:pPr>
              <w:rPr>
                <w:rFonts w:cs="Arial"/>
                <w:lang w:val="fr-CA"/>
              </w:rPr>
            </w:pPr>
          </w:p>
        </w:tc>
      </w:tr>
      <w:tr w:rsidR="00CF7890" w:rsidRPr="003E3F69" w14:paraId="7B3D5895" w14:textId="77777777" w:rsidTr="00B41F5B">
        <w:tc>
          <w:tcPr>
            <w:tcW w:w="9426" w:type="dxa"/>
            <w:gridSpan w:val="2"/>
          </w:tcPr>
          <w:p w14:paraId="1B432DB6" w14:textId="77777777" w:rsidR="00070D64" w:rsidRPr="005F142A" w:rsidRDefault="00070D64" w:rsidP="00A74E77">
            <w:pPr>
              <w:pStyle w:val="zSoquijlblProcureurDef"/>
              <w:rPr>
                <w:rFonts w:cs="Arial"/>
                <w:lang w:val="fr-CA"/>
              </w:rPr>
            </w:pPr>
          </w:p>
        </w:tc>
      </w:tr>
      <w:tr w:rsidR="00CF7890" w:rsidRPr="003E3F69" w14:paraId="6C5DB59E" w14:textId="77777777" w:rsidTr="00B41F5B">
        <w:tc>
          <w:tcPr>
            <w:tcW w:w="9426" w:type="dxa"/>
            <w:gridSpan w:val="2"/>
          </w:tcPr>
          <w:p w14:paraId="7B7C588B" w14:textId="77777777" w:rsidR="00070D64" w:rsidRPr="005F142A" w:rsidRDefault="00070D64" w:rsidP="00A74E77">
            <w:pPr>
              <w:pStyle w:val="zSoquijlblProcureurDef"/>
              <w:rPr>
                <w:rFonts w:cs="Arial"/>
                <w:lang w:val="fr-CA"/>
              </w:rPr>
            </w:pPr>
          </w:p>
        </w:tc>
      </w:tr>
      <w:tr w:rsidR="00CF7890" w:rsidRPr="00505647" w14:paraId="4DEFDE68" w14:textId="77777777" w:rsidTr="00534B2E">
        <w:tc>
          <w:tcPr>
            <w:tcW w:w="2197" w:type="dxa"/>
          </w:tcPr>
          <w:p w14:paraId="620D689B" w14:textId="14877E68" w:rsidR="00070D64" w:rsidRPr="00505647" w:rsidRDefault="0046182F" w:rsidP="00A74E77">
            <w:pPr>
              <w:pStyle w:val="zSoquijlblDateAudience"/>
              <w:rPr>
                <w:rFonts w:cs="Arial"/>
              </w:rPr>
            </w:pPr>
            <w:r w:rsidRPr="00505647">
              <w:rPr>
                <w:rFonts w:cs="Arial"/>
              </w:rPr>
              <w:t>Hearing dates:</w:t>
            </w:r>
          </w:p>
        </w:tc>
        <w:tc>
          <w:tcPr>
            <w:tcW w:w="7229" w:type="dxa"/>
          </w:tcPr>
          <w:p w14:paraId="3772E60A" w14:textId="205BA088" w:rsidR="00070D64" w:rsidRPr="00505647" w:rsidRDefault="0046182F" w:rsidP="00A74E77">
            <w:pPr>
              <w:pStyle w:val="zSoquijdatDateAudience"/>
              <w:rPr>
                <w:rFonts w:cs="Arial"/>
              </w:rPr>
            </w:pPr>
            <w:r w:rsidRPr="00505647">
              <w:rPr>
                <w:rFonts w:cs="Arial"/>
              </w:rPr>
              <w:t>July 24, 25 and 28, 2023</w:t>
            </w:r>
          </w:p>
        </w:tc>
      </w:tr>
    </w:tbl>
    <w:p w14:paraId="06340E48" w14:textId="77777777" w:rsidR="00070D64" w:rsidRPr="00505647" w:rsidRDefault="00070D64" w:rsidP="00070D64">
      <w:pPr>
        <w:rPr>
          <w:rFonts w:cs="Arial"/>
        </w:rPr>
      </w:pPr>
    </w:p>
    <w:p w14:paraId="3267AB5C" w14:textId="77777777" w:rsidR="00E640F9" w:rsidRPr="001F0168" w:rsidRDefault="00E640F9" w:rsidP="00E640F9">
      <w:pPr>
        <w:contextualSpacing/>
        <w:rPr>
          <w:rFonts w:cs="Arial"/>
          <w:sz w:val="22"/>
          <w:szCs w:val="22"/>
        </w:rPr>
      </w:pPr>
    </w:p>
    <w:sectPr w:rsidR="00E640F9" w:rsidRPr="001F0168">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7BEC" w14:textId="77777777" w:rsidR="00A305A9" w:rsidRPr="00505647" w:rsidRDefault="00A305A9">
      <w:r w:rsidRPr="00505647">
        <w:separator/>
      </w:r>
    </w:p>
  </w:endnote>
  <w:endnote w:type="continuationSeparator" w:id="0">
    <w:p w14:paraId="74AA24BE" w14:textId="77777777" w:rsidR="00A305A9" w:rsidRPr="00505647" w:rsidRDefault="00A305A9">
      <w:r w:rsidRPr="00505647">
        <w:continuationSeparator/>
      </w:r>
    </w:p>
  </w:endnote>
  <w:endnote w:type="continuationNotice" w:id="1">
    <w:p w14:paraId="33973832" w14:textId="77777777" w:rsidR="00A305A9" w:rsidRPr="00505647" w:rsidRDefault="00A30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BA36" w14:textId="7BCFF349" w:rsidR="009D596F" w:rsidRPr="00505647" w:rsidRDefault="009D596F">
    <w:pPr>
      <w:framePr w:wrap="around" w:vAnchor="text" w:hAnchor="margin" w:xAlign="right" w:y="1"/>
    </w:pPr>
    <w:r w:rsidRPr="00505647">
      <w:fldChar w:fldCharType="begin"/>
    </w:r>
    <w:r w:rsidRPr="00505647">
      <w:instrText xml:space="preserve">PAGE  </w:instrText>
    </w:r>
    <w:r w:rsidRPr="00505647">
      <w:fldChar w:fldCharType="separate"/>
    </w:r>
    <w:r w:rsidR="007D7596">
      <w:rPr>
        <w:noProof/>
      </w:rPr>
      <w:t>4</w:t>
    </w:r>
    <w:r w:rsidRPr="00505647">
      <w:fldChar w:fldCharType="end"/>
    </w:r>
  </w:p>
  <w:p w14:paraId="013391C6" w14:textId="77777777" w:rsidR="009D596F" w:rsidRPr="00505647" w:rsidRDefault="009D596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41C5" w14:textId="77777777" w:rsidR="009D596F" w:rsidRPr="00505647" w:rsidRDefault="009D59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3C49" w14:textId="77777777" w:rsidR="009D596F" w:rsidRPr="00505647" w:rsidRDefault="009D59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8F9C" w14:textId="77777777" w:rsidR="00A305A9" w:rsidRPr="00505647" w:rsidRDefault="00A305A9">
      <w:r w:rsidRPr="00505647">
        <w:separator/>
      </w:r>
    </w:p>
  </w:footnote>
  <w:footnote w:type="continuationSeparator" w:id="0">
    <w:p w14:paraId="5FBB8199" w14:textId="77777777" w:rsidR="00A305A9" w:rsidRPr="00505647" w:rsidRDefault="00A305A9">
      <w:r w:rsidRPr="00505647">
        <w:continuationSeparator/>
      </w:r>
    </w:p>
  </w:footnote>
  <w:footnote w:type="continuationNotice" w:id="1">
    <w:p w14:paraId="2237A593" w14:textId="77777777" w:rsidR="00A305A9" w:rsidRPr="00505647" w:rsidRDefault="00A305A9"/>
  </w:footnote>
  <w:footnote w:id="2">
    <w:p w14:paraId="27B99F6F" w14:textId="62EBAE84" w:rsidR="009D596F" w:rsidRPr="006D47E8" w:rsidRDefault="009D596F" w:rsidP="00040F4A">
      <w:pPr>
        <w:pStyle w:val="Notedebasdepage"/>
        <w:rPr>
          <w:lang w:val="fr-CA"/>
        </w:rPr>
      </w:pPr>
      <w:r w:rsidRPr="00505647">
        <w:rPr>
          <w:rStyle w:val="Appelnotedebasdep"/>
        </w:rPr>
        <w:footnoteRef/>
      </w:r>
      <w:r w:rsidRPr="006D47E8">
        <w:rPr>
          <w:lang w:val="fr-CA"/>
        </w:rPr>
        <w:tab/>
        <w:t xml:space="preserve">This notion of crypto assets </w:t>
      </w:r>
      <w:proofErr w:type="spellStart"/>
      <w:r w:rsidRPr="006D47E8">
        <w:rPr>
          <w:lang w:val="fr-CA"/>
        </w:rPr>
        <w:t>is</w:t>
      </w:r>
      <w:proofErr w:type="spellEnd"/>
      <w:r w:rsidRPr="006D47E8">
        <w:rPr>
          <w:lang w:val="fr-CA"/>
        </w:rPr>
        <w:t xml:space="preserve"> </w:t>
      </w:r>
      <w:proofErr w:type="spellStart"/>
      <w:r w:rsidRPr="006D47E8">
        <w:rPr>
          <w:lang w:val="fr-CA"/>
        </w:rPr>
        <w:t>defined</w:t>
      </w:r>
      <w:proofErr w:type="spellEnd"/>
      <w:r w:rsidRPr="006D47E8">
        <w:rPr>
          <w:lang w:val="fr-CA"/>
        </w:rPr>
        <w:t xml:space="preserve"> by the Office québécois de la langue française as </w:t>
      </w:r>
      <w:proofErr w:type="spellStart"/>
      <w:r w:rsidRPr="006D47E8">
        <w:rPr>
          <w:lang w:val="fr-CA"/>
        </w:rPr>
        <w:t>follows</w:t>
      </w:r>
      <w:proofErr w:type="spellEnd"/>
      <w:r w:rsidRPr="006D47E8">
        <w:rPr>
          <w:lang w:val="fr-CA"/>
        </w:rPr>
        <w:t>:</w:t>
      </w:r>
      <w:r w:rsidR="006D47E8" w:rsidRPr="006D47E8">
        <w:rPr>
          <w:rFonts w:cs="Arial"/>
          <w:color w:val="000000"/>
          <w:lang w:val="fr-CA"/>
        </w:rPr>
        <w:t xml:space="preserve"> « Ensemble des valeurs dont les opérations sont enregistrées sur une chaîne de blocs »</w:t>
      </w:r>
      <w:r w:rsidRPr="006D47E8">
        <w:rPr>
          <w:lang w:val="fr-CA"/>
        </w:rPr>
        <w:t xml:space="preserve">, online: </w:t>
      </w:r>
      <w:r w:rsidRPr="006D47E8">
        <w:rPr>
          <w:rStyle w:val="Hyperlien"/>
          <w:rFonts w:cs="Arial"/>
          <w:color w:val="auto"/>
          <w:u w:val="none"/>
          <w:lang w:val="fr-CA"/>
        </w:rPr>
        <w:t>&lt;</w:t>
      </w:r>
      <w:r w:rsidRPr="006D47E8">
        <w:rPr>
          <w:lang w:val="fr-CA"/>
        </w:rPr>
        <w:t>https://vitrinelinguistique.oqlf.gouv.qc.ca/fiche-gdt/fiche/26556537/cryptoactif&gt; (</w:t>
      </w:r>
      <w:proofErr w:type="spellStart"/>
      <w:r w:rsidRPr="006D47E8">
        <w:rPr>
          <w:lang w:val="fr-CA"/>
        </w:rPr>
        <w:t>accessed</w:t>
      </w:r>
      <w:proofErr w:type="spellEnd"/>
      <w:r w:rsidRPr="006D47E8">
        <w:rPr>
          <w:lang w:val="fr-CA"/>
        </w:rPr>
        <w:t xml:space="preserve"> August 2023)</w:t>
      </w:r>
      <w:r w:rsidRPr="006D47E8">
        <w:rPr>
          <w:rStyle w:val="Hyperlien"/>
          <w:color w:val="auto"/>
          <w:u w:val="none"/>
          <w:lang w:val="fr-CA"/>
        </w:rPr>
        <w:t xml:space="preserve">. The notion of “blockchain” </w:t>
      </w:r>
      <w:proofErr w:type="spellStart"/>
      <w:r w:rsidRPr="006D47E8">
        <w:rPr>
          <w:rStyle w:val="Hyperlien"/>
          <w:color w:val="auto"/>
          <w:u w:val="none"/>
          <w:lang w:val="fr-CA"/>
        </w:rPr>
        <w:t>is</w:t>
      </w:r>
      <w:proofErr w:type="spellEnd"/>
      <w:r w:rsidRPr="006D47E8">
        <w:rPr>
          <w:rStyle w:val="Hyperlien"/>
          <w:color w:val="auto"/>
          <w:u w:val="none"/>
          <w:lang w:val="fr-CA"/>
        </w:rPr>
        <w:t xml:space="preserve"> </w:t>
      </w:r>
      <w:proofErr w:type="spellStart"/>
      <w:r w:rsidRPr="006D47E8">
        <w:rPr>
          <w:rStyle w:val="Hyperlien"/>
          <w:color w:val="auto"/>
          <w:u w:val="none"/>
          <w:lang w:val="fr-CA"/>
        </w:rPr>
        <w:t>defined</w:t>
      </w:r>
      <w:proofErr w:type="spellEnd"/>
      <w:r w:rsidRPr="006D47E8">
        <w:rPr>
          <w:rStyle w:val="Hyperlien"/>
          <w:color w:val="auto"/>
          <w:u w:val="none"/>
          <w:lang w:val="fr-CA"/>
        </w:rPr>
        <w:t xml:space="preserve"> by the</w:t>
      </w:r>
      <w:r w:rsidRPr="006D47E8">
        <w:rPr>
          <w:lang w:val="fr-CA"/>
        </w:rPr>
        <w:t xml:space="preserve"> Office québécois de la langue française as </w:t>
      </w:r>
      <w:proofErr w:type="spellStart"/>
      <w:r w:rsidRPr="006D47E8">
        <w:rPr>
          <w:lang w:val="fr-CA"/>
        </w:rPr>
        <w:t>follows</w:t>
      </w:r>
      <w:proofErr w:type="spellEnd"/>
      <w:r w:rsidRPr="006D47E8">
        <w:rPr>
          <w:lang w:val="fr-CA"/>
        </w:rPr>
        <w:t>:</w:t>
      </w:r>
      <w:r w:rsidR="006D47E8" w:rsidRPr="006D47E8">
        <w:rPr>
          <w:rFonts w:cs="Arial"/>
          <w:color w:val="000000"/>
          <w:lang w:val="fr-CA"/>
        </w:rPr>
        <w:t xml:space="preserve"> « </w:t>
      </w:r>
      <w:r w:rsidR="006D47E8" w:rsidRPr="006D47E8">
        <w:rPr>
          <w:rFonts w:cs="Arial"/>
          <w:color w:val="000000"/>
          <w:shd w:val="clear" w:color="auto" w:fill="FFFFFF"/>
          <w:lang w:val="fr-CA"/>
        </w:rPr>
        <w:t>Base de données distribuée et sécurisée, dans laquelle sont stockées chronologiquement, sous forme de blocs liés les uns aux autres, les transactions successives effectuées entre ses utilisateurs depuis sa création »</w:t>
      </w:r>
      <w:r w:rsidRPr="006D47E8">
        <w:rPr>
          <w:shd w:val="clear" w:color="auto" w:fill="FFFFFF"/>
          <w:lang w:val="fr-CA"/>
        </w:rPr>
        <w:t xml:space="preserve">, online: </w:t>
      </w:r>
      <w:r w:rsidRPr="006D47E8">
        <w:rPr>
          <w:rStyle w:val="Hyperlien"/>
          <w:rFonts w:cs="Arial"/>
          <w:color w:val="auto"/>
          <w:u w:val="none"/>
          <w:shd w:val="clear" w:color="auto" w:fill="FFFFFF"/>
          <w:lang w:val="fr-CA"/>
        </w:rPr>
        <w:t>&lt;</w:t>
      </w:r>
      <w:r w:rsidRPr="006D47E8">
        <w:rPr>
          <w:lang w:val="fr-CA"/>
        </w:rPr>
        <w:t>https://vitrinelinguistique.oqlf.gouv.qc.ca/fiche-gdt/fiche/26531717/chaine-de-blocs</w:t>
      </w:r>
      <w:r w:rsidRPr="006D47E8">
        <w:rPr>
          <w:shd w:val="clear" w:color="auto" w:fill="FFFFFF"/>
          <w:lang w:val="fr-CA"/>
        </w:rPr>
        <w:t>&gt; (</w:t>
      </w:r>
      <w:proofErr w:type="spellStart"/>
      <w:r w:rsidRPr="006D47E8">
        <w:rPr>
          <w:shd w:val="clear" w:color="auto" w:fill="FFFFFF"/>
          <w:lang w:val="fr-CA"/>
        </w:rPr>
        <w:t>accessed</w:t>
      </w:r>
      <w:proofErr w:type="spellEnd"/>
      <w:r w:rsidRPr="006D47E8">
        <w:rPr>
          <w:shd w:val="clear" w:color="auto" w:fill="FFFFFF"/>
          <w:lang w:val="fr-CA"/>
        </w:rPr>
        <w:t xml:space="preserve"> August 2023).</w:t>
      </w:r>
    </w:p>
  </w:footnote>
  <w:footnote w:id="3">
    <w:p w14:paraId="17263294" w14:textId="5A507CBE" w:rsidR="009D596F" w:rsidRPr="00505647" w:rsidRDefault="009D596F" w:rsidP="00040F4A">
      <w:pPr>
        <w:pStyle w:val="Notedebasdepage"/>
      </w:pPr>
      <w:r w:rsidRPr="00505647">
        <w:rPr>
          <w:rStyle w:val="Appelnotedebasdep"/>
        </w:rPr>
        <w:footnoteRef/>
      </w:r>
      <w:r w:rsidRPr="00505647">
        <w:t xml:space="preserve"> </w:t>
      </w:r>
      <w:r w:rsidRPr="00505647">
        <w:tab/>
        <w:t xml:space="preserve">The expression “securities legislation” is defined in </w:t>
      </w:r>
      <w:r w:rsidRPr="00505647">
        <w:rPr>
          <w:i/>
          <w:iCs/>
        </w:rPr>
        <w:t>Regulation 14-101 respecting Definitions</w:t>
      </w:r>
      <w:r w:rsidRPr="00505647">
        <w:t xml:space="preserve">, CQLR, c. V-1.1, r. 3, and includes </w:t>
      </w:r>
      <w:proofErr w:type="gramStart"/>
      <w:r w:rsidRPr="00505647">
        <w:t>in particular the</w:t>
      </w:r>
      <w:proofErr w:type="gramEnd"/>
      <w:r w:rsidRPr="00505647">
        <w:t xml:space="preserve"> </w:t>
      </w:r>
      <w:r w:rsidRPr="00505647">
        <w:rPr>
          <w:i/>
          <w:iCs/>
        </w:rPr>
        <w:t>Securities Act</w:t>
      </w:r>
      <w:r w:rsidRPr="00505647">
        <w:t xml:space="preserve"> and the</w:t>
      </w:r>
      <w:r w:rsidRPr="00505647">
        <w:rPr>
          <w:i/>
          <w:iCs/>
        </w:rPr>
        <w:t xml:space="preserve"> Derivatives Act </w:t>
      </w:r>
      <w:r w:rsidRPr="00505647">
        <w:t>as well as the regulations made pursuant to those Acts.</w:t>
      </w:r>
    </w:p>
  </w:footnote>
  <w:footnote w:id="4">
    <w:p w14:paraId="2F6F15A8" w14:textId="77777777" w:rsidR="009D596F" w:rsidRPr="00505647" w:rsidRDefault="009D596F" w:rsidP="00040F4A">
      <w:pPr>
        <w:pStyle w:val="Notedebasdepage"/>
      </w:pPr>
      <w:r w:rsidRPr="00505647">
        <w:rPr>
          <w:rStyle w:val="Appelnotedebasdep"/>
        </w:rPr>
        <w:footnoteRef/>
      </w:r>
      <w:r w:rsidRPr="00505647">
        <w:t xml:space="preserve"> </w:t>
      </w:r>
      <w:r w:rsidRPr="00505647">
        <w:tab/>
        <w:t>CQLR, c. V-1.1.</w:t>
      </w:r>
    </w:p>
  </w:footnote>
  <w:footnote w:id="5">
    <w:p w14:paraId="539EA938" w14:textId="77777777" w:rsidR="009D596F" w:rsidRPr="00505647" w:rsidRDefault="009D596F" w:rsidP="00040F4A">
      <w:pPr>
        <w:pStyle w:val="Notedebasdepage"/>
      </w:pPr>
      <w:r w:rsidRPr="00505647">
        <w:rPr>
          <w:rStyle w:val="Appelnotedebasdep"/>
        </w:rPr>
        <w:footnoteRef/>
      </w:r>
      <w:r w:rsidRPr="00505647">
        <w:t xml:space="preserve"> </w:t>
      </w:r>
      <w:r w:rsidRPr="00505647">
        <w:tab/>
        <w:t>CQLR, c. I-14.01.</w:t>
      </w:r>
    </w:p>
  </w:footnote>
  <w:footnote w:id="6">
    <w:p w14:paraId="08CEA55C" w14:textId="260F93C8" w:rsidR="009D596F" w:rsidRPr="00505647" w:rsidRDefault="009D596F" w:rsidP="00040F4A">
      <w:pPr>
        <w:pStyle w:val="Notedebasdepage"/>
      </w:pPr>
      <w:r w:rsidRPr="00505647">
        <w:rPr>
          <w:rStyle w:val="Appelnotedebasdep"/>
        </w:rPr>
        <w:footnoteRef/>
      </w:r>
      <w:r w:rsidRPr="00505647">
        <w:t xml:space="preserve"> </w:t>
      </w:r>
      <w:r w:rsidRPr="00505647">
        <w:tab/>
        <w:t>CQLR, c E-6.1.</w:t>
      </w:r>
    </w:p>
  </w:footnote>
  <w:footnote w:id="7">
    <w:p w14:paraId="77975E9A"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w:t>
      </w:r>
    </w:p>
  </w:footnote>
  <w:footnote w:id="8">
    <w:p w14:paraId="0515398D"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D-8.</w:t>
      </w:r>
    </w:p>
  </w:footnote>
  <w:footnote w:id="9">
    <w:p w14:paraId="1A4D9697"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D-11.</w:t>
      </w:r>
    </w:p>
  </w:footnote>
  <w:footnote w:id="10">
    <w:p w14:paraId="111944CB" w14:textId="0D1AC791" w:rsidR="009D596F" w:rsidRPr="00505647" w:rsidRDefault="009D596F">
      <w:pPr>
        <w:pStyle w:val="Notedebasdepage"/>
      </w:pPr>
      <w:r w:rsidRPr="00505647">
        <w:rPr>
          <w:rStyle w:val="Appelnotedebasdep"/>
        </w:rPr>
        <w:footnoteRef/>
      </w:r>
      <w:r w:rsidRPr="00505647">
        <w:t xml:space="preserve"> </w:t>
      </w:r>
      <w:r w:rsidRPr="00505647">
        <w:tab/>
        <w:t>Exhibit D-11.</w:t>
      </w:r>
    </w:p>
  </w:footnote>
  <w:footnote w:id="11">
    <w:p w14:paraId="2D96D375" w14:textId="77777777" w:rsidR="009D596F" w:rsidRPr="00505647" w:rsidRDefault="009D596F" w:rsidP="00040F4A">
      <w:pPr>
        <w:pStyle w:val="Notedebasdepage"/>
      </w:pPr>
      <w:r w:rsidRPr="00505647">
        <w:rPr>
          <w:rStyle w:val="Appelnotedebasdep"/>
        </w:rPr>
        <w:footnoteRef/>
      </w:r>
      <w:r w:rsidRPr="00505647">
        <w:t xml:space="preserve"> </w:t>
      </w:r>
      <w:r w:rsidRPr="00505647">
        <w:tab/>
      </w:r>
      <w:bookmarkStart w:id="3" w:name="_Hlk130220167"/>
      <w:r w:rsidRPr="00505647">
        <w:t>Exhibit D-10</w:t>
      </w:r>
      <w:bookmarkEnd w:id="3"/>
      <w:r w:rsidRPr="00505647">
        <w:t>.</w:t>
      </w:r>
    </w:p>
  </w:footnote>
  <w:footnote w:id="12">
    <w:p w14:paraId="0E3AF69D"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D-11.</w:t>
      </w:r>
    </w:p>
  </w:footnote>
  <w:footnote w:id="13">
    <w:p w14:paraId="0713A6FA"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Exhibits D-13 and D-14.</w:t>
      </w:r>
    </w:p>
  </w:footnote>
  <w:footnote w:id="14">
    <w:p w14:paraId="17F9724E"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D-13.</w:t>
      </w:r>
    </w:p>
  </w:footnote>
  <w:footnote w:id="15">
    <w:p w14:paraId="57A2D7A0"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D-17.</w:t>
      </w:r>
    </w:p>
  </w:footnote>
  <w:footnote w:id="16">
    <w:p w14:paraId="1D37054C" w14:textId="46AC0432" w:rsidR="009D596F" w:rsidRPr="00505647" w:rsidRDefault="009D596F" w:rsidP="00040F4A">
      <w:pPr>
        <w:pStyle w:val="Notedebasdepage"/>
      </w:pPr>
      <w:r w:rsidRPr="00505647">
        <w:rPr>
          <w:rStyle w:val="Appelnotedebasdep"/>
        </w:rPr>
        <w:footnoteRef/>
      </w:r>
      <w:r w:rsidRPr="00505647">
        <w:t xml:space="preserve"> </w:t>
      </w:r>
      <w:r w:rsidRPr="00505647">
        <w:tab/>
        <w:t xml:space="preserve">Concept of person as defined in section 5.1 of the </w:t>
      </w:r>
      <w:r w:rsidRPr="00505647">
        <w:rPr>
          <w:i/>
          <w:iCs/>
        </w:rPr>
        <w:t>Securities Act</w:t>
      </w:r>
      <w:r w:rsidRPr="00505647">
        <w:t xml:space="preserve"> and </w:t>
      </w:r>
      <w:r>
        <w:t xml:space="preserve">section </w:t>
      </w:r>
      <w:r w:rsidRPr="00505647">
        <w:t xml:space="preserve">3 of the </w:t>
      </w:r>
      <w:r w:rsidRPr="00505647">
        <w:rPr>
          <w:i/>
          <w:iCs/>
        </w:rPr>
        <w:t>Derivatives Act</w:t>
      </w:r>
      <w:r w:rsidRPr="00505647">
        <w:t xml:space="preserve">. </w:t>
      </w:r>
    </w:p>
  </w:footnote>
  <w:footnote w:id="17">
    <w:p w14:paraId="62D2E4DD"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D-9.</w:t>
      </w:r>
    </w:p>
  </w:footnote>
  <w:footnote w:id="18">
    <w:p w14:paraId="55B625BD" w14:textId="03A921CD" w:rsidR="009D596F" w:rsidRPr="00505647" w:rsidRDefault="009D596F">
      <w:pPr>
        <w:pStyle w:val="Notedebasdepage"/>
      </w:pPr>
      <w:r w:rsidRPr="00505647">
        <w:rPr>
          <w:rStyle w:val="Appelnotedebasdep"/>
        </w:rPr>
        <w:footnoteRef/>
      </w:r>
      <w:r w:rsidRPr="00505647">
        <w:t xml:space="preserve"> </w:t>
      </w:r>
      <w:r w:rsidRPr="00505647">
        <w:tab/>
        <w:t>Exhibits D-95 and D-111.</w:t>
      </w:r>
    </w:p>
  </w:footnote>
  <w:footnote w:id="19">
    <w:p w14:paraId="25882456" w14:textId="1C0E1A62" w:rsidR="009D596F" w:rsidRPr="006425C9" w:rsidRDefault="009D596F">
      <w:pPr>
        <w:pStyle w:val="Notedebasdepage"/>
        <w:rPr>
          <w:rFonts w:cs="Arial"/>
          <w:lang w:val="fr-CA"/>
        </w:rPr>
      </w:pPr>
      <w:r w:rsidRPr="00505647">
        <w:rPr>
          <w:rStyle w:val="Appelnotedebasdep"/>
        </w:rPr>
        <w:footnoteRef/>
      </w:r>
      <w:r w:rsidRPr="006425C9">
        <w:rPr>
          <w:rFonts w:cs="Arial"/>
          <w:lang w:val="fr-CA"/>
        </w:rPr>
        <w:t xml:space="preserve"> </w:t>
      </w:r>
      <w:r w:rsidRPr="006425C9">
        <w:rPr>
          <w:rFonts w:cs="Arial"/>
          <w:lang w:val="fr-CA"/>
        </w:rPr>
        <w:tab/>
        <w:t xml:space="preserve">The Office québécois de la langue française </w:t>
      </w:r>
      <w:proofErr w:type="spellStart"/>
      <w:r w:rsidRPr="006425C9">
        <w:rPr>
          <w:rFonts w:cs="Arial"/>
          <w:lang w:val="fr-CA"/>
        </w:rPr>
        <w:t>defines</w:t>
      </w:r>
      <w:proofErr w:type="spellEnd"/>
      <w:r w:rsidRPr="006425C9">
        <w:rPr>
          <w:rFonts w:cs="Arial"/>
          <w:lang w:val="fr-CA"/>
        </w:rPr>
        <w:t xml:space="preserve"> “validation </w:t>
      </w:r>
      <w:proofErr w:type="spellStart"/>
      <w:r w:rsidRPr="006425C9">
        <w:rPr>
          <w:rFonts w:cs="Arial"/>
          <w:lang w:val="fr-CA"/>
        </w:rPr>
        <w:t>mechanisms</w:t>
      </w:r>
      <w:proofErr w:type="spellEnd"/>
      <w:r w:rsidRPr="006425C9">
        <w:rPr>
          <w:rFonts w:cs="Arial"/>
          <w:lang w:val="fr-CA"/>
        </w:rPr>
        <w:t xml:space="preserve">” as </w:t>
      </w:r>
      <w:proofErr w:type="spellStart"/>
      <w:r w:rsidRPr="006425C9">
        <w:rPr>
          <w:rFonts w:cs="Arial"/>
          <w:lang w:val="fr-CA"/>
        </w:rPr>
        <w:t>follows</w:t>
      </w:r>
      <w:proofErr w:type="spellEnd"/>
      <w:r w:rsidRPr="006425C9">
        <w:rPr>
          <w:rFonts w:cs="Arial"/>
          <w:lang w:val="fr-CA"/>
        </w:rPr>
        <w:t xml:space="preserve">: </w:t>
      </w:r>
      <w:r w:rsidR="006425C9" w:rsidRPr="006425C9">
        <w:rPr>
          <w:rFonts w:cs="Arial"/>
          <w:lang w:val="fr-CA"/>
        </w:rPr>
        <w:t>«</w:t>
      </w:r>
      <w:r w:rsidR="006425C9" w:rsidRPr="006425C9">
        <w:rPr>
          <w:rFonts w:cs="Arial"/>
          <w:color w:val="000000"/>
          <w:lang w:val="fr-CA"/>
        </w:rPr>
        <w:t xml:space="preserve"> </w:t>
      </w:r>
      <w:r w:rsidR="006425C9" w:rsidRPr="006425C9">
        <w:rPr>
          <w:rFonts w:cs="Arial"/>
          <w:color w:val="000000"/>
          <w:shd w:val="clear" w:color="auto" w:fill="FFFFFF"/>
          <w:lang w:val="fr-CA"/>
        </w:rPr>
        <w:t>Mécanisme qui vise à assurer la validité des </w:t>
      </w:r>
      <w:r w:rsidR="006425C9" w:rsidRPr="006425C9">
        <w:rPr>
          <w:shd w:val="clear" w:color="auto" w:fill="FFFFFF"/>
          <w:lang w:val="fr-CA"/>
        </w:rPr>
        <w:t>blocs</w:t>
      </w:r>
      <w:r w:rsidR="006425C9" w:rsidRPr="006425C9">
        <w:rPr>
          <w:rFonts w:cs="Arial"/>
          <w:color w:val="000000"/>
          <w:shd w:val="clear" w:color="auto" w:fill="FFFFFF"/>
          <w:lang w:val="fr-CA"/>
        </w:rPr>
        <w:t> ajoutés sur une chaîne de blocs </w:t>
      </w:r>
      <w:r w:rsidR="006425C9" w:rsidRPr="006425C9">
        <w:rPr>
          <w:rFonts w:cs="Arial"/>
          <w:color w:val="000000"/>
          <w:lang w:val="fr-CA"/>
        </w:rPr>
        <w:t>ainsi que les transactions qu'ils contiennent »</w:t>
      </w:r>
      <w:r w:rsidRPr="006425C9">
        <w:rPr>
          <w:rFonts w:cs="Arial"/>
          <w:lang w:val="fr-CA"/>
        </w:rPr>
        <w:t>, online: &lt;https://vitrinelinguistique.oqlf.gouv.qc.ca/fiche-gdt/fiche/26552609/mecanisme-de-validation&gt; (</w:t>
      </w:r>
      <w:proofErr w:type="spellStart"/>
      <w:r w:rsidRPr="006425C9">
        <w:rPr>
          <w:rFonts w:cs="Arial"/>
          <w:lang w:val="fr-CA"/>
        </w:rPr>
        <w:t>accessed</w:t>
      </w:r>
      <w:proofErr w:type="spellEnd"/>
      <w:r w:rsidRPr="006425C9">
        <w:rPr>
          <w:rFonts w:cs="Arial"/>
          <w:lang w:val="fr-CA"/>
        </w:rPr>
        <w:t xml:space="preserve"> August 2023).</w:t>
      </w:r>
    </w:p>
  </w:footnote>
  <w:footnote w:id="20">
    <w:p w14:paraId="3C09EDA0" w14:textId="4AF5254A" w:rsidR="009D596F" w:rsidRPr="006425C9" w:rsidRDefault="009D596F">
      <w:pPr>
        <w:pStyle w:val="Notedebasdepage"/>
        <w:rPr>
          <w:rFonts w:cs="Arial"/>
          <w:lang w:val="fr-CA"/>
        </w:rPr>
      </w:pPr>
      <w:r w:rsidRPr="00505647">
        <w:rPr>
          <w:rStyle w:val="Appelnotedebasdep"/>
          <w:rFonts w:cs="Arial"/>
        </w:rPr>
        <w:footnoteRef/>
      </w:r>
      <w:r w:rsidRPr="006425C9">
        <w:rPr>
          <w:rFonts w:cs="Arial"/>
          <w:lang w:val="fr-CA"/>
        </w:rPr>
        <w:t xml:space="preserve"> </w:t>
      </w:r>
      <w:r w:rsidRPr="006425C9">
        <w:rPr>
          <w:rFonts w:cs="Arial"/>
          <w:lang w:val="fr-CA"/>
        </w:rPr>
        <w:tab/>
        <w:t xml:space="preserve">The Office québécois de la langue française </w:t>
      </w:r>
      <w:proofErr w:type="spellStart"/>
      <w:r w:rsidRPr="006425C9">
        <w:rPr>
          <w:rFonts w:cs="Arial"/>
          <w:lang w:val="fr-CA"/>
        </w:rPr>
        <w:t>defines</w:t>
      </w:r>
      <w:proofErr w:type="spellEnd"/>
      <w:r w:rsidRPr="006425C9">
        <w:rPr>
          <w:rFonts w:cs="Arial"/>
          <w:lang w:val="fr-CA"/>
        </w:rPr>
        <w:t xml:space="preserve"> the concept of “proof-of-</w:t>
      </w:r>
      <w:proofErr w:type="spellStart"/>
      <w:r w:rsidRPr="006425C9">
        <w:rPr>
          <w:rFonts w:cs="Arial"/>
          <w:lang w:val="fr-CA"/>
        </w:rPr>
        <w:t>stake</w:t>
      </w:r>
      <w:proofErr w:type="spellEnd"/>
      <w:r w:rsidRPr="006425C9">
        <w:rPr>
          <w:rFonts w:cs="Arial"/>
          <w:lang w:val="fr-CA"/>
        </w:rPr>
        <w:t xml:space="preserve">” as </w:t>
      </w:r>
      <w:proofErr w:type="spellStart"/>
      <w:r w:rsidRPr="006425C9">
        <w:rPr>
          <w:rFonts w:cs="Arial"/>
          <w:lang w:val="fr-CA"/>
        </w:rPr>
        <w:t>follows</w:t>
      </w:r>
      <w:proofErr w:type="spellEnd"/>
      <w:r w:rsidRPr="006425C9">
        <w:rPr>
          <w:rFonts w:cs="Arial"/>
          <w:lang w:val="fr-CA"/>
        </w:rPr>
        <w:t xml:space="preserve">: </w:t>
      </w:r>
      <w:r w:rsidR="006425C9" w:rsidRPr="006425C9">
        <w:rPr>
          <w:rFonts w:cs="Arial"/>
          <w:color w:val="000000"/>
          <w:lang w:val="fr-CA"/>
        </w:rPr>
        <w:t>« Mécanisme de validation de transactions qui repose sur la preuve de possession d'une quantité donnée de cryptomonnaie mise en garantie pour l'ajout d'un bloc à une chaîne de blocs »</w:t>
      </w:r>
      <w:r w:rsidRPr="006425C9">
        <w:rPr>
          <w:rFonts w:cs="Arial"/>
          <w:lang w:val="fr-CA"/>
        </w:rPr>
        <w:t>, online: &lt;https://vitrinelinguistique.oqlf.gouv.qc.ca/fiche-gdt/fiche/26556545/preuve-denjeu-deleguee&gt; (</w:t>
      </w:r>
      <w:proofErr w:type="spellStart"/>
      <w:r w:rsidRPr="006425C9">
        <w:rPr>
          <w:rFonts w:cs="Arial"/>
          <w:lang w:val="fr-CA"/>
        </w:rPr>
        <w:t>accessed</w:t>
      </w:r>
      <w:proofErr w:type="spellEnd"/>
      <w:r w:rsidRPr="006425C9">
        <w:rPr>
          <w:rFonts w:cs="Arial"/>
          <w:lang w:val="fr-CA"/>
        </w:rPr>
        <w:t xml:space="preserve"> August 2023).</w:t>
      </w:r>
    </w:p>
  </w:footnote>
  <w:footnote w:id="21">
    <w:p w14:paraId="4FA2CB39" w14:textId="77777777" w:rsidR="009D596F" w:rsidRPr="00505647" w:rsidRDefault="009D596F" w:rsidP="00040F4A">
      <w:pPr>
        <w:pStyle w:val="Notedebasdepage"/>
      </w:pPr>
      <w:r w:rsidRPr="00505647">
        <w:rPr>
          <w:rStyle w:val="Appelnotedebasdep"/>
        </w:rPr>
        <w:footnoteRef/>
      </w:r>
      <w:r w:rsidRPr="00505647">
        <w:t xml:space="preserve"> </w:t>
      </w:r>
      <w:r w:rsidRPr="00505647">
        <w:tab/>
        <w:t xml:space="preserve">Section 115.4 of the </w:t>
      </w:r>
      <w:r w:rsidRPr="00505647">
        <w:rPr>
          <w:i/>
          <w:iCs/>
        </w:rPr>
        <w:t>Act respecting the regulation of the financial sector</w:t>
      </w:r>
      <w:r w:rsidRPr="00505647">
        <w:t xml:space="preserve"> states: “If a duly notified party does not appear at the time set for the hearing and has not provided a valid excuse for the party’s absence, or chooses not to be heard, the Tribunal may proceed with hearing the matter and render a decision.”</w:t>
      </w:r>
    </w:p>
  </w:footnote>
  <w:footnote w:id="22">
    <w:p w14:paraId="335B3ADA" w14:textId="77777777" w:rsidR="009D596F" w:rsidRPr="00505647" w:rsidRDefault="009D596F" w:rsidP="00040F4A">
      <w:pPr>
        <w:pStyle w:val="Notedebasdepage"/>
      </w:pPr>
      <w:r w:rsidRPr="00505647">
        <w:rPr>
          <w:rStyle w:val="Appelnotedebasdep"/>
        </w:rPr>
        <w:footnoteRef/>
      </w:r>
      <w:r w:rsidRPr="00505647">
        <w:t xml:space="preserve"> </w:t>
      </w:r>
      <w:r w:rsidRPr="00505647">
        <w:tab/>
        <w:t>See Exhibit D-108.</w:t>
      </w:r>
    </w:p>
  </w:footnote>
  <w:footnote w:id="23">
    <w:p w14:paraId="4DED7B4F" w14:textId="7EEC016F" w:rsidR="009D596F" w:rsidRPr="00505647" w:rsidRDefault="009D596F" w:rsidP="00040F4A">
      <w:pPr>
        <w:pStyle w:val="Notedebasdepage"/>
      </w:pPr>
      <w:r w:rsidRPr="00505647">
        <w:rPr>
          <w:rStyle w:val="Appelnotedebasdep"/>
        </w:rPr>
        <w:footnoteRef/>
      </w:r>
      <w:r w:rsidRPr="00505647">
        <w:t xml:space="preserve"> </w:t>
      </w:r>
      <w:r w:rsidRPr="00505647">
        <w:tab/>
        <w:t>Canada's provincial (including the Authority) and territorial securities regulators have joined forces to improve, coordinate and harmonize capital market regulation. They seek consensus on policies that impact the capital market and its participants and collaborate on the implementation of regulatory programs.</w:t>
      </w:r>
    </w:p>
  </w:footnote>
  <w:footnote w:id="24">
    <w:p w14:paraId="4918F890" w14:textId="7F5FDB11" w:rsidR="009D596F" w:rsidRPr="00214699" w:rsidRDefault="009D596F">
      <w:pPr>
        <w:pStyle w:val="Notedebasdepage"/>
      </w:pPr>
      <w:r w:rsidRPr="00505647">
        <w:rPr>
          <w:rStyle w:val="Appelnotedebasdep"/>
        </w:rPr>
        <w:footnoteRef/>
      </w:r>
      <w:r w:rsidRPr="00505647">
        <w:t xml:space="preserve"> </w:t>
      </w:r>
      <w:r w:rsidRPr="00505647">
        <w:tab/>
      </w:r>
      <w:r w:rsidRPr="00214699">
        <w:t>Canadian Securities Administrators,</w:t>
      </w:r>
      <w:r w:rsidRPr="00214699">
        <w:rPr>
          <w:i/>
          <w:iCs/>
        </w:rPr>
        <w:t xml:space="preserve"> CSA Staff Notice 21-327 Guidance on the Application of Securities Legislation to Entities Facilitating the Trading of Crypto Assets</w:t>
      </w:r>
      <w:r w:rsidRPr="00214699">
        <w:t xml:space="preserve">, January 16, 2020, online: &lt;https://www.autorites-valeurs-mobilieres.ca/uploadedFiles/Industry_Resources/21-327_CSAnotice.pdf&gt; (accessed August 2023). </w:t>
      </w:r>
    </w:p>
  </w:footnote>
  <w:footnote w:id="25">
    <w:p w14:paraId="2AA075CB" w14:textId="43CBD22F" w:rsidR="009D596F" w:rsidRPr="00214699" w:rsidRDefault="009D596F" w:rsidP="00040F4A">
      <w:pPr>
        <w:pStyle w:val="Notedebasdepage"/>
      </w:pPr>
      <w:r w:rsidRPr="00214699">
        <w:rPr>
          <w:rStyle w:val="Appelnotedebasdep"/>
        </w:rPr>
        <w:footnoteRef/>
      </w:r>
      <w:r w:rsidRPr="00214699">
        <w:t xml:space="preserve"> </w:t>
      </w:r>
      <w:r w:rsidRPr="00214699">
        <w:tab/>
        <w:t xml:space="preserve">See </w:t>
      </w:r>
      <w:r w:rsidRPr="00214699">
        <w:rPr>
          <w:i/>
          <w:iCs/>
        </w:rPr>
        <w:t>Joint Canadian Securities Administrators / Investment Industry Regulatory Organization of Canada Staff Notice 21-329 Guidance for Crypto Asset Trading Platforms: Compliance with Regulatory Obligations</w:t>
      </w:r>
      <w:r w:rsidRPr="00214699">
        <w:t xml:space="preserve">, March 29, 2021, online: </w:t>
      </w:r>
      <w:r w:rsidRPr="00214699">
        <w:rPr>
          <w:rStyle w:val="Hyperlien"/>
          <w:rFonts w:cs="Arial"/>
          <w:color w:val="auto"/>
          <w:u w:val="none"/>
        </w:rPr>
        <w:t>&lt;</w:t>
      </w:r>
      <w:r w:rsidRPr="00214699">
        <w:t>https://www.osc.ca/sites/default/files/2021-03/csa_20210329_21-329_compliance-regulatory-requirements.pdf&gt;</w:t>
      </w:r>
      <w:r w:rsidRPr="00214699">
        <w:rPr>
          <w:rStyle w:val="Hyperlien"/>
          <w:rFonts w:cs="Arial"/>
          <w:color w:val="auto"/>
          <w:u w:val="none"/>
        </w:rPr>
        <w:t xml:space="preserve"> </w:t>
      </w:r>
      <w:r w:rsidRPr="00214699">
        <w:t>(accessed August 2023).</w:t>
      </w:r>
    </w:p>
  </w:footnote>
  <w:footnote w:id="26">
    <w:p w14:paraId="68D3BC65" w14:textId="2907C66B" w:rsidR="009D596F" w:rsidRPr="00214699" w:rsidRDefault="009D596F" w:rsidP="00040F4A">
      <w:pPr>
        <w:pStyle w:val="Notedebasdepage"/>
      </w:pPr>
      <w:r w:rsidRPr="00214699">
        <w:rPr>
          <w:rStyle w:val="Appelnotedebasdep"/>
        </w:rPr>
        <w:footnoteRef/>
      </w:r>
      <w:r w:rsidRPr="00214699">
        <w:t xml:space="preserve"> </w:t>
      </w:r>
      <w:r w:rsidRPr="00214699">
        <w:tab/>
        <w:t xml:space="preserve">See </w:t>
      </w:r>
      <w:r w:rsidRPr="00214699">
        <w:rPr>
          <w:i/>
          <w:iCs/>
        </w:rPr>
        <w:t>Joint Canadian Securities Administrators / Investment Industry Regulatory Organization of Canada Staff Notice 21-330: Guidance for Crypto-Trading Platforms: Requirements relating to Advertising, Marketing and Social Media Use</w:t>
      </w:r>
      <w:r w:rsidRPr="00214699">
        <w:t>, September 23, 2021, online: &lt;https://www.osc.ca/sites/default/files/2021-09/csa_20210923_21-330_crypto-trading-platforms.pdf&gt; (accessed August 2023).</w:t>
      </w:r>
    </w:p>
  </w:footnote>
  <w:footnote w:id="27">
    <w:p w14:paraId="1DEF4BC1" w14:textId="7CCCB712" w:rsidR="009D596F" w:rsidRPr="00505647" w:rsidRDefault="009D596F" w:rsidP="00430CA7">
      <w:pPr>
        <w:pStyle w:val="Notedebasdepage"/>
      </w:pPr>
      <w:r w:rsidRPr="00214699">
        <w:rPr>
          <w:rStyle w:val="Appelnotedebasdep"/>
        </w:rPr>
        <w:footnoteRef/>
      </w:r>
      <w:r w:rsidRPr="00214699">
        <w:t xml:space="preserve"> </w:t>
      </w:r>
      <w:r w:rsidRPr="00214699">
        <w:tab/>
        <w:t xml:space="preserve">See </w:t>
      </w:r>
      <w:r w:rsidRPr="00214699">
        <w:rPr>
          <w:i/>
          <w:iCs/>
        </w:rPr>
        <w:t>Canadian Securities Administrators Staff Notice 21-332 Crypto Asset Trading Platforms: Pre-Registration Undertakings Changes to Enhance Canadian Investor Protection</w:t>
      </w:r>
      <w:r w:rsidRPr="00214699">
        <w:t>, February 22, 2023, online: &lt;https://www.osc.ca/sites/default/files/2023-02/csa_20230222_21-332_crypto-trading-platforms-pre-reg-undertakings.pdf&gt; (accessed August 2023).</w:t>
      </w:r>
    </w:p>
  </w:footnote>
  <w:footnote w:id="28">
    <w:p w14:paraId="0039F585" w14:textId="0AD41F5B" w:rsidR="009D596F" w:rsidRPr="00505647" w:rsidRDefault="009D596F" w:rsidP="00040F4A">
      <w:pPr>
        <w:pStyle w:val="Notedebasdepage"/>
      </w:pPr>
      <w:r w:rsidRPr="00505647">
        <w:rPr>
          <w:rStyle w:val="Appelnotedebasdep"/>
        </w:rPr>
        <w:footnoteRef/>
      </w:r>
      <w:r w:rsidRPr="00505647">
        <w:t xml:space="preserve"> </w:t>
      </w:r>
      <w:r w:rsidRPr="00505647">
        <w:tab/>
        <w:t xml:space="preserve">See Canadian Securities </w:t>
      </w:r>
      <w:r>
        <w:t>Administrators</w:t>
      </w:r>
      <w:r w:rsidRPr="00505647">
        <w:t xml:space="preserve">, </w:t>
      </w:r>
      <w:r w:rsidRPr="00505647">
        <w:rPr>
          <w:i/>
          <w:iCs/>
        </w:rPr>
        <w:t>Crypto Trading Platforms Authorized to Do Business with Canadians</w:t>
      </w:r>
      <w:r w:rsidRPr="00505647">
        <w:t>, online: &lt;</w:t>
      </w:r>
      <w:r w:rsidRPr="00505647">
        <w:rPr>
          <w:sz w:val="18"/>
          <w:szCs w:val="18"/>
        </w:rPr>
        <w:t>https://www.securities-administrators.ca/crypto-trading-platforms-regulation-and-enforcement-actions/crypto-trading-platforms-authorized-to-do-business-with-canadians/&gt;</w:t>
      </w:r>
      <w:r w:rsidRPr="00505647">
        <w:t xml:space="preserve"> (accessed August 2023).</w:t>
      </w:r>
    </w:p>
  </w:footnote>
  <w:footnote w:id="29">
    <w:p w14:paraId="4A8CB0F4" w14:textId="77B2762D" w:rsidR="009D596F" w:rsidRPr="00505647" w:rsidRDefault="009D596F" w:rsidP="00040F4A">
      <w:pPr>
        <w:pStyle w:val="Notedebasdepage"/>
      </w:pPr>
      <w:r w:rsidRPr="00505647">
        <w:rPr>
          <w:rStyle w:val="Appelnotedebasdep"/>
        </w:rPr>
        <w:footnoteRef/>
      </w:r>
      <w:r w:rsidRPr="00505647">
        <w:t xml:space="preserve"> </w:t>
      </w:r>
      <w:r w:rsidRPr="00505647">
        <w:tab/>
        <w:t xml:space="preserve">See Canadian Securities Administrators, </w:t>
      </w:r>
      <w:r w:rsidRPr="00505647">
        <w:rPr>
          <w:i/>
          <w:iCs/>
        </w:rPr>
        <w:t>Crypto Trading Platforms That Have Filed Pre-Registration Undertakings</w:t>
      </w:r>
      <w:r w:rsidRPr="00505647">
        <w:t>, online: &lt;</w:t>
      </w:r>
      <w:r w:rsidRPr="00505647">
        <w:rPr>
          <w:sz w:val="18"/>
          <w:szCs w:val="18"/>
        </w:rPr>
        <w:t>https://www.securities-administrators.ca/crypto-trading-platforms-regulation-and-enforcement-actions/crypto-trading-platforms-that-have-filed-pre-registration-undertakings/&gt;</w:t>
      </w:r>
      <w:r w:rsidRPr="00505647">
        <w:t xml:space="preserve"> (accessed August 2023).</w:t>
      </w:r>
    </w:p>
  </w:footnote>
  <w:footnote w:id="30">
    <w:p w14:paraId="126D5EFB" w14:textId="77777777" w:rsidR="009D596F" w:rsidRPr="00505647" w:rsidRDefault="009D596F" w:rsidP="00040F4A">
      <w:pPr>
        <w:pStyle w:val="Notedebasdepage"/>
      </w:pPr>
      <w:r w:rsidRPr="00505647">
        <w:rPr>
          <w:rStyle w:val="Appelnotedebasdep"/>
        </w:rPr>
        <w:footnoteRef/>
      </w:r>
      <w:r w:rsidRPr="00505647">
        <w:t xml:space="preserve"> </w:t>
      </w:r>
      <w:r w:rsidRPr="00505647">
        <w:tab/>
      </w:r>
      <w:r w:rsidRPr="00505647">
        <w:rPr>
          <w:i/>
          <w:iCs/>
        </w:rPr>
        <w:t>Brosseau</w:t>
      </w:r>
      <w:r w:rsidRPr="00505647">
        <w:t xml:space="preserve"> v. </w:t>
      </w:r>
      <w:r w:rsidRPr="00505647">
        <w:rPr>
          <w:i/>
          <w:iCs/>
        </w:rPr>
        <w:t>Alberta Securities Commission</w:t>
      </w:r>
      <w:r w:rsidRPr="00505647">
        <w:t>, [1989] 1 S.C.R. 301.</w:t>
      </w:r>
    </w:p>
  </w:footnote>
  <w:footnote w:id="31">
    <w:p w14:paraId="08E178FC" w14:textId="77777777" w:rsidR="009D596F" w:rsidRPr="00505647" w:rsidRDefault="009D596F" w:rsidP="00040F4A">
      <w:pPr>
        <w:pStyle w:val="Notedebasdepage"/>
      </w:pPr>
      <w:r w:rsidRPr="00505647">
        <w:rPr>
          <w:rStyle w:val="Appelnotedebasdep"/>
        </w:rPr>
        <w:footnoteRef/>
      </w:r>
      <w:r w:rsidRPr="00505647">
        <w:t xml:space="preserve"> </w:t>
      </w:r>
      <w:r w:rsidRPr="00505647">
        <w:tab/>
      </w:r>
      <w:r w:rsidRPr="00505647">
        <w:rPr>
          <w:i/>
          <w:iCs/>
        </w:rPr>
        <w:t>Pacific Coast Coin Exchange</w:t>
      </w:r>
      <w:r w:rsidRPr="00505647">
        <w:t xml:space="preserve"> v. </w:t>
      </w:r>
      <w:r w:rsidRPr="00505647">
        <w:rPr>
          <w:i/>
          <w:iCs/>
        </w:rPr>
        <w:t>Ontario Securities Commission</w:t>
      </w:r>
      <w:r w:rsidRPr="00505647">
        <w:t>, [1978] 2 S.C.R. 112, 127–128.</w:t>
      </w:r>
    </w:p>
  </w:footnote>
  <w:footnote w:id="32">
    <w:p w14:paraId="4CEB1F0F" w14:textId="68A81001" w:rsidR="009D596F" w:rsidRPr="00505647" w:rsidRDefault="009D596F" w:rsidP="00040F4A">
      <w:pPr>
        <w:pStyle w:val="Notedebasdepage"/>
      </w:pPr>
      <w:r w:rsidRPr="00505647">
        <w:rPr>
          <w:rStyle w:val="Appelnotedebasdep"/>
        </w:rPr>
        <w:footnoteRef/>
      </w:r>
      <w:r w:rsidRPr="00505647">
        <w:t xml:space="preserve"> </w:t>
      </w:r>
      <w:r w:rsidRPr="00505647">
        <w:rPr>
          <w:rFonts w:cs="Arial"/>
        </w:rPr>
        <w:tab/>
        <w:t xml:space="preserve">Section 2 of the </w:t>
      </w:r>
      <w:r w:rsidRPr="00505647">
        <w:rPr>
          <w:rFonts w:cs="Arial"/>
          <w:i/>
          <w:iCs/>
        </w:rPr>
        <w:t>Securities Act</w:t>
      </w:r>
      <w:r w:rsidRPr="00505647">
        <w:rPr>
          <w:rFonts w:cs="Arial"/>
        </w:rPr>
        <w:t xml:space="preserve"> mentions: “The scheme of securities regulation established by this Act and the regulations applies, with the necessary modifications, to the other forms of investment listed in </w:t>
      </w:r>
      <w:hyperlink r:id="rId1" w:anchor="art1_smooth" w:history="1">
        <w:r w:rsidRPr="00505647">
          <w:rPr>
            <w:rFonts w:cs="Arial"/>
          </w:rPr>
          <w:t>section 1</w:t>
        </w:r>
      </w:hyperlink>
      <w:r w:rsidRPr="00505647">
        <w:rPr>
          <w:rFonts w:cs="Arial"/>
        </w:rPr>
        <w:t xml:space="preserve">, subject </w:t>
      </w:r>
      <w:r>
        <w:rPr>
          <w:rFonts w:cs="Arial"/>
        </w:rPr>
        <w:t xml:space="preserve">to </w:t>
      </w:r>
      <w:r w:rsidRPr="00505647">
        <w:rPr>
          <w:rFonts w:cs="Arial"/>
        </w:rPr>
        <w:t>any express exemption”.</w:t>
      </w:r>
    </w:p>
  </w:footnote>
  <w:footnote w:id="33">
    <w:p w14:paraId="73134F2C" w14:textId="77777777" w:rsidR="009D596F" w:rsidRPr="00505647" w:rsidRDefault="009D596F" w:rsidP="00040F4A">
      <w:pPr>
        <w:pStyle w:val="Notedebasdepage"/>
      </w:pPr>
      <w:r w:rsidRPr="00505647">
        <w:rPr>
          <w:rStyle w:val="Appelnotedebasdep"/>
        </w:rPr>
        <w:footnoteRef/>
      </w:r>
      <w:r w:rsidRPr="00505647">
        <w:t xml:space="preserve"> </w:t>
      </w:r>
      <w:r w:rsidRPr="00505647">
        <w:tab/>
      </w:r>
      <w:r w:rsidRPr="00505647">
        <w:rPr>
          <w:i/>
          <w:iCs/>
        </w:rPr>
        <w:t>Pacific Coast Coin Exchange</w:t>
      </w:r>
      <w:r w:rsidRPr="00505647">
        <w:t xml:space="preserve"> v. </w:t>
      </w:r>
      <w:r w:rsidRPr="00505647">
        <w:rPr>
          <w:i/>
          <w:iCs/>
        </w:rPr>
        <w:t>Ontario Securities Commission</w:t>
      </w:r>
      <w:r w:rsidRPr="00505647">
        <w:t>, [1978] 2 S.C.R. 112, 127–128.</w:t>
      </w:r>
    </w:p>
  </w:footnote>
  <w:footnote w:id="34">
    <w:p w14:paraId="46D14B30" w14:textId="77777777" w:rsidR="009D596F" w:rsidRPr="00505647" w:rsidRDefault="009D596F" w:rsidP="00040F4A">
      <w:pPr>
        <w:pStyle w:val="Notedebasdepage"/>
      </w:pPr>
      <w:r w:rsidRPr="00505647">
        <w:rPr>
          <w:rStyle w:val="Appelnotedebasdep"/>
        </w:rPr>
        <w:footnoteRef/>
      </w:r>
      <w:r w:rsidRPr="00505647">
        <w:t xml:space="preserve"> </w:t>
      </w:r>
      <w:r w:rsidRPr="00505647">
        <w:tab/>
      </w:r>
      <w:r w:rsidRPr="00505647">
        <w:rPr>
          <w:i/>
          <w:iCs/>
        </w:rPr>
        <w:t xml:space="preserve">S.E.C. </w:t>
      </w:r>
      <w:r w:rsidRPr="00505647">
        <w:t xml:space="preserve">v. </w:t>
      </w:r>
      <w:r w:rsidRPr="00505647">
        <w:rPr>
          <w:i/>
          <w:iCs/>
        </w:rPr>
        <w:t>W. J. Howey Co.</w:t>
      </w:r>
      <w:r w:rsidRPr="00505647">
        <w:t>, 328 U.S. 293 (1946).</w:t>
      </w:r>
    </w:p>
  </w:footnote>
  <w:footnote w:id="35">
    <w:p w14:paraId="663E422F"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D-14.</w:t>
      </w:r>
    </w:p>
  </w:footnote>
  <w:footnote w:id="36">
    <w:p w14:paraId="7D7DE56E"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D-13.</w:t>
      </w:r>
    </w:p>
  </w:footnote>
  <w:footnote w:id="37">
    <w:p w14:paraId="61D79D6D"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D-29.</w:t>
      </w:r>
    </w:p>
  </w:footnote>
  <w:footnote w:id="38">
    <w:p w14:paraId="27BF512A" w14:textId="77777777" w:rsidR="009D596F" w:rsidRPr="005F142A" w:rsidRDefault="009D596F" w:rsidP="00040F4A">
      <w:pPr>
        <w:pStyle w:val="Notedebasdepage"/>
        <w:rPr>
          <w:lang w:val="fr-CA"/>
        </w:rPr>
      </w:pPr>
      <w:r w:rsidRPr="00505647">
        <w:rPr>
          <w:rStyle w:val="Appelnotedebasdep"/>
        </w:rPr>
        <w:footnoteRef/>
      </w:r>
      <w:r w:rsidRPr="005F142A">
        <w:rPr>
          <w:lang w:val="fr-CA"/>
        </w:rPr>
        <w:t xml:space="preserve"> </w:t>
      </w:r>
      <w:r w:rsidRPr="005F142A">
        <w:rPr>
          <w:lang w:val="fr-CA"/>
        </w:rPr>
        <w:tab/>
        <w:t>Exhibit D-77.</w:t>
      </w:r>
    </w:p>
  </w:footnote>
  <w:footnote w:id="39">
    <w:p w14:paraId="719987AE" w14:textId="2B94294F" w:rsidR="009D596F" w:rsidRPr="005F142A" w:rsidRDefault="009D596F" w:rsidP="00040F4A">
      <w:pPr>
        <w:pStyle w:val="Notedebasdepage"/>
        <w:rPr>
          <w:lang w:val="fr-CA"/>
        </w:rPr>
      </w:pPr>
      <w:r w:rsidRPr="00505647">
        <w:rPr>
          <w:rStyle w:val="Appelnotedebasdep"/>
        </w:rPr>
        <w:footnoteRef/>
      </w:r>
      <w:r w:rsidRPr="005F142A">
        <w:rPr>
          <w:rFonts w:cs="Arial"/>
          <w:lang w:val="fr-CA"/>
        </w:rPr>
        <w:t xml:space="preserve"> </w:t>
      </w:r>
      <w:r w:rsidRPr="005F142A">
        <w:rPr>
          <w:rFonts w:cs="Arial"/>
          <w:lang w:val="fr-CA"/>
        </w:rPr>
        <w:tab/>
      </w:r>
      <w:r w:rsidRPr="005F142A">
        <w:rPr>
          <w:rFonts w:cs="Arial"/>
          <w:i/>
          <w:iCs/>
          <w:lang w:val="fr-CA"/>
        </w:rPr>
        <w:t xml:space="preserve">Autorité des marchés financiers </w:t>
      </w:r>
      <w:r w:rsidRPr="005F142A">
        <w:rPr>
          <w:rFonts w:cs="Arial"/>
          <w:lang w:val="fr-CA"/>
        </w:rPr>
        <w:t xml:space="preserve">c. </w:t>
      </w:r>
      <w:proofErr w:type="spellStart"/>
      <w:r w:rsidRPr="005F142A">
        <w:rPr>
          <w:rFonts w:cs="Arial"/>
          <w:i/>
          <w:iCs/>
          <w:lang w:val="fr-CA"/>
        </w:rPr>
        <w:t>Battah</w:t>
      </w:r>
      <w:proofErr w:type="spellEnd"/>
      <w:r w:rsidRPr="005F142A">
        <w:rPr>
          <w:rFonts w:cs="Arial"/>
          <w:lang w:val="fr-CA"/>
        </w:rPr>
        <w:t>, 2012 QCBDR 81.</w:t>
      </w:r>
    </w:p>
  </w:footnote>
  <w:footnote w:id="40">
    <w:p w14:paraId="29F70CBB" w14:textId="3606021D" w:rsidR="009D596F" w:rsidRPr="005F142A" w:rsidRDefault="009D596F" w:rsidP="00040F4A">
      <w:pPr>
        <w:pStyle w:val="Notedebasdepage"/>
        <w:rPr>
          <w:lang w:val="fr-CA"/>
        </w:rPr>
      </w:pPr>
      <w:r w:rsidRPr="00505647">
        <w:rPr>
          <w:rStyle w:val="Appelnotedebasdep"/>
        </w:rPr>
        <w:footnoteRef/>
      </w:r>
      <w:r w:rsidRPr="005F142A">
        <w:rPr>
          <w:rFonts w:cs="Arial"/>
          <w:lang w:val="fr-CA"/>
        </w:rPr>
        <w:t xml:space="preserve"> </w:t>
      </w:r>
      <w:r w:rsidRPr="005F142A">
        <w:rPr>
          <w:rFonts w:cs="Arial"/>
          <w:lang w:val="fr-CA"/>
        </w:rPr>
        <w:tab/>
      </w:r>
      <w:r w:rsidRPr="005F142A">
        <w:rPr>
          <w:rFonts w:cs="Arial"/>
          <w:i/>
          <w:iCs/>
          <w:lang w:val="fr-CA"/>
        </w:rPr>
        <w:t xml:space="preserve">Autorité des marchés financiers </w:t>
      </w:r>
      <w:r w:rsidRPr="005F142A">
        <w:rPr>
          <w:rFonts w:cs="Arial"/>
          <w:lang w:val="fr-CA"/>
        </w:rPr>
        <w:t xml:space="preserve">c. </w:t>
      </w:r>
      <w:proofErr w:type="spellStart"/>
      <w:r w:rsidRPr="005F142A">
        <w:rPr>
          <w:rFonts w:cs="Arial"/>
          <w:i/>
          <w:iCs/>
          <w:lang w:val="fr-CA"/>
        </w:rPr>
        <w:t>Battah</w:t>
      </w:r>
      <w:proofErr w:type="spellEnd"/>
      <w:r w:rsidRPr="005F142A">
        <w:rPr>
          <w:rFonts w:cs="Arial"/>
          <w:lang w:val="fr-CA"/>
        </w:rPr>
        <w:t>, 2012 QCBDR 81.</w:t>
      </w:r>
    </w:p>
  </w:footnote>
  <w:footnote w:id="41">
    <w:p w14:paraId="05B038C8" w14:textId="3EFB6939" w:rsidR="009D596F" w:rsidRPr="005F142A" w:rsidRDefault="009D596F" w:rsidP="00040F4A">
      <w:pPr>
        <w:pStyle w:val="Notedebasdepage"/>
        <w:rPr>
          <w:lang w:val="fr-CA"/>
        </w:rPr>
      </w:pPr>
      <w:r w:rsidRPr="00505647">
        <w:rPr>
          <w:rStyle w:val="Appelnotedebasdep"/>
        </w:rPr>
        <w:footnoteRef/>
      </w:r>
      <w:r w:rsidRPr="005F142A">
        <w:rPr>
          <w:rFonts w:cs="Arial"/>
          <w:lang w:val="fr-CA"/>
        </w:rPr>
        <w:t xml:space="preserve"> </w:t>
      </w:r>
      <w:r w:rsidRPr="005F142A">
        <w:rPr>
          <w:rFonts w:cs="Arial"/>
          <w:lang w:val="fr-CA"/>
        </w:rPr>
        <w:tab/>
      </w:r>
      <w:proofErr w:type="spellStart"/>
      <w:r w:rsidRPr="005F142A">
        <w:rPr>
          <w:rFonts w:cs="Arial"/>
          <w:i/>
          <w:iCs/>
          <w:lang w:val="fr-CA"/>
        </w:rPr>
        <w:t>Infotique</w:t>
      </w:r>
      <w:proofErr w:type="spellEnd"/>
      <w:r w:rsidRPr="005F142A">
        <w:rPr>
          <w:rFonts w:cs="Arial"/>
          <w:i/>
          <w:iCs/>
          <w:lang w:val="fr-CA"/>
        </w:rPr>
        <w:t xml:space="preserve"> </w:t>
      </w:r>
      <w:proofErr w:type="spellStart"/>
      <w:r w:rsidRPr="005F142A">
        <w:rPr>
          <w:rFonts w:cs="Arial"/>
          <w:i/>
          <w:iCs/>
          <w:lang w:val="fr-CA"/>
        </w:rPr>
        <w:t>Tyra</w:t>
      </w:r>
      <w:proofErr w:type="spellEnd"/>
      <w:r w:rsidRPr="005F142A">
        <w:rPr>
          <w:rFonts w:cs="Arial"/>
          <w:i/>
          <w:iCs/>
          <w:lang w:val="fr-CA"/>
        </w:rPr>
        <w:t xml:space="preserve"> </w:t>
      </w:r>
      <w:proofErr w:type="spellStart"/>
      <w:r w:rsidRPr="005F142A">
        <w:rPr>
          <w:rFonts w:cs="Arial"/>
          <w:i/>
          <w:iCs/>
          <w:lang w:val="fr-CA"/>
        </w:rPr>
        <w:t>inc.</w:t>
      </w:r>
      <w:proofErr w:type="spellEnd"/>
      <w:r w:rsidRPr="005F142A">
        <w:rPr>
          <w:rFonts w:cs="Arial"/>
          <w:i/>
          <w:iCs/>
          <w:lang w:val="fr-CA"/>
        </w:rPr>
        <w:t xml:space="preserve"> </w:t>
      </w:r>
      <w:r w:rsidRPr="005F142A">
        <w:rPr>
          <w:rFonts w:cs="Arial"/>
          <w:lang w:val="fr-CA"/>
        </w:rPr>
        <w:t xml:space="preserve">c. </w:t>
      </w:r>
      <w:r w:rsidRPr="005F142A">
        <w:rPr>
          <w:rFonts w:cs="Arial"/>
          <w:i/>
          <w:iCs/>
          <w:lang w:val="fr-CA"/>
        </w:rPr>
        <w:t>Québec (Commission des valeurs mobilières)</w:t>
      </w:r>
      <w:r w:rsidRPr="005F142A">
        <w:rPr>
          <w:rFonts w:cs="Arial"/>
          <w:lang w:val="fr-CA"/>
        </w:rPr>
        <w:t>, 1994 CanLII 5940.</w:t>
      </w:r>
    </w:p>
  </w:footnote>
  <w:footnote w:id="42">
    <w:p w14:paraId="547EF1C6"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D-13.</w:t>
      </w:r>
    </w:p>
  </w:footnote>
  <w:footnote w:id="43">
    <w:p w14:paraId="250E1DB6"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D-51.</w:t>
      </w:r>
    </w:p>
  </w:footnote>
  <w:footnote w:id="44">
    <w:p w14:paraId="29968E5C"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D-109.</w:t>
      </w:r>
    </w:p>
  </w:footnote>
  <w:footnote w:id="45">
    <w:p w14:paraId="0FE01E97"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D-109, p. 2.</w:t>
      </w:r>
    </w:p>
  </w:footnote>
  <w:footnote w:id="46">
    <w:p w14:paraId="24023F0E"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D-60.</w:t>
      </w:r>
    </w:p>
  </w:footnote>
  <w:footnote w:id="47">
    <w:p w14:paraId="0539B868"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D-75.</w:t>
      </w:r>
    </w:p>
  </w:footnote>
  <w:footnote w:id="48">
    <w:p w14:paraId="126429BA"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D-75, p. 16.</w:t>
      </w:r>
    </w:p>
  </w:footnote>
  <w:footnote w:id="49">
    <w:p w14:paraId="27A18409" w14:textId="1BB75FCC" w:rsidR="009D596F" w:rsidRPr="00505647" w:rsidRDefault="009D596F" w:rsidP="00040F4A">
      <w:pPr>
        <w:pStyle w:val="Notedebasdepage"/>
      </w:pPr>
      <w:r w:rsidRPr="00505647">
        <w:rPr>
          <w:rStyle w:val="Appelnotedebasdep"/>
        </w:rPr>
        <w:footnoteRef/>
      </w:r>
      <w:r w:rsidRPr="00505647">
        <w:t xml:space="preserve"> </w:t>
      </w:r>
      <w:r w:rsidRPr="00505647">
        <w:tab/>
        <w:t xml:space="preserve">Also called Tether. This is a cryptocurrency that claims to be stable, and </w:t>
      </w:r>
      <w:r w:rsidRPr="009D68E0">
        <w:t>that aims</w:t>
      </w:r>
      <w:r w:rsidRPr="00505647">
        <w:t xml:space="preserve"> to reflect the value of the U.S. dollar. </w:t>
      </w:r>
    </w:p>
  </w:footnote>
  <w:footnote w:id="50">
    <w:p w14:paraId="7A532156"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D-76.</w:t>
      </w:r>
    </w:p>
  </w:footnote>
  <w:footnote w:id="51">
    <w:p w14:paraId="6232D8CD" w14:textId="77777777" w:rsidR="009D596F" w:rsidRPr="00505647" w:rsidRDefault="009D596F" w:rsidP="00040F4A">
      <w:pPr>
        <w:pStyle w:val="Notedebasdepage"/>
      </w:pPr>
      <w:r w:rsidRPr="00505647">
        <w:rPr>
          <w:rStyle w:val="Appelnotedebasdep"/>
        </w:rPr>
        <w:footnoteRef/>
      </w:r>
      <w:r w:rsidRPr="00505647">
        <w:t xml:space="preserve"> </w:t>
      </w:r>
      <w:r w:rsidRPr="00505647">
        <w:tab/>
        <w:t xml:space="preserve">Exhibit D-76. </w:t>
      </w:r>
    </w:p>
  </w:footnote>
  <w:footnote w:id="52">
    <w:p w14:paraId="53B4145A" w14:textId="77777777" w:rsidR="009D596F" w:rsidRPr="00505647" w:rsidRDefault="009D596F" w:rsidP="00040F4A">
      <w:pPr>
        <w:pStyle w:val="Notedebasdepage"/>
      </w:pPr>
      <w:r w:rsidRPr="00505647">
        <w:rPr>
          <w:rStyle w:val="Appelnotedebasdep"/>
        </w:rPr>
        <w:footnoteRef/>
      </w:r>
      <w:r w:rsidRPr="00505647">
        <w:t xml:space="preserve"> </w:t>
      </w:r>
      <w:r w:rsidRPr="00505647">
        <w:tab/>
        <w:t>A return of 0.006177239 USDT was posted on the XT.com website for this initial investment of one (1) USDT; Exhibit D-78.</w:t>
      </w:r>
    </w:p>
  </w:footnote>
  <w:footnote w:id="53">
    <w:p w14:paraId="3E7D9F68"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D-79.</w:t>
      </w:r>
    </w:p>
  </w:footnote>
  <w:footnote w:id="54">
    <w:p w14:paraId="74592308"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D-81.</w:t>
      </w:r>
    </w:p>
  </w:footnote>
  <w:footnote w:id="55">
    <w:p w14:paraId="1AA1EA56"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D-82, p. 3.</w:t>
      </w:r>
    </w:p>
  </w:footnote>
  <w:footnote w:id="56">
    <w:p w14:paraId="50A7A59B"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D-78.</w:t>
      </w:r>
    </w:p>
  </w:footnote>
  <w:footnote w:id="57">
    <w:p w14:paraId="4A890645"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D-78.</w:t>
      </w:r>
    </w:p>
  </w:footnote>
  <w:footnote w:id="58">
    <w:p w14:paraId="05C2728A" w14:textId="4608FDEA" w:rsidR="009D596F" w:rsidRPr="00505647" w:rsidRDefault="009D596F" w:rsidP="00040F4A">
      <w:pPr>
        <w:pStyle w:val="Notedebasdepage"/>
      </w:pPr>
      <w:r w:rsidRPr="00505647">
        <w:rPr>
          <w:rStyle w:val="Appelnotedebasdep"/>
        </w:rPr>
        <w:footnoteRef/>
      </w:r>
      <w:r w:rsidRPr="00505647">
        <w:t xml:space="preserve"> </w:t>
      </w:r>
      <w:r w:rsidRPr="00505647">
        <w:tab/>
        <w:t xml:space="preserve">A return of 0.002367 USDT was posted on the Authority’s account; Exhibit D-83. </w:t>
      </w:r>
    </w:p>
  </w:footnote>
  <w:footnote w:id="59">
    <w:p w14:paraId="0FB0DA13" w14:textId="6201E1B5" w:rsidR="009D596F" w:rsidRPr="00505647" w:rsidRDefault="009D596F" w:rsidP="00040F4A">
      <w:pPr>
        <w:pStyle w:val="Notedebasdepage"/>
      </w:pPr>
      <w:r w:rsidRPr="00505647">
        <w:rPr>
          <w:rStyle w:val="Appelnotedebasdep"/>
        </w:rPr>
        <w:footnoteRef/>
      </w:r>
      <w:r w:rsidRPr="00505647">
        <w:t xml:space="preserve"> </w:t>
      </w:r>
      <w:r w:rsidRPr="00505647">
        <w:tab/>
        <w:t>Including the Canadian dollar, for example.</w:t>
      </w:r>
    </w:p>
  </w:footnote>
  <w:footnote w:id="60">
    <w:p w14:paraId="0EAAB863"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D-35.</w:t>
      </w:r>
    </w:p>
  </w:footnote>
  <w:footnote w:id="61">
    <w:p w14:paraId="46706B42" w14:textId="77777777" w:rsidR="009D596F" w:rsidRPr="00505647" w:rsidRDefault="009D596F" w:rsidP="00040F4A">
      <w:pPr>
        <w:pStyle w:val="Notedebasdepage"/>
      </w:pPr>
      <w:r w:rsidRPr="00505647">
        <w:rPr>
          <w:rStyle w:val="Appelnotedebasdep"/>
        </w:rPr>
        <w:footnoteRef/>
      </w:r>
      <w:r w:rsidRPr="00505647">
        <w:t xml:space="preserve"> </w:t>
      </w:r>
      <w:r w:rsidRPr="00505647">
        <w:tab/>
        <w:t xml:space="preserve">Exhibit D-38. </w:t>
      </w:r>
    </w:p>
  </w:footnote>
  <w:footnote w:id="62">
    <w:p w14:paraId="61CF8CC7"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Exhibits D-40 to D-42.</w:t>
      </w:r>
    </w:p>
  </w:footnote>
  <w:footnote w:id="63">
    <w:p w14:paraId="7258AB45"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D-39.</w:t>
      </w:r>
    </w:p>
  </w:footnote>
  <w:footnote w:id="64">
    <w:p w14:paraId="4EAF755E"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Exhibits D-43 and D-44.</w:t>
      </w:r>
    </w:p>
  </w:footnote>
  <w:footnote w:id="65">
    <w:p w14:paraId="3C36885E"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Exhibits D-45 and D-46.</w:t>
      </w:r>
    </w:p>
  </w:footnote>
  <w:footnote w:id="66">
    <w:p w14:paraId="131A433C"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D-47.</w:t>
      </w:r>
    </w:p>
  </w:footnote>
  <w:footnote w:id="67">
    <w:p w14:paraId="71921A67"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D-48.</w:t>
      </w:r>
    </w:p>
  </w:footnote>
  <w:footnote w:id="68">
    <w:p w14:paraId="0D0BD7CF"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D-36.</w:t>
      </w:r>
    </w:p>
  </w:footnote>
  <w:footnote w:id="69">
    <w:p w14:paraId="1A62D361"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D-37.</w:t>
      </w:r>
    </w:p>
  </w:footnote>
  <w:footnote w:id="70">
    <w:p w14:paraId="5C53E609"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D-50.</w:t>
      </w:r>
    </w:p>
  </w:footnote>
  <w:footnote w:id="71">
    <w:p w14:paraId="19ACD125"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D-55.</w:t>
      </w:r>
    </w:p>
  </w:footnote>
  <w:footnote w:id="72">
    <w:p w14:paraId="15E0452C"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D-56.</w:t>
      </w:r>
    </w:p>
  </w:footnote>
  <w:footnote w:id="73">
    <w:p w14:paraId="336DBCF8" w14:textId="44D6AD85" w:rsidR="009D596F" w:rsidRPr="00505647" w:rsidRDefault="009D596F">
      <w:pPr>
        <w:pStyle w:val="Notedebasdepage"/>
      </w:pPr>
      <w:r w:rsidRPr="00505647">
        <w:rPr>
          <w:rStyle w:val="Appelnotedebasdep"/>
        </w:rPr>
        <w:footnoteRef/>
      </w:r>
      <w:r w:rsidRPr="00505647">
        <w:t xml:space="preserve"> </w:t>
      </w:r>
      <w:r w:rsidRPr="00505647">
        <w:tab/>
        <w:t>Exhibits D-57 and D-58.</w:t>
      </w:r>
    </w:p>
  </w:footnote>
  <w:footnote w:id="74">
    <w:p w14:paraId="4FF3DB36" w14:textId="0CF22D85" w:rsidR="009D596F" w:rsidRPr="00505647" w:rsidRDefault="009D596F">
      <w:pPr>
        <w:pStyle w:val="Notedebasdepage"/>
      </w:pPr>
      <w:r w:rsidRPr="00505647">
        <w:rPr>
          <w:rStyle w:val="Appelnotedebasdep"/>
        </w:rPr>
        <w:footnoteRef/>
      </w:r>
      <w:r w:rsidRPr="00505647">
        <w:t xml:space="preserve"> </w:t>
      </w:r>
      <w:r w:rsidRPr="00505647">
        <w:tab/>
        <w:t>Exhibit D-59.</w:t>
      </w:r>
    </w:p>
  </w:footnote>
  <w:footnote w:id="75">
    <w:p w14:paraId="57CA5C76" w14:textId="5629F40C" w:rsidR="009D596F" w:rsidRPr="00505647" w:rsidRDefault="009D596F" w:rsidP="00040F4A">
      <w:pPr>
        <w:pStyle w:val="Notedebasdepage"/>
      </w:pPr>
      <w:r w:rsidRPr="00505647">
        <w:rPr>
          <w:rStyle w:val="Appelnotedebasdep"/>
        </w:rPr>
        <w:footnoteRef/>
      </w:r>
      <w:r w:rsidRPr="00505647">
        <w:t xml:space="preserve"> </w:t>
      </w:r>
      <w:r w:rsidRPr="00505647">
        <w:tab/>
        <w:t>Exhibit D-60.</w:t>
      </w:r>
    </w:p>
  </w:footnote>
  <w:footnote w:id="76">
    <w:p w14:paraId="74044385"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D-75.</w:t>
      </w:r>
    </w:p>
  </w:footnote>
  <w:footnote w:id="77">
    <w:p w14:paraId="629F39E7"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D-75.</w:t>
      </w:r>
    </w:p>
  </w:footnote>
  <w:footnote w:id="78">
    <w:p w14:paraId="117D4509"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D-76.</w:t>
      </w:r>
    </w:p>
  </w:footnote>
  <w:footnote w:id="79">
    <w:p w14:paraId="0DCE3640"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Exhibits D-80 and D-81.</w:t>
      </w:r>
    </w:p>
  </w:footnote>
  <w:footnote w:id="80">
    <w:p w14:paraId="3B03EFC5" w14:textId="77777777" w:rsidR="009D596F" w:rsidRPr="005F142A" w:rsidRDefault="009D596F" w:rsidP="00040F4A">
      <w:pPr>
        <w:pStyle w:val="Notedebasdepage"/>
        <w:rPr>
          <w:lang w:val="fr-CA"/>
        </w:rPr>
      </w:pPr>
      <w:r w:rsidRPr="00505647">
        <w:rPr>
          <w:rStyle w:val="Appelnotedebasdep"/>
        </w:rPr>
        <w:footnoteRef/>
      </w:r>
      <w:r w:rsidRPr="005F142A">
        <w:rPr>
          <w:lang w:val="fr-CA"/>
        </w:rPr>
        <w:t xml:space="preserve"> </w:t>
      </w:r>
      <w:r w:rsidRPr="005F142A">
        <w:rPr>
          <w:lang w:val="fr-CA"/>
        </w:rPr>
        <w:tab/>
        <w:t>Exhibit D-78.</w:t>
      </w:r>
    </w:p>
  </w:footnote>
  <w:footnote w:id="81">
    <w:p w14:paraId="21122D16" w14:textId="727E49A4" w:rsidR="009D596F" w:rsidRPr="005F142A" w:rsidRDefault="009D596F" w:rsidP="00040F4A">
      <w:pPr>
        <w:pStyle w:val="Notedebasdepage"/>
        <w:rPr>
          <w:lang w:val="fr-CA"/>
        </w:rPr>
      </w:pPr>
      <w:r w:rsidRPr="00505647">
        <w:rPr>
          <w:rStyle w:val="Appelnotedebasdep"/>
        </w:rPr>
        <w:footnoteRef/>
      </w:r>
      <w:r w:rsidRPr="005F142A">
        <w:rPr>
          <w:rFonts w:cs="Arial"/>
          <w:lang w:val="fr-CA"/>
        </w:rPr>
        <w:t xml:space="preserve"> </w:t>
      </w:r>
      <w:r w:rsidRPr="005F142A">
        <w:rPr>
          <w:rFonts w:cs="Arial"/>
          <w:lang w:val="fr-CA"/>
        </w:rPr>
        <w:tab/>
      </w:r>
      <w:r w:rsidRPr="005F142A">
        <w:rPr>
          <w:rFonts w:cs="Arial"/>
          <w:i/>
          <w:iCs/>
          <w:lang w:val="fr-CA"/>
        </w:rPr>
        <w:t>Autorité des marchés financiers</w:t>
      </w:r>
      <w:r w:rsidRPr="005F142A">
        <w:rPr>
          <w:rFonts w:cs="Arial"/>
          <w:lang w:val="fr-CA"/>
        </w:rPr>
        <w:t xml:space="preserve"> v.</w:t>
      </w:r>
      <w:r w:rsidRPr="005F142A">
        <w:rPr>
          <w:rFonts w:cs="Arial"/>
          <w:i/>
          <w:iCs/>
          <w:lang w:val="fr-CA"/>
        </w:rPr>
        <w:t xml:space="preserve"> </w:t>
      </w:r>
      <w:proofErr w:type="spellStart"/>
      <w:r w:rsidRPr="005F142A">
        <w:rPr>
          <w:rFonts w:cs="Arial"/>
          <w:i/>
          <w:iCs/>
          <w:lang w:val="fr-CA"/>
        </w:rPr>
        <w:t>PlexCorps</w:t>
      </w:r>
      <w:proofErr w:type="spellEnd"/>
      <w:r w:rsidRPr="005F142A">
        <w:rPr>
          <w:rFonts w:cs="Arial"/>
          <w:lang w:val="fr-CA"/>
        </w:rPr>
        <w:t xml:space="preserve">, 2017 QCTMF 88, </w:t>
      </w:r>
      <w:proofErr w:type="spellStart"/>
      <w:r w:rsidRPr="005F142A">
        <w:rPr>
          <w:rFonts w:cs="Arial"/>
          <w:lang w:val="fr-CA"/>
        </w:rPr>
        <w:t>upheld</w:t>
      </w:r>
      <w:proofErr w:type="spellEnd"/>
      <w:r w:rsidRPr="005F142A">
        <w:rPr>
          <w:rFonts w:cs="Arial"/>
          <w:lang w:val="fr-CA"/>
        </w:rPr>
        <w:t xml:space="preserve"> by the Court of Québec in </w:t>
      </w:r>
      <w:r w:rsidRPr="005F142A">
        <w:rPr>
          <w:rFonts w:cs="Arial"/>
          <w:i/>
          <w:iCs/>
          <w:lang w:val="fr-CA"/>
        </w:rPr>
        <w:t>Lacroix</w:t>
      </w:r>
      <w:r w:rsidRPr="005F142A">
        <w:rPr>
          <w:rFonts w:cs="Arial"/>
          <w:lang w:val="fr-CA"/>
        </w:rPr>
        <w:t xml:space="preserve"> v. </w:t>
      </w:r>
      <w:r w:rsidRPr="005F142A">
        <w:rPr>
          <w:rFonts w:cs="Arial"/>
          <w:i/>
          <w:iCs/>
          <w:lang w:val="fr-CA"/>
        </w:rPr>
        <w:t>Autorité des marchés financiers</w:t>
      </w:r>
      <w:r w:rsidRPr="005F142A">
        <w:rPr>
          <w:rFonts w:cs="Arial"/>
          <w:lang w:val="fr-CA"/>
        </w:rPr>
        <w:t>, 2020 QCCQ 1467.</w:t>
      </w:r>
    </w:p>
  </w:footnote>
  <w:footnote w:id="82">
    <w:p w14:paraId="51587AA2" w14:textId="77777777" w:rsidR="009D596F" w:rsidRPr="00505647" w:rsidRDefault="009D596F" w:rsidP="00040F4A">
      <w:pPr>
        <w:pStyle w:val="Notedebasdepage"/>
      </w:pPr>
      <w:r w:rsidRPr="00505647">
        <w:rPr>
          <w:rStyle w:val="Appelnotedebasdep"/>
        </w:rPr>
        <w:footnoteRef/>
      </w:r>
      <w:r w:rsidRPr="00505647">
        <w:t xml:space="preserve"> </w:t>
      </w:r>
      <w:r w:rsidRPr="00505647">
        <w:tab/>
      </w:r>
      <w:r w:rsidRPr="00505647">
        <w:rPr>
          <w:i/>
          <w:iCs/>
        </w:rPr>
        <w:t>Pacific Coast Coin Exchange</w:t>
      </w:r>
      <w:r w:rsidRPr="00505647">
        <w:t xml:space="preserve"> v. </w:t>
      </w:r>
      <w:r w:rsidRPr="00505647">
        <w:rPr>
          <w:i/>
          <w:iCs/>
        </w:rPr>
        <w:t>Ontario Securities Commission</w:t>
      </w:r>
      <w:r w:rsidRPr="00505647">
        <w:t>, [1978] 2 S.C.R. 112, 128 and 129.</w:t>
      </w:r>
    </w:p>
  </w:footnote>
  <w:footnote w:id="83">
    <w:p w14:paraId="4A658A4B" w14:textId="77777777" w:rsidR="009D596F" w:rsidRPr="00505647" w:rsidRDefault="009D596F" w:rsidP="00040F4A">
      <w:pPr>
        <w:pStyle w:val="Notedebasdepage"/>
      </w:pPr>
      <w:r w:rsidRPr="00505647">
        <w:rPr>
          <w:rStyle w:val="Appelnotedebasdep"/>
        </w:rPr>
        <w:footnoteRef/>
      </w:r>
      <w:r w:rsidRPr="00505647">
        <w:t xml:space="preserve"> </w:t>
      </w:r>
      <w:r w:rsidRPr="00505647">
        <w:tab/>
      </w:r>
      <w:r w:rsidRPr="00505647">
        <w:rPr>
          <w:i/>
          <w:iCs/>
        </w:rPr>
        <w:t xml:space="preserve">S.E.C. </w:t>
      </w:r>
      <w:r w:rsidRPr="00505647">
        <w:t xml:space="preserve">v. </w:t>
      </w:r>
      <w:r w:rsidRPr="00505647">
        <w:rPr>
          <w:i/>
          <w:iCs/>
        </w:rPr>
        <w:t>W. J. Howey Co.</w:t>
      </w:r>
      <w:r w:rsidRPr="00505647">
        <w:t>, 328 U.S. 293 (1946).</w:t>
      </w:r>
    </w:p>
  </w:footnote>
  <w:footnote w:id="84">
    <w:p w14:paraId="3477393C" w14:textId="77777777" w:rsidR="009D596F" w:rsidRPr="002F67A3" w:rsidRDefault="009D596F" w:rsidP="00040F4A">
      <w:pPr>
        <w:pStyle w:val="Notedebasdepage"/>
        <w:rPr>
          <w:lang w:val="fr-CA"/>
        </w:rPr>
      </w:pPr>
      <w:r w:rsidRPr="00505647">
        <w:rPr>
          <w:rStyle w:val="Appelnotedebasdep"/>
        </w:rPr>
        <w:footnoteRef/>
      </w:r>
      <w:r w:rsidRPr="002F67A3">
        <w:rPr>
          <w:lang w:val="fr-CA"/>
        </w:rPr>
        <w:t xml:space="preserve"> </w:t>
      </w:r>
      <w:r w:rsidRPr="002F67A3">
        <w:rPr>
          <w:lang w:val="fr-CA"/>
        </w:rPr>
        <w:tab/>
      </w:r>
      <w:r w:rsidRPr="002F67A3">
        <w:rPr>
          <w:i/>
          <w:iCs/>
          <w:lang w:val="fr-CA"/>
        </w:rPr>
        <w:t xml:space="preserve">Pacific </w:t>
      </w:r>
      <w:proofErr w:type="spellStart"/>
      <w:r w:rsidRPr="002F67A3">
        <w:rPr>
          <w:i/>
          <w:iCs/>
          <w:lang w:val="fr-CA"/>
        </w:rPr>
        <w:t>Coast</w:t>
      </w:r>
      <w:proofErr w:type="spellEnd"/>
      <w:r w:rsidRPr="002F67A3">
        <w:rPr>
          <w:i/>
          <w:iCs/>
          <w:lang w:val="fr-CA"/>
        </w:rPr>
        <w:t xml:space="preserve"> Coin Exchange</w:t>
      </w:r>
      <w:r w:rsidRPr="002F67A3">
        <w:rPr>
          <w:lang w:val="fr-CA"/>
        </w:rPr>
        <w:t xml:space="preserve"> v. </w:t>
      </w:r>
      <w:r w:rsidRPr="002F67A3">
        <w:rPr>
          <w:i/>
          <w:iCs/>
          <w:lang w:val="fr-CA"/>
        </w:rPr>
        <w:t>Ontario Securities Commission</w:t>
      </w:r>
      <w:r w:rsidRPr="002F67A3">
        <w:rPr>
          <w:lang w:val="fr-CA"/>
        </w:rPr>
        <w:t>, [1978] 2 S.C.R. 112, 129.</w:t>
      </w:r>
    </w:p>
  </w:footnote>
  <w:footnote w:id="85">
    <w:p w14:paraId="5CDB9267" w14:textId="77777777" w:rsidR="009D596F" w:rsidRPr="005F142A" w:rsidRDefault="009D596F" w:rsidP="00040F4A">
      <w:pPr>
        <w:pStyle w:val="Notedebasdepage"/>
        <w:rPr>
          <w:rFonts w:cs="Arial"/>
          <w:lang w:val="fr-CA"/>
        </w:rPr>
      </w:pPr>
      <w:r w:rsidRPr="00505647">
        <w:rPr>
          <w:rStyle w:val="Appelnotedebasdep"/>
        </w:rPr>
        <w:footnoteRef/>
      </w:r>
      <w:r w:rsidRPr="005F142A">
        <w:rPr>
          <w:lang w:val="fr-CA"/>
        </w:rPr>
        <w:t xml:space="preserve"> </w:t>
      </w:r>
      <w:r w:rsidRPr="005F142A">
        <w:rPr>
          <w:lang w:val="fr-CA"/>
        </w:rPr>
        <w:tab/>
      </w:r>
      <w:r w:rsidRPr="005F142A">
        <w:rPr>
          <w:i/>
          <w:iCs/>
          <w:lang w:val="fr-CA"/>
        </w:rPr>
        <w:t>Autorité des marchés financiers</w:t>
      </w:r>
      <w:r w:rsidRPr="005F142A">
        <w:rPr>
          <w:lang w:val="fr-CA"/>
        </w:rPr>
        <w:t xml:space="preserve"> c. </w:t>
      </w:r>
      <w:r w:rsidRPr="005F142A">
        <w:rPr>
          <w:i/>
          <w:iCs/>
          <w:lang w:val="fr-CA"/>
        </w:rPr>
        <w:t>Opération Phoenix inc</w:t>
      </w:r>
      <w:r w:rsidRPr="005F142A">
        <w:rPr>
          <w:lang w:val="fr-CA"/>
        </w:rPr>
        <w:t>., 2021 QCTMF 23;</w:t>
      </w:r>
      <w:r w:rsidRPr="005F142A">
        <w:rPr>
          <w:rFonts w:ascii="Open Sans" w:hAnsi="Open Sans"/>
          <w:sz w:val="21"/>
          <w:szCs w:val="21"/>
          <w:lang w:val="fr-CA"/>
        </w:rPr>
        <w:t xml:space="preserve"> </w:t>
      </w:r>
      <w:r w:rsidRPr="005F142A">
        <w:rPr>
          <w:i/>
          <w:iCs/>
          <w:lang w:val="fr-CA"/>
        </w:rPr>
        <w:t>Autorité des marchés financiers</w:t>
      </w:r>
      <w:r w:rsidRPr="005F142A">
        <w:rPr>
          <w:lang w:val="fr-CA"/>
        </w:rPr>
        <w:t xml:space="preserve"> c. </w:t>
      </w:r>
      <w:r w:rsidRPr="005F142A">
        <w:rPr>
          <w:i/>
          <w:iCs/>
          <w:lang w:val="fr-CA"/>
        </w:rPr>
        <w:t xml:space="preserve">Gestion </w:t>
      </w:r>
      <w:proofErr w:type="spellStart"/>
      <w:r w:rsidRPr="005F142A">
        <w:rPr>
          <w:i/>
          <w:iCs/>
          <w:lang w:val="fr-CA"/>
        </w:rPr>
        <w:t>Itradecoins</w:t>
      </w:r>
      <w:proofErr w:type="spellEnd"/>
      <w:r w:rsidRPr="005F142A">
        <w:rPr>
          <w:i/>
          <w:iCs/>
          <w:lang w:val="fr-CA"/>
        </w:rPr>
        <w:t xml:space="preserve"> </w:t>
      </w:r>
      <w:proofErr w:type="spellStart"/>
      <w:r w:rsidRPr="005F142A">
        <w:rPr>
          <w:i/>
          <w:iCs/>
          <w:lang w:val="fr-CA"/>
        </w:rPr>
        <w:t>inc</w:t>
      </w:r>
      <w:r w:rsidRPr="005F142A">
        <w:rPr>
          <w:lang w:val="fr-CA"/>
        </w:rPr>
        <w:t>.</w:t>
      </w:r>
      <w:proofErr w:type="spellEnd"/>
      <w:r w:rsidRPr="005F142A">
        <w:rPr>
          <w:lang w:val="fr-CA"/>
        </w:rPr>
        <w:t xml:space="preserve">, 2020 QCTMF 57; </w:t>
      </w:r>
      <w:r w:rsidRPr="005F142A">
        <w:rPr>
          <w:i/>
          <w:iCs/>
          <w:lang w:val="fr-CA"/>
        </w:rPr>
        <w:t>Autorité des marchés financiers</w:t>
      </w:r>
      <w:r w:rsidRPr="005F142A">
        <w:rPr>
          <w:lang w:val="fr-CA"/>
        </w:rPr>
        <w:t xml:space="preserve"> c. </w:t>
      </w:r>
      <w:r w:rsidRPr="005F142A">
        <w:rPr>
          <w:i/>
          <w:iCs/>
          <w:lang w:val="fr-CA"/>
        </w:rPr>
        <w:t>Technologies Crypto inc</w:t>
      </w:r>
      <w:r w:rsidRPr="005F142A">
        <w:rPr>
          <w:lang w:val="fr-CA"/>
        </w:rPr>
        <w:t>., 2019 QCTMF 5.</w:t>
      </w:r>
    </w:p>
  </w:footnote>
  <w:footnote w:id="86">
    <w:p w14:paraId="6E8C70ED" w14:textId="74750E6A" w:rsidR="009D596F" w:rsidRPr="00505647" w:rsidRDefault="009D596F" w:rsidP="00040F4A">
      <w:pPr>
        <w:pStyle w:val="Notedebasdepage"/>
      </w:pPr>
      <w:r w:rsidRPr="00505647">
        <w:rPr>
          <w:rStyle w:val="Appelnotedebasdep"/>
        </w:rPr>
        <w:footnoteRef/>
      </w:r>
      <w:r w:rsidRPr="00505647">
        <w:t xml:space="preserve"> </w:t>
      </w:r>
      <w:r w:rsidRPr="00505647">
        <w:tab/>
        <w:t>Canadian Securities Administrators,</w:t>
      </w:r>
      <w:r w:rsidRPr="00505647">
        <w:rPr>
          <w:i/>
          <w:iCs/>
        </w:rPr>
        <w:t xml:space="preserve"> CSA Staff Notice 21-327 Guidance on the Application of Securities Legislation to Entities Facilitating the Trading of Crypto Assets</w:t>
      </w:r>
      <w:r w:rsidRPr="00505647">
        <w:t>, January 16, 2020, online: &lt;</w:t>
      </w:r>
      <w:r w:rsidRPr="00505647">
        <w:rPr>
          <w:sz w:val="18"/>
          <w:szCs w:val="18"/>
        </w:rPr>
        <w:t xml:space="preserve">https://www.osc.ca/sites/default/files/pdfs/irps/csa_20200116_21-327_trading-crypto-assets.pdf&gt; </w:t>
      </w:r>
      <w:r w:rsidRPr="00505647">
        <w:t>(accessed August 2023).</w:t>
      </w:r>
    </w:p>
  </w:footnote>
  <w:footnote w:id="87">
    <w:p w14:paraId="1CD52970" w14:textId="77777777" w:rsidR="009D596F" w:rsidRPr="005F142A" w:rsidRDefault="009D596F" w:rsidP="00040F4A">
      <w:pPr>
        <w:pStyle w:val="Notedebasdepage"/>
        <w:rPr>
          <w:lang w:val="fr-CA"/>
        </w:rPr>
      </w:pPr>
      <w:r w:rsidRPr="00505647">
        <w:rPr>
          <w:rStyle w:val="Appelnotedebasdep"/>
        </w:rPr>
        <w:footnoteRef/>
      </w:r>
      <w:r w:rsidRPr="005F142A">
        <w:rPr>
          <w:lang w:val="fr-CA"/>
        </w:rPr>
        <w:t xml:space="preserve"> </w:t>
      </w:r>
      <w:r w:rsidRPr="005F142A">
        <w:rPr>
          <w:lang w:val="fr-CA"/>
        </w:rPr>
        <w:tab/>
        <w:t>Exhibit D-13.</w:t>
      </w:r>
    </w:p>
  </w:footnote>
  <w:footnote w:id="88">
    <w:p w14:paraId="38A3728C" w14:textId="77777777" w:rsidR="009D596F" w:rsidRPr="005F142A" w:rsidRDefault="009D596F" w:rsidP="00040F4A">
      <w:pPr>
        <w:pStyle w:val="Notedebasdepage"/>
        <w:rPr>
          <w:lang w:val="fr-CA"/>
        </w:rPr>
      </w:pPr>
      <w:r w:rsidRPr="00505647">
        <w:rPr>
          <w:rStyle w:val="Appelnotedebasdep"/>
        </w:rPr>
        <w:footnoteRef/>
      </w:r>
      <w:r w:rsidRPr="005F142A">
        <w:rPr>
          <w:lang w:val="fr-CA"/>
        </w:rPr>
        <w:t xml:space="preserve"> </w:t>
      </w:r>
      <w:r w:rsidRPr="005F142A">
        <w:rPr>
          <w:lang w:val="fr-CA"/>
        </w:rPr>
        <w:tab/>
        <w:t>Exhibit D-77.</w:t>
      </w:r>
    </w:p>
  </w:footnote>
  <w:footnote w:id="89">
    <w:p w14:paraId="716E3BEC" w14:textId="51900FB8" w:rsidR="009D596F" w:rsidRPr="005F142A" w:rsidRDefault="009D596F" w:rsidP="00040F4A">
      <w:pPr>
        <w:pStyle w:val="Notedebasdepage"/>
        <w:rPr>
          <w:lang w:val="fr-CA"/>
        </w:rPr>
      </w:pPr>
      <w:r w:rsidRPr="00505647">
        <w:rPr>
          <w:rStyle w:val="Appelnotedebasdep"/>
        </w:rPr>
        <w:footnoteRef/>
      </w:r>
      <w:r w:rsidRPr="005F142A">
        <w:rPr>
          <w:rFonts w:cs="Arial"/>
          <w:lang w:val="fr-CA"/>
        </w:rPr>
        <w:t xml:space="preserve"> </w:t>
      </w:r>
      <w:r w:rsidRPr="005F142A">
        <w:rPr>
          <w:rFonts w:cs="Arial"/>
          <w:lang w:val="fr-CA"/>
        </w:rPr>
        <w:tab/>
      </w:r>
      <w:r w:rsidRPr="005F142A">
        <w:rPr>
          <w:rFonts w:cs="Arial"/>
          <w:i/>
          <w:iCs/>
          <w:lang w:val="fr-CA"/>
        </w:rPr>
        <w:t>Autorité des marchés financiers</w:t>
      </w:r>
      <w:r w:rsidRPr="005F142A">
        <w:rPr>
          <w:rFonts w:cs="Arial"/>
          <w:lang w:val="fr-CA"/>
        </w:rPr>
        <w:t xml:space="preserve"> c. </w:t>
      </w:r>
      <w:r w:rsidRPr="005F142A">
        <w:rPr>
          <w:rFonts w:cs="Arial"/>
          <w:i/>
          <w:iCs/>
          <w:lang w:val="fr-CA"/>
        </w:rPr>
        <w:t>Opération Phoenix inc.,</w:t>
      </w:r>
      <w:r w:rsidRPr="005F142A">
        <w:rPr>
          <w:rFonts w:cs="Arial"/>
          <w:lang w:val="fr-CA"/>
        </w:rPr>
        <w:t xml:space="preserve"> 2021 QCTMF 23; </w:t>
      </w:r>
      <w:r w:rsidRPr="005F142A">
        <w:rPr>
          <w:rFonts w:cs="Arial"/>
          <w:i/>
          <w:iCs/>
          <w:lang w:val="fr-CA"/>
        </w:rPr>
        <w:t>Autorité des marchés financiers</w:t>
      </w:r>
      <w:r w:rsidRPr="005F142A">
        <w:rPr>
          <w:rFonts w:cs="Arial"/>
          <w:lang w:val="fr-CA"/>
        </w:rPr>
        <w:t xml:space="preserve"> c. </w:t>
      </w:r>
      <w:r w:rsidRPr="005F142A">
        <w:rPr>
          <w:rFonts w:cs="Arial"/>
          <w:i/>
          <w:iCs/>
          <w:lang w:val="fr-CA"/>
        </w:rPr>
        <w:t xml:space="preserve">Gestion </w:t>
      </w:r>
      <w:proofErr w:type="spellStart"/>
      <w:r w:rsidRPr="005F142A">
        <w:rPr>
          <w:rFonts w:cs="Arial"/>
          <w:i/>
          <w:iCs/>
          <w:lang w:val="fr-CA"/>
        </w:rPr>
        <w:t>Itradecoins</w:t>
      </w:r>
      <w:proofErr w:type="spellEnd"/>
      <w:r w:rsidRPr="005F142A">
        <w:rPr>
          <w:rFonts w:cs="Arial"/>
          <w:i/>
          <w:iCs/>
          <w:lang w:val="fr-CA"/>
        </w:rPr>
        <w:t xml:space="preserve"> </w:t>
      </w:r>
      <w:proofErr w:type="spellStart"/>
      <w:r w:rsidRPr="005F142A">
        <w:rPr>
          <w:rFonts w:cs="Arial"/>
          <w:i/>
          <w:iCs/>
          <w:lang w:val="fr-CA"/>
        </w:rPr>
        <w:t>inc</w:t>
      </w:r>
      <w:r w:rsidRPr="005F142A">
        <w:rPr>
          <w:rFonts w:cs="Arial"/>
          <w:lang w:val="fr-CA"/>
        </w:rPr>
        <w:t>.</w:t>
      </w:r>
      <w:proofErr w:type="spellEnd"/>
      <w:r w:rsidRPr="005F142A">
        <w:rPr>
          <w:rFonts w:cs="Arial"/>
          <w:lang w:val="fr-CA"/>
        </w:rPr>
        <w:t xml:space="preserve"> 2020 QCTMF 57; </w:t>
      </w:r>
      <w:r w:rsidRPr="005F142A">
        <w:rPr>
          <w:rFonts w:cs="Arial"/>
          <w:i/>
          <w:iCs/>
          <w:lang w:val="fr-CA"/>
        </w:rPr>
        <w:t xml:space="preserve">Autorité des marchés financiers </w:t>
      </w:r>
      <w:r w:rsidRPr="005F142A">
        <w:rPr>
          <w:rFonts w:cs="Arial"/>
          <w:lang w:val="fr-CA"/>
        </w:rPr>
        <w:t xml:space="preserve">c. </w:t>
      </w:r>
      <w:proofErr w:type="spellStart"/>
      <w:r w:rsidRPr="005F142A">
        <w:rPr>
          <w:rFonts w:cs="Arial"/>
          <w:i/>
          <w:iCs/>
          <w:lang w:val="fr-CA"/>
        </w:rPr>
        <w:t>Creunite</w:t>
      </w:r>
      <w:proofErr w:type="spellEnd"/>
      <w:r w:rsidRPr="005F142A">
        <w:rPr>
          <w:rFonts w:cs="Arial"/>
          <w:lang w:val="fr-CA"/>
        </w:rPr>
        <w:t>, 2018 QCTMF 8;</w:t>
      </w:r>
      <w:r w:rsidRPr="005F142A">
        <w:rPr>
          <w:rFonts w:cs="Arial"/>
          <w:i/>
          <w:iCs/>
          <w:lang w:val="fr-CA"/>
        </w:rPr>
        <w:t xml:space="preserve"> Autorité des marchés financiers </w:t>
      </w:r>
      <w:r w:rsidRPr="005F142A">
        <w:rPr>
          <w:rFonts w:cs="Arial"/>
          <w:lang w:val="fr-CA"/>
        </w:rPr>
        <w:t>c</w:t>
      </w:r>
      <w:r w:rsidRPr="005F142A">
        <w:rPr>
          <w:rFonts w:cs="Arial"/>
          <w:i/>
          <w:iCs/>
          <w:lang w:val="fr-CA"/>
        </w:rPr>
        <w:t xml:space="preserve">. Pichette, </w:t>
      </w:r>
      <w:r w:rsidRPr="005F142A">
        <w:rPr>
          <w:rFonts w:cs="Arial"/>
          <w:lang w:val="fr-CA"/>
        </w:rPr>
        <w:t>2017 QCTMF 138;</w:t>
      </w:r>
      <w:r w:rsidRPr="005F142A">
        <w:rPr>
          <w:rFonts w:cs="Arial"/>
          <w:i/>
          <w:iCs/>
          <w:lang w:val="fr-CA"/>
        </w:rPr>
        <w:t xml:space="preserve"> Autorité des marchés financiers </w:t>
      </w:r>
      <w:r w:rsidRPr="005F142A">
        <w:rPr>
          <w:rFonts w:cs="Arial"/>
          <w:lang w:val="fr-CA"/>
        </w:rPr>
        <w:t>c</w:t>
      </w:r>
      <w:r w:rsidRPr="005F142A">
        <w:rPr>
          <w:rFonts w:cs="Arial"/>
          <w:i/>
          <w:iCs/>
          <w:lang w:val="fr-CA"/>
        </w:rPr>
        <w:t xml:space="preserve">. Romain, </w:t>
      </w:r>
      <w:r w:rsidRPr="005F142A">
        <w:rPr>
          <w:rFonts w:cs="Arial"/>
          <w:lang w:val="fr-CA"/>
        </w:rPr>
        <w:t>2015 QCBDR 128</w:t>
      </w:r>
      <w:r w:rsidRPr="005F142A">
        <w:rPr>
          <w:rFonts w:cs="Arial"/>
          <w:i/>
          <w:iCs/>
          <w:lang w:val="fr-CA"/>
        </w:rPr>
        <w:t xml:space="preserve">. </w:t>
      </w:r>
    </w:p>
  </w:footnote>
  <w:footnote w:id="90">
    <w:p w14:paraId="2CFDCF7C" w14:textId="77777777" w:rsidR="009D596F" w:rsidRPr="005F142A" w:rsidRDefault="009D596F" w:rsidP="00040F4A">
      <w:pPr>
        <w:pStyle w:val="Notedebasdepage"/>
        <w:rPr>
          <w:lang w:val="fr-CA"/>
        </w:rPr>
      </w:pPr>
      <w:r w:rsidRPr="00505647">
        <w:rPr>
          <w:rStyle w:val="Appelnotedebasdep"/>
        </w:rPr>
        <w:footnoteRef/>
      </w:r>
      <w:r w:rsidRPr="00505647">
        <w:t xml:space="preserve"> </w:t>
      </w:r>
      <w:r w:rsidRPr="00505647">
        <w:tab/>
      </w:r>
      <w:r w:rsidRPr="00505647">
        <w:rPr>
          <w:i/>
          <w:iCs/>
        </w:rPr>
        <w:t xml:space="preserve">First Federal Capital (Canada) Corp. </w:t>
      </w:r>
      <w:r w:rsidRPr="005F142A">
        <w:rPr>
          <w:i/>
          <w:iCs/>
          <w:lang w:val="fr-CA"/>
        </w:rPr>
        <w:t>(Re)</w:t>
      </w:r>
      <w:r w:rsidRPr="005F142A">
        <w:rPr>
          <w:lang w:val="fr-CA"/>
        </w:rPr>
        <w:t xml:space="preserve">, </w:t>
      </w:r>
      <w:r w:rsidRPr="005F142A">
        <w:rPr>
          <w:rStyle w:val="reflex3-missing"/>
          <w:rFonts w:cs="Arial"/>
          <w:lang w:val="fr-CA"/>
        </w:rPr>
        <w:t>27 OSCB 1603</w:t>
      </w:r>
      <w:r w:rsidRPr="005F142A">
        <w:rPr>
          <w:lang w:val="fr-CA"/>
        </w:rPr>
        <w:t>.</w:t>
      </w:r>
    </w:p>
  </w:footnote>
  <w:footnote w:id="91">
    <w:p w14:paraId="200DA08A" w14:textId="77777777" w:rsidR="009D596F" w:rsidRPr="005F142A" w:rsidRDefault="009D596F" w:rsidP="00040F4A">
      <w:pPr>
        <w:pStyle w:val="Notedebasdepage"/>
        <w:rPr>
          <w:lang w:val="fr-CA"/>
        </w:rPr>
      </w:pPr>
      <w:r w:rsidRPr="00505647">
        <w:rPr>
          <w:rStyle w:val="Appelnotedebasdep"/>
        </w:rPr>
        <w:footnoteRef/>
      </w:r>
      <w:r w:rsidRPr="005F142A">
        <w:rPr>
          <w:lang w:val="fr-CA"/>
        </w:rPr>
        <w:t xml:space="preserve"> </w:t>
      </w:r>
      <w:r w:rsidRPr="005F142A">
        <w:rPr>
          <w:lang w:val="fr-CA"/>
        </w:rPr>
        <w:tab/>
      </w:r>
      <w:r w:rsidRPr="005F142A">
        <w:rPr>
          <w:i/>
          <w:iCs/>
          <w:lang w:val="fr-CA"/>
        </w:rPr>
        <w:t xml:space="preserve">Autorité des marchés financiers </w:t>
      </w:r>
      <w:r w:rsidRPr="005F142A">
        <w:rPr>
          <w:lang w:val="fr-CA"/>
        </w:rPr>
        <w:t>c</w:t>
      </w:r>
      <w:r w:rsidRPr="005F142A">
        <w:rPr>
          <w:i/>
          <w:iCs/>
          <w:lang w:val="fr-CA"/>
        </w:rPr>
        <w:t xml:space="preserve">. </w:t>
      </w:r>
      <w:proofErr w:type="spellStart"/>
      <w:r w:rsidRPr="005F142A">
        <w:rPr>
          <w:i/>
          <w:iCs/>
          <w:lang w:val="fr-CA"/>
        </w:rPr>
        <w:t>Battah</w:t>
      </w:r>
      <w:proofErr w:type="spellEnd"/>
      <w:r w:rsidRPr="005F142A">
        <w:rPr>
          <w:lang w:val="fr-CA"/>
        </w:rPr>
        <w:t>, 2012 QCBDR 81.</w:t>
      </w:r>
    </w:p>
  </w:footnote>
  <w:footnote w:id="92">
    <w:p w14:paraId="45D49577"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Exhibits D-13 and D-77.</w:t>
      </w:r>
    </w:p>
  </w:footnote>
  <w:footnote w:id="93">
    <w:p w14:paraId="0776CD13"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D-13.</w:t>
      </w:r>
    </w:p>
  </w:footnote>
  <w:footnote w:id="94">
    <w:p w14:paraId="73A61962"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D-77.</w:t>
      </w:r>
    </w:p>
  </w:footnote>
  <w:footnote w:id="95">
    <w:p w14:paraId="4628A961"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Exhibits D-13 and D-77.</w:t>
      </w:r>
    </w:p>
  </w:footnote>
  <w:footnote w:id="96">
    <w:p w14:paraId="382CA481"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D-59.</w:t>
      </w:r>
    </w:p>
  </w:footnote>
  <w:footnote w:id="97">
    <w:p w14:paraId="23AFC34E" w14:textId="77777777" w:rsidR="009D596F" w:rsidRPr="00505647" w:rsidRDefault="009D596F" w:rsidP="00040F4A">
      <w:pPr>
        <w:pStyle w:val="Notedebasdepage"/>
      </w:pPr>
      <w:r w:rsidRPr="00505647">
        <w:rPr>
          <w:rStyle w:val="Appelnotedebasdep"/>
        </w:rPr>
        <w:footnoteRef/>
      </w:r>
      <w:r w:rsidRPr="00505647">
        <w:t xml:space="preserve"> </w:t>
      </w:r>
      <w:r w:rsidRPr="00505647">
        <w:tab/>
      </w:r>
      <w:r w:rsidRPr="00505647">
        <w:rPr>
          <w:i/>
          <w:iCs/>
        </w:rPr>
        <w:t>Pacific Coast Coin Exchange</w:t>
      </w:r>
      <w:r w:rsidRPr="00505647">
        <w:t xml:space="preserve"> v. </w:t>
      </w:r>
      <w:r w:rsidRPr="00505647">
        <w:rPr>
          <w:i/>
          <w:iCs/>
        </w:rPr>
        <w:t>Ontario Securities Commission</w:t>
      </w:r>
      <w:r w:rsidRPr="00505647">
        <w:t>, [1978] 2 S.C.R. 112, 127–128.</w:t>
      </w:r>
    </w:p>
  </w:footnote>
  <w:footnote w:id="98">
    <w:p w14:paraId="28E44408" w14:textId="77777777" w:rsidR="009D596F" w:rsidRPr="00505647" w:rsidRDefault="009D596F" w:rsidP="00040F4A">
      <w:pPr>
        <w:pStyle w:val="Notedebasdepage"/>
      </w:pPr>
      <w:r w:rsidRPr="00505647">
        <w:rPr>
          <w:rStyle w:val="Appelnotedebasdep"/>
        </w:rPr>
        <w:footnoteRef/>
      </w:r>
      <w:r w:rsidRPr="00505647">
        <w:t xml:space="preserve"> </w:t>
      </w:r>
      <w:r w:rsidRPr="00505647">
        <w:tab/>
        <w:t xml:space="preserve">Section 11 of the </w:t>
      </w:r>
      <w:r w:rsidRPr="00505647">
        <w:rPr>
          <w:i/>
          <w:iCs/>
        </w:rPr>
        <w:t>Securities Act</w:t>
      </w:r>
      <w:r w:rsidRPr="00505647">
        <w:t>.</w:t>
      </w:r>
    </w:p>
  </w:footnote>
  <w:footnote w:id="99">
    <w:p w14:paraId="5D772ABD" w14:textId="77777777" w:rsidR="009D596F" w:rsidRPr="00505647" w:rsidRDefault="009D596F" w:rsidP="00040F4A">
      <w:pPr>
        <w:pStyle w:val="Notedebasdepage"/>
      </w:pPr>
      <w:r w:rsidRPr="00505647">
        <w:rPr>
          <w:rStyle w:val="Appelnotedebasdep"/>
        </w:rPr>
        <w:footnoteRef/>
      </w:r>
      <w:r w:rsidRPr="00505647">
        <w:t xml:space="preserve"> </w:t>
      </w:r>
      <w:r w:rsidRPr="00505647">
        <w:tab/>
        <w:t xml:space="preserve">Section 263 of the </w:t>
      </w:r>
      <w:r w:rsidRPr="00505647">
        <w:rPr>
          <w:i/>
          <w:iCs/>
        </w:rPr>
        <w:t>Securities Act</w:t>
      </w:r>
      <w:r w:rsidRPr="00505647">
        <w:t>.</w:t>
      </w:r>
    </w:p>
  </w:footnote>
  <w:footnote w:id="100">
    <w:p w14:paraId="3FAF6A9A" w14:textId="77777777" w:rsidR="009D596F" w:rsidRPr="00505647" w:rsidRDefault="009D596F" w:rsidP="00040F4A">
      <w:pPr>
        <w:pStyle w:val="Notedebasdepage"/>
      </w:pPr>
      <w:r w:rsidRPr="00505647">
        <w:rPr>
          <w:rStyle w:val="Appelnotedebasdep"/>
        </w:rPr>
        <w:footnoteRef/>
      </w:r>
      <w:r w:rsidRPr="00505647">
        <w:t xml:space="preserve"> </w:t>
      </w:r>
      <w:r w:rsidRPr="00505647">
        <w:tab/>
        <w:t xml:space="preserve">Section 316 of the </w:t>
      </w:r>
      <w:r w:rsidRPr="00505647">
        <w:rPr>
          <w:i/>
          <w:iCs/>
        </w:rPr>
        <w:t>Securities Act</w:t>
      </w:r>
      <w:r w:rsidRPr="00505647">
        <w:t>.</w:t>
      </w:r>
    </w:p>
  </w:footnote>
  <w:footnote w:id="101">
    <w:p w14:paraId="47997CE6" w14:textId="75C3BE11" w:rsidR="009D596F" w:rsidRPr="00505647" w:rsidRDefault="009D596F" w:rsidP="00040F4A">
      <w:pPr>
        <w:pStyle w:val="Notedebasdepage"/>
      </w:pPr>
      <w:r w:rsidRPr="00505647">
        <w:rPr>
          <w:rStyle w:val="Appelnotedebasdep"/>
        </w:rPr>
        <w:footnoteRef/>
      </w:r>
      <w:r w:rsidRPr="00505647">
        <w:t xml:space="preserve"> </w:t>
      </w:r>
      <w:r w:rsidRPr="00505647">
        <w:tab/>
        <w:t xml:space="preserve">See Canadian Securities Administrators, </w:t>
      </w:r>
      <w:r w:rsidRPr="00505647">
        <w:rPr>
          <w:i/>
          <w:iCs/>
        </w:rPr>
        <w:t>Crypto Trading Platforms Authorized to Do Business with Canadians</w:t>
      </w:r>
      <w:r w:rsidRPr="00505647">
        <w:t>, online: &lt;</w:t>
      </w:r>
      <w:r w:rsidRPr="00505647">
        <w:rPr>
          <w:sz w:val="18"/>
          <w:szCs w:val="18"/>
        </w:rPr>
        <w:t>https://www.securities-administrators.ca/crypto-trading-platforms-regulation-and-enforcement-actions/crypto-trading-platforms-authorized-to-do-business-with-canadians/</w:t>
      </w:r>
      <w:r w:rsidRPr="00505647">
        <w:t>&gt; (accessed August 2023).</w:t>
      </w:r>
    </w:p>
  </w:footnote>
  <w:footnote w:id="102">
    <w:p w14:paraId="66594D0F" w14:textId="77777777" w:rsidR="009D596F" w:rsidRPr="00505647" w:rsidRDefault="009D596F" w:rsidP="00040F4A">
      <w:pPr>
        <w:pStyle w:val="Notedebasdepage"/>
      </w:pPr>
      <w:r w:rsidRPr="00505647">
        <w:rPr>
          <w:rStyle w:val="Appelnotedebasdep"/>
        </w:rPr>
        <w:footnoteRef/>
      </w:r>
      <w:r w:rsidRPr="00505647">
        <w:t xml:space="preserve"> </w:t>
      </w:r>
      <w:r w:rsidRPr="00505647">
        <w:tab/>
        <w:t xml:space="preserve">Section 5 of the </w:t>
      </w:r>
      <w:r w:rsidRPr="00505647">
        <w:rPr>
          <w:i/>
          <w:iCs/>
        </w:rPr>
        <w:t>Securities Act</w:t>
      </w:r>
      <w:r w:rsidRPr="00505647">
        <w:t>.</w:t>
      </w:r>
    </w:p>
  </w:footnote>
  <w:footnote w:id="103">
    <w:p w14:paraId="0AEE198F" w14:textId="4BD6835B" w:rsidR="009D596F" w:rsidRPr="005F142A" w:rsidRDefault="009D596F" w:rsidP="00040F4A">
      <w:pPr>
        <w:pStyle w:val="Notedebasdepage"/>
        <w:rPr>
          <w:lang w:val="fr-CA"/>
        </w:rPr>
      </w:pPr>
      <w:r w:rsidRPr="00505647">
        <w:rPr>
          <w:rStyle w:val="Appelnotedebasdep"/>
        </w:rPr>
        <w:footnoteRef/>
      </w:r>
      <w:r w:rsidRPr="005F142A">
        <w:rPr>
          <w:rFonts w:cs="Arial"/>
          <w:lang w:val="fr-CA"/>
        </w:rPr>
        <w:t xml:space="preserve"> </w:t>
      </w:r>
      <w:r w:rsidRPr="005F142A">
        <w:rPr>
          <w:rFonts w:cs="Arial"/>
          <w:lang w:val="fr-CA"/>
        </w:rPr>
        <w:tab/>
      </w:r>
      <w:r w:rsidRPr="005F142A">
        <w:rPr>
          <w:rFonts w:cs="Arial"/>
          <w:i/>
          <w:iCs/>
          <w:lang w:val="fr-CA"/>
        </w:rPr>
        <w:t>Doyon</w:t>
      </w:r>
      <w:r w:rsidRPr="005F142A">
        <w:rPr>
          <w:rFonts w:cs="Arial"/>
          <w:lang w:val="fr-CA"/>
        </w:rPr>
        <w:t> c. </w:t>
      </w:r>
      <w:r w:rsidRPr="005F142A">
        <w:rPr>
          <w:rFonts w:cs="Arial"/>
          <w:i/>
          <w:iCs/>
          <w:lang w:val="fr-CA"/>
        </w:rPr>
        <w:t>Autorité des marchés financiers</w:t>
      </w:r>
      <w:r w:rsidRPr="005F142A">
        <w:rPr>
          <w:rFonts w:cs="Arial"/>
          <w:lang w:val="fr-CA"/>
        </w:rPr>
        <w:t>, 2017 QCCA 1157.</w:t>
      </w:r>
    </w:p>
  </w:footnote>
  <w:footnote w:id="104">
    <w:p w14:paraId="6B574602"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Exhibits D-16 and D-19.</w:t>
      </w:r>
    </w:p>
  </w:footnote>
  <w:footnote w:id="105">
    <w:p w14:paraId="0E25AA60"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Exhibits D-36, D-50, D-56, D-76, D-</w:t>
      </w:r>
      <w:proofErr w:type="gramStart"/>
      <w:r w:rsidRPr="00505647">
        <w:t>78</w:t>
      </w:r>
      <w:proofErr w:type="gramEnd"/>
      <w:r w:rsidRPr="00505647">
        <w:t xml:space="preserve"> and D-95. </w:t>
      </w:r>
    </w:p>
  </w:footnote>
  <w:footnote w:id="106">
    <w:p w14:paraId="05C78CF9" w14:textId="585D12A4" w:rsidR="009D596F" w:rsidRPr="00505647" w:rsidRDefault="009D596F">
      <w:pPr>
        <w:pStyle w:val="Notedebasdepage"/>
      </w:pPr>
      <w:r w:rsidRPr="00505647">
        <w:rPr>
          <w:rStyle w:val="Appelnotedebasdep"/>
        </w:rPr>
        <w:footnoteRef/>
      </w:r>
      <w:r w:rsidRPr="00505647">
        <w:t xml:space="preserve"> </w:t>
      </w:r>
      <w:r w:rsidRPr="00505647">
        <w:tab/>
        <w:t>Exhibit D-87.</w:t>
      </w:r>
    </w:p>
  </w:footnote>
  <w:footnote w:id="107">
    <w:p w14:paraId="5605CADD"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D-96.</w:t>
      </w:r>
    </w:p>
  </w:footnote>
  <w:footnote w:id="108">
    <w:p w14:paraId="37445DA6"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D-96.</w:t>
      </w:r>
    </w:p>
  </w:footnote>
  <w:footnote w:id="109">
    <w:p w14:paraId="54C96938"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D-96.</w:t>
      </w:r>
    </w:p>
  </w:footnote>
  <w:footnote w:id="110">
    <w:p w14:paraId="4DD660DC"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D-97.</w:t>
      </w:r>
    </w:p>
  </w:footnote>
  <w:footnote w:id="111">
    <w:p w14:paraId="344EB7C2"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D-111.</w:t>
      </w:r>
    </w:p>
  </w:footnote>
  <w:footnote w:id="112">
    <w:p w14:paraId="4AEC4D2A"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D-94.</w:t>
      </w:r>
    </w:p>
  </w:footnote>
  <w:footnote w:id="113">
    <w:p w14:paraId="66592D3B" w14:textId="77777777" w:rsidR="009D596F" w:rsidRPr="00505647" w:rsidRDefault="009D596F" w:rsidP="00040F4A">
      <w:pPr>
        <w:pStyle w:val="Notedebasdepage"/>
      </w:pPr>
      <w:r w:rsidRPr="00505647">
        <w:rPr>
          <w:rStyle w:val="Appelnotedebasdep"/>
        </w:rPr>
        <w:footnoteRef/>
      </w:r>
      <w:r w:rsidRPr="00505647">
        <w:t xml:space="preserve"> </w:t>
      </w:r>
      <w:r w:rsidRPr="00505647">
        <w:tab/>
        <w:t>Exhibit D-95.</w:t>
      </w:r>
    </w:p>
  </w:footnote>
  <w:footnote w:id="114">
    <w:p w14:paraId="06291CA2" w14:textId="77777777" w:rsidR="009D596F" w:rsidRPr="00505647" w:rsidRDefault="009D596F" w:rsidP="00040F4A">
      <w:pPr>
        <w:pStyle w:val="Notedebasdepage"/>
      </w:pPr>
      <w:r w:rsidRPr="00505647">
        <w:rPr>
          <w:rStyle w:val="Appelnotedebasdep"/>
        </w:rPr>
        <w:footnoteRef/>
      </w:r>
      <w:r w:rsidRPr="00505647">
        <w:t xml:space="preserve"> </w:t>
      </w:r>
      <w:r w:rsidRPr="00505647">
        <w:tab/>
        <w:t xml:space="preserve">Exhibit D-95. </w:t>
      </w:r>
    </w:p>
  </w:footnote>
  <w:footnote w:id="115">
    <w:p w14:paraId="1E2FBC9A" w14:textId="19311DE9" w:rsidR="009D596F" w:rsidRPr="00505647" w:rsidRDefault="009D596F" w:rsidP="00BC2DFA">
      <w:pPr>
        <w:pStyle w:val="Notedebasdepage"/>
      </w:pPr>
      <w:r w:rsidRPr="00505647">
        <w:rPr>
          <w:rStyle w:val="Appelnotedebasdep"/>
        </w:rPr>
        <w:footnoteRef/>
      </w:r>
      <w:r w:rsidRPr="00505647">
        <w:t xml:space="preserve"> </w:t>
      </w:r>
      <w:r w:rsidRPr="00505647">
        <w:tab/>
        <w:t xml:space="preserve">Online: </w:t>
      </w:r>
      <w:r w:rsidRPr="00505647">
        <w:rPr>
          <w:rStyle w:val="Hyperlien"/>
          <w:rFonts w:cs="Arial"/>
          <w:color w:val="auto"/>
          <w:u w:val="none"/>
        </w:rPr>
        <w:t>&lt;</w:t>
      </w:r>
      <w:r w:rsidRPr="00505647">
        <w:t>https://lautorite.qc.ca/en/general-public/financial-glossary#glossary_F&gt; (accessed August 2023).</w:t>
      </w:r>
    </w:p>
  </w:footnote>
  <w:footnote w:id="116">
    <w:p w14:paraId="28631E5D" w14:textId="34F9279E" w:rsidR="009D596F" w:rsidRPr="00505647" w:rsidRDefault="009D596F" w:rsidP="00BC2DFA">
      <w:pPr>
        <w:pStyle w:val="Notedebasdepage"/>
      </w:pPr>
      <w:r w:rsidRPr="00505647">
        <w:rPr>
          <w:rStyle w:val="Appelnotedebasdep"/>
        </w:rPr>
        <w:footnoteRef/>
      </w:r>
      <w:r w:rsidRPr="00505647">
        <w:t xml:space="preserve"> </w:t>
      </w:r>
      <w:r w:rsidRPr="00505647">
        <w:tab/>
      </w:r>
      <w:r w:rsidRPr="00505647">
        <w:rPr>
          <w:i/>
          <w:iCs/>
        </w:rPr>
        <w:t>MacDonald</w:t>
      </w:r>
      <w:r w:rsidRPr="00505647">
        <w:t xml:space="preserve"> v. </w:t>
      </w:r>
      <w:r w:rsidRPr="00505647">
        <w:rPr>
          <w:i/>
          <w:iCs/>
        </w:rPr>
        <w:t>Canada</w:t>
      </w:r>
      <w:r w:rsidRPr="00505647">
        <w:t>, 2020 SCC 6, at paras. 4 and 5.</w:t>
      </w:r>
    </w:p>
  </w:footnote>
  <w:footnote w:id="117">
    <w:p w14:paraId="7D909505"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D-63.</w:t>
      </w:r>
    </w:p>
  </w:footnote>
  <w:footnote w:id="118">
    <w:p w14:paraId="2EB1ECB5" w14:textId="6B5E8ED2" w:rsidR="009D596F" w:rsidRPr="00505647" w:rsidRDefault="009D596F" w:rsidP="00BC2DFA">
      <w:pPr>
        <w:pStyle w:val="Notedebasdepage"/>
      </w:pPr>
      <w:r w:rsidRPr="00505647">
        <w:rPr>
          <w:rStyle w:val="Appelnotedebasdep"/>
        </w:rPr>
        <w:footnoteRef/>
      </w:r>
      <w:r w:rsidRPr="00505647">
        <w:t xml:space="preserve"> </w:t>
      </w:r>
      <w:r w:rsidRPr="00505647">
        <w:tab/>
        <w:t>Exhibit D-63.</w:t>
      </w:r>
    </w:p>
  </w:footnote>
  <w:footnote w:id="119">
    <w:p w14:paraId="7AD2BA63" w14:textId="0405879D" w:rsidR="009D596F" w:rsidRPr="00505647" w:rsidRDefault="009D596F" w:rsidP="00BC2DFA">
      <w:pPr>
        <w:pStyle w:val="Notedebasdepage"/>
      </w:pPr>
      <w:r w:rsidRPr="00505647">
        <w:rPr>
          <w:rStyle w:val="Appelnotedebasdep"/>
        </w:rPr>
        <w:footnoteRef/>
      </w:r>
      <w:r w:rsidRPr="00505647">
        <w:t xml:space="preserve"> </w:t>
      </w:r>
      <w:r w:rsidRPr="00505647">
        <w:tab/>
        <w:t>Exhibits D-63 and D-66.</w:t>
      </w:r>
    </w:p>
  </w:footnote>
  <w:footnote w:id="120">
    <w:p w14:paraId="0145519E" w14:textId="0F565E5A" w:rsidR="009D596F" w:rsidRPr="00505647" w:rsidRDefault="009D596F" w:rsidP="00BC2DFA">
      <w:pPr>
        <w:pStyle w:val="Notedebasdepage"/>
      </w:pPr>
      <w:r w:rsidRPr="00505647">
        <w:rPr>
          <w:rStyle w:val="Appelnotedebasdep"/>
        </w:rPr>
        <w:footnoteRef/>
      </w:r>
      <w:r w:rsidRPr="00505647">
        <w:t xml:space="preserve"> </w:t>
      </w:r>
      <w:r w:rsidRPr="00505647">
        <w:tab/>
        <w:t>Exhibit D-63.</w:t>
      </w:r>
    </w:p>
  </w:footnote>
  <w:footnote w:id="121">
    <w:p w14:paraId="5B58D25E"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Exhibits D-64 and D-65.</w:t>
      </w:r>
    </w:p>
  </w:footnote>
  <w:footnote w:id="122">
    <w:p w14:paraId="798B5449"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Exhibits D-64 and D-65.</w:t>
      </w:r>
    </w:p>
  </w:footnote>
  <w:footnote w:id="123">
    <w:p w14:paraId="712D6EA6"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D-66.</w:t>
      </w:r>
    </w:p>
  </w:footnote>
  <w:footnote w:id="124">
    <w:p w14:paraId="76FAD980" w14:textId="77777777" w:rsidR="009D596F" w:rsidRPr="00505647" w:rsidRDefault="009D596F" w:rsidP="00501AFA">
      <w:pPr>
        <w:pStyle w:val="Notedebasdepage"/>
      </w:pPr>
      <w:r w:rsidRPr="00505647">
        <w:rPr>
          <w:rStyle w:val="Appelnotedebasdep"/>
        </w:rPr>
        <w:footnoteRef/>
      </w:r>
      <w:r w:rsidRPr="00505647">
        <w:t xml:space="preserve"> </w:t>
      </w:r>
      <w:r w:rsidRPr="00505647">
        <w:tab/>
        <w:t>Online: &lt;https://www.amf-france.org/fr/espace-epargnants/comprendre-les-produits-financiers/produits-complexes/cfd?1654924812&gt; (accessed August 2023).</w:t>
      </w:r>
    </w:p>
  </w:footnote>
  <w:footnote w:id="125">
    <w:p w14:paraId="107705CE" w14:textId="3BCDED99" w:rsidR="009D596F" w:rsidRPr="00505647" w:rsidRDefault="009D596F" w:rsidP="00BC2DFA">
      <w:pPr>
        <w:pStyle w:val="Notedebasdepage"/>
      </w:pPr>
      <w:r w:rsidRPr="00505647">
        <w:rPr>
          <w:rStyle w:val="Appelnotedebasdep"/>
        </w:rPr>
        <w:footnoteRef/>
      </w:r>
      <w:r w:rsidRPr="00505647">
        <w:t xml:space="preserve"> </w:t>
      </w:r>
      <w:r w:rsidRPr="00505647">
        <w:tab/>
      </w:r>
      <w:bookmarkStart w:id="12" w:name="_Hlk140650832"/>
      <w:r w:rsidRPr="00505647">
        <w:t xml:space="preserve">Investment Dealers Association of Canada, </w:t>
      </w:r>
      <w:hyperlink r:id="rId2" w:history="1">
        <w:r w:rsidRPr="00505647">
          <w:rPr>
            <w:i/>
            <w:iCs/>
          </w:rPr>
          <w:t>Regulatory Analysis of Contracts for Differences (CFDs)</w:t>
        </w:r>
      </w:hyperlink>
      <w:r w:rsidRPr="00505647">
        <w:t>, June 6, 2007</w:t>
      </w:r>
      <w:bookmarkEnd w:id="12"/>
      <w:r w:rsidRPr="00505647">
        <w:t xml:space="preserve">, </w:t>
      </w:r>
      <w:r>
        <w:t xml:space="preserve">p. </w:t>
      </w:r>
      <w:r w:rsidRPr="00505647">
        <w:t>2, online: &lt;https://www.iiroc.ca/sites/default/files/2021-08/CF983987-B0A4-49C8-81DF-CF5EDC640E99_en.pdf&gt; (accessed August 2023).</w:t>
      </w:r>
    </w:p>
  </w:footnote>
  <w:footnote w:id="126">
    <w:p w14:paraId="41265E84" w14:textId="77777777" w:rsidR="009D596F" w:rsidRPr="00505647" w:rsidRDefault="009D596F" w:rsidP="00BC2DFA">
      <w:pPr>
        <w:pStyle w:val="Notedebasdepage"/>
      </w:pPr>
      <w:r w:rsidRPr="00505647">
        <w:rPr>
          <w:rStyle w:val="Appelnotedebasdep"/>
        </w:rPr>
        <w:footnoteRef/>
      </w:r>
      <w:r w:rsidRPr="00505647">
        <w:t xml:space="preserve"> </w:t>
      </w:r>
      <w:r w:rsidRPr="00505647">
        <w:tab/>
      </w:r>
      <w:r w:rsidRPr="00505647">
        <w:rPr>
          <w:i/>
          <w:iCs/>
        </w:rPr>
        <w:t xml:space="preserve">VRK Forex &amp; Investments Inc </w:t>
      </w:r>
      <w:r w:rsidRPr="00505647">
        <w:t>(Re), 2022 ONSEC 1.</w:t>
      </w:r>
    </w:p>
  </w:footnote>
  <w:footnote w:id="127">
    <w:p w14:paraId="7804CE02" w14:textId="2E67131E" w:rsidR="009D596F" w:rsidRPr="00505647" w:rsidRDefault="009D596F" w:rsidP="00BC2DFA">
      <w:pPr>
        <w:pStyle w:val="Notedebasdepage"/>
      </w:pPr>
      <w:r w:rsidRPr="00505647">
        <w:rPr>
          <w:rStyle w:val="Appelnotedebasdep"/>
        </w:rPr>
        <w:footnoteRef/>
      </w:r>
      <w:r w:rsidRPr="005F142A">
        <w:rPr>
          <w:rFonts w:cs="Arial"/>
          <w:lang w:val="fr-CA"/>
        </w:rPr>
        <w:t xml:space="preserve"> </w:t>
      </w:r>
      <w:r w:rsidRPr="005F142A">
        <w:rPr>
          <w:rFonts w:cs="Arial"/>
          <w:lang w:val="fr-CA"/>
        </w:rPr>
        <w:tab/>
      </w:r>
      <w:proofErr w:type="spellStart"/>
      <w:r w:rsidRPr="005F142A">
        <w:rPr>
          <w:rFonts w:cs="Arial"/>
          <w:i/>
          <w:iCs/>
          <w:lang w:val="fr-CA"/>
        </w:rPr>
        <w:t>eToro</w:t>
      </w:r>
      <w:proofErr w:type="spellEnd"/>
      <w:r w:rsidRPr="005F142A">
        <w:rPr>
          <w:rFonts w:cs="Arial"/>
          <w:i/>
          <w:iCs/>
          <w:lang w:val="fr-CA"/>
        </w:rPr>
        <w:t xml:space="preserve"> (Europe) Limited,</w:t>
      </w:r>
      <w:r w:rsidRPr="005F142A">
        <w:rPr>
          <w:rFonts w:cs="Arial"/>
          <w:lang w:val="fr-CA"/>
        </w:rPr>
        <w:t xml:space="preserve"> 2018 ONSEC 49, paras. </w:t>
      </w:r>
      <w:r w:rsidRPr="00505647">
        <w:rPr>
          <w:rFonts w:cs="Arial"/>
        </w:rPr>
        <w:t>6 and 7.</w:t>
      </w:r>
    </w:p>
  </w:footnote>
  <w:footnote w:id="128">
    <w:p w14:paraId="6B601DAE" w14:textId="0075A443" w:rsidR="009D596F" w:rsidRPr="00505647" w:rsidRDefault="009D596F" w:rsidP="00BC2DFA">
      <w:pPr>
        <w:pStyle w:val="Notedebasdepage"/>
      </w:pPr>
      <w:r w:rsidRPr="00505647">
        <w:rPr>
          <w:rStyle w:val="Appelnotedebasdep"/>
        </w:rPr>
        <w:footnoteRef/>
      </w:r>
      <w:r w:rsidRPr="00505647">
        <w:t xml:space="preserve"> </w:t>
      </w:r>
      <w:r w:rsidRPr="00505647">
        <w:tab/>
        <w:t>Exhibit D-63.</w:t>
      </w:r>
    </w:p>
  </w:footnote>
  <w:footnote w:id="129">
    <w:p w14:paraId="615F9F42"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Exhibits D-51 and D-63.</w:t>
      </w:r>
    </w:p>
  </w:footnote>
  <w:footnote w:id="130">
    <w:p w14:paraId="2C6D9B57"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D-51.</w:t>
      </w:r>
    </w:p>
  </w:footnote>
  <w:footnote w:id="131">
    <w:p w14:paraId="03ED35D2"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Exhibits D-51 and D-65.</w:t>
      </w:r>
    </w:p>
  </w:footnote>
  <w:footnote w:id="132">
    <w:p w14:paraId="3E366B44" w14:textId="606DE1C7" w:rsidR="009D596F" w:rsidRPr="00505647" w:rsidRDefault="009D596F" w:rsidP="00BC2DFA">
      <w:pPr>
        <w:pStyle w:val="Notedebasdepage"/>
      </w:pPr>
      <w:r w:rsidRPr="00505647">
        <w:rPr>
          <w:rStyle w:val="Appelnotedebasdep"/>
        </w:rPr>
        <w:footnoteRef/>
      </w:r>
      <w:r w:rsidRPr="00505647">
        <w:t xml:space="preserve"> </w:t>
      </w:r>
      <w:r w:rsidRPr="00505647">
        <w:tab/>
        <w:t>Exhibits D-65, D-</w:t>
      </w:r>
      <w:proofErr w:type="gramStart"/>
      <w:r w:rsidRPr="00505647">
        <w:t>66</w:t>
      </w:r>
      <w:proofErr w:type="gramEnd"/>
      <w:r w:rsidRPr="00505647">
        <w:t xml:space="preserve"> and D-73.</w:t>
      </w:r>
    </w:p>
  </w:footnote>
  <w:footnote w:id="133">
    <w:p w14:paraId="48BDEF76"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D-66.</w:t>
      </w:r>
    </w:p>
  </w:footnote>
  <w:footnote w:id="134">
    <w:p w14:paraId="399860F4" w14:textId="68EA3A9F" w:rsidR="009D596F" w:rsidRPr="00505647" w:rsidRDefault="009D596F" w:rsidP="00BC2DFA">
      <w:pPr>
        <w:pStyle w:val="Notedebasdepage"/>
      </w:pPr>
      <w:r w:rsidRPr="00505647">
        <w:rPr>
          <w:rStyle w:val="Appelnotedebasdep"/>
        </w:rPr>
        <w:footnoteRef/>
      </w:r>
      <w:r w:rsidRPr="00505647">
        <w:t xml:space="preserve"> </w:t>
      </w:r>
      <w:r w:rsidRPr="00505647">
        <w:tab/>
        <w:t>Exhibits D-66 and D-73.</w:t>
      </w:r>
    </w:p>
  </w:footnote>
  <w:footnote w:id="135">
    <w:p w14:paraId="25CC3760"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Exhibits D-64 and D-65.</w:t>
      </w:r>
    </w:p>
  </w:footnote>
  <w:footnote w:id="136">
    <w:p w14:paraId="26752356"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D-34.</w:t>
      </w:r>
    </w:p>
  </w:footnote>
  <w:footnote w:id="137">
    <w:p w14:paraId="76D95C53"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D-13.</w:t>
      </w:r>
    </w:p>
  </w:footnote>
  <w:footnote w:id="138">
    <w:p w14:paraId="0BB7E44D"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D-51.</w:t>
      </w:r>
    </w:p>
  </w:footnote>
  <w:footnote w:id="139">
    <w:p w14:paraId="28BE1319"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D-51.</w:t>
      </w:r>
    </w:p>
  </w:footnote>
  <w:footnote w:id="140">
    <w:p w14:paraId="1EEF779B" w14:textId="77777777" w:rsidR="009D596F" w:rsidRPr="00505647" w:rsidRDefault="009D596F" w:rsidP="00BC2DFA">
      <w:pPr>
        <w:pStyle w:val="Notedebasdepage"/>
      </w:pPr>
      <w:r w:rsidRPr="00505647">
        <w:rPr>
          <w:rStyle w:val="Appelnotedebasdep"/>
        </w:rPr>
        <w:footnoteRef/>
      </w:r>
      <w:r w:rsidRPr="00505647">
        <w:t xml:space="preserve"> </w:t>
      </w:r>
      <w:r w:rsidRPr="00505647">
        <w:tab/>
        <w:t>See undercover operations carried out by the Authority, Exhibits D-</w:t>
      </w:r>
      <w:proofErr w:type="gramStart"/>
      <w:r w:rsidRPr="00505647">
        <w:t>72</w:t>
      </w:r>
      <w:proofErr w:type="gramEnd"/>
      <w:r w:rsidRPr="00505647">
        <w:t xml:space="preserve"> and D-73.</w:t>
      </w:r>
    </w:p>
  </w:footnote>
  <w:footnote w:id="141">
    <w:p w14:paraId="344F3EE3" w14:textId="2E4DE4AE" w:rsidR="009D596F" w:rsidRPr="00505647" w:rsidRDefault="009D596F">
      <w:pPr>
        <w:pStyle w:val="Notedebasdepage"/>
      </w:pPr>
      <w:r w:rsidRPr="00505647">
        <w:rPr>
          <w:rStyle w:val="Appelnotedebasdep"/>
        </w:rPr>
        <w:footnoteRef/>
      </w:r>
      <w:r w:rsidRPr="00505647">
        <w:t xml:space="preserve"> </w:t>
      </w:r>
      <w:r w:rsidRPr="00505647">
        <w:tab/>
        <w:t xml:space="preserve">Section 3 of the </w:t>
      </w:r>
      <w:r w:rsidRPr="00505647">
        <w:rPr>
          <w:i/>
          <w:iCs/>
        </w:rPr>
        <w:t>Derivatives Act</w:t>
      </w:r>
      <w:r w:rsidRPr="00505647">
        <w:t xml:space="preserve">: </w:t>
      </w:r>
      <w:r w:rsidRPr="00505647">
        <w:rPr>
          <w:szCs w:val="18"/>
        </w:rPr>
        <w:t>“an exchange, an alternative trading system not registered as a dealer, or another published market, a clearing house, a settlement system, a matching service utility, an information processor, a trade repository, a self-regulatory organization or any person the Authority, where it considers it necessary for the proper operation of the market, designates as a regulated entity in accordance with the rules prescribed by regulation”.</w:t>
      </w:r>
    </w:p>
  </w:footnote>
  <w:footnote w:id="142">
    <w:p w14:paraId="2DDD4F4F"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Exhibits D-16 and D-19.</w:t>
      </w:r>
    </w:p>
  </w:footnote>
  <w:footnote w:id="143">
    <w:p w14:paraId="1E3854B4"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Exhibits D-15 and D-18.</w:t>
      </w:r>
    </w:p>
  </w:footnote>
  <w:footnote w:id="144">
    <w:p w14:paraId="72165069"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Exhibits D-16 and D-19.</w:t>
      </w:r>
    </w:p>
  </w:footnote>
  <w:footnote w:id="145">
    <w:p w14:paraId="038B92AD" w14:textId="77777777" w:rsidR="009D596F" w:rsidRPr="00505647" w:rsidRDefault="009D596F" w:rsidP="0067321D">
      <w:pPr>
        <w:pStyle w:val="Notedebasdepage"/>
      </w:pPr>
      <w:r w:rsidRPr="00505647">
        <w:rPr>
          <w:rStyle w:val="Appelnotedebasdep"/>
        </w:rPr>
        <w:footnoteRef/>
      </w:r>
      <w:r w:rsidRPr="00505647">
        <w:t xml:space="preserve"> </w:t>
      </w:r>
      <w:r w:rsidRPr="00505647">
        <w:tab/>
        <w:t>Exhibits D-15 and D-18.</w:t>
      </w:r>
    </w:p>
  </w:footnote>
  <w:footnote w:id="146">
    <w:p w14:paraId="70C2F538" w14:textId="066A173A" w:rsidR="009D596F" w:rsidRPr="00505647" w:rsidRDefault="009D596F" w:rsidP="00BC2DFA">
      <w:pPr>
        <w:pStyle w:val="Notedebasdepage"/>
      </w:pPr>
      <w:r w:rsidRPr="00505647">
        <w:rPr>
          <w:rStyle w:val="Appelnotedebasdep"/>
        </w:rPr>
        <w:footnoteRef/>
      </w:r>
      <w:r w:rsidRPr="00505647">
        <w:t xml:space="preserve"> </w:t>
      </w:r>
      <w:r w:rsidRPr="00505647">
        <w:tab/>
        <w:t xml:space="preserve">Section 1.3 of the </w:t>
      </w:r>
      <w:r w:rsidRPr="00505647">
        <w:rPr>
          <w:i/>
          <w:iCs/>
        </w:rPr>
        <w:t>Policy Statement to Regulation 31-103 Respecting Registration Requirements, Exemptions and Ongoing Registrant Obligations</w:t>
      </w:r>
      <w:r w:rsidRPr="00505647">
        <w:t>, online: &lt;https://lautorite.qc.ca/fileadmin/lautorite/reglementation/valeurs-mobilieres/31-103/2023-01-01/2023janv01-31-103-ig-vconsolidee-en.pdf&gt; (accessed August 2023).</w:t>
      </w:r>
    </w:p>
  </w:footnote>
  <w:footnote w:id="147">
    <w:p w14:paraId="0246652D" w14:textId="3883E73B" w:rsidR="009D596F" w:rsidRPr="005F142A" w:rsidRDefault="009D596F" w:rsidP="00BC2DFA">
      <w:pPr>
        <w:pStyle w:val="Notedebasdepage"/>
        <w:rPr>
          <w:lang w:val="fr-CA"/>
        </w:rPr>
      </w:pPr>
      <w:r w:rsidRPr="00505647">
        <w:rPr>
          <w:rStyle w:val="Appelnotedebasdep"/>
        </w:rPr>
        <w:footnoteRef/>
      </w:r>
      <w:r w:rsidRPr="005F142A">
        <w:rPr>
          <w:lang w:val="fr-CA"/>
        </w:rPr>
        <w:t xml:space="preserve"> </w:t>
      </w:r>
      <w:r w:rsidRPr="005F142A">
        <w:rPr>
          <w:lang w:val="fr-CA"/>
        </w:rPr>
        <w:tab/>
      </w:r>
      <w:r w:rsidRPr="005F142A">
        <w:rPr>
          <w:i/>
          <w:iCs/>
          <w:lang w:val="fr-CA"/>
        </w:rPr>
        <w:t>Autorité des marchés financiers</w:t>
      </w:r>
      <w:r w:rsidRPr="005F142A">
        <w:rPr>
          <w:lang w:val="fr-CA"/>
        </w:rPr>
        <w:t xml:space="preserve"> v. </w:t>
      </w:r>
      <w:r w:rsidRPr="005F142A">
        <w:rPr>
          <w:i/>
          <w:iCs/>
          <w:lang w:val="fr-CA"/>
        </w:rPr>
        <w:t>Kam</w:t>
      </w:r>
      <w:r w:rsidRPr="005F142A">
        <w:rPr>
          <w:lang w:val="fr-CA"/>
        </w:rPr>
        <w:t>, 2012 QCBDR 148.</w:t>
      </w:r>
    </w:p>
  </w:footnote>
  <w:footnote w:id="148">
    <w:p w14:paraId="61A41E53" w14:textId="00237AFE" w:rsidR="009D596F" w:rsidRPr="005F142A" w:rsidRDefault="009D596F" w:rsidP="00BC2DFA">
      <w:pPr>
        <w:pStyle w:val="Notedebasdepage"/>
        <w:rPr>
          <w:lang w:val="fr-CA"/>
        </w:rPr>
      </w:pPr>
      <w:r w:rsidRPr="00505647">
        <w:rPr>
          <w:rStyle w:val="Appelnotedebasdep"/>
        </w:rPr>
        <w:footnoteRef/>
      </w:r>
      <w:r w:rsidRPr="005F142A">
        <w:rPr>
          <w:lang w:val="fr-CA"/>
        </w:rPr>
        <w:t xml:space="preserve"> </w:t>
      </w:r>
      <w:r w:rsidRPr="005F142A">
        <w:rPr>
          <w:lang w:val="fr-CA"/>
        </w:rPr>
        <w:tab/>
      </w:r>
      <w:r w:rsidRPr="005F142A">
        <w:rPr>
          <w:i/>
          <w:iCs/>
          <w:lang w:val="fr-CA"/>
        </w:rPr>
        <w:t xml:space="preserve">Autorité des marchés financiers </w:t>
      </w:r>
      <w:r w:rsidRPr="005F142A">
        <w:rPr>
          <w:lang w:val="fr-CA"/>
        </w:rPr>
        <w:t>c.</w:t>
      </w:r>
      <w:r w:rsidRPr="005F142A">
        <w:rPr>
          <w:i/>
          <w:iCs/>
          <w:lang w:val="fr-CA"/>
        </w:rPr>
        <w:t xml:space="preserve"> Gouin</w:t>
      </w:r>
      <w:r w:rsidRPr="005F142A">
        <w:rPr>
          <w:lang w:val="fr-CA"/>
        </w:rPr>
        <w:t>, 2019 QCTMF 66.</w:t>
      </w:r>
    </w:p>
  </w:footnote>
  <w:footnote w:id="149">
    <w:p w14:paraId="6F55F11A" w14:textId="2DBF3419" w:rsidR="009D596F" w:rsidRPr="00505647" w:rsidRDefault="009D596F" w:rsidP="00BC2DFA">
      <w:pPr>
        <w:pStyle w:val="Notedebasdepage"/>
      </w:pPr>
      <w:r w:rsidRPr="00505647">
        <w:rPr>
          <w:rStyle w:val="Appelnotedebasdep"/>
        </w:rPr>
        <w:footnoteRef/>
      </w:r>
      <w:r w:rsidRPr="00505647">
        <w:t xml:space="preserve"> </w:t>
      </w:r>
      <w:r w:rsidRPr="00505647">
        <w:tab/>
        <w:t>According to Exhibit D-111, Canada does not appear as a country excluded from products and services offered by the platform. As a result, it appears that products and services can be offered in Québec. In addition, Exhibit D-95 illustrates an undercover operation carried out by the Authority on May 24, 2023, in which it is shown that the products and services offered on the XT.com website are still available to the Authority.</w:t>
      </w:r>
    </w:p>
  </w:footnote>
  <w:footnote w:id="150">
    <w:p w14:paraId="4F0F6DDA" w14:textId="4B4F07B9" w:rsidR="009D596F" w:rsidRPr="00505647" w:rsidRDefault="009D596F" w:rsidP="00BC2DFA">
      <w:pPr>
        <w:pStyle w:val="Notedebasdepage"/>
      </w:pPr>
      <w:r w:rsidRPr="00505647">
        <w:rPr>
          <w:rStyle w:val="Appelnotedebasdep"/>
        </w:rPr>
        <w:footnoteRef/>
      </w:r>
      <w:r w:rsidRPr="00505647">
        <w:t xml:space="preserve"> </w:t>
      </w:r>
      <w:r w:rsidRPr="00505647">
        <w:tab/>
        <w:t xml:space="preserve">See Canadian Securities Administrators, </w:t>
      </w:r>
      <w:r w:rsidRPr="00505647">
        <w:rPr>
          <w:i/>
          <w:iCs/>
        </w:rPr>
        <w:t>Crypto Trading Platforms Authorized to Do Business with Canadians</w:t>
      </w:r>
      <w:r w:rsidRPr="00505647">
        <w:t>, online:</w:t>
      </w:r>
      <w:r w:rsidRPr="00505647">
        <w:rPr>
          <w:sz w:val="18"/>
          <w:szCs w:val="18"/>
        </w:rPr>
        <w:t xml:space="preserve"> &lt;https://www.securities-administrators.ca/crypto-trading-platforms-regulation-and-enforcement-actions/crypto-trading-platforms-authorized-to-do-business-with-canadians/&gt; </w:t>
      </w:r>
      <w:r w:rsidRPr="00505647">
        <w:t>(accessed August 2023).</w:t>
      </w:r>
    </w:p>
  </w:footnote>
  <w:footnote w:id="151">
    <w:p w14:paraId="1DF62455" w14:textId="01CA79F2" w:rsidR="009D596F" w:rsidRPr="00505647" w:rsidRDefault="009D596F" w:rsidP="00BC2DFA">
      <w:pPr>
        <w:pStyle w:val="Notedebasdepage"/>
      </w:pPr>
      <w:r w:rsidRPr="00505647">
        <w:rPr>
          <w:rStyle w:val="Appelnotedebasdep"/>
        </w:rPr>
        <w:footnoteRef/>
      </w:r>
      <w:r w:rsidRPr="00505647">
        <w:t xml:space="preserve"> </w:t>
      </w:r>
      <w:r w:rsidRPr="00505647">
        <w:tab/>
        <w:t xml:space="preserve">See Canadian Securities Administrators, </w:t>
      </w:r>
      <w:r w:rsidRPr="00505647">
        <w:rPr>
          <w:i/>
          <w:iCs/>
        </w:rPr>
        <w:t>Crypto Trading Platforms That Have Filed Pre-Registration Undertakings</w:t>
      </w:r>
      <w:r w:rsidRPr="00505647">
        <w:t>, online: &lt;https://www.securities-administrators.ca/crypto-trading-platforms-regulation-and-enforcement-actions/crypto-trading-platforms-that-have-filed-pre-registration-undertakings/&gt; (accessed August 2023).</w:t>
      </w:r>
    </w:p>
  </w:footnote>
  <w:footnote w:id="152">
    <w:p w14:paraId="06DC8615" w14:textId="51D4E6DA" w:rsidR="009D596F" w:rsidRPr="00505647" w:rsidRDefault="009D596F" w:rsidP="00BC2DFA">
      <w:pPr>
        <w:pStyle w:val="Notedebasdepage"/>
      </w:pPr>
      <w:r w:rsidRPr="00505647">
        <w:rPr>
          <w:rStyle w:val="Appelnotedebasdep"/>
        </w:rPr>
        <w:footnoteRef/>
      </w:r>
      <w:r w:rsidRPr="00505647">
        <w:t xml:space="preserve"> </w:t>
      </w:r>
      <w:r w:rsidRPr="00505647">
        <w:tab/>
        <w:t>Exhibit D-13.</w:t>
      </w:r>
    </w:p>
  </w:footnote>
  <w:footnote w:id="153">
    <w:p w14:paraId="551085C1" w14:textId="07FFD34E" w:rsidR="009D596F" w:rsidRPr="00505647" w:rsidRDefault="009D596F" w:rsidP="00BC2DFA">
      <w:pPr>
        <w:pStyle w:val="Notedebasdepage"/>
      </w:pPr>
      <w:r w:rsidRPr="00505647">
        <w:rPr>
          <w:rStyle w:val="Appelnotedebasdep"/>
        </w:rPr>
        <w:footnoteRef/>
      </w:r>
      <w:r w:rsidRPr="00505647">
        <w:t xml:space="preserve"> </w:t>
      </w:r>
      <w:r w:rsidRPr="00505647">
        <w:tab/>
        <w:t>Exhibit D-13.</w:t>
      </w:r>
    </w:p>
  </w:footnote>
  <w:footnote w:id="154">
    <w:p w14:paraId="75E82ACE" w14:textId="77777777" w:rsidR="009D596F" w:rsidRPr="00505647" w:rsidRDefault="009D596F" w:rsidP="00BC2DFA">
      <w:pPr>
        <w:pStyle w:val="Notedebasdepage"/>
      </w:pPr>
      <w:r w:rsidRPr="00505647">
        <w:rPr>
          <w:rStyle w:val="Appelnotedebasdep"/>
        </w:rPr>
        <w:footnoteRef/>
      </w:r>
      <w:r w:rsidRPr="00505647">
        <w:rPr>
          <w:rStyle w:val="Appelnotedebasdep"/>
        </w:rPr>
        <w:t xml:space="preserve"> </w:t>
      </w:r>
      <w:r w:rsidRPr="00505647">
        <w:tab/>
        <w:t>Exhibits D-40, D-</w:t>
      </w:r>
      <w:proofErr w:type="gramStart"/>
      <w:r w:rsidRPr="00505647">
        <w:t>41</w:t>
      </w:r>
      <w:proofErr w:type="gramEnd"/>
      <w:r w:rsidRPr="00505647">
        <w:t xml:space="preserve"> and D-42.</w:t>
      </w:r>
    </w:p>
  </w:footnote>
  <w:footnote w:id="155">
    <w:p w14:paraId="66BF1E0A"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Exhibits D-45 and D-46.</w:t>
      </w:r>
    </w:p>
  </w:footnote>
  <w:footnote w:id="156">
    <w:p w14:paraId="4CF0538D" w14:textId="77777777" w:rsidR="009D596F" w:rsidRPr="00505647" w:rsidRDefault="009D596F" w:rsidP="00BC2DFA">
      <w:pPr>
        <w:pStyle w:val="Notedebasdepage"/>
      </w:pPr>
      <w:r w:rsidRPr="00505647">
        <w:rPr>
          <w:rStyle w:val="Appelnotedebasdep"/>
        </w:rPr>
        <w:footnoteRef/>
      </w:r>
      <w:r w:rsidRPr="00505647">
        <w:t xml:space="preserve"> </w:t>
      </w:r>
      <w:r w:rsidRPr="00505647">
        <w:tab/>
        <w:t xml:space="preserve">See </w:t>
      </w:r>
      <w:proofErr w:type="gramStart"/>
      <w:r w:rsidRPr="00505647">
        <w:t>in particular Exhibits</w:t>
      </w:r>
      <w:proofErr w:type="gramEnd"/>
      <w:r w:rsidRPr="00505647">
        <w:t xml:space="preserve"> D-55 and D-56.</w:t>
      </w:r>
    </w:p>
  </w:footnote>
  <w:footnote w:id="157">
    <w:p w14:paraId="3AC233F8"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D-60.</w:t>
      </w:r>
    </w:p>
  </w:footnote>
  <w:footnote w:id="158">
    <w:p w14:paraId="47509293"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D-73.</w:t>
      </w:r>
    </w:p>
  </w:footnote>
  <w:footnote w:id="159">
    <w:p w14:paraId="7913F74D" w14:textId="505EA0FC" w:rsidR="009D596F" w:rsidRPr="00505647" w:rsidRDefault="009D596F" w:rsidP="00BC2DFA">
      <w:pPr>
        <w:pStyle w:val="Notedebasdepage"/>
      </w:pPr>
      <w:r w:rsidRPr="00505647">
        <w:rPr>
          <w:rStyle w:val="Appelnotedebasdep"/>
        </w:rPr>
        <w:footnoteRef/>
      </w:r>
      <w:r w:rsidRPr="00505647">
        <w:t xml:space="preserve"> </w:t>
      </w:r>
      <w:r w:rsidRPr="00505647">
        <w:tab/>
        <w:t xml:space="preserve">See the Authority’s undercover operation of May 24, </w:t>
      </w:r>
      <w:proofErr w:type="gramStart"/>
      <w:r w:rsidRPr="00505647">
        <w:t>2023</w:t>
      </w:r>
      <w:proofErr w:type="gramEnd"/>
      <w:r w:rsidRPr="00505647">
        <w:t xml:space="preserve"> in Exhibit D-95 as well as Exhibit D-111, where Canada is not a country excluded from products and services offered by the XT.com website.</w:t>
      </w:r>
    </w:p>
  </w:footnote>
  <w:footnote w:id="160">
    <w:p w14:paraId="0E034661"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D-11.</w:t>
      </w:r>
    </w:p>
  </w:footnote>
  <w:footnote w:id="161">
    <w:p w14:paraId="2EAF9F07"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D-11.</w:t>
      </w:r>
    </w:p>
  </w:footnote>
  <w:footnote w:id="162">
    <w:p w14:paraId="22749454"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D-11.</w:t>
      </w:r>
    </w:p>
  </w:footnote>
  <w:footnote w:id="163">
    <w:p w14:paraId="6D6B2A9D" w14:textId="574FAAD1" w:rsidR="009D596F" w:rsidRPr="00505647" w:rsidRDefault="009D596F" w:rsidP="00BC2DFA">
      <w:pPr>
        <w:pStyle w:val="Notedebasdepage"/>
      </w:pPr>
      <w:r w:rsidRPr="00505647">
        <w:rPr>
          <w:rStyle w:val="Appelnotedebasdep"/>
        </w:rPr>
        <w:footnoteRef/>
      </w:r>
      <w:r w:rsidRPr="00505647">
        <w:t xml:space="preserve"> </w:t>
      </w:r>
      <w:r w:rsidRPr="00505647">
        <w:tab/>
        <w:t xml:space="preserve">Exhibit D-12. </w:t>
      </w:r>
    </w:p>
  </w:footnote>
  <w:footnote w:id="164">
    <w:p w14:paraId="434EA98B"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D-20.</w:t>
      </w:r>
    </w:p>
  </w:footnote>
  <w:footnote w:id="165">
    <w:p w14:paraId="3BCB118A"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D-10.</w:t>
      </w:r>
    </w:p>
  </w:footnote>
  <w:footnote w:id="166">
    <w:p w14:paraId="786C9F04" w14:textId="77777777" w:rsidR="009D596F" w:rsidRPr="00505647" w:rsidRDefault="009D596F" w:rsidP="00BC2DFA">
      <w:pPr>
        <w:pStyle w:val="Notedebasdepage"/>
      </w:pPr>
      <w:r w:rsidRPr="00505647">
        <w:rPr>
          <w:rStyle w:val="Appelnotedebasdep"/>
        </w:rPr>
        <w:footnoteRef/>
      </w:r>
      <w:r w:rsidRPr="00505647">
        <w:t xml:space="preserve"> </w:t>
      </w:r>
      <w:r w:rsidRPr="00505647">
        <w:tab/>
        <w:t>Exhibit D-11.</w:t>
      </w:r>
    </w:p>
  </w:footnote>
  <w:footnote w:id="167">
    <w:p w14:paraId="7A1D4C05" w14:textId="249196BE" w:rsidR="009D596F" w:rsidRPr="00505647" w:rsidRDefault="009D596F" w:rsidP="00BC2DFA">
      <w:pPr>
        <w:pStyle w:val="Notedebasdepage"/>
      </w:pPr>
      <w:r w:rsidRPr="00505647">
        <w:rPr>
          <w:rStyle w:val="Appelnotedebasdep"/>
        </w:rPr>
        <w:footnoteRef/>
      </w:r>
      <w:r w:rsidRPr="00505647">
        <w:rPr>
          <w:rStyle w:val="Appelnotedebasdep"/>
        </w:rPr>
        <w:t xml:space="preserve"> </w:t>
      </w:r>
      <w:r w:rsidRPr="00505647">
        <w:tab/>
        <w:t>Exhibits D-48, D-53, D-60, D-</w:t>
      </w:r>
      <w:proofErr w:type="gramStart"/>
      <w:r w:rsidRPr="00505647">
        <w:t>61</w:t>
      </w:r>
      <w:proofErr w:type="gramEnd"/>
      <w:r w:rsidRPr="00505647">
        <w:t xml:space="preserve"> and D-74.</w:t>
      </w:r>
    </w:p>
  </w:footnote>
  <w:footnote w:id="168">
    <w:p w14:paraId="50FA477D" w14:textId="346392C5" w:rsidR="009D596F" w:rsidRPr="00505647" w:rsidRDefault="009D596F" w:rsidP="00BC2DFA">
      <w:pPr>
        <w:pStyle w:val="Notedebasdepage"/>
      </w:pPr>
      <w:r w:rsidRPr="00505647">
        <w:rPr>
          <w:rStyle w:val="Appelnotedebasdep"/>
          <w:vertAlign w:val="baseline"/>
        </w:rPr>
        <w:t xml:space="preserve"> </w:t>
      </w:r>
      <w:r w:rsidRPr="00505647">
        <w:rPr>
          <w:rStyle w:val="Appelnotedebasdep"/>
        </w:rPr>
        <w:footnoteRef/>
      </w:r>
      <w:r w:rsidRPr="00505647">
        <w:tab/>
        <w:t>Idem.</w:t>
      </w:r>
    </w:p>
  </w:footnote>
  <w:footnote w:id="169">
    <w:p w14:paraId="2C956100" w14:textId="25CBA8E4" w:rsidR="009D596F" w:rsidRPr="00505647" w:rsidRDefault="009D596F" w:rsidP="00BC2DFA">
      <w:pPr>
        <w:pStyle w:val="Notedebasdepage"/>
      </w:pPr>
      <w:r w:rsidRPr="00505647">
        <w:rPr>
          <w:rStyle w:val="Appelnotedebasdep"/>
        </w:rPr>
        <w:footnoteRef/>
      </w:r>
      <w:r w:rsidRPr="00505647">
        <w:t xml:space="preserve"> </w:t>
      </w:r>
      <w:r w:rsidRPr="00505647">
        <w:tab/>
        <w:t>See</w:t>
      </w:r>
      <w:proofErr w:type="gramStart"/>
      <w:r w:rsidRPr="00505647">
        <w:t>, in particular, Exhibits</w:t>
      </w:r>
      <w:proofErr w:type="gramEnd"/>
      <w:r w:rsidRPr="00505647">
        <w:t xml:space="preserve"> D-60, D-73 and D-95.</w:t>
      </w:r>
    </w:p>
  </w:footnote>
  <w:footnote w:id="170">
    <w:p w14:paraId="4C6FFBB0" w14:textId="3A0DBBB3" w:rsidR="009D596F" w:rsidRPr="005F142A" w:rsidRDefault="009D596F" w:rsidP="00402BBD">
      <w:pPr>
        <w:pStyle w:val="Notedebasdepage"/>
        <w:rPr>
          <w:lang w:val="fr-CA"/>
        </w:rPr>
      </w:pPr>
      <w:r w:rsidRPr="00505647">
        <w:rPr>
          <w:rStyle w:val="Appelnotedebasdep"/>
        </w:rPr>
        <w:footnoteRef/>
      </w:r>
      <w:r w:rsidRPr="00505647">
        <w:t xml:space="preserve"> </w:t>
      </w:r>
      <w:r w:rsidRPr="00505647">
        <w:tab/>
      </w:r>
      <w:r w:rsidRPr="00505647">
        <w:rPr>
          <w:i/>
          <w:iCs/>
        </w:rPr>
        <w:t xml:space="preserve">Committee for the Equal Treatment of Asbestos Minority Shareholders </w:t>
      </w:r>
      <w:r w:rsidRPr="00505647">
        <w:t xml:space="preserve">v. </w:t>
      </w:r>
      <w:r w:rsidRPr="00505647">
        <w:rPr>
          <w:i/>
          <w:iCs/>
        </w:rPr>
        <w:t>Ontario (Securities Commission)</w:t>
      </w:r>
      <w:r w:rsidRPr="00505647">
        <w:t xml:space="preserve">, 2001 SCC 37, para. </w:t>
      </w:r>
      <w:r w:rsidRPr="005F142A">
        <w:rPr>
          <w:lang w:val="fr-CA"/>
        </w:rPr>
        <w:t>39.</w:t>
      </w:r>
    </w:p>
  </w:footnote>
  <w:footnote w:id="171">
    <w:p w14:paraId="7F1767E0" w14:textId="77777777" w:rsidR="009D596F" w:rsidRPr="005F142A" w:rsidRDefault="009D596F" w:rsidP="00402BBD">
      <w:pPr>
        <w:pStyle w:val="Notedebasdepage"/>
        <w:rPr>
          <w:lang w:val="fr-CA"/>
        </w:rPr>
      </w:pPr>
      <w:r w:rsidRPr="00505647">
        <w:rPr>
          <w:rStyle w:val="Appelnotedebasdep"/>
        </w:rPr>
        <w:footnoteRef/>
      </w:r>
      <w:r w:rsidRPr="005F142A">
        <w:rPr>
          <w:lang w:val="fr-CA"/>
        </w:rPr>
        <w:t xml:space="preserve"> </w:t>
      </w:r>
      <w:r w:rsidRPr="005F142A">
        <w:rPr>
          <w:lang w:val="fr-CA"/>
        </w:rPr>
        <w:tab/>
      </w:r>
      <w:proofErr w:type="spellStart"/>
      <w:r w:rsidRPr="005F142A">
        <w:rPr>
          <w:i/>
          <w:iCs/>
          <w:lang w:val="fr-CA"/>
        </w:rPr>
        <w:t>Cartaway</w:t>
      </w:r>
      <w:proofErr w:type="spellEnd"/>
      <w:r w:rsidRPr="005F142A">
        <w:rPr>
          <w:i/>
          <w:iCs/>
          <w:lang w:val="fr-CA"/>
        </w:rPr>
        <w:t xml:space="preserve"> </w:t>
      </w:r>
      <w:proofErr w:type="spellStart"/>
      <w:r w:rsidRPr="005F142A">
        <w:rPr>
          <w:i/>
          <w:iCs/>
          <w:lang w:val="fr-CA"/>
        </w:rPr>
        <w:t>Resources</w:t>
      </w:r>
      <w:proofErr w:type="spellEnd"/>
      <w:r w:rsidRPr="005F142A">
        <w:rPr>
          <w:i/>
          <w:iCs/>
          <w:lang w:val="fr-CA"/>
        </w:rPr>
        <w:t xml:space="preserve"> Corp</w:t>
      </w:r>
      <w:r w:rsidRPr="005F142A">
        <w:rPr>
          <w:lang w:val="fr-CA"/>
        </w:rPr>
        <w:t>.</w:t>
      </w:r>
      <w:r w:rsidRPr="005F142A">
        <w:rPr>
          <w:i/>
          <w:iCs/>
          <w:lang w:val="fr-CA"/>
        </w:rPr>
        <w:t xml:space="preserve"> </w:t>
      </w:r>
      <w:r w:rsidRPr="005F142A">
        <w:rPr>
          <w:lang w:val="fr-CA"/>
        </w:rPr>
        <w:t>(Re), 2004 SCC 26.</w:t>
      </w:r>
    </w:p>
  </w:footnote>
  <w:footnote w:id="172">
    <w:p w14:paraId="3FF8ED84" w14:textId="77777777" w:rsidR="009D596F" w:rsidRPr="005F142A" w:rsidRDefault="009D596F" w:rsidP="00402BBD">
      <w:pPr>
        <w:pStyle w:val="Notedebasdepage"/>
        <w:rPr>
          <w:lang w:val="fr-CA"/>
        </w:rPr>
      </w:pPr>
      <w:r w:rsidRPr="00505647">
        <w:rPr>
          <w:rStyle w:val="Appelnotedebasdep"/>
        </w:rPr>
        <w:footnoteRef/>
      </w:r>
      <w:r w:rsidRPr="005F142A">
        <w:rPr>
          <w:lang w:val="fr-CA"/>
        </w:rPr>
        <w:t xml:space="preserve"> </w:t>
      </w:r>
      <w:r w:rsidRPr="005F142A">
        <w:rPr>
          <w:lang w:val="fr-CA"/>
        </w:rPr>
        <w:tab/>
      </w:r>
      <w:r w:rsidRPr="005F142A">
        <w:rPr>
          <w:i/>
          <w:iCs/>
          <w:lang w:val="fr-CA"/>
        </w:rPr>
        <w:t xml:space="preserve">Autorité des marchés financiers </w:t>
      </w:r>
      <w:r w:rsidRPr="005F142A">
        <w:rPr>
          <w:lang w:val="fr-CA"/>
        </w:rPr>
        <w:t>c.</w:t>
      </w:r>
      <w:r w:rsidRPr="005F142A">
        <w:rPr>
          <w:i/>
          <w:iCs/>
          <w:lang w:val="fr-CA"/>
        </w:rPr>
        <w:t xml:space="preserve"> Demers</w:t>
      </w:r>
      <w:r w:rsidRPr="005F142A">
        <w:rPr>
          <w:lang w:val="fr-CA"/>
        </w:rPr>
        <w:t>,</w:t>
      </w:r>
      <w:r w:rsidRPr="005F142A">
        <w:rPr>
          <w:i/>
          <w:iCs/>
          <w:lang w:val="fr-CA"/>
        </w:rPr>
        <w:t xml:space="preserve"> </w:t>
      </w:r>
      <w:r w:rsidRPr="005F142A">
        <w:rPr>
          <w:lang w:val="fr-CA"/>
        </w:rPr>
        <w:t xml:space="preserve">2006 QCBDRVM 17, pp. 29 and 30. </w:t>
      </w:r>
    </w:p>
  </w:footnote>
  <w:footnote w:id="173">
    <w:p w14:paraId="4BBCC595" w14:textId="411522EF" w:rsidR="009D596F" w:rsidRPr="00505647" w:rsidRDefault="009D596F" w:rsidP="00402BBD">
      <w:pPr>
        <w:pStyle w:val="Notedebasdepage"/>
      </w:pPr>
      <w:r w:rsidRPr="00505647">
        <w:rPr>
          <w:rStyle w:val="Appelnotedebasdep"/>
        </w:rPr>
        <w:footnoteRef/>
      </w:r>
      <w:r w:rsidRPr="00505647">
        <w:t xml:space="preserve"> </w:t>
      </w:r>
      <w:r w:rsidRPr="00505647">
        <w:tab/>
        <w:t xml:space="preserve">These criteria are the following: [TRANSLATION] “The type and number of penalties and the severity of the offender’s actions, the offender’s prior conduct. The </w:t>
      </w:r>
      <w:r w:rsidR="00181DD9">
        <w:t>tribunal</w:t>
      </w:r>
      <w:r w:rsidRPr="00505647">
        <w:t xml:space="preserve"> may consider conduct and sanctions imposed in other jurisdictions, the vulnerability of solicited investors, the losses suffered by the investors, the profits realized by the offender, the offender’s experience, the offender’s position and status in committing the alleged acts, the extent of the offender’s activities in financial markets, the intentional nature of the actions taken, the risk that the offender poses to investors and financial markets if allowed to continue its activities, the damage to market integrity caused by the offender’s conduct, the fact that the sanction may, depending on the seriousness of the action taken, constitute a deterrent to the offender but also to those who might be tempted to emulate it, the degree of the offender’s repentance, mitigating factors and sanctions imposed in similar circumstances.”</w:t>
      </w:r>
    </w:p>
  </w:footnote>
  <w:footnote w:id="174">
    <w:p w14:paraId="35CA1655" w14:textId="28CA516E" w:rsidR="009D596F" w:rsidRPr="00AD37EE" w:rsidRDefault="009D596F" w:rsidP="00402BBD">
      <w:pPr>
        <w:pStyle w:val="Notedebasdepage"/>
      </w:pPr>
      <w:r w:rsidRPr="00505647">
        <w:rPr>
          <w:rStyle w:val="Appelnotedebasdep"/>
        </w:rPr>
        <w:footnoteRef/>
      </w:r>
      <w:r w:rsidRPr="00505647">
        <w:t xml:space="preserve"> </w:t>
      </w:r>
      <w:r w:rsidRPr="00505647">
        <w:tab/>
      </w:r>
      <w:r w:rsidRPr="00AD37EE">
        <w:t xml:space="preserve">The International Organization of Securities Commissions (IOSCO) so states in its report entitled </w:t>
      </w:r>
      <w:r w:rsidRPr="00AD37EE">
        <w:rPr>
          <w:i/>
          <w:iCs/>
        </w:rPr>
        <w:t>Issues, Risks and Regulatory Considerations Relating to Crypto-Asset Trading Platforms, Final Report</w:t>
      </w:r>
      <w:r w:rsidRPr="00AD37EE">
        <w:t xml:space="preserve">, online: &lt;https://www.iosco.org/library/pubdocs/pdf/IOSCOPD649.pdf&gt;, p. 4-5 (accessed August 2023): </w:t>
      </w:r>
      <w:r>
        <w:t>“</w:t>
      </w:r>
      <w:r w:rsidRPr="00AD37EE">
        <w:t>Accordingly, while aspects of the underlying technology and operation of CTPs may be novel, if a CTP trades a crypto-asset that is a security and it falls within a regulatory authority’s jurisdiction, the basic principles or objectives of securities regulation (investor protection, ensuring fair, efficient and transparent markets and investor confidence in markets) should apply</w:t>
      </w:r>
      <w:r>
        <w:t>”</w:t>
      </w:r>
      <w:r w:rsidRPr="00AD37EE">
        <w:t>.</w:t>
      </w:r>
    </w:p>
  </w:footnote>
  <w:footnote w:id="175">
    <w:p w14:paraId="24C789DB"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 D-2.</w:t>
      </w:r>
    </w:p>
  </w:footnote>
  <w:footnote w:id="176">
    <w:p w14:paraId="16005B45"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 D-3.</w:t>
      </w:r>
    </w:p>
  </w:footnote>
  <w:footnote w:id="177">
    <w:p w14:paraId="26BA2F33"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 D-4.</w:t>
      </w:r>
    </w:p>
  </w:footnote>
  <w:footnote w:id="178">
    <w:p w14:paraId="4FB175CB"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 D-5.</w:t>
      </w:r>
    </w:p>
  </w:footnote>
  <w:footnote w:id="179">
    <w:p w14:paraId="6600C469"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 D-6.</w:t>
      </w:r>
    </w:p>
  </w:footnote>
  <w:footnote w:id="180">
    <w:p w14:paraId="467BDDEA"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Exhibits D-89 to D-93 and D-103, D-106 and D-107.</w:t>
      </w:r>
    </w:p>
  </w:footnote>
  <w:footnote w:id="181">
    <w:p w14:paraId="2B5D37FC" w14:textId="7C1FF967" w:rsidR="009D596F" w:rsidRPr="00505647" w:rsidRDefault="009D596F">
      <w:pPr>
        <w:pStyle w:val="Notedebasdepage"/>
      </w:pPr>
      <w:r w:rsidRPr="00505647">
        <w:rPr>
          <w:rStyle w:val="Appelnotedebasdep"/>
        </w:rPr>
        <w:footnoteRef/>
      </w:r>
      <w:r w:rsidRPr="00505647">
        <w:t xml:space="preserve"> </w:t>
      </w:r>
      <w:r w:rsidRPr="00505647">
        <w:tab/>
        <w:t>Exhibits D-95 and D-111.</w:t>
      </w:r>
    </w:p>
  </w:footnote>
  <w:footnote w:id="182">
    <w:p w14:paraId="450E2F28" w14:textId="77777777" w:rsidR="009D596F" w:rsidRPr="00505647" w:rsidRDefault="009D596F" w:rsidP="006E4919">
      <w:pPr>
        <w:pStyle w:val="Notedebasdepage"/>
      </w:pPr>
      <w:r w:rsidRPr="00505647">
        <w:rPr>
          <w:rStyle w:val="Appelnotedebasdep"/>
        </w:rPr>
        <w:footnoteRef/>
      </w:r>
      <w:r w:rsidRPr="00505647">
        <w:t xml:space="preserve"> </w:t>
      </w:r>
      <w:r w:rsidRPr="00505647">
        <w:tab/>
        <w:t>Exhibit D-11.</w:t>
      </w:r>
    </w:p>
  </w:footnote>
  <w:footnote w:id="183">
    <w:p w14:paraId="455336A6"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 D-11.</w:t>
      </w:r>
    </w:p>
  </w:footnote>
  <w:footnote w:id="184">
    <w:p w14:paraId="24646376"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 D-11.</w:t>
      </w:r>
    </w:p>
  </w:footnote>
  <w:footnote w:id="185">
    <w:p w14:paraId="3A486196"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 D-11.</w:t>
      </w:r>
    </w:p>
  </w:footnote>
  <w:footnote w:id="186">
    <w:p w14:paraId="05D4886B"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 D-20.</w:t>
      </w:r>
    </w:p>
  </w:footnote>
  <w:footnote w:id="187">
    <w:p w14:paraId="45822AF1" w14:textId="77777777" w:rsidR="009D596F" w:rsidRPr="00505647" w:rsidRDefault="009D596F" w:rsidP="00402BBD">
      <w:pPr>
        <w:pStyle w:val="Notedebasdepage"/>
      </w:pPr>
      <w:r w:rsidRPr="00505647">
        <w:rPr>
          <w:rStyle w:val="Appelnotedebasdep"/>
        </w:rPr>
        <w:footnoteRef/>
      </w:r>
      <w:r w:rsidRPr="00505647">
        <w:t xml:space="preserve"> </w:t>
      </w:r>
      <w:r w:rsidRPr="00505647">
        <w:tab/>
        <w:t>Exhibit D-10.</w:t>
      </w:r>
    </w:p>
  </w:footnote>
  <w:footnote w:id="188">
    <w:p w14:paraId="140E3014" w14:textId="77777777" w:rsidR="009D596F" w:rsidRPr="00505647" w:rsidRDefault="009D596F" w:rsidP="00283B4A">
      <w:pPr>
        <w:pStyle w:val="Notedebasdepage"/>
      </w:pPr>
      <w:r w:rsidRPr="00505647">
        <w:rPr>
          <w:rStyle w:val="Appelnotedebasdep"/>
        </w:rPr>
        <w:footnoteRef/>
      </w:r>
      <w:r w:rsidRPr="00505647">
        <w:t xml:space="preserve"> </w:t>
      </w:r>
      <w:r w:rsidRPr="00505647">
        <w:tab/>
        <w:t xml:space="preserve">Exhibits D-96 and D-98. </w:t>
      </w:r>
    </w:p>
  </w:footnote>
  <w:footnote w:id="189">
    <w:p w14:paraId="7F571E9E" w14:textId="77777777" w:rsidR="009D596F" w:rsidRPr="00505647" w:rsidRDefault="009D596F" w:rsidP="00283B4A">
      <w:pPr>
        <w:pStyle w:val="Notedebasdepage"/>
      </w:pPr>
      <w:r w:rsidRPr="00505647">
        <w:rPr>
          <w:rStyle w:val="Appelnotedebasdep"/>
        </w:rPr>
        <w:footnoteRef/>
      </w:r>
      <w:r w:rsidRPr="00505647">
        <w:t xml:space="preserve"> </w:t>
      </w:r>
      <w:r w:rsidRPr="00505647">
        <w:tab/>
        <w:t>Exhibit D-95.</w:t>
      </w:r>
    </w:p>
  </w:footnote>
  <w:footnote w:id="190">
    <w:p w14:paraId="4C3E8BCF" w14:textId="77777777" w:rsidR="009D596F" w:rsidRPr="00505647" w:rsidRDefault="009D596F" w:rsidP="00283B4A">
      <w:pPr>
        <w:pStyle w:val="Notedebasdepage"/>
      </w:pPr>
      <w:r w:rsidRPr="00505647">
        <w:rPr>
          <w:rStyle w:val="Appelnotedebasdep"/>
        </w:rPr>
        <w:footnoteRef/>
      </w:r>
      <w:r w:rsidRPr="00505647">
        <w:t xml:space="preserve"> </w:t>
      </w:r>
      <w:r w:rsidRPr="00505647">
        <w:tab/>
      </w:r>
      <w:proofErr w:type="spellStart"/>
      <w:r w:rsidRPr="00505647">
        <w:rPr>
          <w:i/>
          <w:iCs/>
        </w:rPr>
        <w:t>Mek</w:t>
      </w:r>
      <w:proofErr w:type="spellEnd"/>
      <w:r w:rsidRPr="00505647">
        <w:rPr>
          <w:i/>
          <w:iCs/>
        </w:rPr>
        <w:t xml:space="preserve"> Global Limited (Re),</w:t>
      </w:r>
      <w:r w:rsidRPr="00505647">
        <w:t xml:space="preserve"> 2022 ONCMT 15.</w:t>
      </w:r>
    </w:p>
  </w:footnote>
  <w:footnote w:id="191">
    <w:p w14:paraId="16865A25" w14:textId="77777777" w:rsidR="009D596F" w:rsidRPr="00505647" w:rsidRDefault="009D596F" w:rsidP="00283B4A">
      <w:pPr>
        <w:pStyle w:val="Notedebasdepage"/>
      </w:pPr>
      <w:r w:rsidRPr="00505647">
        <w:rPr>
          <w:rStyle w:val="Appelnotedebasdep"/>
        </w:rPr>
        <w:footnoteRef/>
      </w:r>
      <w:r w:rsidRPr="00505647">
        <w:t xml:space="preserve"> </w:t>
      </w:r>
      <w:r w:rsidRPr="00505647">
        <w:tab/>
      </w:r>
      <w:proofErr w:type="spellStart"/>
      <w:r w:rsidRPr="00505647">
        <w:rPr>
          <w:i/>
          <w:iCs/>
        </w:rPr>
        <w:t>Mek</w:t>
      </w:r>
      <w:proofErr w:type="spellEnd"/>
      <w:r w:rsidRPr="00505647">
        <w:rPr>
          <w:i/>
          <w:iCs/>
        </w:rPr>
        <w:t xml:space="preserve"> Global Limited (Re),</w:t>
      </w:r>
      <w:r w:rsidRPr="00505647">
        <w:t xml:space="preserve"> 2022 ONCMT 15, para. 9. </w:t>
      </w:r>
    </w:p>
  </w:footnote>
  <w:footnote w:id="192">
    <w:p w14:paraId="3B3CFE08" w14:textId="77777777" w:rsidR="009D596F" w:rsidRPr="00505647" w:rsidRDefault="009D596F" w:rsidP="00283B4A">
      <w:pPr>
        <w:pStyle w:val="Notedebasdepage"/>
      </w:pPr>
      <w:r w:rsidRPr="00505647">
        <w:rPr>
          <w:rStyle w:val="Appelnotedebasdep"/>
        </w:rPr>
        <w:footnoteRef/>
      </w:r>
      <w:r w:rsidRPr="00505647">
        <w:t xml:space="preserve"> </w:t>
      </w:r>
      <w:r w:rsidRPr="00505647">
        <w:tab/>
        <w:t xml:space="preserve">2022 ONCMT 32. </w:t>
      </w:r>
    </w:p>
  </w:footnote>
  <w:footnote w:id="193">
    <w:p w14:paraId="2DEA426A" w14:textId="77777777" w:rsidR="009D596F" w:rsidRPr="00505647" w:rsidRDefault="009D596F" w:rsidP="00283B4A">
      <w:pPr>
        <w:pStyle w:val="Notedebasdepage"/>
      </w:pPr>
      <w:r w:rsidRPr="00505647">
        <w:rPr>
          <w:rStyle w:val="Appelnotedebasdep"/>
        </w:rPr>
        <w:footnoteRef/>
      </w:r>
      <w:r w:rsidRPr="00505647">
        <w:t xml:space="preserve"> </w:t>
      </w:r>
      <w:r w:rsidRPr="00505647">
        <w:tab/>
      </w:r>
      <w:r w:rsidRPr="00505647">
        <w:rPr>
          <w:i/>
          <w:iCs/>
        </w:rPr>
        <w:t>Polo Digital Assets, Ltd (Re)</w:t>
      </w:r>
      <w:r w:rsidRPr="00505647">
        <w:t>, 2022 ONCMT 32, para. 10. See also paragraph 103.</w:t>
      </w:r>
    </w:p>
  </w:footnote>
  <w:footnote w:id="194">
    <w:p w14:paraId="0F029741" w14:textId="77777777" w:rsidR="009D596F" w:rsidRPr="00505647" w:rsidRDefault="009D596F" w:rsidP="00283B4A">
      <w:pPr>
        <w:pStyle w:val="Notedebasdepage"/>
      </w:pPr>
      <w:r w:rsidRPr="00505647">
        <w:rPr>
          <w:rStyle w:val="Appelnotedebasdep"/>
        </w:rPr>
        <w:footnoteRef/>
      </w:r>
      <w:r w:rsidRPr="00505647">
        <w:t xml:space="preserve"> </w:t>
      </w:r>
      <w:r w:rsidRPr="00505647">
        <w:tab/>
      </w:r>
      <w:proofErr w:type="spellStart"/>
      <w:r w:rsidRPr="00505647">
        <w:rPr>
          <w:i/>
          <w:iCs/>
        </w:rPr>
        <w:t>Pezim</w:t>
      </w:r>
      <w:proofErr w:type="spellEnd"/>
      <w:r w:rsidRPr="00505647">
        <w:rPr>
          <w:i/>
          <w:iCs/>
        </w:rPr>
        <w:t xml:space="preserve"> v. British Columbia (Superintendent of Brokers)</w:t>
      </w:r>
      <w:r w:rsidRPr="00505647">
        <w:t>, [1994] 2 SCR 557, 589.</w:t>
      </w:r>
    </w:p>
  </w:footnote>
  <w:footnote w:id="195">
    <w:p w14:paraId="71715BAC" w14:textId="56FDAD96" w:rsidR="009D596F" w:rsidRPr="0027211D" w:rsidRDefault="009D596F" w:rsidP="00283B4A">
      <w:pPr>
        <w:pStyle w:val="Notedebasdepage"/>
      </w:pPr>
      <w:r w:rsidRPr="00505647">
        <w:rPr>
          <w:rStyle w:val="Appelnotedebasdep"/>
        </w:rPr>
        <w:footnoteRef/>
      </w:r>
      <w:r w:rsidRPr="00505647">
        <w:t xml:space="preserve"> </w:t>
      </w:r>
      <w:r w:rsidRPr="00505647">
        <w:tab/>
        <w:t>Section 273.</w:t>
      </w:r>
      <w:r>
        <w:t>1</w:t>
      </w:r>
      <w:r w:rsidRPr="00505647">
        <w:t xml:space="preserve"> of the </w:t>
      </w:r>
      <w:r>
        <w:rPr>
          <w:i/>
          <w:iCs/>
        </w:rPr>
        <w:t>Securities Act</w:t>
      </w:r>
      <w:r>
        <w:t>.</w:t>
      </w:r>
    </w:p>
  </w:footnote>
  <w:footnote w:id="196">
    <w:p w14:paraId="24D6C521" w14:textId="77777777" w:rsidR="009D596F" w:rsidRPr="00505647" w:rsidRDefault="009D596F" w:rsidP="00283B4A">
      <w:pPr>
        <w:pStyle w:val="Notedebasdepage"/>
      </w:pPr>
      <w:r w:rsidRPr="00505647">
        <w:rPr>
          <w:rStyle w:val="Appelnotedebasdep"/>
        </w:rPr>
        <w:footnoteRef/>
      </w:r>
      <w:r w:rsidRPr="00505647">
        <w:t xml:space="preserve"> </w:t>
      </w:r>
      <w:r w:rsidRPr="00505647">
        <w:tab/>
        <w:t xml:space="preserve">Section 134 of the </w:t>
      </w:r>
      <w:r w:rsidRPr="00505647">
        <w:rPr>
          <w:i/>
          <w:iCs/>
        </w:rPr>
        <w:t>Derivatives Act</w:t>
      </w:r>
      <w:r w:rsidRPr="00505647">
        <w:t>.</w:t>
      </w:r>
    </w:p>
  </w:footnote>
  <w:footnote w:id="197">
    <w:p w14:paraId="5E554F57" w14:textId="77777777" w:rsidR="009D596F" w:rsidRPr="00505647" w:rsidRDefault="009D596F" w:rsidP="00283B4A">
      <w:pPr>
        <w:pStyle w:val="Notedebasdepage"/>
      </w:pPr>
      <w:r w:rsidRPr="00505647">
        <w:rPr>
          <w:rStyle w:val="Appelnotedebasdep"/>
        </w:rPr>
        <w:footnoteRef/>
      </w:r>
      <w:r w:rsidRPr="00505647">
        <w:t xml:space="preserve"> </w:t>
      </w:r>
      <w:r w:rsidRPr="00505647">
        <w:tab/>
      </w:r>
      <w:r w:rsidRPr="00505647">
        <w:rPr>
          <w:i/>
          <w:iCs/>
        </w:rPr>
        <w:t>Guindon</w:t>
      </w:r>
      <w:r w:rsidRPr="00505647">
        <w:t xml:space="preserve"> v. </w:t>
      </w:r>
      <w:r w:rsidRPr="00505647">
        <w:rPr>
          <w:i/>
          <w:iCs/>
        </w:rPr>
        <w:t>Canada</w:t>
      </w:r>
      <w:r w:rsidRPr="00505647">
        <w:t xml:space="preserve">, 2015 SCC 41, at para. 77. The Supreme Court referred to </w:t>
      </w:r>
      <w:r w:rsidRPr="00505647">
        <w:rPr>
          <w:i/>
          <w:iCs/>
        </w:rPr>
        <w:t>Rowan v. Ontario Securities Commission</w:t>
      </w:r>
      <w:r w:rsidRPr="00505647">
        <w:t>, 2012 ONCA 208, 110 O.R. (3d) 492 at para. 49.</w:t>
      </w:r>
    </w:p>
  </w:footnote>
  <w:footnote w:id="198">
    <w:p w14:paraId="09D199F8" w14:textId="77777777" w:rsidR="009D596F" w:rsidRPr="00505647" w:rsidRDefault="009D596F" w:rsidP="00283B4A">
      <w:pPr>
        <w:pStyle w:val="Notedebasdepage"/>
      </w:pPr>
      <w:r w:rsidRPr="00505647">
        <w:rPr>
          <w:rStyle w:val="Appelnotedebasdep"/>
        </w:rPr>
        <w:footnoteRef/>
      </w:r>
      <w:r w:rsidRPr="00505647">
        <w:t xml:space="preserve"> </w:t>
      </w:r>
      <w:r w:rsidRPr="00505647">
        <w:tab/>
        <w:t xml:space="preserve">Section 265 of the </w:t>
      </w:r>
      <w:r w:rsidRPr="00505647">
        <w:rPr>
          <w:i/>
          <w:iCs/>
        </w:rPr>
        <w:t>Securities Act</w:t>
      </w:r>
      <w:r w:rsidRPr="00505647">
        <w:t>.</w:t>
      </w:r>
    </w:p>
  </w:footnote>
  <w:footnote w:id="199">
    <w:p w14:paraId="490C7F02" w14:textId="77777777" w:rsidR="009D596F" w:rsidRPr="00505647" w:rsidRDefault="009D596F" w:rsidP="00283B4A">
      <w:pPr>
        <w:pStyle w:val="Notedebasdepage"/>
      </w:pPr>
      <w:r w:rsidRPr="00505647">
        <w:rPr>
          <w:rStyle w:val="Appelnotedebasdep"/>
        </w:rPr>
        <w:footnoteRef/>
      </w:r>
      <w:r w:rsidRPr="00505647">
        <w:t xml:space="preserve"> </w:t>
      </w:r>
      <w:r w:rsidRPr="00505647">
        <w:tab/>
        <w:t xml:space="preserve">Section 131 of the </w:t>
      </w:r>
      <w:r w:rsidRPr="00505647">
        <w:rPr>
          <w:i/>
          <w:iCs/>
        </w:rPr>
        <w:t>Derivatives Act</w:t>
      </w:r>
      <w:r w:rsidRPr="00505647">
        <w:t>.</w:t>
      </w:r>
    </w:p>
  </w:footnote>
  <w:footnote w:id="200">
    <w:p w14:paraId="7F71473D" w14:textId="77777777" w:rsidR="009D596F" w:rsidRPr="00505647" w:rsidRDefault="009D596F" w:rsidP="00283B4A">
      <w:pPr>
        <w:pStyle w:val="Notedebasdepage"/>
      </w:pPr>
      <w:r w:rsidRPr="00505647">
        <w:rPr>
          <w:rStyle w:val="Appelnotedebasdep"/>
        </w:rPr>
        <w:footnoteRef/>
      </w:r>
      <w:r w:rsidRPr="00505647">
        <w:t xml:space="preserve"> </w:t>
      </w:r>
      <w:r w:rsidRPr="00505647">
        <w:tab/>
        <w:t xml:space="preserve">Section 266 of the </w:t>
      </w:r>
      <w:r w:rsidRPr="00505647">
        <w:rPr>
          <w:i/>
          <w:iCs/>
        </w:rPr>
        <w:t>Securities Act</w:t>
      </w:r>
      <w:r w:rsidRPr="00505647">
        <w:t>.</w:t>
      </w:r>
    </w:p>
  </w:footnote>
  <w:footnote w:id="201">
    <w:p w14:paraId="37C6F55C" w14:textId="77777777" w:rsidR="009D596F" w:rsidRPr="00505647" w:rsidRDefault="009D596F" w:rsidP="00283B4A">
      <w:pPr>
        <w:pStyle w:val="Notedebasdepage"/>
      </w:pPr>
      <w:r w:rsidRPr="00505647">
        <w:rPr>
          <w:rStyle w:val="Appelnotedebasdep"/>
        </w:rPr>
        <w:footnoteRef/>
      </w:r>
      <w:r w:rsidRPr="00505647">
        <w:t xml:space="preserve"> </w:t>
      </w:r>
      <w:r w:rsidRPr="00505647">
        <w:tab/>
        <w:t xml:space="preserve">Section 132 of the </w:t>
      </w:r>
      <w:r w:rsidRPr="00505647">
        <w:rPr>
          <w:i/>
          <w:iCs/>
        </w:rPr>
        <w:t>Derivatives Act</w:t>
      </w:r>
      <w:r w:rsidRPr="00505647">
        <w:t>.</w:t>
      </w:r>
    </w:p>
  </w:footnote>
  <w:footnote w:id="202">
    <w:p w14:paraId="66BF8A2F" w14:textId="77777777" w:rsidR="009D596F" w:rsidRPr="005F142A" w:rsidRDefault="009D596F" w:rsidP="00283B4A">
      <w:pPr>
        <w:pStyle w:val="Notedebasdepage"/>
        <w:rPr>
          <w:lang w:val="fr-CA"/>
        </w:rPr>
      </w:pPr>
      <w:r w:rsidRPr="00505647">
        <w:rPr>
          <w:rStyle w:val="Appelnotedebasdep"/>
        </w:rPr>
        <w:footnoteRef/>
      </w:r>
      <w:r w:rsidRPr="005F142A">
        <w:rPr>
          <w:lang w:val="fr-CA"/>
        </w:rPr>
        <w:t xml:space="preserve"> </w:t>
      </w:r>
      <w:r w:rsidRPr="005F142A">
        <w:rPr>
          <w:lang w:val="fr-CA"/>
        </w:rPr>
        <w:tab/>
      </w:r>
      <w:r w:rsidRPr="005F142A">
        <w:rPr>
          <w:i/>
          <w:iCs/>
          <w:lang w:val="fr-CA"/>
        </w:rPr>
        <w:t>Métivier</w:t>
      </w:r>
      <w:r w:rsidRPr="005F142A">
        <w:rPr>
          <w:lang w:val="fr-CA"/>
        </w:rPr>
        <w:t> c. </w:t>
      </w:r>
      <w:r w:rsidRPr="005F142A">
        <w:rPr>
          <w:i/>
          <w:iCs/>
          <w:lang w:val="fr-CA"/>
        </w:rPr>
        <w:t>Association canadienne des courtiers en valeurs mobilières (ACCOVAM)</w:t>
      </w:r>
      <w:r w:rsidRPr="005F142A">
        <w:rPr>
          <w:lang w:val="fr-CA"/>
        </w:rPr>
        <w:t>, 2005 QCBDRVM 6.</w:t>
      </w:r>
    </w:p>
  </w:footnote>
  <w:footnote w:id="203">
    <w:p w14:paraId="5D251D04" w14:textId="77777777" w:rsidR="009D596F" w:rsidRPr="00505647" w:rsidRDefault="009D596F" w:rsidP="00283B4A">
      <w:pPr>
        <w:pStyle w:val="Notedebasdepage"/>
      </w:pPr>
      <w:r w:rsidRPr="00505647">
        <w:rPr>
          <w:rStyle w:val="Appelnotedebasdep"/>
        </w:rPr>
        <w:footnoteRef/>
      </w:r>
      <w:r w:rsidRPr="00505647">
        <w:t xml:space="preserve"> </w:t>
      </w:r>
      <w:r w:rsidRPr="00505647">
        <w:tab/>
      </w:r>
      <w:r w:rsidRPr="00505647">
        <w:rPr>
          <w:i/>
          <w:iCs/>
        </w:rPr>
        <w:t>British Columbia Securities Commission</w:t>
      </w:r>
      <w:r w:rsidRPr="00505647">
        <w:t xml:space="preserve"> v. </w:t>
      </w:r>
      <w:r w:rsidRPr="00505647">
        <w:rPr>
          <w:i/>
          <w:iCs/>
        </w:rPr>
        <w:t>Branch</w:t>
      </w:r>
      <w:r w:rsidRPr="00505647">
        <w:t>, [1995] 2 S.C.R. 3, at para. 77.</w:t>
      </w:r>
    </w:p>
  </w:footnote>
  <w:footnote w:id="204">
    <w:p w14:paraId="73D70A87" w14:textId="77777777" w:rsidR="009D596F" w:rsidRPr="00505647" w:rsidRDefault="009D596F" w:rsidP="00283B4A">
      <w:pPr>
        <w:pStyle w:val="Notedebasdepage"/>
      </w:pPr>
      <w:r w:rsidRPr="00505647">
        <w:rPr>
          <w:rStyle w:val="Appelnotedebasdep"/>
        </w:rPr>
        <w:footnoteRef/>
      </w:r>
      <w:r w:rsidRPr="00505647">
        <w:t xml:space="preserve"> </w:t>
      </w:r>
      <w:r w:rsidRPr="00505647">
        <w:tab/>
      </w:r>
      <w:proofErr w:type="spellStart"/>
      <w:r w:rsidRPr="00505647">
        <w:rPr>
          <w:i/>
          <w:iCs/>
        </w:rPr>
        <w:t>Autorité</w:t>
      </w:r>
      <w:proofErr w:type="spellEnd"/>
      <w:r w:rsidRPr="00505647">
        <w:rPr>
          <w:i/>
          <w:iCs/>
        </w:rPr>
        <w:t xml:space="preserve"> des </w:t>
      </w:r>
      <w:proofErr w:type="spellStart"/>
      <w:r w:rsidRPr="00505647">
        <w:rPr>
          <w:i/>
          <w:iCs/>
        </w:rPr>
        <w:t>marchés</w:t>
      </w:r>
      <w:proofErr w:type="spellEnd"/>
      <w:r w:rsidRPr="00505647">
        <w:rPr>
          <w:i/>
          <w:iCs/>
        </w:rPr>
        <w:t xml:space="preserve"> financiers</w:t>
      </w:r>
      <w:r w:rsidRPr="00505647">
        <w:t xml:space="preserve"> c. </w:t>
      </w:r>
      <w:r w:rsidRPr="00505647">
        <w:rPr>
          <w:i/>
          <w:iCs/>
        </w:rPr>
        <w:t>Vaillancourt</w:t>
      </w:r>
      <w:r w:rsidRPr="00505647">
        <w:t>, 2019 QCTMF 26, para. 21</w:t>
      </w:r>
    </w:p>
  </w:footnote>
  <w:footnote w:id="205">
    <w:p w14:paraId="1BBBC259" w14:textId="77777777" w:rsidR="009D596F" w:rsidRPr="00505647" w:rsidRDefault="009D596F" w:rsidP="00283B4A">
      <w:pPr>
        <w:pStyle w:val="Notedebasdepage"/>
      </w:pPr>
      <w:r w:rsidRPr="00505647">
        <w:rPr>
          <w:rStyle w:val="Appelnotedebasdep"/>
        </w:rPr>
        <w:footnoteRef/>
      </w:r>
      <w:r w:rsidRPr="00505647">
        <w:t xml:space="preserve"> </w:t>
      </w:r>
      <w:r w:rsidRPr="00505647">
        <w:tab/>
        <w:t xml:space="preserve">Section 94 of the </w:t>
      </w:r>
      <w:r w:rsidRPr="00505647">
        <w:rPr>
          <w:i/>
          <w:iCs/>
        </w:rPr>
        <w:t>Act respecting the regulation of the financial sector</w:t>
      </w:r>
      <w:r w:rsidRPr="00505647">
        <w:t>.</w:t>
      </w:r>
    </w:p>
  </w:footnote>
  <w:footnote w:id="206">
    <w:p w14:paraId="0D1B99FD" w14:textId="77777777" w:rsidR="009D596F" w:rsidRPr="00505647" w:rsidRDefault="009D596F" w:rsidP="00283B4A">
      <w:pPr>
        <w:pStyle w:val="Notedebasdepage"/>
      </w:pPr>
      <w:r w:rsidRPr="00505647">
        <w:rPr>
          <w:rStyle w:val="Appelnotedebasdep"/>
        </w:rPr>
        <w:footnoteRef/>
      </w:r>
      <w:r w:rsidRPr="00505647">
        <w:t xml:space="preserve"> </w:t>
      </w:r>
      <w:r w:rsidRPr="00505647">
        <w:tab/>
        <w:t xml:space="preserve">Section 270 of the </w:t>
      </w:r>
      <w:r w:rsidRPr="00505647">
        <w:rPr>
          <w:i/>
          <w:iCs/>
        </w:rPr>
        <w:t>Securities Act</w:t>
      </w:r>
      <w:r w:rsidRPr="00505647">
        <w:t>.</w:t>
      </w:r>
    </w:p>
  </w:footnote>
  <w:footnote w:id="207">
    <w:p w14:paraId="76EF4796" w14:textId="77777777" w:rsidR="009D596F" w:rsidRPr="00505647" w:rsidRDefault="009D596F" w:rsidP="00283B4A">
      <w:pPr>
        <w:pStyle w:val="Notedebasdepage"/>
      </w:pPr>
      <w:r w:rsidRPr="00505647">
        <w:rPr>
          <w:rStyle w:val="Appelnotedebasdep"/>
        </w:rPr>
        <w:footnoteRef/>
      </w:r>
      <w:r w:rsidRPr="00505647">
        <w:t xml:space="preserve"> </w:t>
      </w:r>
      <w:r w:rsidRPr="00505647">
        <w:tab/>
        <w:t xml:space="preserve">The Tribunal allowed an amendment to a finding on the prohibition of derivative transactions at the hearing of July 28, 2023. The following words were added to this conclusion: [TRANSLATION] “or related to the offering or negotiation of a derivative”. </w:t>
      </w:r>
    </w:p>
  </w:footnote>
  <w:footnote w:id="208">
    <w:p w14:paraId="549A4D09" w14:textId="77777777" w:rsidR="009D596F" w:rsidRPr="00505647" w:rsidRDefault="009D596F" w:rsidP="00283B4A">
      <w:pPr>
        <w:pStyle w:val="Notedebasdepage"/>
      </w:pPr>
      <w:r w:rsidRPr="00505647">
        <w:rPr>
          <w:rStyle w:val="Appelnotedebasdep"/>
        </w:rPr>
        <w:footnoteRef/>
      </w:r>
      <w:r w:rsidRPr="00505647">
        <w:t xml:space="preserve">  </w:t>
      </w:r>
      <w:r w:rsidRPr="00505647">
        <w:tab/>
        <w:t>CQLR, c E-6.1.</w:t>
      </w:r>
    </w:p>
  </w:footnote>
  <w:footnote w:id="209">
    <w:p w14:paraId="3E8A42BD" w14:textId="77777777" w:rsidR="009D596F" w:rsidRPr="00505647" w:rsidRDefault="009D596F" w:rsidP="00283B4A">
      <w:pPr>
        <w:pStyle w:val="Notedebasdepage"/>
      </w:pPr>
      <w:r w:rsidRPr="00505647">
        <w:rPr>
          <w:rStyle w:val="Appelnotedebasdep"/>
        </w:rPr>
        <w:footnoteRef/>
      </w:r>
      <w:r w:rsidRPr="00505647">
        <w:t xml:space="preserve">  </w:t>
      </w:r>
      <w:r w:rsidRPr="00505647">
        <w:tab/>
        <w:t>CQLR, c. V-1.1.</w:t>
      </w:r>
    </w:p>
  </w:footnote>
  <w:footnote w:id="210">
    <w:p w14:paraId="592F18C9" w14:textId="77777777" w:rsidR="009D596F" w:rsidRPr="001D1FCA" w:rsidRDefault="009D596F" w:rsidP="00283B4A">
      <w:pPr>
        <w:pStyle w:val="Notedebasdepage"/>
        <w:rPr>
          <w:lang w:val="en-US"/>
        </w:rPr>
      </w:pPr>
      <w:r w:rsidRPr="00505647">
        <w:rPr>
          <w:rStyle w:val="Appelnotedebasdep"/>
        </w:rPr>
        <w:footnoteRef/>
      </w:r>
      <w:r w:rsidRPr="00505647">
        <w:t xml:space="preserve"> </w:t>
      </w:r>
      <w:r w:rsidRPr="00505647">
        <w:tab/>
        <w:t>CQLR, c. I-14.01.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FE65" w14:textId="77777777" w:rsidR="009D596F" w:rsidRPr="00505647" w:rsidRDefault="009D59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34ED" w14:textId="1B3A4507" w:rsidR="009D596F" w:rsidRPr="00505647" w:rsidRDefault="009D596F">
    <w:pPr>
      <w:tabs>
        <w:tab w:val="center" w:pos="4709"/>
        <w:tab w:val="right" w:pos="9360"/>
      </w:tabs>
      <w:ind w:right="524"/>
    </w:pPr>
    <w:r w:rsidRPr="00505647">
      <w:t>2023-009-001</w:t>
    </w:r>
    <w:r w:rsidRPr="00505647">
      <w:tab/>
    </w:r>
    <w:r w:rsidRPr="00505647">
      <w:tab/>
      <w:t xml:space="preserve">PAGE: </w:t>
    </w:r>
    <w:r w:rsidRPr="00505647">
      <w:fldChar w:fldCharType="begin"/>
    </w:r>
    <w:r w:rsidRPr="00505647">
      <w:instrText xml:space="preserve"> PAGE </w:instrText>
    </w:r>
    <w:r w:rsidRPr="00505647">
      <w:fldChar w:fldCharType="separate"/>
    </w:r>
    <w:r w:rsidR="007D7596">
      <w:rPr>
        <w:noProof/>
      </w:rPr>
      <w:t>45</w:t>
    </w:r>
    <w:r w:rsidRPr="00505647">
      <w:fldChar w:fldCharType="end"/>
    </w:r>
  </w:p>
  <w:p w14:paraId="04BA672E" w14:textId="77777777" w:rsidR="009D596F" w:rsidRPr="00505647" w:rsidRDefault="009D596F">
    <w:pPr>
      <w:tabs>
        <w:tab w:val="center" w:pos="4709"/>
        <w:tab w:val="right" w:pos="9090"/>
      </w:tabs>
      <w:ind w:right="524"/>
    </w:pPr>
  </w:p>
  <w:p w14:paraId="7E150595" w14:textId="77777777" w:rsidR="009D596F" w:rsidRPr="00505647" w:rsidRDefault="009D596F">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678F" w14:textId="77777777" w:rsidR="009D596F" w:rsidRPr="00505647" w:rsidRDefault="009D59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F2C9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F652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2CB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5477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28E7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927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C5F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1CC2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A8F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CA23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83971"/>
    <w:multiLevelType w:val="hybridMultilevel"/>
    <w:tmpl w:val="F4B8D6A0"/>
    <w:lvl w:ilvl="0" w:tplc="57BA0C74">
      <w:start w:val="1"/>
      <w:numFmt w:val="bullet"/>
      <w:lvlText w:val=""/>
      <w:lvlJc w:val="left"/>
      <w:pPr>
        <w:ind w:left="1287" w:hanging="360"/>
      </w:pPr>
      <w:rPr>
        <w:rFonts w:ascii="Symbol" w:hAnsi="Symbol" w:hint="default"/>
      </w:rPr>
    </w:lvl>
    <w:lvl w:ilvl="1" w:tplc="2B3AD37E" w:tentative="1">
      <w:start w:val="1"/>
      <w:numFmt w:val="bullet"/>
      <w:lvlText w:val="o"/>
      <w:lvlJc w:val="left"/>
      <w:pPr>
        <w:ind w:left="2007" w:hanging="360"/>
      </w:pPr>
      <w:rPr>
        <w:rFonts w:ascii="Courier New" w:hAnsi="Courier New" w:cs="Courier New" w:hint="default"/>
      </w:rPr>
    </w:lvl>
    <w:lvl w:ilvl="2" w:tplc="10D66222" w:tentative="1">
      <w:start w:val="1"/>
      <w:numFmt w:val="bullet"/>
      <w:lvlText w:val=""/>
      <w:lvlJc w:val="left"/>
      <w:pPr>
        <w:ind w:left="2727" w:hanging="360"/>
      </w:pPr>
      <w:rPr>
        <w:rFonts w:ascii="Wingdings" w:hAnsi="Wingdings" w:hint="default"/>
      </w:rPr>
    </w:lvl>
    <w:lvl w:ilvl="3" w:tplc="37120874" w:tentative="1">
      <w:start w:val="1"/>
      <w:numFmt w:val="bullet"/>
      <w:lvlText w:val=""/>
      <w:lvlJc w:val="left"/>
      <w:pPr>
        <w:ind w:left="3447" w:hanging="360"/>
      </w:pPr>
      <w:rPr>
        <w:rFonts w:ascii="Symbol" w:hAnsi="Symbol" w:hint="default"/>
      </w:rPr>
    </w:lvl>
    <w:lvl w:ilvl="4" w:tplc="9A9E2290" w:tentative="1">
      <w:start w:val="1"/>
      <w:numFmt w:val="bullet"/>
      <w:lvlText w:val="o"/>
      <w:lvlJc w:val="left"/>
      <w:pPr>
        <w:ind w:left="4167" w:hanging="360"/>
      </w:pPr>
      <w:rPr>
        <w:rFonts w:ascii="Courier New" w:hAnsi="Courier New" w:cs="Courier New" w:hint="default"/>
      </w:rPr>
    </w:lvl>
    <w:lvl w:ilvl="5" w:tplc="6AEC3720" w:tentative="1">
      <w:start w:val="1"/>
      <w:numFmt w:val="bullet"/>
      <w:lvlText w:val=""/>
      <w:lvlJc w:val="left"/>
      <w:pPr>
        <w:ind w:left="4887" w:hanging="360"/>
      </w:pPr>
      <w:rPr>
        <w:rFonts w:ascii="Wingdings" w:hAnsi="Wingdings" w:hint="default"/>
      </w:rPr>
    </w:lvl>
    <w:lvl w:ilvl="6" w:tplc="2390B322" w:tentative="1">
      <w:start w:val="1"/>
      <w:numFmt w:val="bullet"/>
      <w:lvlText w:val=""/>
      <w:lvlJc w:val="left"/>
      <w:pPr>
        <w:ind w:left="5607" w:hanging="360"/>
      </w:pPr>
      <w:rPr>
        <w:rFonts w:ascii="Symbol" w:hAnsi="Symbol" w:hint="default"/>
      </w:rPr>
    </w:lvl>
    <w:lvl w:ilvl="7" w:tplc="A7A88D0C" w:tentative="1">
      <w:start w:val="1"/>
      <w:numFmt w:val="bullet"/>
      <w:lvlText w:val="o"/>
      <w:lvlJc w:val="left"/>
      <w:pPr>
        <w:ind w:left="6327" w:hanging="360"/>
      </w:pPr>
      <w:rPr>
        <w:rFonts w:ascii="Courier New" w:hAnsi="Courier New" w:cs="Courier New" w:hint="default"/>
      </w:rPr>
    </w:lvl>
    <w:lvl w:ilvl="8" w:tplc="8EB40480" w:tentative="1">
      <w:start w:val="1"/>
      <w:numFmt w:val="bullet"/>
      <w:lvlText w:val=""/>
      <w:lvlJc w:val="left"/>
      <w:pPr>
        <w:ind w:left="7047" w:hanging="360"/>
      </w:pPr>
      <w:rPr>
        <w:rFonts w:ascii="Wingdings" w:hAnsi="Wingdings" w:hint="default"/>
      </w:rPr>
    </w:lvl>
  </w:abstractNum>
  <w:abstractNum w:abstractNumId="11" w15:restartNumberingAfterBreak="0">
    <w:nsid w:val="037728BF"/>
    <w:multiLevelType w:val="hybridMultilevel"/>
    <w:tmpl w:val="BA805C72"/>
    <w:lvl w:ilvl="0" w:tplc="61987364">
      <w:start w:val="1"/>
      <w:numFmt w:val="bullet"/>
      <w:lvlText w:val=""/>
      <w:lvlJc w:val="left"/>
      <w:pPr>
        <w:ind w:left="720" w:hanging="360"/>
      </w:pPr>
      <w:rPr>
        <w:rFonts w:ascii="Symbol" w:hAnsi="Symbol" w:hint="default"/>
      </w:rPr>
    </w:lvl>
    <w:lvl w:ilvl="1" w:tplc="2B6A01D8" w:tentative="1">
      <w:start w:val="1"/>
      <w:numFmt w:val="bullet"/>
      <w:lvlText w:val="o"/>
      <w:lvlJc w:val="left"/>
      <w:pPr>
        <w:ind w:left="1440" w:hanging="360"/>
      </w:pPr>
      <w:rPr>
        <w:rFonts w:ascii="Courier New" w:hAnsi="Courier New" w:cs="Courier New" w:hint="default"/>
      </w:rPr>
    </w:lvl>
    <w:lvl w:ilvl="2" w:tplc="F37801D4" w:tentative="1">
      <w:start w:val="1"/>
      <w:numFmt w:val="bullet"/>
      <w:lvlText w:val=""/>
      <w:lvlJc w:val="left"/>
      <w:pPr>
        <w:ind w:left="2160" w:hanging="360"/>
      </w:pPr>
      <w:rPr>
        <w:rFonts w:ascii="Wingdings" w:hAnsi="Wingdings" w:hint="default"/>
      </w:rPr>
    </w:lvl>
    <w:lvl w:ilvl="3" w:tplc="9A2C1866" w:tentative="1">
      <w:start w:val="1"/>
      <w:numFmt w:val="bullet"/>
      <w:lvlText w:val=""/>
      <w:lvlJc w:val="left"/>
      <w:pPr>
        <w:ind w:left="2880" w:hanging="360"/>
      </w:pPr>
      <w:rPr>
        <w:rFonts w:ascii="Symbol" w:hAnsi="Symbol" w:hint="default"/>
      </w:rPr>
    </w:lvl>
    <w:lvl w:ilvl="4" w:tplc="6418659C" w:tentative="1">
      <w:start w:val="1"/>
      <w:numFmt w:val="bullet"/>
      <w:lvlText w:val="o"/>
      <w:lvlJc w:val="left"/>
      <w:pPr>
        <w:ind w:left="3600" w:hanging="360"/>
      </w:pPr>
      <w:rPr>
        <w:rFonts w:ascii="Courier New" w:hAnsi="Courier New" w:cs="Courier New" w:hint="default"/>
      </w:rPr>
    </w:lvl>
    <w:lvl w:ilvl="5" w:tplc="991C5D1A" w:tentative="1">
      <w:start w:val="1"/>
      <w:numFmt w:val="bullet"/>
      <w:lvlText w:val=""/>
      <w:lvlJc w:val="left"/>
      <w:pPr>
        <w:ind w:left="4320" w:hanging="360"/>
      </w:pPr>
      <w:rPr>
        <w:rFonts w:ascii="Wingdings" w:hAnsi="Wingdings" w:hint="default"/>
      </w:rPr>
    </w:lvl>
    <w:lvl w:ilvl="6" w:tplc="1DB06D32" w:tentative="1">
      <w:start w:val="1"/>
      <w:numFmt w:val="bullet"/>
      <w:lvlText w:val=""/>
      <w:lvlJc w:val="left"/>
      <w:pPr>
        <w:ind w:left="5040" w:hanging="360"/>
      </w:pPr>
      <w:rPr>
        <w:rFonts w:ascii="Symbol" w:hAnsi="Symbol" w:hint="default"/>
      </w:rPr>
    </w:lvl>
    <w:lvl w:ilvl="7" w:tplc="B0FC3752" w:tentative="1">
      <w:start w:val="1"/>
      <w:numFmt w:val="bullet"/>
      <w:lvlText w:val="o"/>
      <w:lvlJc w:val="left"/>
      <w:pPr>
        <w:ind w:left="5760" w:hanging="360"/>
      </w:pPr>
      <w:rPr>
        <w:rFonts w:ascii="Courier New" w:hAnsi="Courier New" w:cs="Courier New" w:hint="default"/>
      </w:rPr>
    </w:lvl>
    <w:lvl w:ilvl="8" w:tplc="9886EA66" w:tentative="1">
      <w:start w:val="1"/>
      <w:numFmt w:val="bullet"/>
      <w:lvlText w:val=""/>
      <w:lvlJc w:val="left"/>
      <w:pPr>
        <w:ind w:left="6480" w:hanging="360"/>
      </w:pPr>
      <w:rPr>
        <w:rFonts w:ascii="Wingdings" w:hAnsi="Wingdings" w:hint="default"/>
      </w:rPr>
    </w:lvl>
  </w:abstractNum>
  <w:abstractNum w:abstractNumId="12" w15:restartNumberingAfterBreak="0">
    <w:nsid w:val="05C743D0"/>
    <w:multiLevelType w:val="hybridMultilevel"/>
    <w:tmpl w:val="AB3CC21C"/>
    <w:lvl w:ilvl="0" w:tplc="78E8CCD6">
      <w:start w:val="1"/>
      <w:numFmt w:val="bullet"/>
      <w:lvlText w:val="o"/>
      <w:lvlJc w:val="left"/>
      <w:pPr>
        <w:ind w:left="2844" w:hanging="360"/>
      </w:pPr>
      <w:rPr>
        <w:rFonts w:ascii="Courier New" w:hAnsi="Courier New" w:cs="Courier New" w:hint="default"/>
      </w:rPr>
    </w:lvl>
    <w:lvl w:ilvl="1" w:tplc="CDFCD888" w:tentative="1">
      <w:start w:val="1"/>
      <w:numFmt w:val="bullet"/>
      <w:lvlText w:val="o"/>
      <w:lvlJc w:val="left"/>
      <w:pPr>
        <w:ind w:left="3564" w:hanging="360"/>
      </w:pPr>
      <w:rPr>
        <w:rFonts w:ascii="Courier New" w:hAnsi="Courier New" w:cs="Courier New" w:hint="default"/>
      </w:rPr>
    </w:lvl>
    <w:lvl w:ilvl="2" w:tplc="88384ABE" w:tentative="1">
      <w:start w:val="1"/>
      <w:numFmt w:val="bullet"/>
      <w:lvlText w:val=""/>
      <w:lvlJc w:val="left"/>
      <w:pPr>
        <w:ind w:left="4284" w:hanging="360"/>
      </w:pPr>
      <w:rPr>
        <w:rFonts w:ascii="Wingdings" w:hAnsi="Wingdings" w:hint="default"/>
      </w:rPr>
    </w:lvl>
    <w:lvl w:ilvl="3" w:tplc="DE70F27E" w:tentative="1">
      <w:start w:val="1"/>
      <w:numFmt w:val="bullet"/>
      <w:lvlText w:val=""/>
      <w:lvlJc w:val="left"/>
      <w:pPr>
        <w:ind w:left="5004" w:hanging="360"/>
      </w:pPr>
      <w:rPr>
        <w:rFonts w:ascii="Symbol" w:hAnsi="Symbol" w:hint="default"/>
      </w:rPr>
    </w:lvl>
    <w:lvl w:ilvl="4" w:tplc="780623F8" w:tentative="1">
      <w:start w:val="1"/>
      <w:numFmt w:val="bullet"/>
      <w:lvlText w:val="o"/>
      <w:lvlJc w:val="left"/>
      <w:pPr>
        <w:ind w:left="5724" w:hanging="360"/>
      </w:pPr>
      <w:rPr>
        <w:rFonts w:ascii="Courier New" w:hAnsi="Courier New" w:cs="Courier New" w:hint="default"/>
      </w:rPr>
    </w:lvl>
    <w:lvl w:ilvl="5" w:tplc="470630C4" w:tentative="1">
      <w:start w:val="1"/>
      <w:numFmt w:val="bullet"/>
      <w:lvlText w:val=""/>
      <w:lvlJc w:val="left"/>
      <w:pPr>
        <w:ind w:left="6444" w:hanging="360"/>
      </w:pPr>
      <w:rPr>
        <w:rFonts w:ascii="Wingdings" w:hAnsi="Wingdings" w:hint="default"/>
      </w:rPr>
    </w:lvl>
    <w:lvl w:ilvl="6" w:tplc="1BAA9D62" w:tentative="1">
      <w:start w:val="1"/>
      <w:numFmt w:val="bullet"/>
      <w:lvlText w:val=""/>
      <w:lvlJc w:val="left"/>
      <w:pPr>
        <w:ind w:left="7164" w:hanging="360"/>
      </w:pPr>
      <w:rPr>
        <w:rFonts w:ascii="Symbol" w:hAnsi="Symbol" w:hint="default"/>
      </w:rPr>
    </w:lvl>
    <w:lvl w:ilvl="7" w:tplc="2870B4D8" w:tentative="1">
      <w:start w:val="1"/>
      <w:numFmt w:val="bullet"/>
      <w:lvlText w:val="o"/>
      <w:lvlJc w:val="left"/>
      <w:pPr>
        <w:ind w:left="7884" w:hanging="360"/>
      </w:pPr>
      <w:rPr>
        <w:rFonts w:ascii="Courier New" w:hAnsi="Courier New" w:cs="Courier New" w:hint="default"/>
      </w:rPr>
    </w:lvl>
    <w:lvl w:ilvl="8" w:tplc="39805F66" w:tentative="1">
      <w:start w:val="1"/>
      <w:numFmt w:val="bullet"/>
      <w:lvlText w:val=""/>
      <w:lvlJc w:val="left"/>
      <w:pPr>
        <w:ind w:left="8604" w:hanging="360"/>
      </w:pPr>
      <w:rPr>
        <w:rFonts w:ascii="Wingdings" w:hAnsi="Wingdings" w:hint="default"/>
      </w:rPr>
    </w:lvl>
  </w:abstractNum>
  <w:abstractNum w:abstractNumId="13" w15:restartNumberingAfterBreak="0">
    <w:nsid w:val="085E3819"/>
    <w:multiLevelType w:val="hybridMultilevel"/>
    <w:tmpl w:val="71F64B84"/>
    <w:lvl w:ilvl="0" w:tplc="9E824E0A">
      <w:start w:val="1"/>
      <w:numFmt w:val="decimal"/>
      <w:lvlText w:val="%1)"/>
      <w:lvlJc w:val="left"/>
      <w:pPr>
        <w:ind w:left="720" w:hanging="360"/>
      </w:pPr>
      <w:rPr>
        <w:rFonts w:hint="default"/>
      </w:rPr>
    </w:lvl>
    <w:lvl w:ilvl="1" w:tplc="684EF256" w:tentative="1">
      <w:start w:val="1"/>
      <w:numFmt w:val="lowerLetter"/>
      <w:lvlText w:val="%2."/>
      <w:lvlJc w:val="left"/>
      <w:pPr>
        <w:ind w:left="1440" w:hanging="360"/>
      </w:pPr>
    </w:lvl>
    <w:lvl w:ilvl="2" w:tplc="947A8D0A" w:tentative="1">
      <w:start w:val="1"/>
      <w:numFmt w:val="lowerRoman"/>
      <w:lvlText w:val="%3."/>
      <w:lvlJc w:val="right"/>
      <w:pPr>
        <w:ind w:left="2160" w:hanging="180"/>
      </w:pPr>
    </w:lvl>
    <w:lvl w:ilvl="3" w:tplc="3B023814" w:tentative="1">
      <w:start w:val="1"/>
      <w:numFmt w:val="decimal"/>
      <w:lvlText w:val="%4."/>
      <w:lvlJc w:val="left"/>
      <w:pPr>
        <w:ind w:left="2880" w:hanging="360"/>
      </w:pPr>
    </w:lvl>
    <w:lvl w:ilvl="4" w:tplc="C812D518" w:tentative="1">
      <w:start w:val="1"/>
      <w:numFmt w:val="lowerLetter"/>
      <w:lvlText w:val="%5."/>
      <w:lvlJc w:val="left"/>
      <w:pPr>
        <w:ind w:left="3600" w:hanging="360"/>
      </w:pPr>
    </w:lvl>
    <w:lvl w:ilvl="5" w:tplc="9504239A" w:tentative="1">
      <w:start w:val="1"/>
      <w:numFmt w:val="lowerRoman"/>
      <w:lvlText w:val="%6."/>
      <w:lvlJc w:val="right"/>
      <w:pPr>
        <w:ind w:left="4320" w:hanging="180"/>
      </w:pPr>
    </w:lvl>
    <w:lvl w:ilvl="6" w:tplc="3C480F88" w:tentative="1">
      <w:start w:val="1"/>
      <w:numFmt w:val="decimal"/>
      <w:lvlText w:val="%7."/>
      <w:lvlJc w:val="left"/>
      <w:pPr>
        <w:ind w:left="5040" w:hanging="360"/>
      </w:pPr>
    </w:lvl>
    <w:lvl w:ilvl="7" w:tplc="2F2E4064" w:tentative="1">
      <w:start w:val="1"/>
      <w:numFmt w:val="lowerLetter"/>
      <w:lvlText w:val="%8."/>
      <w:lvlJc w:val="left"/>
      <w:pPr>
        <w:ind w:left="5760" w:hanging="360"/>
      </w:pPr>
    </w:lvl>
    <w:lvl w:ilvl="8" w:tplc="BEFA10D2" w:tentative="1">
      <w:start w:val="1"/>
      <w:numFmt w:val="lowerRoman"/>
      <w:lvlText w:val="%9."/>
      <w:lvlJc w:val="right"/>
      <w:pPr>
        <w:ind w:left="6480" w:hanging="180"/>
      </w:pPr>
    </w:lvl>
  </w:abstractNum>
  <w:abstractNum w:abstractNumId="14" w15:restartNumberingAfterBreak="0">
    <w:nsid w:val="0C9973C0"/>
    <w:multiLevelType w:val="hybridMultilevel"/>
    <w:tmpl w:val="F050D8E8"/>
    <w:lvl w:ilvl="0" w:tplc="D9227C88">
      <w:start w:val="1"/>
      <w:numFmt w:val="lowerRoman"/>
      <w:lvlText w:val="%1)"/>
      <w:lvlJc w:val="right"/>
      <w:pPr>
        <w:ind w:left="720" w:hanging="360"/>
      </w:pPr>
      <w:rPr>
        <w:rFonts w:hint="default"/>
      </w:rPr>
    </w:lvl>
    <w:lvl w:ilvl="1" w:tplc="11D8016E" w:tentative="1">
      <w:start w:val="1"/>
      <w:numFmt w:val="lowerLetter"/>
      <w:lvlText w:val="%2."/>
      <w:lvlJc w:val="left"/>
      <w:pPr>
        <w:ind w:left="1440" w:hanging="360"/>
      </w:pPr>
    </w:lvl>
    <w:lvl w:ilvl="2" w:tplc="5782B1C6" w:tentative="1">
      <w:start w:val="1"/>
      <w:numFmt w:val="lowerRoman"/>
      <w:lvlText w:val="%3."/>
      <w:lvlJc w:val="right"/>
      <w:pPr>
        <w:ind w:left="2160" w:hanging="180"/>
      </w:pPr>
    </w:lvl>
    <w:lvl w:ilvl="3" w:tplc="76147DA4" w:tentative="1">
      <w:start w:val="1"/>
      <w:numFmt w:val="decimal"/>
      <w:lvlText w:val="%4."/>
      <w:lvlJc w:val="left"/>
      <w:pPr>
        <w:ind w:left="2880" w:hanging="360"/>
      </w:pPr>
    </w:lvl>
    <w:lvl w:ilvl="4" w:tplc="729C540A" w:tentative="1">
      <w:start w:val="1"/>
      <w:numFmt w:val="lowerLetter"/>
      <w:lvlText w:val="%5."/>
      <w:lvlJc w:val="left"/>
      <w:pPr>
        <w:ind w:left="3600" w:hanging="360"/>
      </w:pPr>
    </w:lvl>
    <w:lvl w:ilvl="5" w:tplc="6D22417A" w:tentative="1">
      <w:start w:val="1"/>
      <w:numFmt w:val="lowerRoman"/>
      <w:lvlText w:val="%6."/>
      <w:lvlJc w:val="right"/>
      <w:pPr>
        <w:ind w:left="4320" w:hanging="180"/>
      </w:pPr>
    </w:lvl>
    <w:lvl w:ilvl="6" w:tplc="5612620E" w:tentative="1">
      <w:start w:val="1"/>
      <w:numFmt w:val="decimal"/>
      <w:lvlText w:val="%7."/>
      <w:lvlJc w:val="left"/>
      <w:pPr>
        <w:ind w:left="5040" w:hanging="360"/>
      </w:pPr>
    </w:lvl>
    <w:lvl w:ilvl="7" w:tplc="0DF83CF2" w:tentative="1">
      <w:start w:val="1"/>
      <w:numFmt w:val="lowerLetter"/>
      <w:lvlText w:val="%8."/>
      <w:lvlJc w:val="left"/>
      <w:pPr>
        <w:ind w:left="5760" w:hanging="360"/>
      </w:pPr>
    </w:lvl>
    <w:lvl w:ilvl="8" w:tplc="852085A2" w:tentative="1">
      <w:start w:val="1"/>
      <w:numFmt w:val="lowerRoman"/>
      <w:lvlText w:val="%9."/>
      <w:lvlJc w:val="right"/>
      <w:pPr>
        <w:ind w:left="6480" w:hanging="180"/>
      </w:pPr>
    </w:lvl>
  </w:abstractNum>
  <w:abstractNum w:abstractNumId="15" w15:restartNumberingAfterBreak="0">
    <w:nsid w:val="11510189"/>
    <w:multiLevelType w:val="hybridMultilevel"/>
    <w:tmpl w:val="1D906624"/>
    <w:lvl w:ilvl="0" w:tplc="2390CC5E">
      <w:start w:val="1"/>
      <w:numFmt w:val="bullet"/>
      <w:pStyle w:val="noo"/>
      <w:lvlText w:val=""/>
      <w:lvlJc w:val="left"/>
      <w:pPr>
        <w:tabs>
          <w:tab w:val="num" w:pos="720"/>
        </w:tabs>
        <w:ind w:left="720" w:hanging="360"/>
      </w:pPr>
      <w:rPr>
        <w:rFonts w:ascii="Symbol" w:hAnsi="Symbol" w:hint="default"/>
      </w:rPr>
    </w:lvl>
    <w:lvl w:ilvl="1" w:tplc="B89230E0" w:tentative="1">
      <w:start w:val="1"/>
      <w:numFmt w:val="bullet"/>
      <w:lvlText w:val="o"/>
      <w:lvlJc w:val="left"/>
      <w:pPr>
        <w:tabs>
          <w:tab w:val="num" w:pos="1440"/>
        </w:tabs>
        <w:ind w:left="1440" w:hanging="360"/>
      </w:pPr>
      <w:rPr>
        <w:rFonts w:ascii="Courier New" w:hAnsi="Courier New" w:hint="default"/>
      </w:rPr>
    </w:lvl>
    <w:lvl w:ilvl="2" w:tplc="881E7EBE" w:tentative="1">
      <w:start w:val="1"/>
      <w:numFmt w:val="bullet"/>
      <w:lvlText w:val=""/>
      <w:lvlJc w:val="left"/>
      <w:pPr>
        <w:tabs>
          <w:tab w:val="num" w:pos="2160"/>
        </w:tabs>
        <w:ind w:left="2160" w:hanging="360"/>
      </w:pPr>
      <w:rPr>
        <w:rFonts w:ascii="Wingdings" w:hAnsi="Wingdings" w:hint="default"/>
      </w:rPr>
    </w:lvl>
    <w:lvl w:ilvl="3" w:tplc="DA08F46A" w:tentative="1">
      <w:start w:val="1"/>
      <w:numFmt w:val="bullet"/>
      <w:lvlText w:val=""/>
      <w:lvlJc w:val="left"/>
      <w:pPr>
        <w:tabs>
          <w:tab w:val="num" w:pos="2880"/>
        </w:tabs>
        <w:ind w:left="2880" w:hanging="360"/>
      </w:pPr>
      <w:rPr>
        <w:rFonts w:ascii="Symbol" w:hAnsi="Symbol" w:hint="default"/>
      </w:rPr>
    </w:lvl>
    <w:lvl w:ilvl="4" w:tplc="0AF220A8" w:tentative="1">
      <w:start w:val="1"/>
      <w:numFmt w:val="bullet"/>
      <w:lvlText w:val="o"/>
      <w:lvlJc w:val="left"/>
      <w:pPr>
        <w:tabs>
          <w:tab w:val="num" w:pos="3600"/>
        </w:tabs>
        <w:ind w:left="3600" w:hanging="360"/>
      </w:pPr>
      <w:rPr>
        <w:rFonts w:ascii="Courier New" w:hAnsi="Courier New" w:hint="default"/>
      </w:rPr>
    </w:lvl>
    <w:lvl w:ilvl="5" w:tplc="4C4A4708" w:tentative="1">
      <w:start w:val="1"/>
      <w:numFmt w:val="bullet"/>
      <w:lvlText w:val=""/>
      <w:lvlJc w:val="left"/>
      <w:pPr>
        <w:tabs>
          <w:tab w:val="num" w:pos="4320"/>
        </w:tabs>
        <w:ind w:left="4320" w:hanging="360"/>
      </w:pPr>
      <w:rPr>
        <w:rFonts w:ascii="Wingdings" w:hAnsi="Wingdings" w:hint="default"/>
      </w:rPr>
    </w:lvl>
    <w:lvl w:ilvl="6" w:tplc="52DADC30" w:tentative="1">
      <w:start w:val="1"/>
      <w:numFmt w:val="bullet"/>
      <w:lvlText w:val=""/>
      <w:lvlJc w:val="left"/>
      <w:pPr>
        <w:tabs>
          <w:tab w:val="num" w:pos="5040"/>
        </w:tabs>
        <w:ind w:left="5040" w:hanging="360"/>
      </w:pPr>
      <w:rPr>
        <w:rFonts w:ascii="Symbol" w:hAnsi="Symbol" w:hint="default"/>
      </w:rPr>
    </w:lvl>
    <w:lvl w:ilvl="7" w:tplc="AC68AE4C" w:tentative="1">
      <w:start w:val="1"/>
      <w:numFmt w:val="bullet"/>
      <w:lvlText w:val="o"/>
      <w:lvlJc w:val="left"/>
      <w:pPr>
        <w:tabs>
          <w:tab w:val="num" w:pos="5760"/>
        </w:tabs>
        <w:ind w:left="5760" w:hanging="360"/>
      </w:pPr>
      <w:rPr>
        <w:rFonts w:ascii="Courier New" w:hAnsi="Courier New" w:hint="default"/>
      </w:rPr>
    </w:lvl>
    <w:lvl w:ilvl="8" w:tplc="085056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B92090"/>
    <w:multiLevelType w:val="hybridMultilevel"/>
    <w:tmpl w:val="F83EECD4"/>
    <w:lvl w:ilvl="0" w:tplc="9ED6F80E">
      <w:start w:val="1"/>
      <w:numFmt w:val="bullet"/>
      <w:lvlText w:val=""/>
      <w:lvlJc w:val="left"/>
      <w:pPr>
        <w:ind w:left="720" w:hanging="360"/>
      </w:pPr>
      <w:rPr>
        <w:rFonts w:ascii="Symbol" w:hAnsi="Symbol" w:hint="default"/>
      </w:rPr>
    </w:lvl>
    <w:lvl w:ilvl="1" w:tplc="D1B6DB4A" w:tentative="1">
      <w:start w:val="1"/>
      <w:numFmt w:val="bullet"/>
      <w:lvlText w:val="o"/>
      <w:lvlJc w:val="left"/>
      <w:pPr>
        <w:ind w:left="1440" w:hanging="360"/>
      </w:pPr>
      <w:rPr>
        <w:rFonts w:ascii="Courier New" w:hAnsi="Courier New" w:cs="Courier New" w:hint="default"/>
      </w:rPr>
    </w:lvl>
    <w:lvl w:ilvl="2" w:tplc="3A0E7386" w:tentative="1">
      <w:start w:val="1"/>
      <w:numFmt w:val="bullet"/>
      <w:lvlText w:val=""/>
      <w:lvlJc w:val="left"/>
      <w:pPr>
        <w:ind w:left="2160" w:hanging="360"/>
      </w:pPr>
      <w:rPr>
        <w:rFonts w:ascii="Wingdings" w:hAnsi="Wingdings" w:hint="default"/>
      </w:rPr>
    </w:lvl>
    <w:lvl w:ilvl="3" w:tplc="676AE574" w:tentative="1">
      <w:start w:val="1"/>
      <w:numFmt w:val="bullet"/>
      <w:lvlText w:val=""/>
      <w:lvlJc w:val="left"/>
      <w:pPr>
        <w:ind w:left="2880" w:hanging="360"/>
      </w:pPr>
      <w:rPr>
        <w:rFonts w:ascii="Symbol" w:hAnsi="Symbol" w:hint="default"/>
      </w:rPr>
    </w:lvl>
    <w:lvl w:ilvl="4" w:tplc="0E72A9AE" w:tentative="1">
      <w:start w:val="1"/>
      <w:numFmt w:val="bullet"/>
      <w:lvlText w:val="o"/>
      <w:lvlJc w:val="left"/>
      <w:pPr>
        <w:ind w:left="3600" w:hanging="360"/>
      </w:pPr>
      <w:rPr>
        <w:rFonts w:ascii="Courier New" w:hAnsi="Courier New" w:cs="Courier New" w:hint="default"/>
      </w:rPr>
    </w:lvl>
    <w:lvl w:ilvl="5" w:tplc="FADC8FA4" w:tentative="1">
      <w:start w:val="1"/>
      <w:numFmt w:val="bullet"/>
      <w:lvlText w:val=""/>
      <w:lvlJc w:val="left"/>
      <w:pPr>
        <w:ind w:left="4320" w:hanging="360"/>
      </w:pPr>
      <w:rPr>
        <w:rFonts w:ascii="Wingdings" w:hAnsi="Wingdings" w:hint="default"/>
      </w:rPr>
    </w:lvl>
    <w:lvl w:ilvl="6" w:tplc="F2C28CB0" w:tentative="1">
      <w:start w:val="1"/>
      <w:numFmt w:val="bullet"/>
      <w:lvlText w:val=""/>
      <w:lvlJc w:val="left"/>
      <w:pPr>
        <w:ind w:left="5040" w:hanging="360"/>
      </w:pPr>
      <w:rPr>
        <w:rFonts w:ascii="Symbol" w:hAnsi="Symbol" w:hint="default"/>
      </w:rPr>
    </w:lvl>
    <w:lvl w:ilvl="7" w:tplc="E4D0978C" w:tentative="1">
      <w:start w:val="1"/>
      <w:numFmt w:val="bullet"/>
      <w:lvlText w:val="o"/>
      <w:lvlJc w:val="left"/>
      <w:pPr>
        <w:ind w:left="5760" w:hanging="360"/>
      </w:pPr>
      <w:rPr>
        <w:rFonts w:ascii="Courier New" w:hAnsi="Courier New" w:cs="Courier New" w:hint="default"/>
      </w:rPr>
    </w:lvl>
    <w:lvl w:ilvl="8" w:tplc="4A62080E" w:tentative="1">
      <w:start w:val="1"/>
      <w:numFmt w:val="bullet"/>
      <w:lvlText w:val=""/>
      <w:lvlJc w:val="left"/>
      <w:pPr>
        <w:ind w:left="6480" w:hanging="360"/>
      </w:pPr>
      <w:rPr>
        <w:rFonts w:ascii="Wingdings" w:hAnsi="Wingdings" w:hint="default"/>
      </w:rPr>
    </w:lvl>
  </w:abstractNum>
  <w:abstractNum w:abstractNumId="17" w15:restartNumberingAfterBreak="0">
    <w:nsid w:val="1441244D"/>
    <w:multiLevelType w:val="hybridMultilevel"/>
    <w:tmpl w:val="FFFFFFFF"/>
    <w:lvl w:ilvl="0" w:tplc="86D28B12">
      <w:start w:val="1"/>
      <w:numFmt w:val="ideographDigital"/>
      <w:lvlText w:val=""/>
      <w:lvlJc w:val="left"/>
    </w:lvl>
    <w:lvl w:ilvl="1" w:tplc="B678A756">
      <w:numFmt w:val="decimal"/>
      <w:lvlText w:val=""/>
      <w:lvlJc w:val="left"/>
    </w:lvl>
    <w:lvl w:ilvl="2" w:tplc="3EFA5A54">
      <w:numFmt w:val="decimal"/>
      <w:lvlText w:val=""/>
      <w:lvlJc w:val="left"/>
    </w:lvl>
    <w:lvl w:ilvl="3" w:tplc="BA4A29CA">
      <w:numFmt w:val="decimal"/>
      <w:lvlText w:val=""/>
      <w:lvlJc w:val="left"/>
    </w:lvl>
    <w:lvl w:ilvl="4" w:tplc="88FA4874">
      <w:numFmt w:val="decimal"/>
      <w:lvlText w:val=""/>
      <w:lvlJc w:val="left"/>
    </w:lvl>
    <w:lvl w:ilvl="5" w:tplc="16283D60">
      <w:numFmt w:val="decimal"/>
      <w:lvlText w:val=""/>
      <w:lvlJc w:val="left"/>
    </w:lvl>
    <w:lvl w:ilvl="6" w:tplc="033C8672">
      <w:numFmt w:val="decimal"/>
      <w:lvlText w:val=""/>
      <w:lvlJc w:val="left"/>
    </w:lvl>
    <w:lvl w:ilvl="7" w:tplc="48DEE90C">
      <w:numFmt w:val="decimal"/>
      <w:lvlText w:val=""/>
      <w:lvlJc w:val="left"/>
    </w:lvl>
    <w:lvl w:ilvl="8" w:tplc="38965C64">
      <w:numFmt w:val="decimal"/>
      <w:lvlText w:val=""/>
      <w:lvlJc w:val="left"/>
    </w:lvl>
  </w:abstractNum>
  <w:abstractNum w:abstractNumId="18" w15:restartNumberingAfterBreak="0">
    <w:nsid w:val="192D15A9"/>
    <w:multiLevelType w:val="multilevel"/>
    <w:tmpl w:val="56A211A2"/>
    <w:lvl w:ilvl="0">
      <w:start w:val="1"/>
      <w:numFmt w:val="bullet"/>
      <w:lvlText w:val=""/>
      <w:lvlJc w:val="left"/>
      <w:pPr>
        <w:tabs>
          <w:tab w:val="num" w:pos="360"/>
        </w:tabs>
        <w:ind w:left="0" w:firstLine="0"/>
      </w:pPr>
      <w:rPr>
        <w:rFonts w:ascii="Symbol" w:hAnsi="Symbo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1BFB2FE9"/>
    <w:multiLevelType w:val="hybridMultilevel"/>
    <w:tmpl w:val="FC8E6410"/>
    <w:lvl w:ilvl="0" w:tplc="C2CEFBE2">
      <w:start w:val="1"/>
      <w:numFmt w:val="decimal"/>
      <w:lvlText w:val="%1)"/>
      <w:lvlJc w:val="left"/>
      <w:pPr>
        <w:ind w:left="720" w:hanging="360"/>
      </w:pPr>
      <w:rPr>
        <w:rFonts w:hint="default"/>
      </w:rPr>
    </w:lvl>
    <w:lvl w:ilvl="1" w:tplc="B7D0150C" w:tentative="1">
      <w:start w:val="1"/>
      <w:numFmt w:val="lowerLetter"/>
      <w:lvlText w:val="%2."/>
      <w:lvlJc w:val="left"/>
      <w:pPr>
        <w:ind w:left="1440" w:hanging="360"/>
      </w:pPr>
    </w:lvl>
    <w:lvl w:ilvl="2" w:tplc="CAD62DB4" w:tentative="1">
      <w:start w:val="1"/>
      <w:numFmt w:val="lowerRoman"/>
      <w:lvlText w:val="%3."/>
      <w:lvlJc w:val="right"/>
      <w:pPr>
        <w:ind w:left="2160" w:hanging="180"/>
      </w:pPr>
    </w:lvl>
    <w:lvl w:ilvl="3" w:tplc="C26C3C36" w:tentative="1">
      <w:start w:val="1"/>
      <w:numFmt w:val="decimal"/>
      <w:lvlText w:val="%4."/>
      <w:lvlJc w:val="left"/>
      <w:pPr>
        <w:ind w:left="2880" w:hanging="360"/>
      </w:pPr>
    </w:lvl>
    <w:lvl w:ilvl="4" w:tplc="716CBFA0" w:tentative="1">
      <w:start w:val="1"/>
      <w:numFmt w:val="lowerLetter"/>
      <w:lvlText w:val="%5."/>
      <w:lvlJc w:val="left"/>
      <w:pPr>
        <w:ind w:left="3600" w:hanging="360"/>
      </w:pPr>
    </w:lvl>
    <w:lvl w:ilvl="5" w:tplc="04709C8E" w:tentative="1">
      <w:start w:val="1"/>
      <w:numFmt w:val="lowerRoman"/>
      <w:lvlText w:val="%6."/>
      <w:lvlJc w:val="right"/>
      <w:pPr>
        <w:ind w:left="4320" w:hanging="180"/>
      </w:pPr>
    </w:lvl>
    <w:lvl w:ilvl="6" w:tplc="5B901850" w:tentative="1">
      <w:start w:val="1"/>
      <w:numFmt w:val="decimal"/>
      <w:lvlText w:val="%7."/>
      <w:lvlJc w:val="left"/>
      <w:pPr>
        <w:ind w:left="5040" w:hanging="360"/>
      </w:pPr>
    </w:lvl>
    <w:lvl w:ilvl="7" w:tplc="1DB28798" w:tentative="1">
      <w:start w:val="1"/>
      <w:numFmt w:val="lowerLetter"/>
      <w:lvlText w:val="%8."/>
      <w:lvlJc w:val="left"/>
      <w:pPr>
        <w:ind w:left="5760" w:hanging="360"/>
      </w:pPr>
    </w:lvl>
    <w:lvl w:ilvl="8" w:tplc="6824B690" w:tentative="1">
      <w:start w:val="1"/>
      <w:numFmt w:val="lowerRoman"/>
      <w:lvlText w:val="%9."/>
      <w:lvlJc w:val="right"/>
      <w:pPr>
        <w:ind w:left="6480" w:hanging="180"/>
      </w:pPr>
    </w:lvl>
  </w:abstractNum>
  <w:abstractNum w:abstractNumId="20" w15:restartNumberingAfterBreak="0">
    <w:nsid w:val="1EA301DD"/>
    <w:multiLevelType w:val="multilevel"/>
    <w:tmpl w:val="CDC241C6"/>
    <w:lvl w:ilvl="0">
      <w:start w:val="1"/>
      <w:numFmt w:val="bullet"/>
      <w:lvlText w:val=""/>
      <w:lvlJc w:val="left"/>
      <w:pPr>
        <w:tabs>
          <w:tab w:val="num" w:pos="1094"/>
        </w:tabs>
        <w:ind w:left="734" w:firstLine="0"/>
      </w:pPr>
      <w:rPr>
        <w:rFonts w:ascii="Symbol" w:hAnsi="Symbol" w:hint="default"/>
        <w:b w:val="0"/>
        <w:i w:val="0"/>
        <w:sz w:val="24"/>
      </w:rPr>
    </w:lvl>
    <w:lvl w:ilvl="1">
      <w:start w:val="1"/>
      <w:numFmt w:val="decimal"/>
      <w:lvlText w:val="%1.%2."/>
      <w:lvlJc w:val="left"/>
      <w:pPr>
        <w:tabs>
          <w:tab w:val="num" w:pos="1526"/>
        </w:tabs>
        <w:ind w:left="1526" w:hanging="432"/>
      </w:pPr>
    </w:lvl>
    <w:lvl w:ilvl="2">
      <w:start w:val="1"/>
      <w:numFmt w:val="decimal"/>
      <w:lvlText w:val="%1.%2.%3."/>
      <w:lvlJc w:val="left"/>
      <w:pPr>
        <w:tabs>
          <w:tab w:val="num" w:pos="2174"/>
        </w:tabs>
        <w:ind w:left="1958" w:hanging="504"/>
      </w:pPr>
    </w:lvl>
    <w:lvl w:ilvl="3">
      <w:start w:val="1"/>
      <w:numFmt w:val="decimal"/>
      <w:lvlText w:val="%1.%2.%3.%4."/>
      <w:lvlJc w:val="left"/>
      <w:pPr>
        <w:tabs>
          <w:tab w:val="num" w:pos="2462"/>
        </w:tabs>
        <w:ind w:left="2462" w:hanging="648"/>
      </w:pPr>
    </w:lvl>
    <w:lvl w:ilvl="4">
      <w:start w:val="1"/>
      <w:numFmt w:val="decimal"/>
      <w:lvlText w:val="%1.%2.%3.%4.%5."/>
      <w:lvlJc w:val="left"/>
      <w:pPr>
        <w:tabs>
          <w:tab w:val="num" w:pos="3254"/>
        </w:tabs>
        <w:ind w:left="2966" w:hanging="792"/>
      </w:pPr>
    </w:lvl>
    <w:lvl w:ilvl="5">
      <w:start w:val="1"/>
      <w:numFmt w:val="decimal"/>
      <w:lvlText w:val="%1.%2.%3.%4.%5.%6."/>
      <w:lvlJc w:val="left"/>
      <w:pPr>
        <w:tabs>
          <w:tab w:val="num" w:pos="3974"/>
        </w:tabs>
        <w:ind w:left="3470" w:hanging="936"/>
      </w:pPr>
    </w:lvl>
    <w:lvl w:ilvl="6">
      <w:start w:val="1"/>
      <w:numFmt w:val="decimal"/>
      <w:lvlText w:val="%1.%2.%3.%4.%5.%6.%7."/>
      <w:lvlJc w:val="left"/>
      <w:pPr>
        <w:tabs>
          <w:tab w:val="num" w:pos="4334"/>
        </w:tabs>
        <w:ind w:left="3974" w:hanging="1080"/>
      </w:pPr>
    </w:lvl>
    <w:lvl w:ilvl="7">
      <w:start w:val="1"/>
      <w:numFmt w:val="decimal"/>
      <w:lvlText w:val="%1.%2.%3.%4.%5.%6.%7.%8."/>
      <w:lvlJc w:val="left"/>
      <w:pPr>
        <w:tabs>
          <w:tab w:val="num" w:pos="5054"/>
        </w:tabs>
        <w:ind w:left="4478" w:hanging="1224"/>
      </w:pPr>
    </w:lvl>
    <w:lvl w:ilvl="8">
      <w:start w:val="1"/>
      <w:numFmt w:val="decimal"/>
      <w:lvlText w:val="%1.%2.%3.%4.%5.%6.%7.%8.%9."/>
      <w:lvlJc w:val="left"/>
      <w:pPr>
        <w:tabs>
          <w:tab w:val="num" w:pos="5774"/>
        </w:tabs>
        <w:ind w:left="5054" w:hanging="1440"/>
      </w:pPr>
    </w:lvl>
  </w:abstractNum>
  <w:abstractNum w:abstractNumId="21" w15:restartNumberingAfterBreak="0">
    <w:nsid w:val="2187607F"/>
    <w:multiLevelType w:val="hybridMultilevel"/>
    <w:tmpl w:val="87343818"/>
    <w:lvl w:ilvl="0" w:tplc="986E589E">
      <w:start w:val="1"/>
      <w:numFmt w:val="bullet"/>
      <w:lvlText w:val=""/>
      <w:lvlJc w:val="left"/>
      <w:pPr>
        <w:ind w:left="1712" w:hanging="360"/>
      </w:pPr>
      <w:rPr>
        <w:rFonts w:ascii="Symbol" w:hAnsi="Symbol" w:hint="default"/>
      </w:rPr>
    </w:lvl>
    <w:lvl w:ilvl="1" w:tplc="0DAAB960" w:tentative="1">
      <w:start w:val="1"/>
      <w:numFmt w:val="bullet"/>
      <w:lvlText w:val="o"/>
      <w:lvlJc w:val="left"/>
      <w:pPr>
        <w:ind w:left="2432" w:hanging="360"/>
      </w:pPr>
      <w:rPr>
        <w:rFonts w:ascii="Courier New" w:hAnsi="Courier New" w:cs="Courier New" w:hint="default"/>
      </w:rPr>
    </w:lvl>
    <w:lvl w:ilvl="2" w:tplc="3C1C7984" w:tentative="1">
      <w:start w:val="1"/>
      <w:numFmt w:val="bullet"/>
      <w:lvlText w:val=""/>
      <w:lvlJc w:val="left"/>
      <w:pPr>
        <w:ind w:left="3152" w:hanging="360"/>
      </w:pPr>
      <w:rPr>
        <w:rFonts w:ascii="Wingdings" w:hAnsi="Wingdings" w:hint="default"/>
      </w:rPr>
    </w:lvl>
    <w:lvl w:ilvl="3" w:tplc="28B293C8" w:tentative="1">
      <w:start w:val="1"/>
      <w:numFmt w:val="bullet"/>
      <w:lvlText w:val=""/>
      <w:lvlJc w:val="left"/>
      <w:pPr>
        <w:ind w:left="3872" w:hanging="360"/>
      </w:pPr>
      <w:rPr>
        <w:rFonts w:ascii="Symbol" w:hAnsi="Symbol" w:hint="default"/>
      </w:rPr>
    </w:lvl>
    <w:lvl w:ilvl="4" w:tplc="CFC671A6" w:tentative="1">
      <w:start w:val="1"/>
      <w:numFmt w:val="bullet"/>
      <w:lvlText w:val="o"/>
      <w:lvlJc w:val="left"/>
      <w:pPr>
        <w:ind w:left="4592" w:hanging="360"/>
      </w:pPr>
      <w:rPr>
        <w:rFonts w:ascii="Courier New" w:hAnsi="Courier New" w:cs="Courier New" w:hint="default"/>
      </w:rPr>
    </w:lvl>
    <w:lvl w:ilvl="5" w:tplc="5FDE33B2" w:tentative="1">
      <w:start w:val="1"/>
      <w:numFmt w:val="bullet"/>
      <w:lvlText w:val=""/>
      <w:lvlJc w:val="left"/>
      <w:pPr>
        <w:ind w:left="5312" w:hanging="360"/>
      </w:pPr>
      <w:rPr>
        <w:rFonts w:ascii="Wingdings" w:hAnsi="Wingdings" w:hint="default"/>
      </w:rPr>
    </w:lvl>
    <w:lvl w:ilvl="6" w:tplc="C3A2C49C" w:tentative="1">
      <w:start w:val="1"/>
      <w:numFmt w:val="bullet"/>
      <w:lvlText w:val=""/>
      <w:lvlJc w:val="left"/>
      <w:pPr>
        <w:ind w:left="6032" w:hanging="360"/>
      </w:pPr>
      <w:rPr>
        <w:rFonts w:ascii="Symbol" w:hAnsi="Symbol" w:hint="default"/>
      </w:rPr>
    </w:lvl>
    <w:lvl w:ilvl="7" w:tplc="13FE6602" w:tentative="1">
      <w:start w:val="1"/>
      <w:numFmt w:val="bullet"/>
      <w:lvlText w:val="o"/>
      <w:lvlJc w:val="left"/>
      <w:pPr>
        <w:ind w:left="6752" w:hanging="360"/>
      </w:pPr>
      <w:rPr>
        <w:rFonts w:ascii="Courier New" w:hAnsi="Courier New" w:cs="Courier New" w:hint="default"/>
      </w:rPr>
    </w:lvl>
    <w:lvl w:ilvl="8" w:tplc="E2323B00" w:tentative="1">
      <w:start w:val="1"/>
      <w:numFmt w:val="bullet"/>
      <w:lvlText w:val=""/>
      <w:lvlJc w:val="left"/>
      <w:pPr>
        <w:ind w:left="7472" w:hanging="360"/>
      </w:pPr>
      <w:rPr>
        <w:rFonts w:ascii="Wingdings" w:hAnsi="Wingdings" w:hint="default"/>
      </w:rPr>
    </w:lvl>
  </w:abstractNum>
  <w:abstractNum w:abstractNumId="22" w15:restartNumberingAfterBreak="0">
    <w:nsid w:val="23A77615"/>
    <w:multiLevelType w:val="multilevel"/>
    <w:tmpl w:val="918AE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C93429"/>
    <w:multiLevelType w:val="hybridMultilevel"/>
    <w:tmpl w:val="9E36F7F6"/>
    <w:lvl w:ilvl="0" w:tplc="9E467B16">
      <w:start w:val="1"/>
      <w:numFmt w:val="bullet"/>
      <w:lvlText w:val=""/>
      <w:lvlJc w:val="left"/>
      <w:pPr>
        <w:ind w:left="720" w:hanging="360"/>
      </w:pPr>
      <w:rPr>
        <w:rFonts w:ascii="Symbol" w:hAnsi="Symbol" w:hint="default"/>
      </w:rPr>
    </w:lvl>
    <w:lvl w:ilvl="1" w:tplc="84CE7A2E" w:tentative="1">
      <w:start w:val="1"/>
      <w:numFmt w:val="bullet"/>
      <w:lvlText w:val="o"/>
      <w:lvlJc w:val="left"/>
      <w:pPr>
        <w:ind w:left="1440" w:hanging="360"/>
      </w:pPr>
      <w:rPr>
        <w:rFonts w:ascii="Courier New" w:hAnsi="Courier New" w:cs="Courier New" w:hint="default"/>
      </w:rPr>
    </w:lvl>
    <w:lvl w:ilvl="2" w:tplc="B1E634B2" w:tentative="1">
      <w:start w:val="1"/>
      <w:numFmt w:val="bullet"/>
      <w:lvlText w:val=""/>
      <w:lvlJc w:val="left"/>
      <w:pPr>
        <w:ind w:left="2160" w:hanging="360"/>
      </w:pPr>
      <w:rPr>
        <w:rFonts w:ascii="Wingdings" w:hAnsi="Wingdings" w:hint="default"/>
      </w:rPr>
    </w:lvl>
    <w:lvl w:ilvl="3" w:tplc="10141BF4" w:tentative="1">
      <w:start w:val="1"/>
      <w:numFmt w:val="bullet"/>
      <w:lvlText w:val=""/>
      <w:lvlJc w:val="left"/>
      <w:pPr>
        <w:ind w:left="2880" w:hanging="360"/>
      </w:pPr>
      <w:rPr>
        <w:rFonts w:ascii="Symbol" w:hAnsi="Symbol" w:hint="default"/>
      </w:rPr>
    </w:lvl>
    <w:lvl w:ilvl="4" w:tplc="CE7CECA0" w:tentative="1">
      <w:start w:val="1"/>
      <w:numFmt w:val="bullet"/>
      <w:lvlText w:val="o"/>
      <w:lvlJc w:val="left"/>
      <w:pPr>
        <w:ind w:left="3600" w:hanging="360"/>
      </w:pPr>
      <w:rPr>
        <w:rFonts w:ascii="Courier New" w:hAnsi="Courier New" w:cs="Courier New" w:hint="default"/>
      </w:rPr>
    </w:lvl>
    <w:lvl w:ilvl="5" w:tplc="435EF4B2" w:tentative="1">
      <w:start w:val="1"/>
      <w:numFmt w:val="bullet"/>
      <w:lvlText w:val=""/>
      <w:lvlJc w:val="left"/>
      <w:pPr>
        <w:ind w:left="4320" w:hanging="360"/>
      </w:pPr>
      <w:rPr>
        <w:rFonts w:ascii="Wingdings" w:hAnsi="Wingdings" w:hint="default"/>
      </w:rPr>
    </w:lvl>
    <w:lvl w:ilvl="6" w:tplc="18D2A5C2" w:tentative="1">
      <w:start w:val="1"/>
      <w:numFmt w:val="bullet"/>
      <w:lvlText w:val=""/>
      <w:lvlJc w:val="left"/>
      <w:pPr>
        <w:ind w:left="5040" w:hanging="360"/>
      </w:pPr>
      <w:rPr>
        <w:rFonts w:ascii="Symbol" w:hAnsi="Symbol" w:hint="default"/>
      </w:rPr>
    </w:lvl>
    <w:lvl w:ilvl="7" w:tplc="9FA4EE04" w:tentative="1">
      <w:start w:val="1"/>
      <w:numFmt w:val="bullet"/>
      <w:lvlText w:val="o"/>
      <w:lvlJc w:val="left"/>
      <w:pPr>
        <w:ind w:left="5760" w:hanging="360"/>
      </w:pPr>
      <w:rPr>
        <w:rFonts w:ascii="Courier New" w:hAnsi="Courier New" w:cs="Courier New" w:hint="default"/>
      </w:rPr>
    </w:lvl>
    <w:lvl w:ilvl="8" w:tplc="9D6CA4D8" w:tentative="1">
      <w:start w:val="1"/>
      <w:numFmt w:val="bullet"/>
      <w:lvlText w:val=""/>
      <w:lvlJc w:val="left"/>
      <w:pPr>
        <w:ind w:left="6480" w:hanging="360"/>
      </w:pPr>
      <w:rPr>
        <w:rFonts w:ascii="Wingdings" w:hAnsi="Wingdings" w:hint="default"/>
      </w:rPr>
    </w:lvl>
  </w:abstractNum>
  <w:abstractNum w:abstractNumId="24" w15:restartNumberingAfterBreak="0">
    <w:nsid w:val="2F0219BF"/>
    <w:multiLevelType w:val="hybridMultilevel"/>
    <w:tmpl w:val="290C27E2"/>
    <w:lvl w:ilvl="0" w:tplc="FDAC37B0">
      <w:start w:val="1"/>
      <w:numFmt w:val="decimal"/>
      <w:lvlText w:val="%1."/>
      <w:lvlJc w:val="left"/>
      <w:pPr>
        <w:tabs>
          <w:tab w:val="num" w:pos="2880"/>
        </w:tabs>
        <w:ind w:left="2880" w:hanging="360"/>
      </w:pPr>
      <w:rPr>
        <w:b w:val="0"/>
        <w:i w:val="0"/>
      </w:rPr>
    </w:lvl>
    <w:lvl w:ilvl="1" w:tplc="C8CE1328">
      <w:start w:val="1"/>
      <w:numFmt w:val="bullet"/>
      <w:lvlText w:val=""/>
      <w:lvlJc w:val="left"/>
      <w:pPr>
        <w:tabs>
          <w:tab w:val="num" w:pos="1440"/>
        </w:tabs>
        <w:ind w:left="1440" w:hanging="360"/>
      </w:pPr>
      <w:rPr>
        <w:rFonts w:ascii="Symbol" w:hAnsi="Symbol" w:hint="default"/>
      </w:rPr>
    </w:lvl>
    <w:lvl w:ilvl="2" w:tplc="30405F16" w:tentative="1">
      <w:start w:val="1"/>
      <w:numFmt w:val="lowerRoman"/>
      <w:lvlText w:val="%3."/>
      <w:lvlJc w:val="right"/>
      <w:pPr>
        <w:tabs>
          <w:tab w:val="num" w:pos="2160"/>
        </w:tabs>
        <w:ind w:left="2160" w:hanging="180"/>
      </w:pPr>
    </w:lvl>
    <w:lvl w:ilvl="3" w:tplc="27CAFB98" w:tentative="1">
      <w:start w:val="1"/>
      <w:numFmt w:val="decimal"/>
      <w:lvlText w:val="%4."/>
      <w:lvlJc w:val="left"/>
      <w:pPr>
        <w:tabs>
          <w:tab w:val="num" w:pos="2880"/>
        </w:tabs>
        <w:ind w:left="2880" w:hanging="360"/>
      </w:pPr>
    </w:lvl>
    <w:lvl w:ilvl="4" w:tplc="B6A20516" w:tentative="1">
      <w:start w:val="1"/>
      <w:numFmt w:val="lowerLetter"/>
      <w:lvlText w:val="%5."/>
      <w:lvlJc w:val="left"/>
      <w:pPr>
        <w:tabs>
          <w:tab w:val="num" w:pos="3600"/>
        </w:tabs>
        <w:ind w:left="3600" w:hanging="360"/>
      </w:pPr>
    </w:lvl>
    <w:lvl w:ilvl="5" w:tplc="62C81E2E" w:tentative="1">
      <w:start w:val="1"/>
      <w:numFmt w:val="lowerRoman"/>
      <w:lvlText w:val="%6."/>
      <w:lvlJc w:val="right"/>
      <w:pPr>
        <w:tabs>
          <w:tab w:val="num" w:pos="4320"/>
        </w:tabs>
        <w:ind w:left="4320" w:hanging="180"/>
      </w:pPr>
    </w:lvl>
    <w:lvl w:ilvl="6" w:tplc="4EE076C2" w:tentative="1">
      <w:start w:val="1"/>
      <w:numFmt w:val="decimal"/>
      <w:lvlText w:val="%7."/>
      <w:lvlJc w:val="left"/>
      <w:pPr>
        <w:tabs>
          <w:tab w:val="num" w:pos="5040"/>
        </w:tabs>
        <w:ind w:left="5040" w:hanging="360"/>
      </w:pPr>
    </w:lvl>
    <w:lvl w:ilvl="7" w:tplc="702850A8" w:tentative="1">
      <w:start w:val="1"/>
      <w:numFmt w:val="lowerLetter"/>
      <w:lvlText w:val="%8."/>
      <w:lvlJc w:val="left"/>
      <w:pPr>
        <w:tabs>
          <w:tab w:val="num" w:pos="5760"/>
        </w:tabs>
        <w:ind w:left="5760" w:hanging="360"/>
      </w:pPr>
    </w:lvl>
    <w:lvl w:ilvl="8" w:tplc="C08676EC" w:tentative="1">
      <w:start w:val="1"/>
      <w:numFmt w:val="lowerRoman"/>
      <w:lvlText w:val="%9."/>
      <w:lvlJc w:val="right"/>
      <w:pPr>
        <w:tabs>
          <w:tab w:val="num" w:pos="6480"/>
        </w:tabs>
        <w:ind w:left="6480" w:hanging="180"/>
      </w:pPr>
    </w:lvl>
  </w:abstractNum>
  <w:abstractNum w:abstractNumId="25" w15:restartNumberingAfterBreak="0">
    <w:nsid w:val="3059765C"/>
    <w:multiLevelType w:val="hybridMultilevel"/>
    <w:tmpl w:val="E2767EA4"/>
    <w:lvl w:ilvl="0" w:tplc="AE743B90">
      <w:start w:val="1"/>
      <w:numFmt w:val="bullet"/>
      <w:lvlText w:val=""/>
      <w:lvlJc w:val="left"/>
      <w:pPr>
        <w:ind w:left="720" w:hanging="360"/>
      </w:pPr>
      <w:rPr>
        <w:rFonts w:ascii="Symbol" w:hAnsi="Symbol" w:hint="default"/>
      </w:rPr>
    </w:lvl>
    <w:lvl w:ilvl="1" w:tplc="588EBD66" w:tentative="1">
      <w:start w:val="1"/>
      <w:numFmt w:val="bullet"/>
      <w:lvlText w:val="o"/>
      <w:lvlJc w:val="left"/>
      <w:pPr>
        <w:ind w:left="1440" w:hanging="360"/>
      </w:pPr>
      <w:rPr>
        <w:rFonts w:ascii="Courier New" w:hAnsi="Courier New" w:cs="Courier New" w:hint="default"/>
      </w:rPr>
    </w:lvl>
    <w:lvl w:ilvl="2" w:tplc="82DA7DFE" w:tentative="1">
      <w:start w:val="1"/>
      <w:numFmt w:val="bullet"/>
      <w:lvlText w:val=""/>
      <w:lvlJc w:val="left"/>
      <w:pPr>
        <w:ind w:left="2160" w:hanging="360"/>
      </w:pPr>
      <w:rPr>
        <w:rFonts w:ascii="Wingdings" w:hAnsi="Wingdings" w:hint="default"/>
      </w:rPr>
    </w:lvl>
    <w:lvl w:ilvl="3" w:tplc="00ECC60C" w:tentative="1">
      <w:start w:val="1"/>
      <w:numFmt w:val="bullet"/>
      <w:lvlText w:val=""/>
      <w:lvlJc w:val="left"/>
      <w:pPr>
        <w:ind w:left="2880" w:hanging="360"/>
      </w:pPr>
      <w:rPr>
        <w:rFonts w:ascii="Symbol" w:hAnsi="Symbol" w:hint="default"/>
      </w:rPr>
    </w:lvl>
    <w:lvl w:ilvl="4" w:tplc="4090545E" w:tentative="1">
      <w:start w:val="1"/>
      <w:numFmt w:val="bullet"/>
      <w:lvlText w:val="o"/>
      <w:lvlJc w:val="left"/>
      <w:pPr>
        <w:ind w:left="3600" w:hanging="360"/>
      </w:pPr>
      <w:rPr>
        <w:rFonts w:ascii="Courier New" w:hAnsi="Courier New" w:cs="Courier New" w:hint="default"/>
      </w:rPr>
    </w:lvl>
    <w:lvl w:ilvl="5" w:tplc="FF5AA4EE" w:tentative="1">
      <w:start w:val="1"/>
      <w:numFmt w:val="bullet"/>
      <w:lvlText w:val=""/>
      <w:lvlJc w:val="left"/>
      <w:pPr>
        <w:ind w:left="4320" w:hanging="360"/>
      </w:pPr>
      <w:rPr>
        <w:rFonts w:ascii="Wingdings" w:hAnsi="Wingdings" w:hint="default"/>
      </w:rPr>
    </w:lvl>
    <w:lvl w:ilvl="6" w:tplc="CF3A8AB6" w:tentative="1">
      <w:start w:val="1"/>
      <w:numFmt w:val="bullet"/>
      <w:lvlText w:val=""/>
      <w:lvlJc w:val="left"/>
      <w:pPr>
        <w:ind w:left="5040" w:hanging="360"/>
      </w:pPr>
      <w:rPr>
        <w:rFonts w:ascii="Symbol" w:hAnsi="Symbol" w:hint="default"/>
      </w:rPr>
    </w:lvl>
    <w:lvl w:ilvl="7" w:tplc="E3AE43B4" w:tentative="1">
      <w:start w:val="1"/>
      <w:numFmt w:val="bullet"/>
      <w:lvlText w:val="o"/>
      <w:lvlJc w:val="left"/>
      <w:pPr>
        <w:ind w:left="5760" w:hanging="360"/>
      </w:pPr>
      <w:rPr>
        <w:rFonts w:ascii="Courier New" w:hAnsi="Courier New" w:cs="Courier New" w:hint="default"/>
      </w:rPr>
    </w:lvl>
    <w:lvl w:ilvl="8" w:tplc="B33216C8" w:tentative="1">
      <w:start w:val="1"/>
      <w:numFmt w:val="bullet"/>
      <w:lvlText w:val=""/>
      <w:lvlJc w:val="left"/>
      <w:pPr>
        <w:ind w:left="6480" w:hanging="360"/>
      </w:pPr>
      <w:rPr>
        <w:rFonts w:ascii="Wingdings" w:hAnsi="Wingdings" w:hint="default"/>
      </w:rPr>
    </w:lvl>
  </w:abstractNum>
  <w:abstractNum w:abstractNumId="26" w15:restartNumberingAfterBreak="0">
    <w:nsid w:val="36727849"/>
    <w:multiLevelType w:val="hybridMultilevel"/>
    <w:tmpl w:val="D23CF80E"/>
    <w:lvl w:ilvl="0" w:tplc="EC8073D2">
      <w:start w:val="1"/>
      <w:numFmt w:val="bullet"/>
      <w:lvlText w:val=""/>
      <w:lvlJc w:val="left"/>
      <w:pPr>
        <w:ind w:left="1428" w:hanging="360"/>
      </w:pPr>
      <w:rPr>
        <w:rFonts w:ascii="Symbol" w:hAnsi="Symbol" w:hint="default"/>
      </w:rPr>
    </w:lvl>
    <w:lvl w:ilvl="1" w:tplc="A76ED4BC" w:tentative="1">
      <w:start w:val="1"/>
      <w:numFmt w:val="bullet"/>
      <w:lvlText w:val="o"/>
      <w:lvlJc w:val="left"/>
      <w:pPr>
        <w:ind w:left="2148" w:hanging="360"/>
      </w:pPr>
      <w:rPr>
        <w:rFonts w:ascii="Courier New" w:hAnsi="Courier New" w:cs="Courier New" w:hint="default"/>
      </w:rPr>
    </w:lvl>
    <w:lvl w:ilvl="2" w:tplc="D362FEFE" w:tentative="1">
      <w:start w:val="1"/>
      <w:numFmt w:val="bullet"/>
      <w:lvlText w:val=""/>
      <w:lvlJc w:val="left"/>
      <w:pPr>
        <w:ind w:left="2868" w:hanging="360"/>
      </w:pPr>
      <w:rPr>
        <w:rFonts w:ascii="Wingdings" w:hAnsi="Wingdings" w:hint="default"/>
      </w:rPr>
    </w:lvl>
    <w:lvl w:ilvl="3" w:tplc="0B80B394" w:tentative="1">
      <w:start w:val="1"/>
      <w:numFmt w:val="bullet"/>
      <w:lvlText w:val=""/>
      <w:lvlJc w:val="left"/>
      <w:pPr>
        <w:ind w:left="3588" w:hanging="360"/>
      </w:pPr>
      <w:rPr>
        <w:rFonts w:ascii="Symbol" w:hAnsi="Symbol" w:hint="default"/>
      </w:rPr>
    </w:lvl>
    <w:lvl w:ilvl="4" w:tplc="D7A8FCD2" w:tentative="1">
      <w:start w:val="1"/>
      <w:numFmt w:val="bullet"/>
      <w:lvlText w:val="o"/>
      <w:lvlJc w:val="left"/>
      <w:pPr>
        <w:ind w:left="4308" w:hanging="360"/>
      </w:pPr>
      <w:rPr>
        <w:rFonts w:ascii="Courier New" w:hAnsi="Courier New" w:cs="Courier New" w:hint="default"/>
      </w:rPr>
    </w:lvl>
    <w:lvl w:ilvl="5" w:tplc="A608ECD4" w:tentative="1">
      <w:start w:val="1"/>
      <w:numFmt w:val="bullet"/>
      <w:lvlText w:val=""/>
      <w:lvlJc w:val="left"/>
      <w:pPr>
        <w:ind w:left="5028" w:hanging="360"/>
      </w:pPr>
      <w:rPr>
        <w:rFonts w:ascii="Wingdings" w:hAnsi="Wingdings" w:hint="default"/>
      </w:rPr>
    </w:lvl>
    <w:lvl w:ilvl="6" w:tplc="21AA000A" w:tentative="1">
      <w:start w:val="1"/>
      <w:numFmt w:val="bullet"/>
      <w:lvlText w:val=""/>
      <w:lvlJc w:val="left"/>
      <w:pPr>
        <w:ind w:left="5748" w:hanging="360"/>
      </w:pPr>
      <w:rPr>
        <w:rFonts w:ascii="Symbol" w:hAnsi="Symbol" w:hint="default"/>
      </w:rPr>
    </w:lvl>
    <w:lvl w:ilvl="7" w:tplc="DB84E0BA" w:tentative="1">
      <w:start w:val="1"/>
      <w:numFmt w:val="bullet"/>
      <w:lvlText w:val="o"/>
      <w:lvlJc w:val="left"/>
      <w:pPr>
        <w:ind w:left="6468" w:hanging="360"/>
      </w:pPr>
      <w:rPr>
        <w:rFonts w:ascii="Courier New" w:hAnsi="Courier New" w:cs="Courier New" w:hint="default"/>
      </w:rPr>
    </w:lvl>
    <w:lvl w:ilvl="8" w:tplc="E44E2EEC" w:tentative="1">
      <w:start w:val="1"/>
      <w:numFmt w:val="bullet"/>
      <w:lvlText w:val=""/>
      <w:lvlJc w:val="left"/>
      <w:pPr>
        <w:ind w:left="7188" w:hanging="360"/>
      </w:pPr>
      <w:rPr>
        <w:rFonts w:ascii="Wingdings" w:hAnsi="Wingdings" w:hint="default"/>
      </w:rPr>
    </w:lvl>
  </w:abstractNum>
  <w:abstractNum w:abstractNumId="27" w15:restartNumberingAfterBreak="0">
    <w:nsid w:val="394F486E"/>
    <w:multiLevelType w:val="hybridMultilevel"/>
    <w:tmpl w:val="E5DEF816"/>
    <w:lvl w:ilvl="0" w:tplc="1F961A4E">
      <w:start w:val="1"/>
      <w:numFmt w:val="bullet"/>
      <w:lvlText w:val=""/>
      <w:lvlJc w:val="left"/>
      <w:pPr>
        <w:ind w:left="720" w:hanging="360"/>
      </w:pPr>
      <w:rPr>
        <w:rFonts w:ascii="Symbol" w:hAnsi="Symbol" w:hint="default"/>
      </w:rPr>
    </w:lvl>
    <w:lvl w:ilvl="1" w:tplc="76A2A7CC" w:tentative="1">
      <w:start w:val="1"/>
      <w:numFmt w:val="bullet"/>
      <w:lvlText w:val="o"/>
      <w:lvlJc w:val="left"/>
      <w:pPr>
        <w:ind w:left="1440" w:hanging="360"/>
      </w:pPr>
      <w:rPr>
        <w:rFonts w:ascii="Courier New" w:hAnsi="Courier New" w:cs="Courier New" w:hint="default"/>
      </w:rPr>
    </w:lvl>
    <w:lvl w:ilvl="2" w:tplc="DF8CA030" w:tentative="1">
      <w:start w:val="1"/>
      <w:numFmt w:val="bullet"/>
      <w:lvlText w:val=""/>
      <w:lvlJc w:val="left"/>
      <w:pPr>
        <w:ind w:left="2160" w:hanging="360"/>
      </w:pPr>
      <w:rPr>
        <w:rFonts w:ascii="Wingdings" w:hAnsi="Wingdings" w:hint="default"/>
      </w:rPr>
    </w:lvl>
    <w:lvl w:ilvl="3" w:tplc="D82CB626" w:tentative="1">
      <w:start w:val="1"/>
      <w:numFmt w:val="bullet"/>
      <w:lvlText w:val=""/>
      <w:lvlJc w:val="left"/>
      <w:pPr>
        <w:ind w:left="2880" w:hanging="360"/>
      </w:pPr>
      <w:rPr>
        <w:rFonts w:ascii="Symbol" w:hAnsi="Symbol" w:hint="default"/>
      </w:rPr>
    </w:lvl>
    <w:lvl w:ilvl="4" w:tplc="59DA69F0" w:tentative="1">
      <w:start w:val="1"/>
      <w:numFmt w:val="bullet"/>
      <w:lvlText w:val="o"/>
      <w:lvlJc w:val="left"/>
      <w:pPr>
        <w:ind w:left="3600" w:hanging="360"/>
      </w:pPr>
      <w:rPr>
        <w:rFonts w:ascii="Courier New" w:hAnsi="Courier New" w:cs="Courier New" w:hint="default"/>
      </w:rPr>
    </w:lvl>
    <w:lvl w:ilvl="5" w:tplc="A9163074" w:tentative="1">
      <w:start w:val="1"/>
      <w:numFmt w:val="bullet"/>
      <w:lvlText w:val=""/>
      <w:lvlJc w:val="left"/>
      <w:pPr>
        <w:ind w:left="4320" w:hanging="360"/>
      </w:pPr>
      <w:rPr>
        <w:rFonts w:ascii="Wingdings" w:hAnsi="Wingdings" w:hint="default"/>
      </w:rPr>
    </w:lvl>
    <w:lvl w:ilvl="6" w:tplc="27486076" w:tentative="1">
      <w:start w:val="1"/>
      <w:numFmt w:val="bullet"/>
      <w:lvlText w:val=""/>
      <w:lvlJc w:val="left"/>
      <w:pPr>
        <w:ind w:left="5040" w:hanging="360"/>
      </w:pPr>
      <w:rPr>
        <w:rFonts w:ascii="Symbol" w:hAnsi="Symbol" w:hint="default"/>
      </w:rPr>
    </w:lvl>
    <w:lvl w:ilvl="7" w:tplc="147E7C28" w:tentative="1">
      <w:start w:val="1"/>
      <w:numFmt w:val="bullet"/>
      <w:lvlText w:val="o"/>
      <w:lvlJc w:val="left"/>
      <w:pPr>
        <w:ind w:left="5760" w:hanging="360"/>
      </w:pPr>
      <w:rPr>
        <w:rFonts w:ascii="Courier New" w:hAnsi="Courier New" w:cs="Courier New" w:hint="default"/>
      </w:rPr>
    </w:lvl>
    <w:lvl w:ilvl="8" w:tplc="78A84152" w:tentative="1">
      <w:start w:val="1"/>
      <w:numFmt w:val="bullet"/>
      <w:lvlText w:val=""/>
      <w:lvlJc w:val="left"/>
      <w:pPr>
        <w:ind w:left="6480" w:hanging="360"/>
      </w:pPr>
      <w:rPr>
        <w:rFonts w:ascii="Wingdings" w:hAnsi="Wingdings" w:hint="default"/>
      </w:rPr>
    </w:lvl>
  </w:abstractNum>
  <w:abstractNum w:abstractNumId="28" w15:restartNumberingAfterBreak="0">
    <w:nsid w:val="3FD03D99"/>
    <w:multiLevelType w:val="hybridMultilevel"/>
    <w:tmpl w:val="124AE23A"/>
    <w:lvl w:ilvl="0" w:tplc="FAC4D8C2">
      <w:start w:val="1"/>
      <w:numFmt w:val="bullet"/>
      <w:lvlText w:val=""/>
      <w:lvlJc w:val="left"/>
      <w:pPr>
        <w:ind w:left="1425" w:hanging="360"/>
      </w:pPr>
      <w:rPr>
        <w:rFonts w:ascii="Symbol" w:hAnsi="Symbol" w:hint="default"/>
      </w:rPr>
    </w:lvl>
    <w:lvl w:ilvl="1" w:tplc="0F80E5B2" w:tentative="1">
      <w:start w:val="1"/>
      <w:numFmt w:val="bullet"/>
      <w:lvlText w:val="o"/>
      <w:lvlJc w:val="left"/>
      <w:pPr>
        <w:ind w:left="2145" w:hanging="360"/>
      </w:pPr>
      <w:rPr>
        <w:rFonts w:ascii="Courier New" w:hAnsi="Courier New" w:cs="Courier New" w:hint="default"/>
      </w:rPr>
    </w:lvl>
    <w:lvl w:ilvl="2" w:tplc="63A67686" w:tentative="1">
      <w:start w:val="1"/>
      <w:numFmt w:val="bullet"/>
      <w:lvlText w:val=""/>
      <w:lvlJc w:val="left"/>
      <w:pPr>
        <w:ind w:left="2865" w:hanging="360"/>
      </w:pPr>
      <w:rPr>
        <w:rFonts w:ascii="Wingdings" w:hAnsi="Wingdings" w:hint="default"/>
      </w:rPr>
    </w:lvl>
    <w:lvl w:ilvl="3" w:tplc="67C44792" w:tentative="1">
      <w:start w:val="1"/>
      <w:numFmt w:val="bullet"/>
      <w:lvlText w:val=""/>
      <w:lvlJc w:val="left"/>
      <w:pPr>
        <w:ind w:left="3585" w:hanging="360"/>
      </w:pPr>
      <w:rPr>
        <w:rFonts w:ascii="Symbol" w:hAnsi="Symbol" w:hint="default"/>
      </w:rPr>
    </w:lvl>
    <w:lvl w:ilvl="4" w:tplc="14CE8E2A" w:tentative="1">
      <w:start w:val="1"/>
      <w:numFmt w:val="bullet"/>
      <w:lvlText w:val="o"/>
      <w:lvlJc w:val="left"/>
      <w:pPr>
        <w:ind w:left="4305" w:hanging="360"/>
      </w:pPr>
      <w:rPr>
        <w:rFonts w:ascii="Courier New" w:hAnsi="Courier New" w:cs="Courier New" w:hint="default"/>
      </w:rPr>
    </w:lvl>
    <w:lvl w:ilvl="5" w:tplc="4DE48E18" w:tentative="1">
      <w:start w:val="1"/>
      <w:numFmt w:val="bullet"/>
      <w:lvlText w:val=""/>
      <w:lvlJc w:val="left"/>
      <w:pPr>
        <w:ind w:left="5025" w:hanging="360"/>
      </w:pPr>
      <w:rPr>
        <w:rFonts w:ascii="Wingdings" w:hAnsi="Wingdings" w:hint="default"/>
      </w:rPr>
    </w:lvl>
    <w:lvl w:ilvl="6" w:tplc="BA82B3AC" w:tentative="1">
      <w:start w:val="1"/>
      <w:numFmt w:val="bullet"/>
      <w:lvlText w:val=""/>
      <w:lvlJc w:val="left"/>
      <w:pPr>
        <w:ind w:left="5745" w:hanging="360"/>
      </w:pPr>
      <w:rPr>
        <w:rFonts w:ascii="Symbol" w:hAnsi="Symbol" w:hint="default"/>
      </w:rPr>
    </w:lvl>
    <w:lvl w:ilvl="7" w:tplc="6304F8AE" w:tentative="1">
      <w:start w:val="1"/>
      <w:numFmt w:val="bullet"/>
      <w:lvlText w:val="o"/>
      <w:lvlJc w:val="left"/>
      <w:pPr>
        <w:ind w:left="6465" w:hanging="360"/>
      </w:pPr>
      <w:rPr>
        <w:rFonts w:ascii="Courier New" w:hAnsi="Courier New" w:cs="Courier New" w:hint="default"/>
      </w:rPr>
    </w:lvl>
    <w:lvl w:ilvl="8" w:tplc="B3F68EE4" w:tentative="1">
      <w:start w:val="1"/>
      <w:numFmt w:val="bullet"/>
      <w:lvlText w:val=""/>
      <w:lvlJc w:val="left"/>
      <w:pPr>
        <w:ind w:left="7185" w:hanging="360"/>
      </w:pPr>
      <w:rPr>
        <w:rFonts w:ascii="Wingdings" w:hAnsi="Wingdings" w:hint="default"/>
      </w:rPr>
    </w:lvl>
  </w:abstractNum>
  <w:abstractNum w:abstractNumId="29" w15:restartNumberingAfterBreak="0">
    <w:nsid w:val="403571EA"/>
    <w:multiLevelType w:val="hybridMultilevel"/>
    <w:tmpl w:val="B7C229D8"/>
    <w:lvl w:ilvl="0" w:tplc="035E9A68">
      <w:start w:val="1"/>
      <w:numFmt w:val="decimal"/>
      <w:lvlText w:val="%1."/>
      <w:lvlJc w:val="left"/>
      <w:pPr>
        <w:ind w:left="1040" w:hanging="360"/>
      </w:pPr>
    </w:lvl>
    <w:lvl w:ilvl="1" w:tplc="2E2A88AE">
      <w:start w:val="1"/>
      <w:numFmt w:val="decimal"/>
      <w:lvlText w:val="%2."/>
      <w:lvlJc w:val="left"/>
      <w:pPr>
        <w:ind w:left="1040" w:hanging="360"/>
      </w:pPr>
    </w:lvl>
    <w:lvl w:ilvl="2" w:tplc="FD881158">
      <w:start w:val="1"/>
      <w:numFmt w:val="decimal"/>
      <w:lvlText w:val="%3."/>
      <w:lvlJc w:val="left"/>
      <w:pPr>
        <w:ind w:left="1040" w:hanging="360"/>
      </w:pPr>
    </w:lvl>
    <w:lvl w:ilvl="3" w:tplc="BCD49958">
      <w:start w:val="1"/>
      <w:numFmt w:val="decimal"/>
      <w:lvlText w:val="%4."/>
      <w:lvlJc w:val="left"/>
      <w:pPr>
        <w:ind w:left="1040" w:hanging="360"/>
      </w:pPr>
    </w:lvl>
    <w:lvl w:ilvl="4" w:tplc="39D40E1E">
      <w:start w:val="1"/>
      <w:numFmt w:val="decimal"/>
      <w:lvlText w:val="%5."/>
      <w:lvlJc w:val="left"/>
      <w:pPr>
        <w:ind w:left="1040" w:hanging="360"/>
      </w:pPr>
    </w:lvl>
    <w:lvl w:ilvl="5" w:tplc="0A82971A">
      <w:start w:val="1"/>
      <w:numFmt w:val="decimal"/>
      <w:lvlText w:val="%6."/>
      <w:lvlJc w:val="left"/>
      <w:pPr>
        <w:ind w:left="1040" w:hanging="360"/>
      </w:pPr>
    </w:lvl>
    <w:lvl w:ilvl="6" w:tplc="677EB7A0">
      <w:start w:val="1"/>
      <w:numFmt w:val="decimal"/>
      <w:lvlText w:val="%7."/>
      <w:lvlJc w:val="left"/>
      <w:pPr>
        <w:ind w:left="1040" w:hanging="360"/>
      </w:pPr>
    </w:lvl>
    <w:lvl w:ilvl="7" w:tplc="1B6091C0">
      <w:start w:val="1"/>
      <w:numFmt w:val="decimal"/>
      <w:lvlText w:val="%8."/>
      <w:lvlJc w:val="left"/>
      <w:pPr>
        <w:ind w:left="1040" w:hanging="360"/>
      </w:pPr>
    </w:lvl>
    <w:lvl w:ilvl="8" w:tplc="1CB806EE">
      <w:start w:val="1"/>
      <w:numFmt w:val="decimal"/>
      <w:lvlText w:val="%9."/>
      <w:lvlJc w:val="left"/>
      <w:pPr>
        <w:ind w:left="1040" w:hanging="360"/>
      </w:pPr>
    </w:lvl>
  </w:abstractNum>
  <w:abstractNum w:abstractNumId="30" w15:restartNumberingAfterBreak="0">
    <w:nsid w:val="424108A8"/>
    <w:multiLevelType w:val="multilevel"/>
    <w:tmpl w:val="77E89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D4705A"/>
    <w:multiLevelType w:val="hybridMultilevel"/>
    <w:tmpl w:val="E7CE8A9C"/>
    <w:lvl w:ilvl="0" w:tplc="C164B168">
      <w:start w:val="1"/>
      <w:numFmt w:val="bullet"/>
      <w:lvlText w:val="o"/>
      <w:lvlJc w:val="left"/>
      <w:pPr>
        <w:ind w:left="2145" w:hanging="360"/>
      </w:pPr>
      <w:rPr>
        <w:rFonts w:ascii="Courier New" w:hAnsi="Courier New" w:cs="Courier New" w:hint="default"/>
      </w:rPr>
    </w:lvl>
    <w:lvl w:ilvl="1" w:tplc="749CDE9A" w:tentative="1">
      <w:start w:val="1"/>
      <w:numFmt w:val="bullet"/>
      <w:lvlText w:val="o"/>
      <w:lvlJc w:val="left"/>
      <w:pPr>
        <w:ind w:left="2865" w:hanging="360"/>
      </w:pPr>
      <w:rPr>
        <w:rFonts w:ascii="Courier New" w:hAnsi="Courier New" w:cs="Courier New" w:hint="default"/>
      </w:rPr>
    </w:lvl>
    <w:lvl w:ilvl="2" w:tplc="6E4E14AC" w:tentative="1">
      <w:start w:val="1"/>
      <w:numFmt w:val="bullet"/>
      <w:lvlText w:val=""/>
      <w:lvlJc w:val="left"/>
      <w:pPr>
        <w:ind w:left="3585" w:hanging="360"/>
      </w:pPr>
      <w:rPr>
        <w:rFonts w:ascii="Wingdings" w:hAnsi="Wingdings" w:hint="default"/>
      </w:rPr>
    </w:lvl>
    <w:lvl w:ilvl="3" w:tplc="9032593E" w:tentative="1">
      <w:start w:val="1"/>
      <w:numFmt w:val="bullet"/>
      <w:lvlText w:val=""/>
      <w:lvlJc w:val="left"/>
      <w:pPr>
        <w:ind w:left="4305" w:hanging="360"/>
      </w:pPr>
      <w:rPr>
        <w:rFonts w:ascii="Symbol" w:hAnsi="Symbol" w:hint="default"/>
      </w:rPr>
    </w:lvl>
    <w:lvl w:ilvl="4" w:tplc="F6E8EEF8" w:tentative="1">
      <w:start w:val="1"/>
      <w:numFmt w:val="bullet"/>
      <w:lvlText w:val="o"/>
      <w:lvlJc w:val="left"/>
      <w:pPr>
        <w:ind w:left="5025" w:hanging="360"/>
      </w:pPr>
      <w:rPr>
        <w:rFonts w:ascii="Courier New" w:hAnsi="Courier New" w:cs="Courier New" w:hint="default"/>
      </w:rPr>
    </w:lvl>
    <w:lvl w:ilvl="5" w:tplc="64E668B2" w:tentative="1">
      <w:start w:val="1"/>
      <w:numFmt w:val="bullet"/>
      <w:lvlText w:val=""/>
      <w:lvlJc w:val="left"/>
      <w:pPr>
        <w:ind w:left="5745" w:hanging="360"/>
      </w:pPr>
      <w:rPr>
        <w:rFonts w:ascii="Wingdings" w:hAnsi="Wingdings" w:hint="default"/>
      </w:rPr>
    </w:lvl>
    <w:lvl w:ilvl="6" w:tplc="0BCAB62A" w:tentative="1">
      <w:start w:val="1"/>
      <w:numFmt w:val="bullet"/>
      <w:lvlText w:val=""/>
      <w:lvlJc w:val="left"/>
      <w:pPr>
        <w:ind w:left="6465" w:hanging="360"/>
      </w:pPr>
      <w:rPr>
        <w:rFonts w:ascii="Symbol" w:hAnsi="Symbol" w:hint="default"/>
      </w:rPr>
    </w:lvl>
    <w:lvl w:ilvl="7" w:tplc="FFF88E26" w:tentative="1">
      <w:start w:val="1"/>
      <w:numFmt w:val="bullet"/>
      <w:lvlText w:val="o"/>
      <w:lvlJc w:val="left"/>
      <w:pPr>
        <w:ind w:left="7185" w:hanging="360"/>
      </w:pPr>
      <w:rPr>
        <w:rFonts w:ascii="Courier New" w:hAnsi="Courier New" w:cs="Courier New" w:hint="default"/>
      </w:rPr>
    </w:lvl>
    <w:lvl w:ilvl="8" w:tplc="B3E84242" w:tentative="1">
      <w:start w:val="1"/>
      <w:numFmt w:val="bullet"/>
      <w:lvlText w:val=""/>
      <w:lvlJc w:val="left"/>
      <w:pPr>
        <w:ind w:left="7905" w:hanging="360"/>
      </w:pPr>
      <w:rPr>
        <w:rFonts w:ascii="Wingdings" w:hAnsi="Wingdings" w:hint="default"/>
      </w:rPr>
    </w:lvl>
  </w:abstractNum>
  <w:abstractNum w:abstractNumId="32" w15:restartNumberingAfterBreak="0">
    <w:nsid w:val="54B26B4E"/>
    <w:multiLevelType w:val="hybridMultilevel"/>
    <w:tmpl w:val="B694E4B6"/>
    <w:lvl w:ilvl="0" w:tplc="F196ABA2">
      <w:start w:val="1"/>
      <w:numFmt w:val="bullet"/>
      <w:lvlText w:val=""/>
      <w:lvlJc w:val="left"/>
      <w:pPr>
        <w:ind w:left="720" w:hanging="360"/>
      </w:pPr>
      <w:rPr>
        <w:rFonts w:ascii="Symbol" w:hAnsi="Symbol" w:hint="default"/>
      </w:rPr>
    </w:lvl>
    <w:lvl w:ilvl="1" w:tplc="02C0F1D4" w:tentative="1">
      <w:start w:val="1"/>
      <w:numFmt w:val="bullet"/>
      <w:lvlText w:val="o"/>
      <w:lvlJc w:val="left"/>
      <w:pPr>
        <w:ind w:left="1440" w:hanging="360"/>
      </w:pPr>
      <w:rPr>
        <w:rFonts w:ascii="Courier New" w:hAnsi="Courier New" w:cs="Courier New" w:hint="default"/>
      </w:rPr>
    </w:lvl>
    <w:lvl w:ilvl="2" w:tplc="042EDA10" w:tentative="1">
      <w:start w:val="1"/>
      <w:numFmt w:val="bullet"/>
      <w:lvlText w:val=""/>
      <w:lvlJc w:val="left"/>
      <w:pPr>
        <w:ind w:left="2160" w:hanging="360"/>
      </w:pPr>
      <w:rPr>
        <w:rFonts w:ascii="Wingdings" w:hAnsi="Wingdings" w:hint="default"/>
      </w:rPr>
    </w:lvl>
    <w:lvl w:ilvl="3" w:tplc="13B676D8" w:tentative="1">
      <w:start w:val="1"/>
      <w:numFmt w:val="bullet"/>
      <w:lvlText w:val=""/>
      <w:lvlJc w:val="left"/>
      <w:pPr>
        <w:ind w:left="2880" w:hanging="360"/>
      </w:pPr>
      <w:rPr>
        <w:rFonts w:ascii="Symbol" w:hAnsi="Symbol" w:hint="default"/>
      </w:rPr>
    </w:lvl>
    <w:lvl w:ilvl="4" w:tplc="B358A330" w:tentative="1">
      <w:start w:val="1"/>
      <w:numFmt w:val="bullet"/>
      <w:lvlText w:val="o"/>
      <w:lvlJc w:val="left"/>
      <w:pPr>
        <w:ind w:left="3600" w:hanging="360"/>
      </w:pPr>
      <w:rPr>
        <w:rFonts w:ascii="Courier New" w:hAnsi="Courier New" w:cs="Courier New" w:hint="default"/>
      </w:rPr>
    </w:lvl>
    <w:lvl w:ilvl="5" w:tplc="EE90CDCC" w:tentative="1">
      <w:start w:val="1"/>
      <w:numFmt w:val="bullet"/>
      <w:lvlText w:val=""/>
      <w:lvlJc w:val="left"/>
      <w:pPr>
        <w:ind w:left="4320" w:hanging="360"/>
      </w:pPr>
      <w:rPr>
        <w:rFonts w:ascii="Wingdings" w:hAnsi="Wingdings" w:hint="default"/>
      </w:rPr>
    </w:lvl>
    <w:lvl w:ilvl="6" w:tplc="C2A6E5DE" w:tentative="1">
      <w:start w:val="1"/>
      <w:numFmt w:val="bullet"/>
      <w:lvlText w:val=""/>
      <w:lvlJc w:val="left"/>
      <w:pPr>
        <w:ind w:left="5040" w:hanging="360"/>
      </w:pPr>
      <w:rPr>
        <w:rFonts w:ascii="Symbol" w:hAnsi="Symbol" w:hint="default"/>
      </w:rPr>
    </w:lvl>
    <w:lvl w:ilvl="7" w:tplc="2A520CE8" w:tentative="1">
      <w:start w:val="1"/>
      <w:numFmt w:val="bullet"/>
      <w:lvlText w:val="o"/>
      <w:lvlJc w:val="left"/>
      <w:pPr>
        <w:ind w:left="5760" w:hanging="360"/>
      </w:pPr>
      <w:rPr>
        <w:rFonts w:ascii="Courier New" w:hAnsi="Courier New" w:cs="Courier New" w:hint="default"/>
      </w:rPr>
    </w:lvl>
    <w:lvl w:ilvl="8" w:tplc="5C2C84EC" w:tentative="1">
      <w:start w:val="1"/>
      <w:numFmt w:val="bullet"/>
      <w:lvlText w:val=""/>
      <w:lvlJc w:val="left"/>
      <w:pPr>
        <w:ind w:left="6480" w:hanging="360"/>
      </w:pPr>
      <w:rPr>
        <w:rFonts w:ascii="Wingdings" w:hAnsi="Wingdings" w:hint="default"/>
      </w:rPr>
    </w:lvl>
  </w:abstractNum>
  <w:abstractNum w:abstractNumId="33" w15:restartNumberingAfterBreak="0">
    <w:nsid w:val="58102E67"/>
    <w:multiLevelType w:val="hybridMultilevel"/>
    <w:tmpl w:val="F744AE9A"/>
    <w:lvl w:ilvl="0" w:tplc="085E5878">
      <w:start w:val="1"/>
      <w:numFmt w:val="decimal"/>
      <w:lvlText w:val="%1)"/>
      <w:lvlJc w:val="left"/>
      <w:pPr>
        <w:ind w:left="720" w:hanging="360"/>
      </w:pPr>
      <w:rPr>
        <w:rFonts w:hint="default"/>
      </w:rPr>
    </w:lvl>
    <w:lvl w:ilvl="1" w:tplc="89F2A738" w:tentative="1">
      <w:start w:val="1"/>
      <w:numFmt w:val="lowerLetter"/>
      <w:lvlText w:val="%2."/>
      <w:lvlJc w:val="left"/>
      <w:pPr>
        <w:ind w:left="1440" w:hanging="360"/>
      </w:pPr>
    </w:lvl>
    <w:lvl w:ilvl="2" w:tplc="7F78BCCC" w:tentative="1">
      <w:start w:val="1"/>
      <w:numFmt w:val="lowerRoman"/>
      <w:lvlText w:val="%3."/>
      <w:lvlJc w:val="right"/>
      <w:pPr>
        <w:ind w:left="2160" w:hanging="180"/>
      </w:pPr>
    </w:lvl>
    <w:lvl w:ilvl="3" w:tplc="51E05800" w:tentative="1">
      <w:start w:val="1"/>
      <w:numFmt w:val="decimal"/>
      <w:lvlText w:val="%4."/>
      <w:lvlJc w:val="left"/>
      <w:pPr>
        <w:ind w:left="2880" w:hanging="360"/>
      </w:pPr>
    </w:lvl>
    <w:lvl w:ilvl="4" w:tplc="6A246CB2" w:tentative="1">
      <w:start w:val="1"/>
      <w:numFmt w:val="lowerLetter"/>
      <w:lvlText w:val="%5."/>
      <w:lvlJc w:val="left"/>
      <w:pPr>
        <w:ind w:left="3600" w:hanging="360"/>
      </w:pPr>
    </w:lvl>
    <w:lvl w:ilvl="5" w:tplc="48F6907C" w:tentative="1">
      <w:start w:val="1"/>
      <w:numFmt w:val="lowerRoman"/>
      <w:lvlText w:val="%6."/>
      <w:lvlJc w:val="right"/>
      <w:pPr>
        <w:ind w:left="4320" w:hanging="180"/>
      </w:pPr>
    </w:lvl>
    <w:lvl w:ilvl="6" w:tplc="82AEED00" w:tentative="1">
      <w:start w:val="1"/>
      <w:numFmt w:val="decimal"/>
      <w:lvlText w:val="%7."/>
      <w:lvlJc w:val="left"/>
      <w:pPr>
        <w:ind w:left="5040" w:hanging="360"/>
      </w:pPr>
    </w:lvl>
    <w:lvl w:ilvl="7" w:tplc="DCAAFEB6" w:tentative="1">
      <w:start w:val="1"/>
      <w:numFmt w:val="lowerLetter"/>
      <w:lvlText w:val="%8."/>
      <w:lvlJc w:val="left"/>
      <w:pPr>
        <w:ind w:left="5760" w:hanging="360"/>
      </w:pPr>
    </w:lvl>
    <w:lvl w:ilvl="8" w:tplc="3D4AA228" w:tentative="1">
      <w:start w:val="1"/>
      <w:numFmt w:val="lowerRoman"/>
      <w:lvlText w:val="%9."/>
      <w:lvlJc w:val="right"/>
      <w:pPr>
        <w:ind w:left="6480" w:hanging="180"/>
      </w:pPr>
    </w:lvl>
  </w:abstractNum>
  <w:abstractNum w:abstractNumId="34" w15:restartNumberingAfterBreak="0">
    <w:nsid w:val="609C0DCC"/>
    <w:multiLevelType w:val="multilevel"/>
    <w:tmpl w:val="078E11EA"/>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4A60B64"/>
    <w:multiLevelType w:val="hybridMultilevel"/>
    <w:tmpl w:val="077C5BB2"/>
    <w:lvl w:ilvl="0" w:tplc="54E071F8">
      <w:start w:val="1"/>
      <w:numFmt w:val="bullet"/>
      <w:lvlText w:val=""/>
      <w:lvlJc w:val="left"/>
      <w:pPr>
        <w:ind w:left="720" w:hanging="360"/>
      </w:pPr>
      <w:rPr>
        <w:rFonts w:ascii="Symbol" w:hAnsi="Symbol" w:hint="default"/>
      </w:rPr>
    </w:lvl>
    <w:lvl w:ilvl="1" w:tplc="D22C5A3E" w:tentative="1">
      <w:start w:val="1"/>
      <w:numFmt w:val="bullet"/>
      <w:lvlText w:val="o"/>
      <w:lvlJc w:val="left"/>
      <w:pPr>
        <w:ind w:left="1440" w:hanging="360"/>
      </w:pPr>
      <w:rPr>
        <w:rFonts w:ascii="Courier New" w:hAnsi="Courier New" w:cs="Courier New" w:hint="default"/>
      </w:rPr>
    </w:lvl>
    <w:lvl w:ilvl="2" w:tplc="6CF0A866" w:tentative="1">
      <w:start w:val="1"/>
      <w:numFmt w:val="bullet"/>
      <w:lvlText w:val=""/>
      <w:lvlJc w:val="left"/>
      <w:pPr>
        <w:ind w:left="2160" w:hanging="360"/>
      </w:pPr>
      <w:rPr>
        <w:rFonts w:ascii="Wingdings" w:hAnsi="Wingdings" w:hint="default"/>
      </w:rPr>
    </w:lvl>
    <w:lvl w:ilvl="3" w:tplc="E6341F90" w:tentative="1">
      <w:start w:val="1"/>
      <w:numFmt w:val="bullet"/>
      <w:lvlText w:val=""/>
      <w:lvlJc w:val="left"/>
      <w:pPr>
        <w:ind w:left="2880" w:hanging="360"/>
      </w:pPr>
      <w:rPr>
        <w:rFonts w:ascii="Symbol" w:hAnsi="Symbol" w:hint="default"/>
      </w:rPr>
    </w:lvl>
    <w:lvl w:ilvl="4" w:tplc="35D0E88C" w:tentative="1">
      <w:start w:val="1"/>
      <w:numFmt w:val="bullet"/>
      <w:lvlText w:val="o"/>
      <w:lvlJc w:val="left"/>
      <w:pPr>
        <w:ind w:left="3600" w:hanging="360"/>
      </w:pPr>
      <w:rPr>
        <w:rFonts w:ascii="Courier New" w:hAnsi="Courier New" w:cs="Courier New" w:hint="default"/>
      </w:rPr>
    </w:lvl>
    <w:lvl w:ilvl="5" w:tplc="D2A2359C" w:tentative="1">
      <w:start w:val="1"/>
      <w:numFmt w:val="bullet"/>
      <w:lvlText w:val=""/>
      <w:lvlJc w:val="left"/>
      <w:pPr>
        <w:ind w:left="4320" w:hanging="360"/>
      </w:pPr>
      <w:rPr>
        <w:rFonts w:ascii="Wingdings" w:hAnsi="Wingdings" w:hint="default"/>
      </w:rPr>
    </w:lvl>
    <w:lvl w:ilvl="6" w:tplc="2FF67D42" w:tentative="1">
      <w:start w:val="1"/>
      <w:numFmt w:val="bullet"/>
      <w:lvlText w:val=""/>
      <w:lvlJc w:val="left"/>
      <w:pPr>
        <w:ind w:left="5040" w:hanging="360"/>
      </w:pPr>
      <w:rPr>
        <w:rFonts w:ascii="Symbol" w:hAnsi="Symbol" w:hint="default"/>
      </w:rPr>
    </w:lvl>
    <w:lvl w:ilvl="7" w:tplc="BCA23AF6" w:tentative="1">
      <w:start w:val="1"/>
      <w:numFmt w:val="bullet"/>
      <w:lvlText w:val="o"/>
      <w:lvlJc w:val="left"/>
      <w:pPr>
        <w:ind w:left="5760" w:hanging="360"/>
      </w:pPr>
      <w:rPr>
        <w:rFonts w:ascii="Courier New" w:hAnsi="Courier New" w:cs="Courier New" w:hint="default"/>
      </w:rPr>
    </w:lvl>
    <w:lvl w:ilvl="8" w:tplc="4D0676F6" w:tentative="1">
      <w:start w:val="1"/>
      <w:numFmt w:val="bullet"/>
      <w:lvlText w:val=""/>
      <w:lvlJc w:val="left"/>
      <w:pPr>
        <w:ind w:left="6480" w:hanging="360"/>
      </w:pPr>
      <w:rPr>
        <w:rFonts w:ascii="Wingdings" w:hAnsi="Wingdings" w:hint="default"/>
      </w:rPr>
    </w:lvl>
  </w:abstractNum>
  <w:abstractNum w:abstractNumId="36" w15:restartNumberingAfterBreak="0">
    <w:nsid w:val="6CB35DFB"/>
    <w:multiLevelType w:val="multilevel"/>
    <w:tmpl w:val="6EF8AC5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267EB6"/>
    <w:multiLevelType w:val="multilevel"/>
    <w:tmpl w:val="CDC241C6"/>
    <w:lvl w:ilvl="0">
      <w:start w:val="1"/>
      <w:numFmt w:val="bullet"/>
      <w:lvlText w:val=""/>
      <w:lvlJc w:val="left"/>
      <w:pPr>
        <w:tabs>
          <w:tab w:val="num" w:pos="1094"/>
        </w:tabs>
        <w:ind w:left="734" w:firstLine="0"/>
      </w:pPr>
      <w:rPr>
        <w:rFonts w:ascii="Symbol" w:hAnsi="Symbol" w:hint="default"/>
        <w:b w:val="0"/>
        <w:i w:val="0"/>
        <w:sz w:val="24"/>
      </w:rPr>
    </w:lvl>
    <w:lvl w:ilvl="1">
      <w:start w:val="1"/>
      <w:numFmt w:val="decimal"/>
      <w:lvlText w:val="%1.%2."/>
      <w:lvlJc w:val="left"/>
      <w:pPr>
        <w:tabs>
          <w:tab w:val="num" w:pos="1526"/>
        </w:tabs>
        <w:ind w:left="1526" w:hanging="432"/>
      </w:pPr>
    </w:lvl>
    <w:lvl w:ilvl="2">
      <w:start w:val="1"/>
      <w:numFmt w:val="decimal"/>
      <w:lvlText w:val="%1.%2.%3."/>
      <w:lvlJc w:val="left"/>
      <w:pPr>
        <w:tabs>
          <w:tab w:val="num" w:pos="2174"/>
        </w:tabs>
        <w:ind w:left="1958" w:hanging="504"/>
      </w:pPr>
    </w:lvl>
    <w:lvl w:ilvl="3">
      <w:start w:val="1"/>
      <w:numFmt w:val="decimal"/>
      <w:lvlText w:val="%1.%2.%3.%4."/>
      <w:lvlJc w:val="left"/>
      <w:pPr>
        <w:tabs>
          <w:tab w:val="num" w:pos="2462"/>
        </w:tabs>
        <w:ind w:left="2462" w:hanging="648"/>
      </w:pPr>
    </w:lvl>
    <w:lvl w:ilvl="4">
      <w:start w:val="1"/>
      <w:numFmt w:val="decimal"/>
      <w:lvlText w:val="%1.%2.%3.%4.%5."/>
      <w:lvlJc w:val="left"/>
      <w:pPr>
        <w:tabs>
          <w:tab w:val="num" w:pos="3254"/>
        </w:tabs>
        <w:ind w:left="2966" w:hanging="792"/>
      </w:pPr>
    </w:lvl>
    <w:lvl w:ilvl="5">
      <w:start w:val="1"/>
      <w:numFmt w:val="decimal"/>
      <w:lvlText w:val="%1.%2.%3.%4.%5.%6."/>
      <w:lvlJc w:val="left"/>
      <w:pPr>
        <w:tabs>
          <w:tab w:val="num" w:pos="3974"/>
        </w:tabs>
        <w:ind w:left="3470" w:hanging="936"/>
      </w:pPr>
    </w:lvl>
    <w:lvl w:ilvl="6">
      <w:start w:val="1"/>
      <w:numFmt w:val="decimal"/>
      <w:lvlText w:val="%1.%2.%3.%4.%5.%6.%7."/>
      <w:lvlJc w:val="left"/>
      <w:pPr>
        <w:tabs>
          <w:tab w:val="num" w:pos="4334"/>
        </w:tabs>
        <w:ind w:left="3974" w:hanging="1080"/>
      </w:pPr>
    </w:lvl>
    <w:lvl w:ilvl="7">
      <w:start w:val="1"/>
      <w:numFmt w:val="decimal"/>
      <w:lvlText w:val="%1.%2.%3.%4.%5.%6.%7.%8."/>
      <w:lvlJc w:val="left"/>
      <w:pPr>
        <w:tabs>
          <w:tab w:val="num" w:pos="5054"/>
        </w:tabs>
        <w:ind w:left="4478" w:hanging="1224"/>
      </w:pPr>
    </w:lvl>
    <w:lvl w:ilvl="8">
      <w:start w:val="1"/>
      <w:numFmt w:val="decimal"/>
      <w:lvlText w:val="%1.%2.%3.%4.%5.%6.%7.%8.%9."/>
      <w:lvlJc w:val="left"/>
      <w:pPr>
        <w:tabs>
          <w:tab w:val="num" w:pos="5774"/>
        </w:tabs>
        <w:ind w:left="5054" w:hanging="1440"/>
      </w:pPr>
    </w:lvl>
  </w:abstractNum>
  <w:abstractNum w:abstractNumId="38" w15:restartNumberingAfterBreak="0">
    <w:nsid w:val="794646DC"/>
    <w:multiLevelType w:val="multilevel"/>
    <w:tmpl w:val="CDC241C6"/>
    <w:lvl w:ilvl="0">
      <w:start w:val="1"/>
      <w:numFmt w:val="bullet"/>
      <w:lvlText w:val=""/>
      <w:lvlJc w:val="left"/>
      <w:pPr>
        <w:tabs>
          <w:tab w:val="num" w:pos="1094"/>
        </w:tabs>
        <w:ind w:left="734" w:firstLine="0"/>
      </w:pPr>
      <w:rPr>
        <w:rFonts w:ascii="Symbol" w:hAnsi="Symbol" w:hint="default"/>
        <w:b w:val="0"/>
        <w:i w:val="0"/>
        <w:sz w:val="24"/>
      </w:rPr>
    </w:lvl>
    <w:lvl w:ilvl="1">
      <w:start w:val="1"/>
      <w:numFmt w:val="decimal"/>
      <w:lvlText w:val="%1.%2."/>
      <w:lvlJc w:val="left"/>
      <w:pPr>
        <w:tabs>
          <w:tab w:val="num" w:pos="1526"/>
        </w:tabs>
        <w:ind w:left="1526" w:hanging="432"/>
      </w:pPr>
    </w:lvl>
    <w:lvl w:ilvl="2">
      <w:start w:val="1"/>
      <w:numFmt w:val="decimal"/>
      <w:lvlText w:val="%1.%2.%3."/>
      <w:lvlJc w:val="left"/>
      <w:pPr>
        <w:tabs>
          <w:tab w:val="num" w:pos="2174"/>
        </w:tabs>
        <w:ind w:left="1958" w:hanging="504"/>
      </w:pPr>
    </w:lvl>
    <w:lvl w:ilvl="3">
      <w:start w:val="1"/>
      <w:numFmt w:val="decimal"/>
      <w:lvlText w:val="%1.%2.%3.%4."/>
      <w:lvlJc w:val="left"/>
      <w:pPr>
        <w:tabs>
          <w:tab w:val="num" w:pos="2462"/>
        </w:tabs>
        <w:ind w:left="2462" w:hanging="648"/>
      </w:pPr>
    </w:lvl>
    <w:lvl w:ilvl="4">
      <w:start w:val="1"/>
      <w:numFmt w:val="decimal"/>
      <w:lvlText w:val="%1.%2.%3.%4.%5."/>
      <w:lvlJc w:val="left"/>
      <w:pPr>
        <w:tabs>
          <w:tab w:val="num" w:pos="3254"/>
        </w:tabs>
        <w:ind w:left="2966" w:hanging="792"/>
      </w:pPr>
    </w:lvl>
    <w:lvl w:ilvl="5">
      <w:start w:val="1"/>
      <w:numFmt w:val="decimal"/>
      <w:lvlText w:val="%1.%2.%3.%4.%5.%6."/>
      <w:lvlJc w:val="left"/>
      <w:pPr>
        <w:tabs>
          <w:tab w:val="num" w:pos="3974"/>
        </w:tabs>
        <w:ind w:left="3470" w:hanging="936"/>
      </w:pPr>
    </w:lvl>
    <w:lvl w:ilvl="6">
      <w:start w:val="1"/>
      <w:numFmt w:val="decimal"/>
      <w:lvlText w:val="%1.%2.%3.%4.%5.%6.%7."/>
      <w:lvlJc w:val="left"/>
      <w:pPr>
        <w:tabs>
          <w:tab w:val="num" w:pos="4334"/>
        </w:tabs>
        <w:ind w:left="3974" w:hanging="1080"/>
      </w:pPr>
    </w:lvl>
    <w:lvl w:ilvl="7">
      <w:start w:val="1"/>
      <w:numFmt w:val="decimal"/>
      <w:lvlText w:val="%1.%2.%3.%4.%5.%6.%7.%8."/>
      <w:lvlJc w:val="left"/>
      <w:pPr>
        <w:tabs>
          <w:tab w:val="num" w:pos="5054"/>
        </w:tabs>
        <w:ind w:left="4478" w:hanging="1224"/>
      </w:pPr>
    </w:lvl>
    <w:lvl w:ilvl="8">
      <w:start w:val="1"/>
      <w:numFmt w:val="decimal"/>
      <w:lvlText w:val="%1.%2.%3.%4.%5.%6.%7.%8.%9."/>
      <w:lvlJc w:val="left"/>
      <w:pPr>
        <w:tabs>
          <w:tab w:val="num" w:pos="5774"/>
        </w:tabs>
        <w:ind w:left="5054" w:hanging="1440"/>
      </w:pPr>
    </w:lvl>
  </w:abstractNum>
  <w:abstractNum w:abstractNumId="39" w15:restartNumberingAfterBreak="0">
    <w:nsid w:val="7A5B3B7E"/>
    <w:multiLevelType w:val="hybridMultilevel"/>
    <w:tmpl w:val="20AE0B24"/>
    <w:lvl w:ilvl="0" w:tplc="F7AC175E">
      <w:start w:val="1"/>
      <w:numFmt w:val="bullet"/>
      <w:lvlText w:val=""/>
      <w:lvlJc w:val="left"/>
      <w:pPr>
        <w:ind w:left="720" w:hanging="360"/>
      </w:pPr>
      <w:rPr>
        <w:rFonts w:ascii="Symbol" w:hAnsi="Symbol" w:hint="default"/>
      </w:rPr>
    </w:lvl>
    <w:lvl w:ilvl="1" w:tplc="C4A68D7E" w:tentative="1">
      <w:start w:val="1"/>
      <w:numFmt w:val="bullet"/>
      <w:lvlText w:val="o"/>
      <w:lvlJc w:val="left"/>
      <w:pPr>
        <w:ind w:left="1440" w:hanging="360"/>
      </w:pPr>
      <w:rPr>
        <w:rFonts w:ascii="Courier New" w:hAnsi="Courier New" w:cs="Courier New" w:hint="default"/>
      </w:rPr>
    </w:lvl>
    <w:lvl w:ilvl="2" w:tplc="854A0C38" w:tentative="1">
      <w:start w:val="1"/>
      <w:numFmt w:val="bullet"/>
      <w:lvlText w:val=""/>
      <w:lvlJc w:val="left"/>
      <w:pPr>
        <w:ind w:left="2160" w:hanging="360"/>
      </w:pPr>
      <w:rPr>
        <w:rFonts w:ascii="Wingdings" w:hAnsi="Wingdings" w:hint="default"/>
      </w:rPr>
    </w:lvl>
    <w:lvl w:ilvl="3" w:tplc="2AA68044" w:tentative="1">
      <w:start w:val="1"/>
      <w:numFmt w:val="bullet"/>
      <w:lvlText w:val=""/>
      <w:lvlJc w:val="left"/>
      <w:pPr>
        <w:ind w:left="2880" w:hanging="360"/>
      </w:pPr>
      <w:rPr>
        <w:rFonts w:ascii="Symbol" w:hAnsi="Symbol" w:hint="default"/>
      </w:rPr>
    </w:lvl>
    <w:lvl w:ilvl="4" w:tplc="1606259A" w:tentative="1">
      <w:start w:val="1"/>
      <w:numFmt w:val="bullet"/>
      <w:lvlText w:val="o"/>
      <w:lvlJc w:val="left"/>
      <w:pPr>
        <w:ind w:left="3600" w:hanging="360"/>
      </w:pPr>
      <w:rPr>
        <w:rFonts w:ascii="Courier New" w:hAnsi="Courier New" w:cs="Courier New" w:hint="default"/>
      </w:rPr>
    </w:lvl>
    <w:lvl w:ilvl="5" w:tplc="C9CE9B7A" w:tentative="1">
      <w:start w:val="1"/>
      <w:numFmt w:val="bullet"/>
      <w:lvlText w:val=""/>
      <w:lvlJc w:val="left"/>
      <w:pPr>
        <w:ind w:left="4320" w:hanging="360"/>
      </w:pPr>
      <w:rPr>
        <w:rFonts w:ascii="Wingdings" w:hAnsi="Wingdings" w:hint="default"/>
      </w:rPr>
    </w:lvl>
    <w:lvl w:ilvl="6" w:tplc="0A4EB986" w:tentative="1">
      <w:start w:val="1"/>
      <w:numFmt w:val="bullet"/>
      <w:lvlText w:val=""/>
      <w:lvlJc w:val="left"/>
      <w:pPr>
        <w:ind w:left="5040" w:hanging="360"/>
      </w:pPr>
      <w:rPr>
        <w:rFonts w:ascii="Symbol" w:hAnsi="Symbol" w:hint="default"/>
      </w:rPr>
    </w:lvl>
    <w:lvl w:ilvl="7" w:tplc="D26871FA" w:tentative="1">
      <w:start w:val="1"/>
      <w:numFmt w:val="bullet"/>
      <w:lvlText w:val="o"/>
      <w:lvlJc w:val="left"/>
      <w:pPr>
        <w:ind w:left="5760" w:hanging="360"/>
      </w:pPr>
      <w:rPr>
        <w:rFonts w:ascii="Courier New" w:hAnsi="Courier New" w:cs="Courier New" w:hint="default"/>
      </w:rPr>
    </w:lvl>
    <w:lvl w:ilvl="8" w:tplc="2672541A" w:tentative="1">
      <w:start w:val="1"/>
      <w:numFmt w:val="bullet"/>
      <w:lvlText w:val=""/>
      <w:lvlJc w:val="left"/>
      <w:pPr>
        <w:ind w:left="6480" w:hanging="360"/>
      </w:pPr>
      <w:rPr>
        <w:rFonts w:ascii="Wingdings" w:hAnsi="Wingdings" w:hint="default"/>
      </w:rPr>
    </w:lvl>
  </w:abstractNum>
  <w:abstractNum w:abstractNumId="40" w15:restartNumberingAfterBreak="0">
    <w:nsid w:val="7C04094B"/>
    <w:multiLevelType w:val="hybridMultilevel"/>
    <w:tmpl w:val="60040B9A"/>
    <w:lvl w:ilvl="0" w:tplc="3F9E1A98">
      <w:start w:val="1"/>
      <w:numFmt w:val="bullet"/>
      <w:lvlText w:val=""/>
      <w:lvlJc w:val="left"/>
      <w:pPr>
        <w:ind w:left="1440" w:hanging="360"/>
      </w:pPr>
      <w:rPr>
        <w:rFonts w:ascii="Symbol" w:hAnsi="Symbol" w:hint="default"/>
      </w:rPr>
    </w:lvl>
    <w:lvl w:ilvl="1" w:tplc="A65A6FF0" w:tentative="1">
      <w:start w:val="1"/>
      <w:numFmt w:val="bullet"/>
      <w:lvlText w:val="o"/>
      <w:lvlJc w:val="left"/>
      <w:pPr>
        <w:ind w:left="2160" w:hanging="360"/>
      </w:pPr>
      <w:rPr>
        <w:rFonts w:ascii="Courier New" w:hAnsi="Courier New" w:cs="Courier New" w:hint="default"/>
      </w:rPr>
    </w:lvl>
    <w:lvl w:ilvl="2" w:tplc="BAE8EA22" w:tentative="1">
      <w:start w:val="1"/>
      <w:numFmt w:val="bullet"/>
      <w:lvlText w:val=""/>
      <w:lvlJc w:val="left"/>
      <w:pPr>
        <w:ind w:left="2880" w:hanging="360"/>
      </w:pPr>
      <w:rPr>
        <w:rFonts w:ascii="Wingdings" w:hAnsi="Wingdings" w:hint="default"/>
      </w:rPr>
    </w:lvl>
    <w:lvl w:ilvl="3" w:tplc="D5A0EB3A" w:tentative="1">
      <w:start w:val="1"/>
      <w:numFmt w:val="bullet"/>
      <w:lvlText w:val=""/>
      <w:lvlJc w:val="left"/>
      <w:pPr>
        <w:ind w:left="3600" w:hanging="360"/>
      </w:pPr>
      <w:rPr>
        <w:rFonts w:ascii="Symbol" w:hAnsi="Symbol" w:hint="default"/>
      </w:rPr>
    </w:lvl>
    <w:lvl w:ilvl="4" w:tplc="B164B7D2" w:tentative="1">
      <w:start w:val="1"/>
      <w:numFmt w:val="bullet"/>
      <w:lvlText w:val="o"/>
      <w:lvlJc w:val="left"/>
      <w:pPr>
        <w:ind w:left="4320" w:hanging="360"/>
      </w:pPr>
      <w:rPr>
        <w:rFonts w:ascii="Courier New" w:hAnsi="Courier New" w:cs="Courier New" w:hint="default"/>
      </w:rPr>
    </w:lvl>
    <w:lvl w:ilvl="5" w:tplc="8BF49ED6" w:tentative="1">
      <w:start w:val="1"/>
      <w:numFmt w:val="bullet"/>
      <w:lvlText w:val=""/>
      <w:lvlJc w:val="left"/>
      <w:pPr>
        <w:ind w:left="5040" w:hanging="360"/>
      </w:pPr>
      <w:rPr>
        <w:rFonts w:ascii="Wingdings" w:hAnsi="Wingdings" w:hint="default"/>
      </w:rPr>
    </w:lvl>
    <w:lvl w:ilvl="6" w:tplc="00725F02" w:tentative="1">
      <w:start w:val="1"/>
      <w:numFmt w:val="bullet"/>
      <w:lvlText w:val=""/>
      <w:lvlJc w:val="left"/>
      <w:pPr>
        <w:ind w:left="5760" w:hanging="360"/>
      </w:pPr>
      <w:rPr>
        <w:rFonts w:ascii="Symbol" w:hAnsi="Symbol" w:hint="default"/>
      </w:rPr>
    </w:lvl>
    <w:lvl w:ilvl="7" w:tplc="33EC51E2" w:tentative="1">
      <w:start w:val="1"/>
      <w:numFmt w:val="bullet"/>
      <w:lvlText w:val="o"/>
      <w:lvlJc w:val="left"/>
      <w:pPr>
        <w:ind w:left="6480" w:hanging="360"/>
      </w:pPr>
      <w:rPr>
        <w:rFonts w:ascii="Courier New" w:hAnsi="Courier New" w:cs="Courier New" w:hint="default"/>
      </w:rPr>
    </w:lvl>
    <w:lvl w:ilvl="8" w:tplc="DBFAABC0" w:tentative="1">
      <w:start w:val="1"/>
      <w:numFmt w:val="bullet"/>
      <w:lvlText w:val=""/>
      <w:lvlJc w:val="left"/>
      <w:pPr>
        <w:ind w:left="7200" w:hanging="360"/>
      </w:pPr>
      <w:rPr>
        <w:rFonts w:ascii="Wingdings" w:hAnsi="Wingdings" w:hint="default"/>
      </w:rPr>
    </w:lvl>
  </w:abstractNum>
  <w:abstractNum w:abstractNumId="41" w15:restartNumberingAfterBreak="0">
    <w:nsid w:val="7DA454D7"/>
    <w:multiLevelType w:val="hybridMultilevel"/>
    <w:tmpl w:val="1AAEDF46"/>
    <w:lvl w:ilvl="0" w:tplc="06FAF150">
      <w:start w:val="81"/>
      <w:numFmt w:val="decimal"/>
      <w:lvlText w:val="%1"/>
      <w:lvlJc w:val="left"/>
      <w:pPr>
        <w:ind w:left="720" w:hanging="360"/>
      </w:pPr>
      <w:rPr>
        <w:rFonts w:hint="default"/>
        <w:i/>
      </w:rPr>
    </w:lvl>
    <w:lvl w:ilvl="1" w:tplc="49B6230E" w:tentative="1">
      <w:start w:val="1"/>
      <w:numFmt w:val="lowerLetter"/>
      <w:lvlText w:val="%2."/>
      <w:lvlJc w:val="left"/>
      <w:pPr>
        <w:ind w:left="1440" w:hanging="360"/>
      </w:pPr>
    </w:lvl>
    <w:lvl w:ilvl="2" w:tplc="3E128730" w:tentative="1">
      <w:start w:val="1"/>
      <w:numFmt w:val="lowerRoman"/>
      <w:lvlText w:val="%3."/>
      <w:lvlJc w:val="right"/>
      <w:pPr>
        <w:ind w:left="2160" w:hanging="180"/>
      </w:pPr>
    </w:lvl>
    <w:lvl w:ilvl="3" w:tplc="B6E61832" w:tentative="1">
      <w:start w:val="1"/>
      <w:numFmt w:val="decimal"/>
      <w:lvlText w:val="%4."/>
      <w:lvlJc w:val="left"/>
      <w:pPr>
        <w:ind w:left="2880" w:hanging="360"/>
      </w:pPr>
    </w:lvl>
    <w:lvl w:ilvl="4" w:tplc="BD5AA5A4" w:tentative="1">
      <w:start w:val="1"/>
      <w:numFmt w:val="lowerLetter"/>
      <w:lvlText w:val="%5."/>
      <w:lvlJc w:val="left"/>
      <w:pPr>
        <w:ind w:left="3600" w:hanging="360"/>
      </w:pPr>
    </w:lvl>
    <w:lvl w:ilvl="5" w:tplc="185E491A" w:tentative="1">
      <w:start w:val="1"/>
      <w:numFmt w:val="lowerRoman"/>
      <w:lvlText w:val="%6."/>
      <w:lvlJc w:val="right"/>
      <w:pPr>
        <w:ind w:left="4320" w:hanging="180"/>
      </w:pPr>
    </w:lvl>
    <w:lvl w:ilvl="6" w:tplc="F154E772" w:tentative="1">
      <w:start w:val="1"/>
      <w:numFmt w:val="decimal"/>
      <w:lvlText w:val="%7."/>
      <w:lvlJc w:val="left"/>
      <w:pPr>
        <w:ind w:left="5040" w:hanging="360"/>
      </w:pPr>
    </w:lvl>
    <w:lvl w:ilvl="7" w:tplc="AA0641AE" w:tentative="1">
      <w:start w:val="1"/>
      <w:numFmt w:val="lowerLetter"/>
      <w:lvlText w:val="%8."/>
      <w:lvlJc w:val="left"/>
      <w:pPr>
        <w:ind w:left="5760" w:hanging="360"/>
      </w:pPr>
    </w:lvl>
    <w:lvl w:ilvl="8" w:tplc="35D0EE4C" w:tentative="1">
      <w:start w:val="1"/>
      <w:numFmt w:val="lowerRoman"/>
      <w:lvlText w:val="%9."/>
      <w:lvlJc w:val="right"/>
      <w:pPr>
        <w:ind w:left="6480" w:hanging="180"/>
      </w:pPr>
    </w:lvl>
  </w:abstractNum>
  <w:abstractNum w:abstractNumId="42" w15:restartNumberingAfterBreak="0">
    <w:nsid w:val="7F6D51D7"/>
    <w:multiLevelType w:val="hybridMultilevel"/>
    <w:tmpl w:val="CA0A8B74"/>
    <w:lvl w:ilvl="0" w:tplc="A0B26C9A">
      <w:start w:val="1"/>
      <w:numFmt w:val="decimal"/>
      <w:lvlText w:val="%1."/>
      <w:lvlJc w:val="left"/>
      <w:pPr>
        <w:ind w:left="1760" w:hanging="360"/>
      </w:pPr>
    </w:lvl>
    <w:lvl w:ilvl="1" w:tplc="CD7ED986">
      <w:start w:val="1"/>
      <w:numFmt w:val="decimal"/>
      <w:lvlText w:val="%2."/>
      <w:lvlJc w:val="left"/>
      <w:pPr>
        <w:ind w:left="1760" w:hanging="360"/>
      </w:pPr>
    </w:lvl>
    <w:lvl w:ilvl="2" w:tplc="895E5AAE">
      <w:start w:val="1"/>
      <w:numFmt w:val="decimal"/>
      <w:lvlText w:val="%3."/>
      <w:lvlJc w:val="left"/>
      <w:pPr>
        <w:ind w:left="1760" w:hanging="360"/>
      </w:pPr>
    </w:lvl>
    <w:lvl w:ilvl="3" w:tplc="22626E08">
      <w:start w:val="1"/>
      <w:numFmt w:val="decimal"/>
      <w:lvlText w:val="%4."/>
      <w:lvlJc w:val="left"/>
      <w:pPr>
        <w:ind w:left="1760" w:hanging="360"/>
      </w:pPr>
    </w:lvl>
    <w:lvl w:ilvl="4" w:tplc="AB30D302">
      <w:start w:val="1"/>
      <w:numFmt w:val="decimal"/>
      <w:lvlText w:val="%5."/>
      <w:lvlJc w:val="left"/>
      <w:pPr>
        <w:ind w:left="1760" w:hanging="360"/>
      </w:pPr>
    </w:lvl>
    <w:lvl w:ilvl="5" w:tplc="A398741A">
      <w:start w:val="1"/>
      <w:numFmt w:val="decimal"/>
      <w:lvlText w:val="%6."/>
      <w:lvlJc w:val="left"/>
      <w:pPr>
        <w:ind w:left="1760" w:hanging="360"/>
      </w:pPr>
    </w:lvl>
    <w:lvl w:ilvl="6" w:tplc="AE0446EA">
      <w:start w:val="1"/>
      <w:numFmt w:val="decimal"/>
      <w:lvlText w:val="%7."/>
      <w:lvlJc w:val="left"/>
      <w:pPr>
        <w:ind w:left="1760" w:hanging="360"/>
      </w:pPr>
    </w:lvl>
    <w:lvl w:ilvl="7" w:tplc="FD80D842">
      <w:start w:val="1"/>
      <w:numFmt w:val="decimal"/>
      <w:lvlText w:val="%8."/>
      <w:lvlJc w:val="left"/>
      <w:pPr>
        <w:ind w:left="1760" w:hanging="360"/>
      </w:pPr>
    </w:lvl>
    <w:lvl w:ilvl="8" w:tplc="08B08FB0">
      <w:start w:val="1"/>
      <w:numFmt w:val="decimal"/>
      <w:lvlText w:val="%9."/>
      <w:lvlJc w:val="left"/>
      <w:pPr>
        <w:ind w:left="1760" w:hanging="360"/>
      </w:pPr>
    </w:lvl>
  </w:abstractNum>
  <w:num w:numId="1" w16cid:durableId="1043561529">
    <w:abstractNumId w:val="34"/>
  </w:num>
  <w:num w:numId="2" w16cid:durableId="1655714757">
    <w:abstractNumId w:val="34"/>
  </w:num>
  <w:num w:numId="3" w16cid:durableId="851992843">
    <w:abstractNumId w:val="34"/>
  </w:num>
  <w:num w:numId="4" w16cid:durableId="944387060">
    <w:abstractNumId w:val="8"/>
  </w:num>
  <w:num w:numId="5" w16cid:durableId="454835156">
    <w:abstractNumId w:val="3"/>
  </w:num>
  <w:num w:numId="6" w16cid:durableId="1127968486">
    <w:abstractNumId w:val="2"/>
  </w:num>
  <w:num w:numId="7" w16cid:durableId="1698703063">
    <w:abstractNumId w:val="1"/>
  </w:num>
  <w:num w:numId="8" w16cid:durableId="549809813">
    <w:abstractNumId w:val="0"/>
  </w:num>
  <w:num w:numId="9" w16cid:durableId="637105310">
    <w:abstractNumId w:val="9"/>
  </w:num>
  <w:num w:numId="10" w16cid:durableId="2104185785">
    <w:abstractNumId w:val="7"/>
  </w:num>
  <w:num w:numId="11" w16cid:durableId="356272286">
    <w:abstractNumId w:val="6"/>
  </w:num>
  <w:num w:numId="12" w16cid:durableId="1451238438">
    <w:abstractNumId w:val="5"/>
  </w:num>
  <w:num w:numId="13" w16cid:durableId="1841458642">
    <w:abstractNumId w:val="4"/>
  </w:num>
  <w:num w:numId="14" w16cid:durableId="1305163685">
    <w:abstractNumId w:val="22"/>
  </w:num>
  <w:num w:numId="15" w16cid:durableId="1729301390">
    <w:abstractNumId w:val="30"/>
  </w:num>
  <w:num w:numId="16" w16cid:durableId="869681282">
    <w:abstractNumId w:val="36"/>
  </w:num>
  <w:num w:numId="17" w16cid:durableId="2020229335">
    <w:abstractNumId w:val="13"/>
  </w:num>
  <w:num w:numId="18" w16cid:durableId="1226187827">
    <w:abstractNumId w:val="28"/>
  </w:num>
  <w:num w:numId="19" w16cid:durableId="997465609">
    <w:abstractNumId w:val="12"/>
  </w:num>
  <w:num w:numId="20" w16cid:durableId="140855526">
    <w:abstractNumId w:val="24"/>
  </w:num>
  <w:num w:numId="21" w16cid:durableId="29914122">
    <w:abstractNumId w:val="10"/>
  </w:num>
  <w:num w:numId="22" w16cid:durableId="2141222167">
    <w:abstractNumId w:val="16"/>
  </w:num>
  <w:num w:numId="23" w16cid:durableId="839082501">
    <w:abstractNumId w:val="33"/>
  </w:num>
  <w:num w:numId="24" w16cid:durableId="1944458240">
    <w:abstractNumId w:val="39"/>
  </w:num>
  <w:num w:numId="25" w16cid:durableId="1252085317">
    <w:abstractNumId w:val="19"/>
  </w:num>
  <w:num w:numId="26" w16cid:durableId="907227293">
    <w:abstractNumId w:val="41"/>
  </w:num>
  <w:num w:numId="27" w16cid:durableId="2124377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3906929">
    <w:abstractNumId w:val="32"/>
  </w:num>
  <w:num w:numId="29" w16cid:durableId="182791273">
    <w:abstractNumId w:val="40"/>
  </w:num>
  <w:num w:numId="30" w16cid:durableId="956638121">
    <w:abstractNumId w:val="26"/>
  </w:num>
  <w:num w:numId="31" w16cid:durableId="1046610586">
    <w:abstractNumId w:val="35"/>
  </w:num>
  <w:num w:numId="32" w16cid:durableId="1341541337">
    <w:abstractNumId w:val="23"/>
  </w:num>
  <w:num w:numId="33" w16cid:durableId="1411611719">
    <w:abstractNumId w:val="15"/>
  </w:num>
  <w:num w:numId="34" w16cid:durableId="661933495">
    <w:abstractNumId w:val="21"/>
  </w:num>
  <w:num w:numId="35" w16cid:durableId="1576089117">
    <w:abstractNumId w:val="27"/>
  </w:num>
  <w:num w:numId="36" w16cid:durableId="841360367">
    <w:abstractNumId w:val="14"/>
  </w:num>
  <w:num w:numId="37" w16cid:durableId="2049573383">
    <w:abstractNumId w:val="11"/>
  </w:num>
  <w:num w:numId="38" w16cid:durableId="1872112698">
    <w:abstractNumId w:val="34"/>
  </w:num>
  <w:num w:numId="39" w16cid:durableId="621108489">
    <w:abstractNumId w:val="31"/>
  </w:num>
  <w:num w:numId="40" w16cid:durableId="849029837">
    <w:abstractNumId w:val="25"/>
  </w:num>
  <w:num w:numId="41" w16cid:durableId="527914478">
    <w:abstractNumId w:val="34"/>
  </w:num>
  <w:num w:numId="42" w16cid:durableId="1263029777">
    <w:abstractNumId w:val="38"/>
  </w:num>
  <w:num w:numId="43" w16cid:durableId="895554310">
    <w:abstractNumId w:val="37"/>
  </w:num>
  <w:num w:numId="44" w16cid:durableId="1131169385">
    <w:abstractNumId w:val="20"/>
  </w:num>
  <w:num w:numId="45" w16cid:durableId="414862446">
    <w:abstractNumId w:val="34"/>
  </w:num>
  <w:num w:numId="46" w16cid:durableId="1768193621">
    <w:abstractNumId w:val="18"/>
  </w:num>
  <w:num w:numId="47" w16cid:durableId="2035106001">
    <w:abstractNumId w:val="34"/>
  </w:num>
  <w:num w:numId="48" w16cid:durableId="615914978">
    <w:abstractNumId w:val="34"/>
  </w:num>
  <w:num w:numId="49" w16cid:durableId="789015528">
    <w:abstractNumId w:val="17"/>
  </w:num>
  <w:num w:numId="50" w16cid:durableId="1916427845">
    <w:abstractNumId w:val="34"/>
  </w:num>
  <w:num w:numId="51" w16cid:durableId="122964404">
    <w:abstractNumId w:val="42"/>
  </w:num>
  <w:num w:numId="52" w16cid:durableId="1656030665">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45"/>
    <w:rsid w:val="00000192"/>
    <w:rsid w:val="00002E0E"/>
    <w:rsid w:val="000062DD"/>
    <w:rsid w:val="00007029"/>
    <w:rsid w:val="000079B6"/>
    <w:rsid w:val="00015660"/>
    <w:rsid w:val="0001717C"/>
    <w:rsid w:val="000174B2"/>
    <w:rsid w:val="00017E63"/>
    <w:rsid w:val="00020995"/>
    <w:rsid w:val="00021EDA"/>
    <w:rsid w:val="000228F6"/>
    <w:rsid w:val="00025024"/>
    <w:rsid w:val="000258D8"/>
    <w:rsid w:val="00025B49"/>
    <w:rsid w:val="000278CF"/>
    <w:rsid w:val="00030601"/>
    <w:rsid w:val="00031EA3"/>
    <w:rsid w:val="00033289"/>
    <w:rsid w:val="00034E1A"/>
    <w:rsid w:val="00040566"/>
    <w:rsid w:val="00040F4A"/>
    <w:rsid w:val="00041C78"/>
    <w:rsid w:val="00043800"/>
    <w:rsid w:val="0004434F"/>
    <w:rsid w:val="00044B9B"/>
    <w:rsid w:val="00045994"/>
    <w:rsid w:val="00047D1F"/>
    <w:rsid w:val="00050790"/>
    <w:rsid w:val="00050BF8"/>
    <w:rsid w:val="000510FE"/>
    <w:rsid w:val="000513D4"/>
    <w:rsid w:val="00055A82"/>
    <w:rsid w:val="00056E44"/>
    <w:rsid w:val="00056F79"/>
    <w:rsid w:val="000612F9"/>
    <w:rsid w:val="00061C0F"/>
    <w:rsid w:val="000630B2"/>
    <w:rsid w:val="00064C17"/>
    <w:rsid w:val="00065798"/>
    <w:rsid w:val="00070D52"/>
    <w:rsid w:val="00070D64"/>
    <w:rsid w:val="00076578"/>
    <w:rsid w:val="00077DC4"/>
    <w:rsid w:val="00077F37"/>
    <w:rsid w:val="00077FC9"/>
    <w:rsid w:val="00080F96"/>
    <w:rsid w:val="000817B5"/>
    <w:rsid w:val="00082F99"/>
    <w:rsid w:val="000846D1"/>
    <w:rsid w:val="0008651B"/>
    <w:rsid w:val="00090DB6"/>
    <w:rsid w:val="000918DF"/>
    <w:rsid w:val="00091BD4"/>
    <w:rsid w:val="000920F1"/>
    <w:rsid w:val="00092B2F"/>
    <w:rsid w:val="00096336"/>
    <w:rsid w:val="00096962"/>
    <w:rsid w:val="00096974"/>
    <w:rsid w:val="000974B4"/>
    <w:rsid w:val="000976EC"/>
    <w:rsid w:val="000A1398"/>
    <w:rsid w:val="000A47B7"/>
    <w:rsid w:val="000A5BA2"/>
    <w:rsid w:val="000A7FF4"/>
    <w:rsid w:val="000B1CB3"/>
    <w:rsid w:val="000B4627"/>
    <w:rsid w:val="000B4742"/>
    <w:rsid w:val="000B596C"/>
    <w:rsid w:val="000B61AE"/>
    <w:rsid w:val="000B6CA6"/>
    <w:rsid w:val="000B7475"/>
    <w:rsid w:val="000C0803"/>
    <w:rsid w:val="000C0CDD"/>
    <w:rsid w:val="000C10DE"/>
    <w:rsid w:val="000C2972"/>
    <w:rsid w:val="000C4038"/>
    <w:rsid w:val="000C4299"/>
    <w:rsid w:val="000C51EB"/>
    <w:rsid w:val="000C547C"/>
    <w:rsid w:val="000C6A8D"/>
    <w:rsid w:val="000D01E3"/>
    <w:rsid w:val="000D2B13"/>
    <w:rsid w:val="000D4A94"/>
    <w:rsid w:val="000D5131"/>
    <w:rsid w:val="000D584C"/>
    <w:rsid w:val="000D5DF5"/>
    <w:rsid w:val="000D6A94"/>
    <w:rsid w:val="000D7D77"/>
    <w:rsid w:val="000E1805"/>
    <w:rsid w:val="000E1AD2"/>
    <w:rsid w:val="000E5641"/>
    <w:rsid w:val="000E6CB5"/>
    <w:rsid w:val="000E7B98"/>
    <w:rsid w:val="000F0E1C"/>
    <w:rsid w:val="000F3418"/>
    <w:rsid w:val="000F3674"/>
    <w:rsid w:val="000F551A"/>
    <w:rsid w:val="000F5841"/>
    <w:rsid w:val="000F5C01"/>
    <w:rsid w:val="001019A6"/>
    <w:rsid w:val="00101EB0"/>
    <w:rsid w:val="001026E0"/>
    <w:rsid w:val="0010326D"/>
    <w:rsid w:val="001056FE"/>
    <w:rsid w:val="00105CCF"/>
    <w:rsid w:val="00106AA3"/>
    <w:rsid w:val="00113325"/>
    <w:rsid w:val="00113895"/>
    <w:rsid w:val="00115504"/>
    <w:rsid w:val="00116208"/>
    <w:rsid w:val="001176C8"/>
    <w:rsid w:val="001203D7"/>
    <w:rsid w:val="00121D98"/>
    <w:rsid w:val="00121EE1"/>
    <w:rsid w:val="00122D68"/>
    <w:rsid w:val="001246FC"/>
    <w:rsid w:val="001253DD"/>
    <w:rsid w:val="00125CAA"/>
    <w:rsid w:val="00125DD9"/>
    <w:rsid w:val="00127140"/>
    <w:rsid w:val="00127349"/>
    <w:rsid w:val="0013089B"/>
    <w:rsid w:val="00130CE3"/>
    <w:rsid w:val="0013105C"/>
    <w:rsid w:val="00131E84"/>
    <w:rsid w:val="001326F4"/>
    <w:rsid w:val="001329D0"/>
    <w:rsid w:val="00133822"/>
    <w:rsid w:val="001343FD"/>
    <w:rsid w:val="0013582E"/>
    <w:rsid w:val="00137BF5"/>
    <w:rsid w:val="00140944"/>
    <w:rsid w:val="00146179"/>
    <w:rsid w:val="001461E7"/>
    <w:rsid w:val="00147211"/>
    <w:rsid w:val="0015142D"/>
    <w:rsid w:val="00151BB7"/>
    <w:rsid w:val="00153435"/>
    <w:rsid w:val="001633FB"/>
    <w:rsid w:val="00163E4B"/>
    <w:rsid w:val="00164B12"/>
    <w:rsid w:val="00165BB0"/>
    <w:rsid w:val="001677FD"/>
    <w:rsid w:val="0017082E"/>
    <w:rsid w:val="0017082F"/>
    <w:rsid w:val="00173835"/>
    <w:rsid w:val="0017385C"/>
    <w:rsid w:val="0017455D"/>
    <w:rsid w:val="00175294"/>
    <w:rsid w:val="001761B6"/>
    <w:rsid w:val="00176DA4"/>
    <w:rsid w:val="00181DD9"/>
    <w:rsid w:val="00187245"/>
    <w:rsid w:val="0019005A"/>
    <w:rsid w:val="001942BA"/>
    <w:rsid w:val="00195BD4"/>
    <w:rsid w:val="00196F10"/>
    <w:rsid w:val="00197F93"/>
    <w:rsid w:val="00197FD8"/>
    <w:rsid w:val="00197FFE"/>
    <w:rsid w:val="001A24D1"/>
    <w:rsid w:val="001A2D0D"/>
    <w:rsid w:val="001A4A92"/>
    <w:rsid w:val="001A6735"/>
    <w:rsid w:val="001A72F7"/>
    <w:rsid w:val="001B094F"/>
    <w:rsid w:val="001B12AD"/>
    <w:rsid w:val="001B23F4"/>
    <w:rsid w:val="001B3472"/>
    <w:rsid w:val="001B4B1A"/>
    <w:rsid w:val="001B64E9"/>
    <w:rsid w:val="001B6F12"/>
    <w:rsid w:val="001B70A5"/>
    <w:rsid w:val="001B7B58"/>
    <w:rsid w:val="001C0926"/>
    <w:rsid w:val="001C31B2"/>
    <w:rsid w:val="001C465C"/>
    <w:rsid w:val="001C5DE8"/>
    <w:rsid w:val="001C7325"/>
    <w:rsid w:val="001D1B02"/>
    <w:rsid w:val="001D1FCA"/>
    <w:rsid w:val="001D27BB"/>
    <w:rsid w:val="001D374E"/>
    <w:rsid w:val="001D4954"/>
    <w:rsid w:val="001D4F20"/>
    <w:rsid w:val="001D5A87"/>
    <w:rsid w:val="001D6F4C"/>
    <w:rsid w:val="001D7F57"/>
    <w:rsid w:val="001E0E96"/>
    <w:rsid w:val="001E38E2"/>
    <w:rsid w:val="001E6973"/>
    <w:rsid w:val="001F0168"/>
    <w:rsid w:val="001F1935"/>
    <w:rsid w:val="001F6710"/>
    <w:rsid w:val="00200484"/>
    <w:rsid w:val="002017DF"/>
    <w:rsid w:val="00201F6B"/>
    <w:rsid w:val="0020204D"/>
    <w:rsid w:val="00202FE7"/>
    <w:rsid w:val="00204246"/>
    <w:rsid w:val="002065CE"/>
    <w:rsid w:val="00210727"/>
    <w:rsid w:val="00211555"/>
    <w:rsid w:val="00212712"/>
    <w:rsid w:val="00214699"/>
    <w:rsid w:val="0021619E"/>
    <w:rsid w:val="00221620"/>
    <w:rsid w:val="00221671"/>
    <w:rsid w:val="0022181F"/>
    <w:rsid w:val="0022244A"/>
    <w:rsid w:val="002249DA"/>
    <w:rsid w:val="002275DE"/>
    <w:rsid w:val="002278CC"/>
    <w:rsid w:val="00235000"/>
    <w:rsid w:val="0023503A"/>
    <w:rsid w:val="00235BE6"/>
    <w:rsid w:val="002361A6"/>
    <w:rsid w:val="0023743D"/>
    <w:rsid w:val="00237447"/>
    <w:rsid w:val="002401FE"/>
    <w:rsid w:val="0024032C"/>
    <w:rsid w:val="00242833"/>
    <w:rsid w:val="002432F8"/>
    <w:rsid w:val="00245C2A"/>
    <w:rsid w:val="00246483"/>
    <w:rsid w:val="0024663E"/>
    <w:rsid w:val="002523A4"/>
    <w:rsid w:val="00252E7B"/>
    <w:rsid w:val="00253742"/>
    <w:rsid w:val="00254612"/>
    <w:rsid w:val="00254A27"/>
    <w:rsid w:val="00255B55"/>
    <w:rsid w:val="00255F92"/>
    <w:rsid w:val="0026012C"/>
    <w:rsid w:val="00260D3B"/>
    <w:rsid w:val="00261D70"/>
    <w:rsid w:val="002644A0"/>
    <w:rsid w:val="0026621E"/>
    <w:rsid w:val="0026630B"/>
    <w:rsid w:val="002668B6"/>
    <w:rsid w:val="002700F6"/>
    <w:rsid w:val="00271D64"/>
    <w:rsid w:val="00273F39"/>
    <w:rsid w:val="00274E7C"/>
    <w:rsid w:val="00275CEB"/>
    <w:rsid w:val="002765C3"/>
    <w:rsid w:val="00277F03"/>
    <w:rsid w:val="00277F60"/>
    <w:rsid w:val="00280BA1"/>
    <w:rsid w:val="002826CD"/>
    <w:rsid w:val="0028279E"/>
    <w:rsid w:val="00282E4F"/>
    <w:rsid w:val="00283B4A"/>
    <w:rsid w:val="00283E0B"/>
    <w:rsid w:val="00285402"/>
    <w:rsid w:val="002855D3"/>
    <w:rsid w:val="002862AE"/>
    <w:rsid w:val="00286762"/>
    <w:rsid w:val="0029093E"/>
    <w:rsid w:val="002915CE"/>
    <w:rsid w:val="00293DBD"/>
    <w:rsid w:val="002958AF"/>
    <w:rsid w:val="002A0A97"/>
    <w:rsid w:val="002A3098"/>
    <w:rsid w:val="002A682C"/>
    <w:rsid w:val="002A739F"/>
    <w:rsid w:val="002A74CA"/>
    <w:rsid w:val="002B4D37"/>
    <w:rsid w:val="002B5110"/>
    <w:rsid w:val="002B54EA"/>
    <w:rsid w:val="002B6A51"/>
    <w:rsid w:val="002C037E"/>
    <w:rsid w:val="002C15A7"/>
    <w:rsid w:val="002C3584"/>
    <w:rsid w:val="002C5AA6"/>
    <w:rsid w:val="002C5CBB"/>
    <w:rsid w:val="002D538B"/>
    <w:rsid w:val="002D54FE"/>
    <w:rsid w:val="002D55D5"/>
    <w:rsid w:val="002D585E"/>
    <w:rsid w:val="002D5F28"/>
    <w:rsid w:val="002D7A44"/>
    <w:rsid w:val="002E40BB"/>
    <w:rsid w:val="002E633F"/>
    <w:rsid w:val="002E64A1"/>
    <w:rsid w:val="002E6D98"/>
    <w:rsid w:val="002E6DF1"/>
    <w:rsid w:val="002E7DDD"/>
    <w:rsid w:val="002F1094"/>
    <w:rsid w:val="002F1449"/>
    <w:rsid w:val="002F27FA"/>
    <w:rsid w:val="002F2814"/>
    <w:rsid w:val="002F4A3C"/>
    <w:rsid w:val="002F616E"/>
    <w:rsid w:val="002F6700"/>
    <w:rsid w:val="002F67A3"/>
    <w:rsid w:val="002F73C2"/>
    <w:rsid w:val="002F777A"/>
    <w:rsid w:val="0030017F"/>
    <w:rsid w:val="003002C1"/>
    <w:rsid w:val="00300C00"/>
    <w:rsid w:val="00300EA6"/>
    <w:rsid w:val="003014C9"/>
    <w:rsid w:val="0030410D"/>
    <w:rsid w:val="0030553F"/>
    <w:rsid w:val="00306A59"/>
    <w:rsid w:val="00306F7A"/>
    <w:rsid w:val="0031064A"/>
    <w:rsid w:val="00310B07"/>
    <w:rsid w:val="003114EE"/>
    <w:rsid w:val="0031155B"/>
    <w:rsid w:val="00312659"/>
    <w:rsid w:val="00313339"/>
    <w:rsid w:val="00313F80"/>
    <w:rsid w:val="003175EA"/>
    <w:rsid w:val="00317782"/>
    <w:rsid w:val="00320036"/>
    <w:rsid w:val="00324101"/>
    <w:rsid w:val="00330C54"/>
    <w:rsid w:val="00331BD0"/>
    <w:rsid w:val="0033396F"/>
    <w:rsid w:val="003341D7"/>
    <w:rsid w:val="003407ED"/>
    <w:rsid w:val="00340873"/>
    <w:rsid w:val="00342B74"/>
    <w:rsid w:val="00343220"/>
    <w:rsid w:val="00344CC0"/>
    <w:rsid w:val="003452F9"/>
    <w:rsid w:val="00347AEA"/>
    <w:rsid w:val="00350869"/>
    <w:rsid w:val="00351330"/>
    <w:rsid w:val="00351C83"/>
    <w:rsid w:val="0035247F"/>
    <w:rsid w:val="003532FB"/>
    <w:rsid w:val="00354706"/>
    <w:rsid w:val="00356108"/>
    <w:rsid w:val="00357A13"/>
    <w:rsid w:val="00361458"/>
    <w:rsid w:val="00363E35"/>
    <w:rsid w:val="00365F15"/>
    <w:rsid w:val="00366E23"/>
    <w:rsid w:val="00370BC0"/>
    <w:rsid w:val="003729BA"/>
    <w:rsid w:val="0037302B"/>
    <w:rsid w:val="00374684"/>
    <w:rsid w:val="003748F4"/>
    <w:rsid w:val="00380C63"/>
    <w:rsid w:val="003843D5"/>
    <w:rsid w:val="003857CB"/>
    <w:rsid w:val="00385C52"/>
    <w:rsid w:val="00385D96"/>
    <w:rsid w:val="0039131B"/>
    <w:rsid w:val="0039208B"/>
    <w:rsid w:val="00392E83"/>
    <w:rsid w:val="0039328C"/>
    <w:rsid w:val="0039385F"/>
    <w:rsid w:val="00394274"/>
    <w:rsid w:val="00394D99"/>
    <w:rsid w:val="003A2484"/>
    <w:rsid w:val="003A4F83"/>
    <w:rsid w:val="003A5F7A"/>
    <w:rsid w:val="003A60AB"/>
    <w:rsid w:val="003A6EF4"/>
    <w:rsid w:val="003B0E61"/>
    <w:rsid w:val="003B1173"/>
    <w:rsid w:val="003B2C11"/>
    <w:rsid w:val="003B3121"/>
    <w:rsid w:val="003B3BC3"/>
    <w:rsid w:val="003B515B"/>
    <w:rsid w:val="003B5808"/>
    <w:rsid w:val="003B64DC"/>
    <w:rsid w:val="003C2383"/>
    <w:rsid w:val="003C2665"/>
    <w:rsid w:val="003C5051"/>
    <w:rsid w:val="003C5354"/>
    <w:rsid w:val="003C58CC"/>
    <w:rsid w:val="003C735D"/>
    <w:rsid w:val="003D1673"/>
    <w:rsid w:val="003D2C8D"/>
    <w:rsid w:val="003D2DDD"/>
    <w:rsid w:val="003D3FD0"/>
    <w:rsid w:val="003D4C4C"/>
    <w:rsid w:val="003D766A"/>
    <w:rsid w:val="003E01B6"/>
    <w:rsid w:val="003E2F15"/>
    <w:rsid w:val="003E3522"/>
    <w:rsid w:val="003E3902"/>
    <w:rsid w:val="003E3F69"/>
    <w:rsid w:val="003E48F7"/>
    <w:rsid w:val="003E73FF"/>
    <w:rsid w:val="003F05F5"/>
    <w:rsid w:val="003F28DD"/>
    <w:rsid w:val="003F3A96"/>
    <w:rsid w:val="003F795A"/>
    <w:rsid w:val="00401CBF"/>
    <w:rsid w:val="00401DEF"/>
    <w:rsid w:val="00402490"/>
    <w:rsid w:val="00402BBD"/>
    <w:rsid w:val="00404FB1"/>
    <w:rsid w:val="004051E9"/>
    <w:rsid w:val="00406155"/>
    <w:rsid w:val="0040622F"/>
    <w:rsid w:val="004100EF"/>
    <w:rsid w:val="00410FB8"/>
    <w:rsid w:val="00412CEB"/>
    <w:rsid w:val="00414E72"/>
    <w:rsid w:val="00415817"/>
    <w:rsid w:val="0041659E"/>
    <w:rsid w:val="00420086"/>
    <w:rsid w:val="004205AA"/>
    <w:rsid w:val="004220FD"/>
    <w:rsid w:val="00423641"/>
    <w:rsid w:val="00424341"/>
    <w:rsid w:val="00425883"/>
    <w:rsid w:val="00425FA1"/>
    <w:rsid w:val="00426414"/>
    <w:rsid w:val="00426EDD"/>
    <w:rsid w:val="004270AA"/>
    <w:rsid w:val="00430CA7"/>
    <w:rsid w:val="00431FF0"/>
    <w:rsid w:val="0043288A"/>
    <w:rsid w:val="00435BB8"/>
    <w:rsid w:val="004375DC"/>
    <w:rsid w:val="00437C22"/>
    <w:rsid w:val="00441179"/>
    <w:rsid w:val="00441CFF"/>
    <w:rsid w:val="00444078"/>
    <w:rsid w:val="00445493"/>
    <w:rsid w:val="00446DB0"/>
    <w:rsid w:val="0044785A"/>
    <w:rsid w:val="00447D46"/>
    <w:rsid w:val="004532B9"/>
    <w:rsid w:val="004536C4"/>
    <w:rsid w:val="00456342"/>
    <w:rsid w:val="004569F8"/>
    <w:rsid w:val="0046182F"/>
    <w:rsid w:val="00463FC4"/>
    <w:rsid w:val="00467A29"/>
    <w:rsid w:val="00470C8C"/>
    <w:rsid w:val="00470DE1"/>
    <w:rsid w:val="004739C0"/>
    <w:rsid w:val="0047571D"/>
    <w:rsid w:val="00475AD6"/>
    <w:rsid w:val="0047612D"/>
    <w:rsid w:val="00476502"/>
    <w:rsid w:val="004767DA"/>
    <w:rsid w:val="004815E2"/>
    <w:rsid w:val="00481A2F"/>
    <w:rsid w:val="0048491D"/>
    <w:rsid w:val="00487670"/>
    <w:rsid w:val="00487750"/>
    <w:rsid w:val="00487FC1"/>
    <w:rsid w:val="004915B6"/>
    <w:rsid w:val="0049239E"/>
    <w:rsid w:val="00495BF6"/>
    <w:rsid w:val="00495DD4"/>
    <w:rsid w:val="004A14A6"/>
    <w:rsid w:val="004A19E2"/>
    <w:rsid w:val="004A1B84"/>
    <w:rsid w:val="004A1B9B"/>
    <w:rsid w:val="004A2491"/>
    <w:rsid w:val="004A706D"/>
    <w:rsid w:val="004A7FEF"/>
    <w:rsid w:val="004B0B27"/>
    <w:rsid w:val="004B26D2"/>
    <w:rsid w:val="004B2C61"/>
    <w:rsid w:val="004B4046"/>
    <w:rsid w:val="004B4609"/>
    <w:rsid w:val="004B6655"/>
    <w:rsid w:val="004B6DD6"/>
    <w:rsid w:val="004B7CA4"/>
    <w:rsid w:val="004B7F5D"/>
    <w:rsid w:val="004C5BE9"/>
    <w:rsid w:val="004C68AC"/>
    <w:rsid w:val="004C764B"/>
    <w:rsid w:val="004C7D9F"/>
    <w:rsid w:val="004D0622"/>
    <w:rsid w:val="004D189A"/>
    <w:rsid w:val="004D21F1"/>
    <w:rsid w:val="004D2E1A"/>
    <w:rsid w:val="004D387A"/>
    <w:rsid w:val="004D40E1"/>
    <w:rsid w:val="004E1AD5"/>
    <w:rsid w:val="004E39C9"/>
    <w:rsid w:val="004E427E"/>
    <w:rsid w:val="004E79D2"/>
    <w:rsid w:val="004E7F8C"/>
    <w:rsid w:val="004F51FF"/>
    <w:rsid w:val="004F6FCD"/>
    <w:rsid w:val="004F7EE6"/>
    <w:rsid w:val="00501AFA"/>
    <w:rsid w:val="005025DB"/>
    <w:rsid w:val="00503D36"/>
    <w:rsid w:val="00504911"/>
    <w:rsid w:val="00505647"/>
    <w:rsid w:val="00505AE8"/>
    <w:rsid w:val="00506C94"/>
    <w:rsid w:val="00507511"/>
    <w:rsid w:val="005146E9"/>
    <w:rsid w:val="005157CC"/>
    <w:rsid w:val="005167D5"/>
    <w:rsid w:val="00522530"/>
    <w:rsid w:val="00527916"/>
    <w:rsid w:val="00527A71"/>
    <w:rsid w:val="00527FB8"/>
    <w:rsid w:val="00534B2E"/>
    <w:rsid w:val="00535C96"/>
    <w:rsid w:val="00535CC6"/>
    <w:rsid w:val="005402CF"/>
    <w:rsid w:val="005407A0"/>
    <w:rsid w:val="00540822"/>
    <w:rsid w:val="00546C7D"/>
    <w:rsid w:val="00546F03"/>
    <w:rsid w:val="0054774F"/>
    <w:rsid w:val="0054782E"/>
    <w:rsid w:val="00550B55"/>
    <w:rsid w:val="00550B9C"/>
    <w:rsid w:val="005513A7"/>
    <w:rsid w:val="00553BC9"/>
    <w:rsid w:val="00555B18"/>
    <w:rsid w:val="005609F6"/>
    <w:rsid w:val="00561C24"/>
    <w:rsid w:val="005634F2"/>
    <w:rsid w:val="005637FA"/>
    <w:rsid w:val="00565A52"/>
    <w:rsid w:val="005662D9"/>
    <w:rsid w:val="00566A31"/>
    <w:rsid w:val="00570D37"/>
    <w:rsid w:val="00571832"/>
    <w:rsid w:val="00571A69"/>
    <w:rsid w:val="0057353A"/>
    <w:rsid w:val="00576B5A"/>
    <w:rsid w:val="00583DED"/>
    <w:rsid w:val="00585358"/>
    <w:rsid w:val="00585FBC"/>
    <w:rsid w:val="00592CAB"/>
    <w:rsid w:val="0059334B"/>
    <w:rsid w:val="005934E4"/>
    <w:rsid w:val="005938CA"/>
    <w:rsid w:val="00593D98"/>
    <w:rsid w:val="005953C4"/>
    <w:rsid w:val="00595BE2"/>
    <w:rsid w:val="00595E90"/>
    <w:rsid w:val="005A0F32"/>
    <w:rsid w:val="005A1AF2"/>
    <w:rsid w:val="005A2587"/>
    <w:rsid w:val="005A27E0"/>
    <w:rsid w:val="005A33F4"/>
    <w:rsid w:val="005A6D9E"/>
    <w:rsid w:val="005B212F"/>
    <w:rsid w:val="005B3B70"/>
    <w:rsid w:val="005B4821"/>
    <w:rsid w:val="005B7B42"/>
    <w:rsid w:val="005C090B"/>
    <w:rsid w:val="005C1960"/>
    <w:rsid w:val="005C1E65"/>
    <w:rsid w:val="005C315F"/>
    <w:rsid w:val="005C4DBA"/>
    <w:rsid w:val="005C4F06"/>
    <w:rsid w:val="005C56C5"/>
    <w:rsid w:val="005C5B2C"/>
    <w:rsid w:val="005D034F"/>
    <w:rsid w:val="005D0969"/>
    <w:rsid w:val="005D17C0"/>
    <w:rsid w:val="005D29F9"/>
    <w:rsid w:val="005D5156"/>
    <w:rsid w:val="005D5A17"/>
    <w:rsid w:val="005D672A"/>
    <w:rsid w:val="005D7CFA"/>
    <w:rsid w:val="005E0002"/>
    <w:rsid w:val="005E2851"/>
    <w:rsid w:val="005E3291"/>
    <w:rsid w:val="005E40F2"/>
    <w:rsid w:val="005E4376"/>
    <w:rsid w:val="005E4819"/>
    <w:rsid w:val="005E4C6D"/>
    <w:rsid w:val="005E6D94"/>
    <w:rsid w:val="005F142A"/>
    <w:rsid w:val="005F247F"/>
    <w:rsid w:val="005F3944"/>
    <w:rsid w:val="005F5A4F"/>
    <w:rsid w:val="005F6A30"/>
    <w:rsid w:val="005F703A"/>
    <w:rsid w:val="00602BAC"/>
    <w:rsid w:val="00604CD1"/>
    <w:rsid w:val="006059FC"/>
    <w:rsid w:val="00607CD5"/>
    <w:rsid w:val="0061031D"/>
    <w:rsid w:val="00610997"/>
    <w:rsid w:val="00611AC4"/>
    <w:rsid w:val="0061218F"/>
    <w:rsid w:val="00612954"/>
    <w:rsid w:val="00613BE0"/>
    <w:rsid w:val="00613E97"/>
    <w:rsid w:val="00615285"/>
    <w:rsid w:val="00616373"/>
    <w:rsid w:val="00617FC9"/>
    <w:rsid w:val="006237CA"/>
    <w:rsid w:val="006239A7"/>
    <w:rsid w:val="006253AA"/>
    <w:rsid w:val="006262FC"/>
    <w:rsid w:val="00627604"/>
    <w:rsid w:val="006314B1"/>
    <w:rsid w:val="006332E2"/>
    <w:rsid w:val="006354A0"/>
    <w:rsid w:val="00635687"/>
    <w:rsid w:val="00636216"/>
    <w:rsid w:val="006369CE"/>
    <w:rsid w:val="0064060A"/>
    <w:rsid w:val="006412D1"/>
    <w:rsid w:val="0064146C"/>
    <w:rsid w:val="00642133"/>
    <w:rsid w:val="006425C9"/>
    <w:rsid w:val="006435CA"/>
    <w:rsid w:val="00646494"/>
    <w:rsid w:val="00646E08"/>
    <w:rsid w:val="0065185E"/>
    <w:rsid w:val="00653210"/>
    <w:rsid w:val="00653FB9"/>
    <w:rsid w:val="00654BD1"/>
    <w:rsid w:val="0065677B"/>
    <w:rsid w:val="00657C36"/>
    <w:rsid w:val="0066014D"/>
    <w:rsid w:val="00660FA4"/>
    <w:rsid w:val="00661358"/>
    <w:rsid w:val="00662A09"/>
    <w:rsid w:val="00662D7F"/>
    <w:rsid w:val="0066587D"/>
    <w:rsid w:val="00665BB8"/>
    <w:rsid w:val="00666DBD"/>
    <w:rsid w:val="00667D76"/>
    <w:rsid w:val="00671271"/>
    <w:rsid w:val="006720AD"/>
    <w:rsid w:val="0067321D"/>
    <w:rsid w:val="00675A20"/>
    <w:rsid w:val="006765DA"/>
    <w:rsid w:val="00676A18"/>
    <w:rsid w:val="00676EE5"/>
    <w:rsid w:val="00677A0D"/>
    <w:rsid w:val="00677DB1"/>
    <w:rsid w:val="00680D3F"/>
    <w:rsid w:val="00682A9B"/>
    <w:rsid w:val="006835FE"/>
    <w:rsid w:val="00683E78"/>
    <w:rsid w:val="006840BC"/>
    <w:rsid w:val="00684394"/>
    <w:rsid w:val="006872DF"/>
    <w:rsid w:val="00690260"/>
    <w:rsid w:val="00691D8F"/>
    <w:rsid w:val="0069572F"/>
    <w:rsid w:val="00695B8B"/>
    <w:rsid w:val="00697EE3"/>
    <w:rsid w:val="006A2021"/>
    <w:rsid w:val="006A221B"/>
    <w:rsid w:val="006A30C1"/>
    <w:rsid w:val="006A3CBD"/>
    <w:rsid w:val="006A4540"/>
    <w:rsid w:val="006A46BE"/>
    <w:rsid w:val="006A47C9"/>
    <w:rsid w:val="006A4F8E"/>
    <w:rsid w:val="006A5C50"/>
    <w:rsid w:val="006A6741"/>
    <w:rsid w:val="006A755E"/>
    <w:rsid w:val="006B05FD"/>
    <w:rsid w:val="006B1B88"/>
    <w:rsid w:val="006B262E"/>
    <w:rsid w:val="006B2E6D"/>
    <w:rsid w:val="006B4430"/>
    <w:rsid w:val="006B4E51"/>
    <w:rsid w:val="006B6954"/>
    <w:rsid w:val="006B7148"/>
    <w:rsid w:val="006C151A"/>
    <w:rsid w:val="006C168E"/>
    <w:rsid w:val="006C3AB0"/>
    <w:rsid w:val="006C66BF"/>
    <w:rsid w:val="006D0212"/>
    <w:rsid w:val="006D0C2D"/>
    <w:rsid w:val="006D25BF"/>
    <w:rsid w:val="006D2B51"/>
    <w:rsid w:val="006D4458"/>
    <w:rsid w:val="006D47E8"/>
    <w:rsid w:val="006E14D6"/>
    <w:rsid w:val="006E4919"/>
    <w:rsid w:val="006E5C8C"/>
    <w:rsid w:val="006E6497"/>
    <w:rsid w:val="006E672C"/>
    <w:rsid w:val="006E7B44"/>
    <w:rsid w:val="006F102C"/>
    <w:rsid w:val="006F35AB"/>
    <w:rsid w:val="006F64FE"/>
    <w:rsid w:val="006F72D1"/>
    <w:rsid w:val="00700970"/>
    <w:rsid w:val="00701104"/>
    <w:rsid w:val="0070123F"/>
    <w:rsid w:val="0070139A"/>
    <w:rsid w:val="007016EF"/>
    <w:rsid w:val="00701A5E"/>
    <w:rsid w:val="00702A00"/>
    <w:rsid w:val="00704392"/>
    <w:rsid w:val="00706003"/>
    <w:rsid w:val="0070702C"/>
    <w:rsid w:val="00707112"/>
    <w:rsid w:val="00707A2F"/>
    <w:rsid w:val="0071034D"/>
    <w:rsid w:val="00712C1C"/>
    <w:rsid w:val="00714631"/>
    <w:rsid w:val="007149F0"/>
    <w:rsid w:val="00716DA0"/>
    <w:rsid w:val="00720260"/>
    <w:rsid w:val="007202DC"/>
    <w:rsid w:val="0072056A"/>
    <w:rsid w:val="00720DC3"/>
    <w:rsid w:val="00721C0A"/>
    <w:rsid w:val="0072259D"/>
    <w:rsid w:val="007265F4"/>
    <w:rsid w:val="00730598"/>
    <w:rsid w:val="00731059"/>
    <w:rsid w:val="00734522"/>
    <w:rsid w:val="00735430"/>
    <w:rsid w:val="00736A95"/>
    <w:rsid w:val="00737F41"/>
    <w:rsid w:val="0074252A"/>
    <w:rsid w:val="0074586B"/>
    <w:rsid w:val="0074591D"/>
    <w:rsid w:val="00745C17"/>
    <w:rsid w:val="0074690A"/>
    <w:rsid w:val="00750C91"/>
    <w:rsid w:val="00751604"/>
    <w:rsid w:val="007521F2"/>
    <w:rsid w:val="00752D7E"/>
    <w:rsid w:val="00752E72"/>
    <w:rsid w:val="007538B8"/>
    <w:rsid w:val="00754130"/>
    <w:rsid w:val="007549D4"/>
    <w:rsid w:val="007605D6"/>
    <w:rsid w:val="00761561"/>
    <w:rsid w:val="0076405D"/>
    <w:rsid w:val="00764DE3"/>
    <w:rsid w:val="007658A1"/>
    <w:rsid w:val="007662EE"/>
    <w:rsid w:val="00767000"/>
    <w:rsid w:val="007670E6"/>
    <w:rsid w:val="00770A15"/>
    <w:rsid w:val="007725E8"/>
    <w:rsid w:val="007746E8"/>
    <w:rsid w:val="00775B35"/>
    <w:rsid w:val="0077652E"/>
    <w:rsid w:val="007769EE"/>
    <w:rsid w:val="00776F62"/>
    <w:rsid w:val="00777F0D"/>
    <w:rsid w:val="007810AE"/>
    <w:rsid w:val="00781E1B"/>
    <w:rsid w:val="00782AE0"/>
    <w:rsid w:val="00783354"/>
    <w:rsid w:val="00786AF8"/>
    <w:rsid w:val="007879A2"/>
    <w:rsid w:val="00791470"/>
    <w:rsid w:val="007924D5"/>
    <w:rsid w:val="0079262D"/>
    <w:rsid w:val="00792F51"/>
    <w:rsid w:val="00793A7B"/>
    <w:rsid w:val="00794378"/>
    <w:rsid w:val="007949C4"/>
    <w:rsid w:val="007950BD"/>
    <w:rsid w:val="0079564A"/>
    <w:rsid w:val="00796E1F"/>
    <w:rsid w:val="007A1D44"/>
    <w:rsid w:val="007A1EE0"/>
    <w:rsid w:val="007A2CA7"/>
    <w:rsid w:val="007A47E7"/>
    <w:rsid w:val="007A4DE8"/>
    <w:rsid w:val="007B1AD8"/>
    <w:rsid w:val="007B4AFA"/>
    <w:rsid w:val="007B52B3"/>
    <w:rsid w:val="007B6A81"/>
    <w:rsid w:val="007B75D9"/>
    <w:rsid w:val="007C2F02"/>
    <w:rsid w:val="007C2F21"/>
    <w:rsid w:val="007C4E12"/>
    <w:rsid w:val="007C4E8D"/>
    <w:rsid w:val="007D0848"/>
    <w:rsid w:val="007D1423"/>
    <w:rsid w:val="007D1964"/>
    <w:rsid w:val="007D4681"/>
    <w:rsid w:val="007D5EC1"/>
    <w:rsid w:val="007D7019"/>
    <w:rsid w:val="007D7596"/>
    <w:rsid w:val="007D79A1"/>
    <w:rsid w:val="007E3307"/>
    <w:rsid w:val="007E596A"/>
    <w:rsid w:val="007E5D02"/>
    <w:rsid w:val="007F1601"/>
    <w:rsid w:val="007F1EBF"/>
    <w:rsid w:val="007F4558"/>
    <w:rsid w:val="007F59DD"/>
    <w:rsid w:val="00800088"/>
    <w:rsid w:val="008017D2"/>
    <w:rsid w:val="00802069"/>
    <w:rsid w:val="0080284D"/>
    <w:rsid w:val="008072DC"/>
    <w:rsid w:val="0081001B"/>
    <w:rsid w:val="00810296"/>
    <w:rsid w:val="00811406"/>
    <w:rsid w:val="008122C1"/>
    <w:rsid w:val="0081410D"/>
    <w:rsid w:val="008145F1"/>
    <w:rsid w:val="00814F45"/>
    <w:rsid w:val="00815938"/>
    <w:rsid w:val="00816620"/>
    <w:rsid w:val="00816F51"/>
    <w:rsid w:val="008177D3"/>
    <w:rsid w:val="00820BC8"/>
    <w:rsid w:val="0082154D"/>
    <w:rsid w:val="00821A76"/>
    <w:rsid w:val="00823542"/>
    <w:rsid w:val="00825FD4"/>
    <w:rsid w:val="0083059C"/>
    <w:rsid w:val="00834994"/>
    <w:rsid w:val="00836016"/>
    <w:rsid w:val="00836256"/>
    <w:rsid w:val="00837065"/>
    <w:rsid w:val="00842768"/>
    <w:rsid w:val="008437DF"/>
    <w:rsid w:val="00844B25"/>
    <w:rsid w:val="00844FF9"/>
    <w:rsid w:val="008470DB"/>
    <w:rsid w:val="0084732A"/>
    <w:rsid w:val="00852D44"/>
    <w:rsid w:val="00856067"/>
    <w:rsid w:val="00857137"/>
    <w:rsid w:val="00857975"/>
    <w:rsid w:val="00857FD6"/>
    <w:rsid w:val="008622D9"/>
    <w:rsid w:val="008623E9"/>
    <w:rsid w:val="00862C2D"/>
    <w:rsid w:val="00863E4A"/>
    <w:rsid w:val="00865281"/>
    <w:rsid w:val="0087234C"/>
    <w:rsid w:val="00876E7E"/>
    <w:rsid w:val="00880D0E"/>
    <w:rsid w:val="008823E3"/>
    <w:rsid w:val="00882812"/>
    <w:rsid w:val="0088491A"/>
    <w:rsid w:val="00885815"/>
    <w:rsid w:val="008864BF"/>
    <w:rsid w:val="00894C84"/>
    <w:rsid w:val="00895440"/>
    <w:rsid w:val="008A1184"/>
    <w:rsid w:val="008A2123"/>
    <w:rsid w:val="008A3CE9"/>
    <w:rsid w:val="008A4674"/>
    <w:rsid w:val="008A5710"/>
    <w:rsid w:val="008A6FF5"/>
    <w:rsid w:val="008B0ABF"/>
    <w:rsid w:val="008B242E"/>
    <w:rsid w:val="008B31CD"/>
    <w:rsid w:val="008B3742"/>
    <w:rsid w:val="008B5085"/>
    <w:rsid w:val="008B680C"/>
    <w:rsid w:val="008B74AE"/>
    <w:rsid w:val="008B7860"/>
    <w:rsid w:val="008C017B"/>
    <w:rsid w:val="008C0432"/>
    <w:rsid w:val="008C0B06"/>
    <w:rsid w:val="008C15ED"/>
    <w:rsid w:val="008C1B30"/>
    <w:rsid w:val="008C1C63"/>
    <w:rsid w:val="008C2728"/>
    <w:rsid w:val="008C768D"/>
    <w:rsid w:val="008D3D70"/>
    <w:rsid w:val="008D3E71"/>
    <w:rsid w:val="008D4A68"/>
    <w:rsid w:val="008D4B0D"/>
    <w:rsid w:val="008D4EEE"/>
    <w:rsid w:val="008D5204"/>
    <w:rsid w:val="008D5FB9"/>
    <w:rsid w:val="008D626B"/>
    <w:rsid w:val="008D6F56"/>
    <w:rsid w:val="008D7877"/>
    <w:rsid w:val="008E066E"/>
    <w:rsid w:val="008E085D"/>
    <w:rsid w:val="008E0BB4"/>
    <w:rsid w:val="008E50C3"/>
    <w:rsid w:val="008E6515"/>
    <w:rsid w:val="008F112A"/>
    <w:rsid w:val="008F1FB8"/>
    <w:rsid w:val="008F4F46"/>
    <w:rsid w:val="008F51A5"/>
    <w:rsid w:val="008F52E3"/>
    <w:rsid w:val="008F607C"/>
    <w:rsid w:val="0090063F"/>
    <w:rsid w:val="0090177D"/>
    <w:rsid w:val="00902CCC"/>
    <w:rsid w:val="009050CE"/>
    <w:rsid w:val="00905B58"/>
    <w:rsid w:val="00905E22"/>
    <w:rsid w:val="0090605D"/>
    <w:rsid w:val="00910950"/>
    <w:rsid w:val="00912F6E"/>
    <w:rsid w:val="00913400"/>
    <w:rsid w:val="00913795"/>
    <w:rsid w:val="00913F21"/>
    <w:rsid w:val="00915026"/>
    <w:rsid w:val="00915F99"/>
    <w:rsid w:val="00917573"/>
    <w:rsid w:val="0091791C"/>
    <w:rsid w:val="00921046"/>
    <w:rsid w:val="009236D8"/>
    <w:rsid w:val="00923D3D"/>
    <w:rsid w:val="009259C6"/>
    <w:rsid w:val="009313A6"/>
    <w:rsid w:val="009319CD"/>
    <w:rsid w:val="00931EC7"/>
    <w:rsid w:val="009325AF"/>
    <w:rsid w:val="00932E62"/>
    <w:rsid w:val="00935D17"/>
    <w:rsid w:val="00936238"/>
    <w:rsid w:val="009410A7"/>
    <w:rsid w:val="00941663"/>
    <w:rsid w:val="0094216E"/>
    <w:rsid w:val="009435D5"/>
    <w:rsid w:val="00943C08"/>
    <w:rsid w:val="0094615C"/>
    <w:rsid w:val="00946D17"/>
    <w:rsid w:val="00946F38"/>
    <w:rsid w:val="00950222"/>
    <w:rsid w:val="00950ED4"/>
    <w:rsid w:val="00953569"/>
    <w:rsid w:val="0095482D"/>
    <w:rsid w:val="00955508"/>
    <w:rsid w:val="009559B6"/>
    <w:rsid w:val="00956903"/>
    <w:rsid w:val="009611AA"/>
    <w:rsid w:val="00962D21"/>
    <w:rsid w:val="0096322E"/>
    <w:rsid w:val="00964C12"/>
    <w:rsid w:val="0096559D"/>
    <w:rsid w:val="0096620E"/>
    <w:rsid w:val="009671E3"/>
    <w:rsid w:val="0096773C"/>
    <w:rsid w:val="00970A7D"/>
    <w:rsid w:val="00972A66"/>
    <w:rsid w:val="00972C07"/>
    <w:rsid w:val="009731FE"/>
    <w:rsid w:val="009733FA"/>
    <w:rsid w:val="00974246"/>
    <w:rsid w:val="00976F51"/>
    <w:rsid w:val="00976FDF"/>
    <w:rsid w:val="009824E3"/>
    <w:rsid w:val="00984B3F"/>
    <w:rsid w:val="00987259"/>
    <w:rsid w:val="0098738F"/>
    <w:rsid w:val="009875E9"/>
    <w:rsid w:val="0099172A"/>
    <w:rsid w:val="00993237"/>
    <w:rsid w:val="00994D06"/>
    <w:rsid w:val="00994D46"/>
    <w:rsid w:val="009954F1"/>
    <w:rsid w:val="0099608A"/>
    <w:rsid w:val="00996BB1"/>
    <w:rsid w:val="00997F50"/>
    <w:rsid w:val="009A0B23"/>
    <w:rsid w:val="009A0CED"/>
    <w:rsid w:val="009A1213"/>
    <w:rsid w:val="009A39B2"/>
    <w:rsid w:val="009A39C9"/>
    <w:rsid w:val="009A5EF1"/>
    <w:rsid w:val="009A683C"/>
    <w:rsid w:val="009A6AE1"/>
    <w:rsid w:val="009B0DCD"/>
    <w:rsid w:val="009B0E9A"/>
    <w:rsid w:val="009B21A3"/>
    <w:rsid w:val="009B2617"/>
    <w:rsid w:val="009B2870"/>
    <w:rsid w:val="009B3D0B"/>
    <w:rsid w:val="009B6F23"/>
    <w:rsid w:val="009B7FAA"/>
    <w:rsid w:val="009C054E"/>
    <w:rsid w:val="009C174C"/>
    <w:rsid w:val="009C1F33"/>
    <w:rsid w:val="009C2626"/>
    <w:rsid w:val="009C40A7"/>
    <w:rsid w:val="009C4AE6"/>
    <w:rsid w:val="009C548B"/>
    <w:rsid w:val="009D0586"/>
    <w:rsid w:val="009D2548"/>
    <w:rsid w:val="009D26BE"/>
    <w:rsid w:val="009D2DF8"/>
    <w:rsid w:val="009D4B4F"/>
    <w:rsid w:val="009D596F"/>
    <w:rsid w:val="009D5D3B"/>
    <w:rsid w:val="009D68E0"/>
    <w:rsid w:val="009E07F3"/>
    <w:rsid w:val="009E0A3E"/>
    <w:rsid w:val="009E2249"/>
    <w:rsid w:val="009E24D2"/>
    <w:rsid w:val="009E3C01"/>
    <w:rsid w:val="009E40A1"/>
    <w:rsid w:val="009E546A"/>
    <w:rsid w:val="009E54A8"/>
    <w:rsid w:val="009E577E"/>
    <w:rsid w:val="009F127E"/>
    <w:rsid w:val="009F14B1"/>
    <w:rsid w:val="009F34B7"/>
    <w:rsid w:val="009F3818"/>
    <w:rsid w:val="009F73F9"/>
    <w:rsid w:val="00A00F9D"/>
    <w:rsid w:val="00A02802"/>
    <w:rsid w:val="00A02E7A"/>
    <w:rsid w:val="00A04316"/>
    <w:rsid w:val="00A05CAF"/>
    <w:rsid w:val="00A1082B"/>
    <w:rsid w:val="00A12211"/>
    <w:rsid w:val="00A1392F"/>
    <w:rsid w:val="00A17163"/>
    <w:rsid w:val="00A17227"/>
    <w:rsid w:val="00A24CDD"/>
    <w:rsid w:val="00A2767F"/>
    <w:rsid w:val="00A304BD"/>
    <w:rsid w:val="00A305A9"/>
    <w:rsid w:val="00A31B05"/>
    <w:rsid w:val="00A32450"/>
    <w:rsid w:val="00A32E35"/>
    <w:rsid w:val="00A33A47"/>
    <w:rsid w:val="00A34D8C"/>
    <w:rsid w:val="00A3519E"/>
    <w:rsid w:val="00A3741B"/>
    <w:rsid w:val="00A400B6"/>
    <w:rsid w:val="00A41F72"/>
    <w:rsid w:val="00A42BE1"/>
    <w:rsid w:val="00A45915"/>
    <w:rsid w:val="00A460F1"/>
    <w:rsid w:val="00A465BA"/>
    <w:rsid w:val="00A46716"/>
    <w:rsid w:val="00A479AE"/>
    <w:rsid w:val="00A5173A"/>
    <w:rsid w:val="00A51BB6"/>
    <w:rsid w:val="00A528DF"/>
    <w:rsid w:val="00A56EF0"/>
    <w:rsid w:val="00A57055"/>
    <w:rsid w:val="00A577E6"/>
    <w:rsid w:val="00A60362"/>
    <w:rsid w:val="00A60680"/>
    <w:rsid w:val="00A61A53"/>
    <w:rsid w:val="00A61A80"/>
    <w:rsid w:val="00A62398"/>
    <w:rsid w:val="00A63933"/>
    <w:rsid w:val="00A63E25"/>
    <w:rsid w:val="00A6556D"/>
    <w:rsid w:val="00A661D7"/>
    <w:rsid w:val="00A66333"/>
    <w:rsid w:val="00A72BF3"/>
    <w:rsid w:val="00A7330E"/>
    <w:rsid w:val="00A73E99"/>
    <w:rsid w:val="00A74E77"/>
    <w:rsid w:val="00A75E41"/>
    <w:rsid w:val="00A76AC8"/>
    <w:rsid w:val="00A77B4A"/>
    <w:rsid w:val="00A8130C"/>
    <w:rsid w:val="00A81DC9"/>
    <w:rsid w:val="00A82615"/>
    <w:rsid w:val="00A82E0B"/>
    <w:rsid w:val="00A837B2"/>
    <w:rsid w:val="00A84861"/>
    <w:rsid w:val="00A854B7"/>
    <w:rsid w:val="00A85FCD"/>
    <w:rsid w:val="00A86EC0"/>
    <w:rsid w:val="00A87905"/>
    <w:rsid w:val="00A903F5"/>
    <w:rsid w:val="00A91283"/>
    <w:rsid w:val="00A93271"/>
    <w:rsid w:val="00A93469"/>
    <w:rsid w:val="00A97408"/>
    <w:rsid w:val="00AA15B0"/>
    <w:rsid w:val="00AA31EC"/>
    <w:rsid w:val="00AA59D5"/>
    <w:rsid w:val="00AA640C"/>
    <w:rsid w:val="00AB0858"/>
    <w:rsid w:val="00AB08F4"/>
    <w:rsid w:val="00AB2E58"/>
    <w:rsid w:val="00AB3450"/>
    <w:rsid w:val="00AB3C34"/>
    <w:rsid w:val="00AB4AA3"/>
    <w:rsid w:val="00AB6140"/>
    <w:rsid w:val="00AB6CC0"/>
    <w:rsid w:val="00AB75A1"/>
    <w:rsid w:val="00AB7649"/>
    <w:rsid w:val="00AC2CDA"/>
    <w:rsid w:val="00AC3651"/>
    <w:rsid w:val="00AC715C"/>
    <w:rsid w:val="00AD077D"/>
    <w:rsid w:val="00AD15F5"/>
    <w:rsid w:val="00AD1DCF"/>
    <w:rsid w:val="00AD37EE"/>
    <w:rsid w:val="00AE0461"/>
    <w:rsid w:val="00AE14F5"/>
    <w:rsid w:val="00AE1DC6"/>
    <w:rsid w:val="00AE20C7"/>
    <w:rsid w:val="00AE2D6A"/>
    <w:rsid w:val="00AE615B"/>
    <w:rsid w:val="00AE6721"/>
    <w:rsid w:val="00AE7BAB"/>
    <w:rsid w:val="00AE7FD1"/>
    <w:rsid w:val="00AF1340"/>
    <w:rsid w:val="00AF4DD6"/>
    <w:rsid w:val="00AF7869"/>
    <w:rsid w:val="00B00665"/>
    <w:rsid w:val="00B00F96"/>
    <w:rsid w:val="00B014CC"/>
    <w:rsid w:val="00B014FC"/>
    <w:rsid w:val="00B02404"/>
    <w:rsid w:val="00B0257E"/>
    <w:rsid w:val="00B067CA"/>
    <w:rsid w:val="00B07BAB"/>
    <w:rsid w:val="00B103E0"/>
    <w:rsid w:val="00B11BF6"/>
    <w:rsid w:val="00B125C5"/>
    <w:rsid w:val="00B13439"/>
    <w:rsid w:val="00B15411"/>
    <w:rsid w:val="00B203AC"/>
    <w:rsid w:val="00B2060B"/>
    <w:rsid w:val="00B217AF"/>
    <w:rsid w:val="00B22D2C"/>
    <w:rsid w:val="00B24C92"/>
    <w:rsid w:val="00B26B05"/>
    <w:rsid w:val="00B318CD"/>
    <w:rsid w:val="00B31DDB"/>
    <w:rsid w:val="00B32517"/>
    <w:rsid w:val="00B366C9"/>
    <w:rsid w:val="00B36E9D"/>
    <w:rsid w:val="00B37AB8"/>
    <w:rsid w:val="00B4030F"/>
    <w:rsid w:val="00B40360"/>
    <w:rsid w:val="00B40E3F"/>
    <w:rsid w:val="00B41C33"/>
    <w:rsid w:val="00B41F5B"/>
    <w:rsid w:val="00B4204F"/>
    <w:rsid w:val="00B4237A"/>
    <w:rsid w:val="00B42D90"/>
    <w:rsid w:val="00B431E0"/>
    <w:rsid w:val="00B44210"/>
    <w:rsid w:val="00B46105"/>
    <w:rsid w:val="00B4706F"/>
    <w:rsid w:val="00B47A5B"/>
    <w:rsid w:val="00B518BD"/>
    <w:rsid w:val="00B525B6"/>
    <w:rsid w:val="00B53677"/>
    <w:rsid w:val="00B54DC8"/>
    <w:rsid w:val="00B555A8"/>
    <w:rsid w:val="00B560B4"/>
    <w:rsid w:val="00B57681"/>
    <w:rsid w:val="00B62342"/>
    <w:rsid w:val="00B631A9"/>
    <w:rsid w:val="00B63266"/>
    <w:rsid w:val="00B64046"/>
    <w:rsid w:val="00B65842"/>
    <w:rsid w:val="00B66D1E"/>
    <w:rsid w:val="00B679A2"/>
    <w:rsid w:val="00B700BF"/>
    <w:rsid w:val="00B71C71"/>
    <w:rsid w:val="00B73CAD"/>
    <w:rsid w:val="00B765B0"/>
    <w:rsid w:val="00B843DE"/>
    <w:rsid w:val="00B8557C"/>
    <w:rsid w:val="00B863EE"/>
    <w:rsid w:val="00B86473"/>
    <w:rsid w:val="00B874E3"/>
    <w:rsid w:val="00B913B7"/>
    <w:rsid w:val="00B9503D"/>
    <w:rsid w:val="00B953C2"/>
    <w:rsid w:val="00B9550A"/>
    <w:rsid w:val="00B95C26"/>
    <w:rsid w:val="00B97661"/>
    <w:rsid w:val="00B97913"/>
    <w:rsid w:val="00B97F50"/>
    <w:rsid w:val="00BA0C4F"/>
    <w:rsid w:val="00BA31D3"/>
    <w:rsid w:val="00BA3C47"/>
    <w:rsid w:val="00BA4AB8"/>
    <w:rsid w:val="00BA4DD5"/>
    <w:rsid w:val="00BA6614"/>
    <w:rsid w:val="00BA7D52"/>
    <w:rsid w:val="00BB05A2"/>
    <w:rsid w:val="00BB10CB"/>
    <w:rsid w:val="00BB1582"/>
    <w:rsid w:val="00BB2BF2"/>
    <w:rsid w:val="00BB394D"/>
    <w:rsid w:val="00BB690F"/>
    <w:rsid w:val="00BC0816"/>
    <w:rsid w:val="00BC1A24"/>
    <w:rsid w:val="00BC20F9"/>
    <w:rsid w:val="00BC2DFA"/>
    <w:rsid w:val="00BC45BE"/>
    <w:rsid w:val="00BC625C"/>
    <w:rsid w:val="00BC6609"/>
    <w:rsid w:val="00BC69CD"/>
    <w:rsid w:val="00BC6B79"/>
    <w:rsid w:val="00BC7C6A"/>
    <w:rsid w:val="00BD239D"/>
    <w:rsid w:val="00BD23B9"/>
    <w:rsid w:val="00BD4779"/>
    <w:rsid w:val="00BD5FB3"/>
    <w:rsid w:val="00BD6652"/>
    <w:rsid w:val="00BE1527"/>
    <w:rsid w:val="00BE2021"/>
    <w:rsid w:val="00BE280D"/>
    <w:rsid w:val="00BE3ADF"/>
    <w:rsid w:val="00BE60EE"/>
    <w:rsid w:val="00BF127E"/>
    <w:rsid w:val="00BF256B"/>
    <w:rsid w:val="00BF4076"/>
    <w:rsid w:val="00BF61AB"/>
    <w:rsid w:val="00BF6F10"/>
    <w:rsid w:val="00C00668"/>
    <w:rsid w:val="00C00D4F"/>
    <w:rsid w:val="00C0222E"/>
    <w:rsid w:val="00C0242A"/>
    <w:rsid w:val="00C0295C"/>
    <w:rsid w:val="00C03644"/>
    <w:rsid w:val="00C041F6"/>
    <w:rsid w:val="00C0591D"/>
    <w:rsid w:val="00C0707E"/>
    <w:rsid w:val="00C0730B"/>
    <w:rsid w:val="00C07E41"/>
    <w:rsid w:val="00C07E7D"/>
    <w:rsid w:val="00C10770"/>
    <w:rsid w:val="00C10A41"/>
    <w:rsid w:val="00C135D3"/>
    <w:rsid w:val="00C15DD8"/>
    <w:rsid w:val="00C16A63"/>
    <w:rsid w:val="00C22F70"/>
    <w:rsid w:val="00C25522"/>
    <w:rsid w:val="00C25760"/>
    <w:rsid w:val="00C2671E"/>
    <w:rsid w:val="00C2790B"/>
    <w:rsid w:val="00C27E03"/>
    <w:rsid w:val="00C32DA1"/>
    <w:rsid w:val="00C3418A"/>
    <w:rsid w:val="00C34456"/>
    <w:rsid w:val="00C356F3"/>
    <w:rsid w:val="00C36FEA"/>
    <w:rsid w:val="00C37E68"/>
    <w:rsid w:val="00C401ED"/>
    <w:rsid w:val="00C41243"/>
    <w:rsid w:val="00C41496"/>
    <w:rsid w:val="00C4166A"/>
    <w:rsid w:val="00C416EC"/>
    <w:rsid w:val="00C434AD"/>
    <w:rsid w:val="00C46CFB"/>
    <w:rsid w:val="00C46DED"/>
    <w:rsid w:val="00C47BAC"/>
    <w:rsid w:val="00C51DE7"/>
    <w:rsid w:val="00C52E39"/>
    <w:rsid w:val="00C54901"/>
    <w:rsid w:val="00C552A8"/>
    <w:rsid w:val="00C55CFB"/>
    <w:rsid w:val="00C60FE3"/>
    <w:rsid w:val="00C62917"/>
    <w:rsid w:val="00C65684"/>
    <w:rsid w:val="00C65AE6"/>
    <w:rsid w:val="00C66DFD"/>
    <w:rsid w:val="00C70E3A"/>
    <w:rsid w:val="00C715F5"/>
    <w:rsid w:val="00C72141"/>
    <w:rsid w:val="00C727AF"/>
    <w:rsid w:val="00C7374F"/>
    <w:rsid w:val="00C73E94"/>
    <w:rsid w:val="00C7481C"/>
    <w:rsid w:val="00C80CFD"/>
    <w:rsid w:val="00C81371"/>
    <w:rsid w:val="00C83E36"/>
    <w:rsid w:val="00C85F7B"/>
    <w:rsid w:val="00C870AF"/>
    <w:rsid w:val="00C87C59"/>
    <w:rsid w:val="00C87FC5"/>
    <w:rsid w:val="00C90676"/>
    <w:rsid w:val="00C935A7"/>
    <w:rsid w:val="00C93BBA"/>
    <w:rsid w:val="00C94219"/>
    <w:rsid w:val="00C94F93"/>
    <w:rsid w:val="00C963F4"/>
    <w:rsid w:val="00C974DB"/>
    <w:rsid w:val="00C979AD"/>
    <w:rsid w:val="00CA0E14"/>
    <w:rsid w:val="00CA1358"/>
    <w:rsid w:val="00CA2F3B"/>
    <w:rsid w:val="00CA30F4"/>
    <w:rsid w:val="00CA37A0"/>
    <w:rsid w:val="00CA3909"/>
    <w:rsid w:val="00CA443D"/>
    <w:rsid w:val="00CA5D01"/>
    <w:rsid w:val="00CA7804"/>
    <w:rsid w:val="00CA7956"/>
    <w:rsid w:val="00CB0146"/>
    <w:rsid w:val="00CB0567"/>
    <w:rsid w:val="00CB3BD0"/>
    <w:rsid w:val="00CB64D3"/>
    <w:rsid w:val="00CB767A"/>
    <w:rsid w:val="00CC0A27"/>
    <w:rsid w:val="00CC1C5A"/>
    <w:rsid w:val="00CC222E"/>
    <w:rsid w:val="00CC3712"/>
    <w:rsid w:val="00CC421A"/>
    <w:rsid w:val="00CC6D75"/>
    <w:rsid w:val="00CD0788"/>
    <w:rsid w:val="00CD1A39"/>
    <w:rsid w:val="00CD1D89"/>
    <w:rsid w:val="00CD26D9"/>
    <w:rsid w:val="00CD2ED7"/>
    <w:rsid w:val="00CD335A"/>
    <w:rsid w:val="00CD3BC8"/>
    <w:rsid w:val="00CD6D42"/>
    <w:rsid w:val="00CD73CD"/>
    <w:rsid w:val="00CE2B9D"/>
    <w:rsid w:val="00CE4EDF"/>
    <w:rsid w:val="00CE64D5"/>
    <w:rsid w:val="00CE7837"/>
    <w:rsid w:val="00CF3061"/>
    <w:rsid w:val="00CF7890"/>
    <w:rsid w:val="00CF7DA2"/>
    <w:rsid w:val="00D00228"/>
    <w:rsid w:val="00D04763"/>
    <w:rsid w:val="00D05F2E"/>
    <w:rsid w:val="00D0639A"/>
    <w:rsid w:val="00D10302"/>
    <w:rsid w:val="00D11466"/>
    <w:rsid w:val="00D11605"/>
    <w:rsid w:val="00D11ED9"/>
    <w:rsid w:val="00D11F67"/>
    <w:rsid w:val="00D12EAD"/>
    <w:rsid w:val="00D1369A"/>
    <w:rsid w:val="00D14A0B"/>
    <w:rsid w:val="00D15968"/>
    <w:rsid w:val="00D1783D"/>
    <w:rsid w:val="00D201EF"/>
    <w:rsid w:val="00D2085E"/>
    <w:rsid w:val="00D210FC"/>
    <w:rsid w:val="00D21E16"/>
    <w:rsid w:val="00D22EE0"/>
    <w:rsid w:val="00D26558"/>
    <w:rsid w:val="00D269DF"/>
    <w:rsid w:val="00D27386"/>
    <w:rsid w:val="00D30423"/>
    <w:rsid w:val="00D319E1"/>
    <w:rsid w:val="00D32F1F"/>
    <w:rsid w:val="00D34CF5"/>
    <w:rsid w:val="00D353E7"/>
    <w:rsid w:val="00D36D72"/>
    <w:rsid w:val="00D37469"/>
    <w:rsid w:val="00D37590"/>
    <w:rsid w:val="00D37805"/>
    <w:rsid w:val="00D407F7"/>
    <w:rsid w:val="00D40AD3"/>
    <w:rsid w:val="00D41671"/>
    <w:rsid w:val="00D4183F"/>
    <w:rsid w:val="00D42DC7"/>
    <w:rsid w:val="00D43330"/>
    <w:rsid w:val="00D43D06"/>
    <w:rsid w:val="00D45E1D"/>
    <w:rsid w:val="00D47565"/>
    <w:rsid w:val="00D514B0"/>
    <w:rsid w:val="00D546C1"/>
    <w:rsid w:val="00D57B2E"/>
    <w:rsid w:val="00D6037F"/>
    <w:rsid w:val="00D60E87"/>
    <w:rsid w:val="00D62118"/>
    <w:rsid w:val="00D64BAD"/>
    <w:rsid w:val="00D651AB"/>
    <w:rsid w:val="00D6637F"/>
    <w:rsid w:val="00D66AA0"/>
    <w:rsid w:val="00D67F63"/>
    <w:rsid w:val="00D729E9"/>
    <w:rsid w:val="00D733F4"/>
    <w:rsid w:val="00D744F3"/>
    <w:rsid w:val="00D75174"/>
    <w:rsid w:val="00D75EED"/>
    <w:rsid w:val="00D765BB"/>
    <w:rsid w:val="00D76930"/>
    <w:rsid w:val="00D812AC"/>
    <w:rsid w:val="00D81D6E"/>
    <w:rsid w:val="00D820CF"/>
    <w:rsid w:val="00D82284"/>
    <w:rsid w:val="00D82972"/>
    <w:rsid w:val="00D83540"/>
    <w:rsid w:val="00D8358F"/>
    <w:rsid w:val="00D87B2E"/>
    <w:rsid w:val="00D87F7C"/>
    <w:rsid w:val="00D90D5F"/>
    <w:rsid w:val="00D91942"/>
    <w:rsid w:val="00D91A9F"/>
    <w:rsid w:val="00DA0BB0"/>
    <w:rsid w:val="00DA184D"/>
    <w:rsid w:val="00DA2984"/>
    <w:rsid w:val="00DA49CA"/>
    <w:rsid w:val="00DA4EE9"/>
    <w:rsid w:val="00DA57AD"/>
    <w:rsid w:val="00DB33B6"/>
    <w:rsid w:val="00DB427B"/>
    <w:rsid w:val="00DB5658"/>
    <w:rsid w:val="00DB6F60"/>
    <w:rsid w:val="00DC0F28"/>
    <w:rsid w:val="00DC331A"/>
    <w:rsid w:val="00DC5602"/>
    <w:rsid w:val="00DC64AE"/>
    <w:rsid w:val="00DD0646"/>
    <w:rsid w:val="00DD0A2C"/>
    <w:rsid w:val="00DD2020"/>
    <w:rsid w:val="00DD25D6"/>
    <w:rsid w:val="00DD3EAA"/>
    <w:rsid w:val="00DD4409"/>
    <w:rsid w:val="00DD510E"/>
    <w:rsid w:val="00DD53E1"/>
    <w:rsid w:val="00DD54D2"/>
    <w:rsid w:val="00DD6D83"/>
    <w:rsid w:val="00DD7797"/>
    <w:rsid w:val="00DE056C"/>
    <w:rsid w:val="00DE2F1E"/>
    <w:rsid w:val="00DE3105"/>
    <w:rsid w:val="00DE4492"/>
    <w:rsid w:val="00DE513C"/>
    <w:rsid w:val="00DE56F0"/>
    <w:rsid w:val="00DF10CF"/>
    <w:rsid w:val="00DF2483"/>
    <w:rsid w:val="00DF393D"/>
    <w:rsid w:val="00DF39A1"/>
    <w:rsid w:val="00DF3C91"/>
    <w:rsid w:val="00DF4A38"/>
    <w:rsid w:val="00DF5B63"/>
    <w:rsid w:val="00DF631F"/>
    <w:rsid w:val="00DF77E8"/>
    <w:rsid w:val="00DF7A2D"/>
    <w:rsid w:val="00E0196C"/>
    <w:rsid w:val="00E035E8"/>
    <w:rsid w:val="00E04C90"/>
    <w:rsid w:val="00E04FBE"/>
    <w:rsid w:val="00E051CB"/>
    <w:rsid w:val="00E05352"/>
    <w:rsid w:val="00E053A3"/>
    <w:rsid w:val="00E06256"/>
    <w:rsid w:val="00E073A7"/>
    <w:rsid w:val="00E10977"/>
    <w:rsid w:val="00E13171"/>
    <w:rsid w:val="00E1336E"/>
    <w:rsid w:val="00E16360"/>
    <w:rsid w:val="00E165D2"/>
    <w:rsid w:val="00E17CDC"/>
    <w:rsid w:val="00E233F0"/>
    <w:rsid w:val="00E23627"/>
    <w:rsid w:val="00E24659"/>
    <w:rsid w:val="00E2556F"/>
    <w:rsid w:val="00E266D3"/>
    <w:rsid w:val="00E30976"/>
    <w:rsid w:val="00E32184"/>
    <w:rsid w:val="00E3237F"/>
    <w:rsid w:val="00E3299E"/>
    <w:rsid w:val="00E34137"/>
    <w:rsid w:val="00E34A6A"/>
    <w:rsid w:val="00E34FD4"/>
    <w:rsid w:val="00E35884"/>
    <w:rsid w:val="00E41962"/>
    <w:rsid w:val="00E41FBE"/>
    <w:rsid w:val="00E420F7"/>
    <w:rsid w:val="00E42B29"/>
    <w:rsid w:val="00E437E5"/>
    <w:rsid w:val="00E43B74"/>
    <w:rsid w:val="00E46649"/>
    <w:rsid w:val="00E46799"/>
    <w:rsid w:val="00E4754B"/>
    <w:rsid w:val="00E47CC2"/>
    <w:rsid w:val="00E52960"/>
    <w:rsid w:val="00E52A0E"/>
    <w:rsid w:val="00E53CF1"/>
    <w:rsid w:val="00E53FF1"/>
    <w:rsid w:val="00E549C8"/>
    <w:rsid w:val="00E54E09"/>
    <w:rsid w:val="00E57057"/>
    <w:rsid w:val="00E5719A"/>
    <w:rsid w:val="00E62378"/>
    <w:rsid w:val="00E637CC"/>
    <w:rsid w:val="00E63855"/>
    <w:rsid w:val="00E640F9"/>
    <w:rsid w:val="00E66F2B"/>
    <w:rsid w:val="00E71109"/>
    <w:rsid w:val="00E72E0D"/>
    <w:rsid w:val="00E74570"/>
    <w:rsid w:val="00E75DD8"/>
    <w:rsid w:val="00E76318"/>
    <w:rsid w:val="00E833CD"/>
    <w:rsid w:val="00E8523E"/>
    <w:rsid w:val="00E85EB5"/>
    <w:rsid w:val="00E87274"/>
    <w:rsid w:val="00E918D6"/>
    <w:rsid w:val="00E91F10"/>
    <w:rsid w:val="00E92192"/>
    <w:rsid w:val="00E93B78"/>
    <w:rsid w:val="00E95054"/>
    <w:rsid w:val="00E95D8C"/>
    <w:rsid w:val="00E963CA"/>
    <w:rsid w:val="00E968D8"/>
    <w:rsid w:val="00E96DAE"/>
    <w:rsid w:val="00E97A62"/>
    <w:rsid w:val="00EA21B6"/>
    <w:rsid w:val="00EA3766"/>
    <w:rsid w:val="00EA5071"/>
    <w:rsid w:val="00EB08B7"/>
    <w:rsid w:val="00EB1995"/>
    <w:rsid w:val="00EB39E3"/>
    <w:rsid w:val="00EB58C5"/>
    <w:rsid w:val="00EB6037"/>
    <w:rsid w:val="00EB65C3"/>
    <w:rsid w:val="00EB6BE3"/>
    <w:rsid w:val="00EB7629"/>
    <w:rsid w:val="00EB7B19"/>
    <w:rsid w:val="00EC108F"/>
    <w:rsid w:val="00EC1C9D"/>
    <w:rsid w:val="00EC1CA5"/>
    <w:rsid w:val="00EC39BF"/>
    <w:rsid w:val="00EC42ED"/>
    <w:rsid w:val="00EC451A"/>
    <w:rsid w:val="00EC7EBA"/>
    <w:rsid w:val="00ED1121"/>
    <w:rsid w:val="00ED2975"/>
    <w:rsid w:val="00ED37F1"/>
    <w:rsid w:val="00ED38DF"/>
    <w:rsid w:val="00ED4C26"/>
    <w:rsid w:val="00ED56EC"/>
    <w:rsid w:val="00ED6CB9"/>
    <w:rsid w:val="00ED7DE9"/>
    <w:rsid w:val="00EE01B7"/>
    <w:rsid w:val="00EE3F70"/>
    <w:rsid w:val="00EE60CD"/>
    <w:rsid w:val="00EE6358"/>
    <w:rsid w:val="00EF05DB"/>
    <w:rsid w:val="00EF2898"/>
    <w:rsid w:val="00EF2AB6"/>
    <w:rsid w:val="00EF3FB6"/>
    <w:rsid w:val="00EF4545"/>
    <w:rsid w:val="00EF4D15"/>
    <w:rsid w:val="00EF6427"/>
    <w:rsid w:val="00EF752D"/>
    <w:rsid w:val="00EF7AFC"/>
    <w:rsid w:val="00EF7E1D"/>
    <w:rsid w:val="00F00F73"/>
    <w:rsid w:val="00F028CB"/>
    <w:rsid w:val="00F02F4A"/>
    <w:rsid w:val="00F0353C"/>
    <w:rsid w:val="00F04285"/>
    <w:rsid w:val="00F04B8A"/>
    <w:rsid w:val="00F121CC"/>
    <w:rsid w:val="00F13785"/>
    <w:rsid w:val="00F13A39"/>
    <w:rsid w:val="00F1506C"/>
    <w:rsid w:val="00F16781"/>
    <w:rsid w:val="00F17730"/>
    <w:rsid w:val="00F22DE2"/>
    <w:rsid w:val="00F236FC"/>
    <w:rsid w:val="00F23E19"/>
    <w:rsid w:val="00F25B53"/>
    <w:rsid w:val="00F30837"/>
    <w:rsid w:val="00F30DC3"/>
    <w:rsid w:val="00F31154"/>
    <w:rsid w:val="00F31278"/>
    <w:rsid w:val="00F3166D"/>
    <w:rsid w:val="00F33600"/>
    <w:rsid w:val="00F340B3"/>
    <w:rsid w:val="00F35D53"/>
    <w:rsid w:val="00F36966"/>
    <w:rsid w:val="00F37BB8"/>
    <w:rsid w:val="00F402C1"/>
    <w:rsid w:val="00F41A15"/>
    <w:rsid w:val="00F4225E"/>
    <w:rsid w:val="00F4505E"/>
    <w:rsid w:val="00F47F97"/>
    <w:rsid w:val="00F51A6C"/>
    <w:rsid w:val="00F528E5"/>
    <w:rsid w:val="00F531C0"/>
    <w:rsid w:val="00F5364E"/>
    <w:rsid w:val="00F54F73"/>
    <w:rsid w:val="00F57B97"/>
    <w:rsid w:val="00F63986"/>
    <w:rsid w:val="00F657C7"/>
    <w:rsid w:val="00F672D8"/>
    <w:rsid w:val="00F677D1"/>
    <w:rsid w:val="00F71452"/>
    <w:rsid w:val="00F732C0"/>
    <w:rsid w:val="00F7395E"/>
    <w:rsid w:val="00F747BF"/>
    <w:rsid w:val="00F74864"/>
    <w:rsid w:val="00F807E0"/>
    <w:rsid w:val="00F819D2"/>
    <w:rsid w:val="00F83A15"/>
    <w:rsid w:val="00F84AAA"/>
    <w:rsid w:val="00F84AAD"/>
    <w:rsid w:val="00F86585"/>
    <w:rsid w:val="00F922DC"/>
    <w:rsid w:val="00F96AE6"/>
    <w:rsid w:val="00F96D5C"/>
    <w:rsid w:val="00F96F6D"/>
    <w:rsid w:val="00FA2FFB"/>
    <w:rsid w:val="00FA38AA"/>
    <w:rsid w:val="00FA4906"/>
    <w:rsid w:val="00FA507D"/>
    <w:rsid w:val="00FA60AB"/>
    <w:rsid w:val="00FA6374"/>
    <w:rsid w:val="00FA6EE7"/>
    <w:rsid w:val="00FA71CA"/>
    <w:rsid w:val="00FB0243"/>
    <w:rsid w:val="00FB2134"/>
    <w:rsid w:val="00FB2F88"/>
    <w:rsid w:val="00FB3A73"/>
    <w:rsid w:val="00FB41E4"/>
    <w:rsid w:val="00FB560D"/>
    <w:rsid w:val="00FB58AB"/>
    <w:rsid w:val="00FB72D2"/>
    <w:rsid w:val="00FC03B5"/>
    <w:rsid w:val="00FC467C"/>
    <w:rsid w:val="00FC4CFB"/>
    <w:rsid w:val="00FC51E8"/>
    <w:rsid w:val="00FC6166"/>
    <w:rsid w:val="00FC77E7"/>
    <w:rsid w:val="00FC7E0F"/>
    <w:rsid w:val="00FC7E3C"/>
    <w:rsid w:val="00FD1074"/>
    <w:rsid w:val="00FD3FE8"/>
    <w:rsid w:val="00FD40E3"/>
    <w:rsid w:val="00FD4E45"/>
    <w:rsid w:val="00FD5D1E"/>
    <w:rsid w:val="00FD656B"/>
    <w:rsid w:val="00FD7E1F"/>
    <w:rsid w:val="00FE0733"/>
    <w:rsid w:val="00FE0949"/>
    <w:rsid w:val="00FE0B9D"/>
    <w:rsid w:val="00FE1179"/>
    <w:rsid w:val="00FE1776"/>
    <w:rsid w:val="00FE2034"/>
    <w:rsid w:val="00FE2B31"/>
    <w:rsid w:val="00FE2EF3"/>
    <w:rsid w:val="00FE3BC4"/>
    <w:rsid w:val="00FE454A"/>
    <w:rsid w:val="00FE4C6B"/>
    <w:rsid w:val="00FE4F45"/>
    <w:rsid w:val="00FE50CB"/>
    <w:rsid w:val="00FE6A2D"/>
    <w:rsid w:val="00FE6AC0"/>
    <w:rsid w:val="00FE7675"/>
    <w:rsid w:val="00FE77D5"/>
    <w:rsid w:val="00FE7C33"/>
    <w:rsid w:val="00FF0B5F"/>
    <w:rsid w:val="00FF3412"/>
    <w:rsid w:val="00FF36C3"/>
    <w:rsid w:val="00FF461D"/>
    <w:rsid w:val="00FF4B0F"/>
    <w:rsid w:val="00FF61D9"/>
    <w:rsid w:val="00FF6A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1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CA" w:eastAsia="fr-FR"/>
    </w:rPr>
  </w:style>
  <w:style w:type="paragraph" w:styleId="Titre1">
    <w:name w:val="heading 1"/>
    <w:basedOn w:val="Paragraphe"/>
    <w:next w:val="Paragraphe"/>
    <w:link w:val="Titre1Car"/>
    <w:qFormat/>
    <w:rsid w:val="009D2548"/>
    <w:pPr>
      <w:numPr>
        <w:numId w:val="0"/>
      </w:numPr>
      <w:outlineLvl w:val="0"/>
    </w:pPr>
    <w:rPr>
      <w:b/>
    </w:rPr>
  </w:style>
  <w:style w:type="paragraph" w:styleId="Titre2">
    <w:name w:val="heading 2"/>
    <w:basedOn w:val="Normal"/>
    <w:next w:val="Paragraphe"/>
    <w:link w:val="Titre2Car"/>
    <w:qFormat/>
    <w:rsid w:val="00665BB8"/>
    <w:pPr>
      <w:keepNext/>
      <w:spacing w:before="120" w:after="120"/>
      <w:jc w:val="both"/>
      <w:outlineLvl w:val="1"/>
    </w:pPr>
    <w:rPr>
      <w:b/>
      <w:lang w:eastAsia="fr-CA"/>
    </w:rPr>
  </w:style>
  <w:style w:type="paragraph" w:styleId="Titre3">
    <w:name w:val="heading 3"/>
    <w:basedOn w:val="Normal"/>
    <w:next w:val="Paragraphe"/>
    <w:link w:val="Titre3Car"/>
    <w:qFormat/>
    <w:rsid w:val="004A1B9B"/>
    <w:pPr>
      <w:keepNext/>
      <w:spacing w:before="120" w:after="120"/>
      <w:ind w:left="734"/>
      <w:jc w:val="both"/>
      <w:outlineLvl w:val="2"/>
    </w:pPr>
    <w:rPr>
      <w:b/>
      <w:bCs/>
      <w:iCs/>
      <w:lang w:eastAsia="fr-CA"/>
    </w:rPr>
  </w:style>
  <w:style w:type="paragraph" w:styleId="Titre4">
    <w:name w:val="heading 4"/>
    <w:basedOn w:val="Normal"/>
    <w:next w:val="Paragraphe"/>
    <w:link w:val="Titre4Car"/>
    <w:qFormat/>
    <w:rsid w:val="00661358"/>
    <w:pPr>
      <w:keepNext/>
      <w:spacing w:before="120" w:after="120"/>
      <w:ind w:left="1469"/>
      <w:jc w:val="both"/>
      <w:outlineLvl w:val="3"/>
    </w:pPr>
    <w:rPr>
      <w:u w:val="single"/>
      <w:lang w:eastAsia="fr-CA"/>
    </w:rPr>
  </w:style>
  <w:style w:type="paragraph" w:styleId="Titre5">
    <w:name w:val="heading 5"/>
    <w:basedOn w:val="Paragraphe"/>
    <w:next w:val="Normal"/>
    <w:link w:val="Titre5Car"/>
    <w:qFormat/>
    <w:rsid w:val="00015660"/>
    <w:pPr>
      <w:numPr>
        <w:numId w:val="0"/>
      </w:numPr>
      <w:ind w:left="1468" w:firstLine="734"/>
      <w:outlineLvl w:val="4"/>
    </w:pPr>
    <w:rPr>
      <w:bCs/>
      <w:i/>
      <w:iCs/>
      <w:lang w:eastAsia="fr-CA"/>
    </w:rPr>
  </w:style>
  <w:style w:type="paragraph" w:styleId="Titre6">
    <w:name w:val="heading 6"/>
    <w:basedOn w:val="Normal"/>
    <w:next w:val="Normal"/>
    <w:link w:val="Titre6Car"/>
    <w:qFormat/>
    <w:pPr>
      <w:spacing w:before="240" w:after="60"/>
      <w:outlineLvl w:val="5"/>
    </w:pPr>
    <w:rPr>
      <w:i/>
      <w:sz w:val="22"/>
    </w:rPr>
  </w:style>
  <w:style w:type="paragraph" w:styleId="Titre7">
    <w:name w:val="heading 7"/>
    <w:basedOn w:val="Normal"/>
    <w:next w:val="Normal"/>
    <w:link w:val="Titre7Car"/>
    <w:qFormat/>
    <w:pPr>
      <w:spacing w:before="240" w:after="60"/>
      <w:outlineLvl w:val="6"/>
    </w:pPr>
    <w:rPr>
      <w:sz w:val="20"/>
    </w:rPr>
  </w:style>
  <w:style w:type="paragraph" w:styleId="Titre8">
    <w:name w:val="heading 8"/>
    <w:basedOn w:val="Normal"/>
    <w:next w:val="Normal"/>
    <w:link w:val="Titre8Car"/>
    <w:qFormat/>
    <w:pPr>
      <w:spacing w:before="240" w:after="60"/>
      <w:outlineLvl w:val="7"/>
    </w:pPr>
    <w:rPr>
      <w:i/>
      <w:sz w:val="20"/>
    </w:rPr>
  </w:style>
  <w:style w:type="paragraph" w:styleId="Titre9">
    <w:name w:val="heading 9"/>
    <w:basedOn w:val="Normal"/>
    <w:next w:val="Normal"/>
    <w:link w:val="Titre9Car"/>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96322E"/>
    <w:pPr>
      <w:numPr>
        <w:numId w:val="1"/>
      </w:numPr>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link w:val="CorpsdetexteCar"/>
    <w:pPr>
      <w:spacing w:after="120"/>
    </w:pPr>
  </w:style>
  <w:style w:type="paragraph" w:styleId="Notedebasdepage">
    <w:name w:val="footnote text"/>
    <w:basedOn w:val="Normal"/>
    <w:link w:val="NotedebasdepageCar"/>
    <w:pPr>
      <w:ind w:left="360" w:hanging="360"/>
      <w:jc w:val="both"/>
    </w:pPr>
    <w:rPr>
      <w:sz w:val="20"/>
    </w:rPr>
  </w:style>
  <w:style w:type="paragraph" w:styleId="Notedefin">
    <w:name w:val="endnote text"/>
    <w:basedOn w:val="Normal"/>
    <w:link w:val="NotedefinCar"/>
    <w:semiHidden/>
    <w:pPr>
      <w:ind w:left="-360"/>
      <w:jc w:val="both"/>
    </w:pPr>
    <w:rPr>
      <w:sz w:val="20"/>
    </w:rPr>
  </w:style>
  <w:style w:type="paragraph" w:customStyle="1" w:styleId="zSoquijlblCour">
    <w:name w:val="zSoquij_lblCour"/>
    <w:basedOn w:val="Normal"/>
    <w:rsid w:val="00B4030F"/>
    <w:pPr>
      <w:jc w:val="center"/>
    </w:pPr>
    <w:rPr>
      <w:b/>
      <w:sz w:val="32"/>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B203AC"/>
    <w:pPr>
      <w:jc w:val="center"/>
    </w:pPr>
    <w:rPr>
      <w:b/>
      <w:small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next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1"/>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aphe"/>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customStyle="1" w:styleId="zSoquijlblNoDecision">
    <w:name w:val="zSoquij_lblNoDecision"/>
    <w:basedOn w:val="zSoquijlblNoDossier"/>
    <w:rsid w:val="00EB39E3"/>
  </w:style>
  <w:style w:type="paragraph" w:customStyle="1" w:styleId="zSoquijdatNoDecision">
    <w:name w:val="zSoquij_datNoDecision"/>
    <w:basedOn w:val="zSoquijdatNoDossier"/>
    <w:rsid w:val="00EB39E3"/>
  </w:style>
  <w:style w:type="paragraph" w:styleId="En-tte">
    <w:name w:val="header"/>
    <w:basedOn w:val="Normal"/>
    <w:link w:val="En-tteCar"/>
    <w:rsid w:val="00B4030F"/>
    <w:pPr>
      <w:tabs>
        <w:tab w:val="center" w:pos="4320"/>
        <w:tab w:val="right" w:pos="8640"/>
      </w:tabs>
    </w:pPr>
  </w:style>
  <w:style w:type="paragraph" w:styleId="Pieddepage">
    <w:name w:val="footer"/>
    <w:basedOn w:val="Normal"/>
    <w:link w:val="PieddepageCar"/>
    <w:rsid w:val="00B4030F"/>
    <w:pPr>
      <w:tabs>
        <w:tab w:val="center" w:pos="4320"/>
        <w:tab w:val="right" w:pos="8640"/>
      </w:tabs>
    </w:pPr>
  </w:style>
  <w:style w:type="paragraph" w:customStyle="1" w:styleId="Citationendoubleretrait">
    <w:name w:val="Citation en double retrait"/>
    <w:basedOn w:val="Citationenretrait"/>
    <w:qFormat/>
    <w:rsid w:val="000976EC"/>
    <w:pPr>
      <w:ind w:left="992" w:right="992"/>
    </w:pPr>
  </w:style>
  <w:style w:type="paragraph" w:customStyle="1" w:styleId="zSoquijlblNosArticles">
    <w:name w:val="zSoquij_lblNosArticles"/>
    <w:basedOn w:val="zSoquijlblTypeDocument"/>
    <w:rsid w:val="00B203AC"/>
    <w:rPr>
      <w:b w:val="0"/>
      <w:smallCaps w:val="0"/>
    </w:rPr>
  </w:style>
  <w:style w:type="character" w:styleId="Appelnotedebasdep">
    <w:name w:val="footnote reference"/>
    <w:basedOn w:val="Policepardfaut"/>
    <w:uiPriority w:val="99"/>
    <w:rsid w:val="00BA3C47"/>
    <w:rPr>
      <w:vertAlign w:val="superscript"/>
    </w:rPr>
  </w:style>
  <w:style w:type="paragraph" w:customStyle="1" w:styleId="listespuces">
    <w:name w:val="listespuces"/>
    <w:basedOn w:val="Normal"/>
    <w:rsid w:val="000B7475"/>
    <w:pPr>
      <w:spacing w:before="100" w:beforeAutospacing="1" w:after="100" w:afterAutospacing="1"/>
    </w:pPr>
    <w:rPr>
      <w:rFonts w:ascii="Times New Roman" w:hAnsi="Times New Roman"/>
      <w:szCs w:val="24"/>
      <w:lang w:eastAsia="fr-CA"/>
    </w:rPr>
  </w:style>
  <w:style w:type="character" w:styleId="Textedelespacerserv">
    <w:name w:val="Placeholder Text"/>
    <w:basedOn w:val="Policepardfaut"/>
    <w:uiPriority w:val="99"/>
    <w:semiHidden/>
    <w:rsid w:val="005E4C6D"/>
    <w:rPr>
      <w:color w:val="808080"/>
    </w:rPr>
  </w:style>
  <w:style w:type="character" w:customStyle="1" w:styleId="Titre1Car">
    <w:name w:val="Titre 1 Car"/>
    <w:basedOn w:val="Policepardfaut"/>
    <w:link w:val="Titre1"/>
    <w:rsid w:val="009D2548"/>
    <w:rPr>
      <w:rFonts w:ascii="Arial" w:hAnsi="Arial"/>
      <w:b/>
      <w:kern w:val="28"/>
      <w:sz w:val="24"/>
      <w:lang w:eastAsia="fr-FR"/>
    </w:rPr>
  </w:style>
  <w:style w:type="character" w:customStyle="1" w:styleId="Titre2Car">
    <w:name w:val="Titre 2 Car"/>
    <w:basedOn w:val="Policepardfaut"/>
    <w:link w:val="Titre2"/>
    <w:rsid w:val="00665BB8"/>
    <w:rPr>
      <w:rFonts w:ascii="Arial" w:hAnsi="Arial"/>
      <w:b/>
      <w:sz w:val="24"/>
    </w:rPr>
  </w:style>
  <w:style w:type="character" w:customStyle="1" w:styleId="Titre3Car">
    <w:name w:val="Titre 3 Car"/>
    <w:basedOn w:val="Policepardfaut"/>
    <w:link w:val="Titre3"/>
    <w:rsid w:val="004A1B9B"/>
    <w:rPr>
      <w:rFonts w:ascii="Arial" w:hAnsi="Arial"/>
      <w:b/>
      <w:bCs/>
      <w:iCs/>
      <w:sz w:val="24"/>
    </w:rPr>
  </w:style>
  <w:style w:type="character" w:styleId="Hyperlien">
    <w:name w:val="Hyperlink"/>
    <w:basedOn w:val="Policepardfaut"/>
    <w:uiPriority w:val="99"/>
    <w:unhideWhenUsed/>
    <w:rsid w:val="00FA71CA"/>
    <w:rPr>
      <w:color w:val="0000FF" w:themeColor="hyperlink"/>
      <w:u w:val="single"/>
    </w:rPr>
  </w:style>
  <w:style w:type="paragraph" w:styleId="Paragraphedeliste">
    <w:name w:val="List Paragraph"/>
    <w:basedOn w:val="Normal"/>
    <w:link w:val="ParagraphedelisteCar"/>
    <w:uiPriority w:val="34"/>
    <w:qFormat/>
    <w:rsid w:val="00B41C33"/>
    <w:pPr>
      <w:ind w:left="720"/>
      <w:contextualSpacing/>
    </w:pPr>
    <w:rPr>
      <w:sz w:val="22"/>
      <w:szCs w:val="24"/>
    </w:rPr>
  </w:style>
  <w:style w:type="character" w:customStyle="1" w:styleId="ParagraphedelisteCar">
    <w:name w:val="Paragraphe de liste Car"/>
    <w:link w:val="Paragraphedeliste"/>
    <w:uiPriority w:val="34"/>
    <w:rsid w:val="00B41C33"/>
    <w:rPr>
      <w:rFonts w:ascii="Arial" w:hAnsi="Arial"/>
      <w:sz w:val="22"/>
      <w:szCs w:val="24"/>
      <w:lang w:eastAsia="fr-FR"/>
    </w:rPr>
  </w:style>
  <w:style w:type="character" w:styleId="Lienvisit">
    <w:name w:val="FollowedHyperlink"/>
    <w:basedOn w:val="Policepardfaut"/>
    <w:semiHidden/>
    <w:unhideWhenUsed/>
    <w:rsid w:val="00A17163"/>
    <w:rPr>
      <w:color w:val="800080" w:themeColor="followedHyperlink"/>
      <w:u w:val="single"/>
    </w:rPr>
  </w:style>
  <w:style w:type="character" w:customStyle="1" w:styleId="solexhl">
    <w:name w:val="solexhl"/>
    <w:basedOn w:val="Policepardfaut"/>
    <w:rsid w:val="005D5156"/>
  </w:style>
  <w:style w:type="character" w:styleId="Marquedecommentaire">
    <w:name w:val="annotation reference"/>
    <w:basedOn w:val="Policepardfaut"/>
    <w:semiHidden/>
    <w:unhideWhenUsed/>
    <w:rsid w:val="0061218F"/>
    <w:rPr>
      <w:sz w:val="16"/>
      <w:szCs w:val="16"/>
    </w:rPr>
  </w:style>
  <w:style w:type="paragraph" w:styleId="Commentaire">
    <w:name w:val="annotation text"/>
    <w:basedOn w:val="Normal"/>
    <w:link w:val="CommentaireCar"/>
    <w:unhideWhenUsed/>
    <w:rsid w:val="0061218F"/>
    <w:rPr>
      <w:sz w:val="20"/>
    </w:rPr>
  </w:style>
  <w:style w:type="character" w:customStyle="1" w:styleId="CommentaireCar">
    <w:name w:val="Commentaire Car"/>
    <w:basedOn w:val="Policepardfaut"/>
    <w:link w:val="Commentaire"/>
    <w:rsid w:val="0061218F"/>
    <w:rPr>
      <w:rFonts w:ascii="Arial" w:hAnsi="Arial"/>
      <w:lang w:eastAsia="fr-FR"/>
    </w:rPr>
  </w:style>
  <w:style w:type="paragraph" w:styleId="Objetducommentaire">
    <w:name w:val="annotation subject"/>
    <w:basedOn w:val="Commentaire"/>
    <w:next w:val="Commentaire"/>
    <w:link w:val="ObjetducommentaireCar"/>
    <w:semiHidden/>
    <w:unhideWhenUsed/>
    <w:rsid w:val="0061218F"/>
    <w:rPr>
      <w:b/>
      <w:bCs/>
    </w:rPr>
  </w:style>
  <w:style w:type="character" w:customStyle="1" w:styleId="ObjetducommentaireCar">
    <w:name w:val="Objet du commentaire Car"/>
    <w:basedOn w:val="CommentaireCar"/>
    <w:link w:val="Objetducommentaire"/>
    <w:semiHidden/>
    <w:rsid w:val="0061218F"/>
    <w:rPr>
      <w:rFonts w:ascii="Arial" w:hAnsi="Arial"/>
      <w:b/>
      <w:bCs/>
      <w:lang w:eastAsia="fr-FR"/>
    </w:rPr>
  </w:style>
  <w:style w:type="character" w:customStyle="1" w:styleId="Mentionnonrsolue1">
    <w:name w:val="Mention non résolue1"/>
    <w:basedOn w:val="Policepardfaut"/>
    <w:uiPriority w:val="99"/>
    <w:semiHidden/>
    <w:unhideWhenUsed/>
    <w:rsid w:val="007521F2"/>
    <w:rPr>
      <w:color w:val="605E5C"/>
      <w:shd w:val="clear" w:color="auto" w:fill="E1DFDD"/>
    </w:rPr>
  </w:style>
  <w:style w:type="character" w:customStyle="1" w:styleId="ui-provider">
    <w:name w:val="ui-provider"/>
    <w:basedOn w:val="Policepardfaut"/>
    <w:rsid w:val="00EC1C9D"/>
  </w:style>
  <w:style w:type="paragraph" w:styleId="NormalWeb">
    <w:name w:val="Normal (Web)"/>
    <w:basedOn w:val="Normal"/>
    <w:uiPriority w:val="99"/>
    <w:semiHidden/>
    <w:unhideWhenUsed/>
    <w:rsid w:val="00C55CFB"/>
    <w:pPr>
      <w:spacing w:before="100" w:beforeAutospacing="1" w:after="100" w:afterAutospacing="1"/>
    </w:pPr>
    <w:rPr>
      <w:rFonts w:ascii="Times New Roman" w:hAnsi="Times New Roman"/>
      <w:szCs w:val="24"/>
      <w:lang w:eastAsia="fr-CA"/>
    </w:rPr>
  </w:style>
  <w:style w:type="paragraph" w:customStyle="1" w:styleId="paragraphe0">
    <w:name w:val="paragraphe"/>
    <w:basedOn w:val="Normal"/>
    <w:rsid w:val="001B4B1A"/>
    <w:pPr>
      <w:spacing w:before="100" w:beforeAutospacing="1" w:after="100" w:afterAutospacing="1"/>
    </w:pPr>
    <w:rPr>
      <w:rFonts w:ascii="Times New Roman" w:hAnsi="Times New Roman"/>
      <w:szCs w:val="24"/>
      <w:lang w:eastAsia="fr-CA"/>
    </w:rPr>
  </w:style>
  <w:style w:type="paragraph" w:customStyle="1" w:styleId="citationendoubleretrait0">
    <w:name w:val="citationendoubleretrait"/>
    <w:basedOn w:val="Normal"/>
    <w:rsid w:val="00667D76"/>
    <w:pPr>
      <w:spacing w:before="100" w:beforeAutospacing="1" w:after="100" w:afterAutospacing="1"/>
    </w:pPr>
    <w:rPr>
      <w:rFonts w:ascii="Times New Roman" w:hAnsi="Times New Roman"/>
      <w:szCs w:val="24"/>
      <w:lang w:eastAsia="fr-CA"/>
    </w:rPr>
  </w:style>
  <w:style w:type="character" w:customStyle="1" w:styleId="NotedebasdepageCar">
    <w:name w:val="Note de bas de page Car"/>
    <w:link w:val="Notedebasdepage"/>
    <w:rsid w:val="00B874E3"/>
    <w:rPr>
      <w:rFonts w:ascii="Arial" w:hAnsi="Arial"/>
      <w:lang w:eastAsia="fr-FR"/>
    </w:rPr>
  </w:style>
  <w:style w:type="character" w:customStyle="1" w:styleId="ParagrapheCar">
    <w:name w:val="Paragraphe Car"/>
    <w:link w:val="Paragraphe"/>
    <w:locked/>
    <w:rsid w:val="00B874E3"/>
    <w:rPr>
      <w:rFonts w:ascii="Arial" w:hAnsi="Arial"/>
      <w:kern w:val="28"/>
      <w:sz w:val="24"/>
      <w:lang w:eastAsia="fr-FR"/>
    </w:rPr>
  </w:style>
  <w:style w:type="character" w:customStyle="1" w:styleId="Titre4Car">
    <w:name w:val="Titre 4 Car"/>
    <w:basedOn w:val="Policepardfaut"/>
    <w:link w:val="Titre4"/>
    <w:rsid w:val="00661358"/>
    <w:rPr>
      <w:rFonts w:ascii="Arial" w:hAnsi="Arial"/>
      <w:sz w:val="24"/>
      <w:u w:val="single"/>
    </w:rPr>
  </w:style>
  <w:style w:type="character" w:customStyle="1" w:styleId="Titre5Car">
    <w:name w:val="Titre 5 Car"/>
    <w:basedOn w:val="Policepardfaut"/>
    <w:link w:val="Titre5"/>
    <w:rsid w:val="00015660"/>
    <w:rPr>
      <w:rFonts w:ascii="Arial" w:hAnsi="Arial"/>
      <w:bCs/>
      <w:i/>
      <w:iCs/>
      <w:kern w:val="28"/>
      <w:sz w:val="24"/>
    </w:rPr>
  </w:style>
  <w:style w:type="character" w:customStyle="1" w:styleId="Titre6Car">
    <w:name w:val="Titre 6 Car"/>
    <w:basedOn w:val="Policepardfaut"/>
    <w:link w:val="Titre6"/>
    <w:rsid w:val="00402BBD"/>
    <w:rPr>
      <w:rFonts w:ascii="Arial" w:hAnsi="Arial"/>
      <w:i/>
      <w:sz w:val="22"/>
      <w:lang w:eastAsia="fr-FR"/>
    </w:rPr>
  </w:style>
  <w:style w:type="character" w:customStyle="1" w:styleId="Titre7Car">
    <w:name w:val="Titre 7 Car"/>
    <w:basedOn w:val="Policepardfaut"/>
    <w:link w:val="Titre7"/>
    <w:rsid w:val="00402BBD"/>
    <w:rPr>
      <w:rFonts w:ascii="Arial" w:hAnsi="Arial"/>
      <w:lang w:eastAsia="fr-FR"/>
    </w:rPr>
  </w:style>
  <w:style w:type="character" w:customStyle="1" w:styleId="Titre8Car">
    <w:name w:val="Titre 8 Car"/>
    <w:basedOn w:val="Policepardfaut"/>
    <w:link w:val="Titre8"/>
    <w:rsid w:val="00402BBD"/>
    <w:rPr>
      <w:rFonts w:ascii="Arial" w:hAnsi="Arial"/>
      <w:i/>
      <w:lang w:eastAsia="fr-FR"/>
    </w:rPr>
  </w:style>
  <w:style w:type="character" w:customStyle="1" w:styleId="Titre9Car">
    <w:name w:val="Titre 9 Car"/>
    <w:basedOn w:val="Policepardfaut"/>
    <w:link w:val="Titre9"/>
    <w:rsid w:val="00402BBD"/>
    <w:rPr>
      <w:rFonts w:ascii="Arial" w:hAnsi="Arial"/>
      <w:b/>
      <w:i/>
      <w:sz w:val="18"/>
      <w:lang w:eastAsia="fr-FR"/>
    </w:rPr>
  </w:style>
  <w:style w:type="character" w:customStyle="1" w:styleId="CorpsdetexteCar">
    <w:name w:val="Corps de texte Car"/>
    <w:basedOn w:val="Policepardfaut"/>
    <w:link w:val="Corpsdetexte"/>
    <w:rsid w:val="00402BBD"/>
    <w:rPr>
      <w:rFonts w:ascii="Arial" w:hAnsi="Arial"/>
      <w:sz w:val="24"/>
      <w:lang w:eastAsia="fr-FR"/>
    </w:rPr>
  </w:style>
  <w:style w:type="character" w:customStyle="1" w:styleId="NotedefinCar">
    <w:name w:val="Note de fin Car"/>
    <w:basedOn w:val="Policepardfaut"/>
    <w:link w:val="Notedefin"/>
    <w:semiHidden/>
    <w:rsid w:val="00402BBD"/>
    <w:rPr>
      <w:rFonts w:ascii="Arial" w:hAnsi="Arial"/>
      <w:lang w:eastAsia="fr-FR"/>
    </w:rPr>
  </w:style>
  <w:style w:type="character" w:customStyle="1" w:styleId="En-tteCar">
    <w:name w:val="En-tête Car"/>
    <w:basedOn w:val="Policepardfaut"/>
    <w:link w:val="En-tte"/>
    <w:rsid w:val="00402BBD"/>
    <w:rPr>
      <w:rFonts w:ascii="Arial" w:hAnsi="Arial"/>
      <w:sz w:val="24"/>
      <w:lang w:eastAsia="fr-FR"/>
    </w:rPr>
  </w:style>
  <w:style w:type="character" w:customStyle="1" w:styleId="PieddepageCar">
    <w:name w:val="Pied de page Car"/>
    <w:basedOn w:val="Policepardfaut"/>
    <w:link w:val="Pieddepage"/>
    <w:rsid w:val="00402BBD"/>
    <w:rPr>
      <w:rFonts w:ascii="Arial" w:hAnsi="Arial"/>
      <w:sz w:val="24"/>
      <w:lang w:eastAsia="fr-FR"/>
    </w:rPr>
  </w:style>
  <w:style w:type="character" w:customStyle="1" w:styleId="texte-courant">
    <w:name w:val="texte-courant"/>
    <w:basedOn w:val="Policepardfaut"/>
    <w:rsid w:val="00402BBD"/>
  </w:style>
  <w:style w:type="paragraph" w:customStyle="1" w:styleId="noo">
    <w:name w:val="noo"/>
    <w:basedOn w:val="Normal"/>
    <w:rsid w:val="00402BBD"/>
    <w:pPr>
      <w:numPr>
        <w:numId w:val="33"/>
      </w:numPr>
      <w:jc w:val="both"/>
    </w:pPr>
    <w:rPr>
      <w:rFonts w:cs="Arial"/>
      <w:sz w:val="22"/>
    </w:rPr>
  </w:style>
  <w:style w:type="character" w:styleId="Accentuation">
    <w:name w:val="Emphasis"/>
    <w:basedOn w:val="Policepardfaut"/>
    <w:uiPriority w:val="20"/>
    <w:qFormat/>
    <w:rsid w:val="00402BBD"/>
    <w:rPr>
      <w:i/>
      <w:iCs/>
    </w:rPr>
  </w:style>
  <w:style w:type="paragraph" w:styleId="Rvision">
    <w:name w:val="Revision"/>
    <w:hidden/>
    <w:uiPriority w:val="99"/>
    <w:semiHidden/>
    <w:rsid w:val="001F1935"/>
    <w:rPr>
      <w:rFonts w:ascii="Arial" w:hAnsi="Arial"/>
      <w:sz w:val="24"/>
      <w:lang w:eastAsia="fr-FR"/>
    </w:rPr>
  </w:style>
  <w:style w:type="character" w:customStyle="1" w:styleId="reflex3-missing">
    <w:name w:val="reflex3-missing"/>
    <w:basedOn w:val="Policepardfaut"/>
    <w:rsid w:val="007C2F21"/>
  </w:style>
  <w:style w:type="character" w:customStyle="1" w:styleId="cf01">
    <w:name w:val="cf01"/>
    <w:basedOn w:val="Policepardfaut"/>
    <w:rsid w:val="00DC64AE"/>
    <w:rPr>
      <w:rFonts w:ascii="Segoe UI" w:hAnsi="Segoe UI" w:cs="Segoe UI" w:hint="default"/>
      <w:sz w:val="18"/>
      <w:szCs w:val="18"/>
    </w:rPr>
  </w:style>
  <w:style w:type="paragraph" w:customStyle="1" w:styleId="para">
    <w:name w:val="para"/>
    <w:basedOn w:val="Normal"/>
    <w:rsid w:val="00040F4A"/>
    <w:pPr>
      <w:spacing w:before="100" w:beforeAutospacing="1" w:after="100" w:afterAutospacing="1"/>
    </w:pPr>
    <w:rPr>
      <w:rFonts w:ascii="Times New Roman" w:hAnsi="Times New Roman"/>
      <w:szCs w:val="24"/>
      <w:lang w:eastAsia="fr-CA"/>
    </w:rPr>
  </w:style>
  <w:style w:type="paragraph" w:customStyle="1" w:styleId="page">
    <w:name w:val="page"/>
    <w:basedOn w:val="Normal"/>
    <w:rsid w:val="00040F4A"/>
    <w:pPr>
      <w:spacing w:before="100" w:beforeAutospacing="1" w:after="100" w:afterAutospacing="1"/>
    </w:pPr>
    <w:rPr>
      <w:rFonts w:ascii="Times New Roman" w:hAnsi="Times New Roman"/>
      <w:szCs w:val="24"/>
      <w:lang w:eastAsia="fr-CA"/>
    </w:rPr>
  </w:style>
  <w:style w:type="paragraph" w:styleId="Textedebulles">
    <w:name w:val="Balloon Text"/>
    <w:basedOn w:val="Normal"/>
    <w:link w:val="TextedebullesCar"/>
    <w:semiHidden/>
    <w:unhideWhenUsed/>
    <w:rsid w:val="00617FC9"/>
    <w:rPr>
      <w:rFonts w:ascii="Segoe UI" w:hAnsi="Segoe UI" w:cs="Segoe UI"/>
      <w:sz w:val="18"/>
      <w:szCs w:val="18"/>
    </w:rPr>
  </w:style>
  <w:style w:type="character" w:customStyle="1" w:styleId="TextedebullesCar">
    <w:name w:val="Texte de bulles Car"/>
    <w:basedOn w:val="Policepardfaut"/>
    <w:link w:val="Textedebulles"/>
    <w:semiHidden/>
    <w:rsid w:val="00617FC9"/>
    <w:rPr>
      <w:rFonts w:ascii="Segoe UI" w:hAnsi="Segoe UI" w:cs="Segoe UI"/>
      <w:sz w:val="18"/>
      <w:szCs w:val="18"/>
      <w:lang w:eastAsia="fr-FR"/>
    </w:rPr>
  </w:style>
  <w:style w:type="character" w:customStyle="1" w:styleId="Mentionnonrsolue2">
    <w:name w:val="Mention non résolue2"/>
    <w:basedOn w:val="Policepardfaut"/>
    <w:uiPriority w:val="99"/>
    <w:semiHidden/>
    <w:unhideWhenUsed/>
    <w:rsid w:val="00527A71"/>
    <w:rPr>
      <w:color w:val="605E5C"/>
      <w:shd w:val="clear" w:color="auto" w:fill="E1DFDD"/>
    </w:rPr>
  </w:style>
  <w:style w:type="paragraph" w:customStyle="1" w:styleId="pf0">
    <w:name w:val="pf0"/>
    <w:basedOn w:val="Normal"/>
    <w:rsid w:val="002D54FE"/>
    <w:pPr>
      <w:spacing w:before="100" w:beforeAutospacing="1" w:after="100" w:afterAutospacing="1"/>
    </w:pPr>
    <w:rPr>
      <w:rFonts w:ascii="Times New Roman" w:hAnsi="Times New Roman"/>
      <w:szCs w:val="24"/>
      <w:lang w:eastAsia="fr-CA"/>
    </w:rPr>
  </w:style>
  <w:style w:type="character" w:customStyle="1" w:styleId="cf11">
    <w:name w:val="cf11"/>
    <w:basedOn w:val="Policepardfaut"/>
    <w:rsid w:val="002D54FE"/>
    <w:rPr>
      <w:rFonts w:ascii="Segoe UI" w:hAnsi="Segoe UI" w:cs="Segoe UI" w:hint="default"/>
      <w:color w:val="212529"/>
      <w:sz w:val="18"/>
      <w:szCs w:val="18"/>
    </w:rPr>
  </w:style>
  <w:style w:type="paragraph" w:customStyle="1" w:styleId="Default">
    <w:name w:val="Default"/>
    <w:rsid w:val="00F30837"/>
    <w:pPr>
      <w:autoSpaceDE w:val="0"/>
      <w:autoSpaceDN w:val="0"/>
      <w:adjustRightInd w:val="0"/>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40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iroc.ca/sites/default/files/2021-08/CF983987-B0A4-49C8-81DF-CF5EDC640E99_en.pdf" TargetMode="External"/><Relationship Id="rId1" Type="http://schemas.openxmlformats.org/officeDocument/2006/relationships/hyperlink" Target="https://www.canlii.org/en/qc/laws/stat/cqlr-c-v-1.1/latest/cqlr-c-v-1.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2BCF0F05846E78CC03B7EDF429595"/>
        <w:category>
          <w:name w:val="Général"/>
          <w:gallery w:val="placeholder"/>
        </w:category>
        <w:types>
          <w:type w:val="bbPlcHdr"/>
        </w:types>
        <w:behaviors>
          <w:behavior w:val="content"/>
        </w:behaviors>
        <w:guid w:val="{187DC79E-A729-4EED-86BA-E84C1C33CDFE}"/>
      </w:docPartPr>
      <w:docPartBody>
        <w:p w:rsidR="00000000" w:rsidRDefault="00847141" w:rsidP="00847141">
          <w:pPr>
            <w:pStyle w:val="CB52BCF0F05846E78CC03B7EDF429595"/>
          </w:pPr>
          <w:r w:rsidRPr="008D4B0D">
            <w:rPr>
              <w:rStyle w:val="Textedelespacerserv"/>
            </w:rPr>
            <w:t>Partie demanderesse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EE0" w:rsidRDefault="000D5EE0">
      <w:pPr>
        <w:spacing w:after="0" w:line="240" w:lineRule="auto"/>
      </w:pPr>
      <w:r>
        <w:separator/>
      </w:r>
    </w:p>
  </w:endnote>
  <w:endnote w:type="continuationSeparator" w:id="0">
    <w:p w:rsidR="000D5EE0" w:rsidRDefault="000D5EE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EE0" w:rsidRDefault="000D5EE0">
      <w:pPr>
        <w:spacing w:after="0" w:line="240" w:lineRule="auto"/>
      </w:pPr>
      <w:r>
        <w:separator/>
      </w:r>
    </w:p>
  </w:footnote>
  <w:footnote w:type="continuationSeparator" w:id="0">
    <w:p w:rsidR="000D5EE0" w:rsidRDefault="000D5EE0">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18"/>
    <w:rsid w:val="00026976"/>
    <w:rsid w:val="000B54F3"/>
    <w:rsid w:val="000D5EE0"/>
    <w:rsid w:val="00112B1B"/>
    <w:rsid w:val="00121E11"/>
    <w:rsid w:val="001878F7"/>
    <w:rsid w:val="001A05B2"/>
    <w:rsid w:val="001F1470"/>
    <w:rsid w:val="0024599D"/>
    <w:rsid w:val="0027701D"/>
    <w:rsid w:val="002A0708"/>
    <w:rsid w:val="002C3216"/>
    <w:rsid w:val="002D0851"/>
    <w:rsid w:val="00337CCD"/>
    <w:rsid w:val="00344B4A"/>
    <w:rsid w:val="00385D9E"/>
    <w:rsid w:val="003B2B3E"/>
    <w:rsid w:val="003E077B"/>
    <w:rsid w:val="004018FC"/>
    <w:rsid w:val="004166C9"/>
    <w:rsid w:val="00441B21"/>
    <w:rsid w:val="00454763"/>
    <w:rsid w:val="004A2267"/>
    <w:rsid w:val="004F32D1"/>
    <w:rsid w:val="00563B41"/>
    <w:rsid w:val="005F4D11"/>
    <w:rsid w:val="0061668B"/>
    <w:rsid w:val="006437B5"/>
    <w:rsid w:val="00690322"/>
    <w:rsid w:val="006B333B"/>
    <w:rsid w:val="006B4A3A"/>
    <w:rsid w:val="006B6D61"/>
    <w:rsid w:val="006D7B02"/>
    <w:rsid w:val="006F64FE"/>
    <w:rsid w:val="00720884"/>
    <w:rsid w:val="0073716E"/>
    <w:rsid w:val="007A1E3C"/>
    <w:rsid w:val="007D7641"/>
    <w:rsid w:val="007E02BE"/>
    <w:rsid w:val="00826EDD"/>
    <w:rsid w:val="00847141"/>
    <w:rsid w:val="00854A43"/>
    <w:rsid w:val="00897E6C"/>
    <w:rsid w:val="008A320C"/>
    <w:rsid w:val="008D79B9"/>
    <w:rsid w:val="00904B5A"/>
    <w:rsid w:val="00913EA1"/>
    <w:rsid w:val="009221FB"/>
    <w:rsid w:val="0093723A"/>
    <w:rsid w:val="00982060"/>
    <w:rsid w:val="009955AA"/>
    <w:rsid w:val="009E5F8E"/>
    <w:rsid w:val="009E70F8"/>
    <w:rsid w:val="00A555E9"/>
    <w:rsid w:val="00A87DAC"/>
    <w:rsid w:val="00AC1A72"/>
    <w:rsid w:val="00B63EEF"/>
    <w:rsid w:val="00C21C41"/>
    <w:rsid w:val="00C34AFF"/>
    <w:rsid w:val="00C7528B"/>
    <w:rsid w:val="00C85753"/>
    <w:rsid w:val="00CA2F99"/>
    <w:rsid w:val="00CB135A"/>
    <w:rsid w:val="00D004F0"/>
    <w:rsid w:val="00D136C5"/>
    <w:rsid w:val="00D414DC"/>
    <w:rsid w:val="00D56701"/>
    <w:rsid w:val="00D74AC1"/>
    <w:rsid w:val="00DA0791"/>
    <w:rsid w:val="00DA76A2"/>
    <w:rsid w:val="00DD7D18"/>
    <w:rsid w:val="00DE5E6C"/>
    <w:rsid w:val="00E625C0"/>
    <w:rsid w:val="00EA7C02"/>
    <w:rsid w:val="00EB60D2"/>
    <w:rsid w:val="00FB2C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7141"/>
    <w:rPr>
      <w:color w:val="808080"/>
    </w:rPr>
  </w:style>
  <w:style w:type="paragraph" w:customStyle="1" w:styleId="CB52BCF0F05846E78CC03B7EDF429595">
    <w:name w:val="CB52BCF0F05846E78CC03B7EDF429595"/>
    <w:rsid w:val="00847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3084-C5F8-41C1-9766-3C85825B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15444</Words>
  <Characters>84946</Characters>
  <Application>Microsoft Office Word</Application>
  <DocSecurity>0</DocSecurity>
  <Lines>707</Lines>
  <Paragraphs>200</Paragraphs>
  <ScaleCrop>false</ScaleCrop>
  <Manager/>
  <Company/>
  <LinksUpToDate>false</LinksUpToDate>
  <CharactersWithSpaces>100190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2023-11-03T19:07:00Z</dcterms:created>
  <dcterms:modified xsi:type="dcterms:W3CDTF">2023-11-09T17:38:00Z</dcterms:modified>
  <cp:category/>
</cp:coreProperties>
</file>